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04C37F" w14:textId="33E00443" w:rsidR="004F3E93" w:rsidRPr="004F3E93" w:rsidRDefault="004F3E93" w:rsidP="004F3E93">
      <w:pPr>
        <w:spacing w:line="240" w:lineRule="auto"/>
        <w:ind w:firstLine="284"/>
        <w:jc w:val="center"/>
        <w:rPr>
          <w:rFonts w:ascii="Garamond" w:hAnsi="Garamond"/>
          <w:b/>
          <w:bCs/>
        </w:rPr>
      </w:pPr>
      <w:r w:rsidRPr="004F3E93">
        <w:rPr>
          <w:rFonts w:ascii="Garamond" w:hAnsi="Garamond"/>
          <w:b/>
          <w:bCs/>
        </w:rPr>
        <w:t xml:space="preserve">VENDIM </w:t>
      </w:r>
    </w:p>
    <w:p w14:paraId="08CC9E91" w14:textId="15328795" w:rsidR="004F3E93" w:rsidRPr="004F3E93" w:rsidRDefault="004F3E93" w:rsidP="004F3E93">
      <w:pPr>
        <w:spacing w:line="240" w:lineRule="auto"/>
        <w:ind w:firstLine="284"/>
        <w:jc w:val="center"/>
        <w:rPr>
          <w:rFonts w:ascii="Garamond" w:hAnsi="Garamond"/>
          <w:b/>
          <w:bCs/>
        </w:rPr>
      </w:pPr>
      <w:r w:rsidRPr="004F3E93">
        <w:rPr>
          <w:rFonts w:ascii="Garamond" w:hAnsi="Garamond"/>
          <w:b/>
          <w:bCs/>
        </w:rPr>
        <w:t>Nr.</w:t>
      </w:r>
      <w:r w:rsidR="00016633">
        <w:rPr>
          <w:rFonts w:ascii="Garamond" w:hAnsi="Garamond"/>
          <w:b/>
          <w:bCs/>
        </w:rPr>
        <w:t xml:space="preserve"> </w:t>
      </w:r>
      <w:r w:rsidRPr="004F3E93">
        <w:rPr>
          <w:rFonts w:ascii="Garamond" w:hAnsi="Garamond"/>
          <w:b/>
          <w:bCs/>
        </w:rPr>
        <w:t>24, datë 4.3.2026</w:t>
      </w:r>
    </w:p>
    <w:p w14:paraId="6B3364D3" w14:textId="77777777" w:rsidR="004F3E93" w:rsidRPr="004F3E93" w:rsidRDefault="004F3E93" w:rsidP="004F3E93">
      <w:pPr>
        <w:spacing w:line="240" w:lineRule="auto"/>
        <w:ind w:firstLine="284"/>
        <w:jc w:val="center"/>
        <w:rPr>
          <w:rFonts w:ascii="Garamond" w:hAnsi="Garamond"/>
          <w:b/>
          <w:bCs/>
        </w:rPr>
      </w:pPr>
    </w:p>
    <w:p w14:paraId="2CEBDE15" w14:textId="57861BBA" w:rsidR="004F3E93" w:rsidRPr="004F3E93" w:rsidRDefault="004F3E93" w:rsidP="004F3E93">
      <w:pPr>
        <w:spacing w:line="240" w:lineRule="auto"/>
        <w:ind w:firstLine="284"/>
        <w:jc w:val="center"/>
        <w:rPr>
          <w:rFonts w:ascii="Garamond" w:hAnsi="Garamond"/>
          <w:b/>
          <w:bCs/>
        </w:rPr>
      </w:pPr>
      <w:r w:rsidRPr="004F3E93">
        <w:rPr>
          <w:rFonts w:ascii="Garamond" w:hAnsi="Garamond"/>
          <w:b/>
          <w:bCs/>
        </w:rPr>
        <w:t>NË EMËR TË REPUBLIKËS SË SHQIPËRISË</w:t>
      </w:r>
    </w:p>
    <w:p w14:paraId="6FB38CB4" w14:textId="77777777" w:rsidR="004F3E93" w:rsidRPr="004F3E93" w:rsidRDefault="004F3E93" w:rsidP="004F3E93">
      <w:pPr>
        <w:spacing w:line="240" w:lineRule="auto"/>
        <w:ind w:firstLine="284"/>
        <w:jc w:val="center"/>
        <w:rPr>
          <w:rFonts w:ascii="Garamond" w:hAnsi="Garamond"/>
          <w:b/>
          <w:bCs/>
        </w:rPr>
      </w:pPr>
    </w:p>
    <w:p w14:paraId="5629B902" w14:textId="77777777" w:rsidR="004F3E93" w:rsidRPr="004F3E93" w:rsidRDefault="004F3E93" w:rsidP="004F3E93">
      <w:pPr>
        <w:spacing w:line="240" w:lineRule="auto"/>
        <w:ind w:firstLine="284"/>
        <w:jc w:val="both"/>
        <w:rPr>
          <w:rFonts w:ascii="Garamond" w:hAnsi="Garamond"/>
        </w:rPr>
      </w:pPr>
      <w:r w:rsidRPr="004F3E93">
        <w:rPr>
          <w:rFonts w:ascii="Garamond" w:hAnsi="Garamond"/>
        </w:rPr>
        <w:t>Gjykata Kushtetuese e Republikës së Shqipërisë, e përbërë nga:</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134"/>
      </w:tblGrid>
      <w:tr w:rsidR="004F3E93" w:rsidRPr="004F3E93" w14:paraId="706788B3" w14:textId="77777777" w:rsidTr="004F3E93">
        <w:tc>
          <w:tcPr>
            <w:tcW w:w="2122" w:type="dxa"/>
          </w:tcPr>
          <w:p w14:paraId="319A781A" w14:textId="77777777" w:rsidR="004F3E93" w:rsidRPr="004F3E93" w:rsidRDefault="004F3E93" w:rsidP="00016633">
            <w:pPr>
              <w:rPr>
                <w:rFonts w:ascii="Garamond" w:hAnsi="Garamond"/>
              </w:rPr>
            </w:pPr>
            <w:proofErr w:type="spellStart"/>
            <w:r w:rsidRPr="004F3E93">
              <w:rPr>
                <w:rFonts w:ascii="Garamond" w:hAnsi="Garamond"/>
              </w:rPr>
              <w:t>Fiona</w:t>
            </w:r>
            <w:proofErr w:type="spellEnd"/>
            <w:r w:rsidRPr="004F3E93">
              <w:rPr>
                <w:rFonts w:ascii="Garamond" w:hAnsi="Garamond"/>
              </w:rPr>
              <w:t xml:space="preserve"> </w:t>
            </w:r>
            <w:proofErr w:type="spellStart"/>
            <w:r w:rsidRPr="004F3E93">
              <w:rPr>
                <w:rFonts w:ascii="Garamond" w:hAnsi="Garamond"/>
              </w:rPr>
              <w:t>Papajorgji</w:t>
            </w:r>
            <w:proofErr w:type="spellEnd"/>
          </w:p>
        </w:tc>
        <w:tc>
          <w:tcPr>
            <w:tcW w:w="1134" w:type="dxa"/>
          </w:tcPr>
          <w:p w14:paraId="0DFE509E" w14:textId="52B6C6FF" w:rsidR="004F3E93" w:rsidRPr="004F3E93" w:rsidRDefault="00016633" w:rsidP="00016633">
            <w:pPr>
              <w:rPr>
                <w:rFonts w:ascii="Garamond" w:hAnsi="Garamond"/>
              </w:rPr>
            </w:pPr>
            <w:r w:rsidRPr="004F3E93">
              <w:rPr>
                <w:rFonts w:ascii="Garamond" w:hAnsi="Garamond"/>
              </w:rPr>
              <w:t>kryetare</w:t>
            </w:r>
            <w:r>
              <w:rPr>
                <w:rFonts w:ascii="Garamond" w:hAnsi="Garamond"/>
              </w:rPr>
              <w:t>;</w:t>
            </w:r>
            <w:r w:rsidRPr="004F3E93">
              <w:rPr>
                <w:rFonts w:ascii="Garamond" w:hAnsi="Garamond"/>
              </w:rPr>
              <w:t xml:space="preserve"> </w:t>
            </w:r>
          </w:p>
        </w:tc>
      </w:tr>
      <w:tr w:rsidR="004F3E93" w:rsidRPr="004F3E93" w14:paraId="79CD1074" w14:textId="77777777" w:rsidTr="004F3E93">
        <w:tc>
          <w:tcPr>
            <w:tcW w:w="2122" w:type="dxa"/>
          </w:tcPr>
          <w:p w14:paraId="4EF429EC" w14:textId="77777777" w:rsidR="004F3E93" w:rsidRPr="004F3E93" w:rsidRDefault="004F3E93" w:rsidP="00016633">
            <w:pPr>
              <w:rPr>
                <w:rFonts w:ascii="Garamond" w:hAnsi="Garamond"/>
              </w:rPr>
            </w:pPr>
            <w:proofErr w:type="spellStart"/>
            <w:r w:rsidRPr="004F3E93">
              <w:rPr>
                <w:rFonts w:ascii="Garamond" w:hAnsi="Garamond"/>
              </w:rPr>
              <w:t>Sonila</w:t>
            </w:r>
            <w:proofErr w:type="spellEnd"/>
            <w:r w:rsidRPr="004F3E93">
              <w:rPr>
                <w:rFonts w:ascii="Garamond" w:hAnsi="Garamond"/>
              </w:rPr>
              <w:t xml:space="preserve"> Bejtja</w:t>
            </w:r>
          </w:p>
        </w:tc>
        <w:tc>
          <w:tcPr>
            <w:tcW w:w="1134" w:type="dxa"/>
          </w:tcPr>
          <w:p w14:paraId="07F915FC" w14:textId="20F8CCA4" w:rsidR="004F3E93" w:rsidRPr="004F3E93" w:rsidRDefault="00016633" w:rsidP="00016633">
            <w:pPr>
              <w:rPr>
                <w:rFonts w:ascii="Garamond" w:hAnsi="Garamond"/>
              </w:rPr>
            </w:pPr>
            <w:r w:rsidRPr="004F3E93">
              <w:rPr>
                <w:rFonts w:ascii="Garamond" w:hAnsi="Garamond"/>
              </w:rPr>
              <w:t>anëtare</w:t>
            </w:r>
            <w:r>
              <w:rPr>
                <w:rFonts w:ascii="Garamond" w:hAnsi="Garamond"/>
              </w:rPr>
              <w:t>;</w:t>
            </w:r>
            <w:r w:rsidRPr="004F3E93">
              <w:rPr>
                <w:rFonts w:ascii="Garamond" w:hAnsi="Garamond"/>
              </w:rPr>
              <w:t xml:space="preserve"> </w:t>
            </w:r>
          </w:p>
        </w:tc>
      </w:tr>
      <w:tr w:rsidR="004F3E93" w:rsidRPr="004F3E93" w14:paraId="39CC9F1C" w14:textId="77777777" w:rsidTr="004F3E93">
        <w:tc>
          <w:tcPr>
            <w:tcW w:w="2122" w:type="dxa"/>
          </w:tcPr>
          <w:p w14:paraId="4AFD1CEA" w14:textId="77777777" w:rsidR="004F3E93" w:rsidRPr="004F3E93" w:rsidRDefault="004F3E93" w:rsidP="00016633">
            <w:pPr>
              <w:rPr>
                <w:rFonts w:ascii="Garamond" w:hAnsi="Garamond"/>
              </w:rPr>
            </w:pPr>
            <w:proofErr w:type="spellStart"/>
            <w:r w:rsidRPr="004F3E93">
              <w:rPr>
                <w:rFonts w:ascii="Garamond" w:hAnsi="Garamond"/>
              </w:rPr>
              <w:t>Sandër</w:t>
            </w:r>
            <w:proofErr w:type="spellEnd"/>
            <w:r w:rsidRPr="004F3E93">
              <w:rPr>
                <w:rFonts w:ascii="Garamond" w:hAnsi="Garamond"/>
              </w:rPr>
              <w:t xml:space="preserve"> Beci</w:t>
            </w:r>
          </w:p>
        </w:tc>
        <w:tc>
          <w:tcPr>
            <w:tcW w:w="1134" w:type="dxa"/>
          </w:tcPr>
          <w:p w14:paraId="6B4B10B3" w14:textId="738234E6" w:rsidR="004F3E93" w:rsidRPr="004F3E93" w:rsidRDefault="00016633" w:rsidP="00016633">
            <w:pPr>
              <w:rPr>
                <w:rFonts w:ascii="Garamond" w:hAnsi="Garamond"/>
              </w:rPr>
            </w:pPr>
            <w:r w:rsidRPr="004F3E93">
              <w:rPr>
                <w:rFonts w:ascii="Garamond" w:hAnsi="Garamond"/>
              </w:rPr>
              <w:t>anëtar</w:t>
            </w:r>
            <w:r>
              <w:rPr>
                <w:rFonts w:ascii="Garamond" w:hAnsi="Garamond"/>
              </w:rPr>
              <w:t>;</w:t>
            </w:r>
          </w:p>
        </w:tc>
      </w:tr>
      <w:tr w:rsidR="004F3E93" w:rsidRPr="004F3E93" w14:paraId="6EEE48BF" w14:textId="77777777" w:rsidTr="004F3E93">
        <w:tc>
          <w:tcPr>
            <w:tcW w:w="2122" w:type="dxa"/>
          </w:tcPr>
          <w:p w14:paraId="7A00C737" w14:textId="77777777" w:rsidR="004F3E93" w:rsidRPr="004F3E93" w:rsidRDefault="004F3E93" w:rsidP="00016633">
            <w:pPr>
              <w:rPr>
                <w:rFonts w:ascii="Garamond" w:hAnsi="Garamond"/>
              </w:rPr>
            </w:pPr>
            <w:r w:rsidRPr="004F3E93">
              <w:rPr>
                <w:rFonts w:ascii="Garamond" w:hAnsi="Garamond"/>
              </w:rPr>
              <w:t>Ilir Toska</w:t>
            </w:r>
          </w:p>
        </w:tc>
        <w:tc>
          <w:tcPr>
            <w:tcW w:w="1134" w:type="dxa"/>
          </w:tcPr>
          <w:p w14:paraId="0AE78537" w14:textId="0F237CF7" w:rsidR="004F3E93" w:rsidRPr="004F3E93" w:rsidRDefault="00016633" w:rsidP="00016633">
            <w:pPr>
              <w:rPr>
                <w:rFonts w:ascii="Garamond" w:hAnsi="Garamond"/>
              </w:rPr>
            </w:pPr>
            <w:r w:rsidRPr="004F3E93">
              <w:rPr>
                <w:rFonts w:ascii="Garamond" w:hAnsi="Garamond"/>
              </w:rPr>
              <w:t>anëtar</w:t>
            </w:r>
            <w:r>
              <w:rPr>
                <w:rFonts w:ascii="Garamond" w:hAnsi="Garamond"/>
              </w:rPr>
              <w:t>;</w:t>
            </w:r>
            <w:r w:rsidRPr="004F3E93">
              <w:rPr>
                <w:rFonts w:ascii="Garamond" w:hAnsi="Garamond"/>
              </w:rPr>
              <w:t xml:space="preserve">  </w:t>
            </w:r>
          </w:p>
        </w:tc>
      </w:tr>
      <w:tr w:rsidR="004F3E93" w:rsidRPr="004F3E93" w14:paraId="7C3F00A8" w14:textId="77777777" w:rsidTr="004F3E93">
        <w:tc>
          <w:tcPr>
            <w:tcW w:w="2122" w:type="dxa"/>
          </w:tcPr>
          <w:p w14:paraId="4669C950" w14:textId="77777777" w:rsidR="004F3E93" w:rsidRPr="004F3E93" w:rsidRDefault="004F3E93" w:rsidP="00016633">
            <w:pPr>
              <w:rPr>
                <w:rFonts w:ascii="Garamond" w:hAnsi="Garamond"/>
              </w:rPr>
            </w:pPr>
            <w:r w:rsidRPr="004F3E93">
              <w:rPr>
                <w:rFonts w:ascii="Garamond" w:hAnsi="Garamond"/>
              </w:rPr>
              <w:t>Genti Ibrahimi</w:t>
            </w:r>
          </w:p>
        </w:tc>
        <w:tc>
          <w:tcPr>
            <w:tcW w:w="1134" w:type="dxa"/>
          </w:tcPr>
          <w:p w14:paraId="635CDAB3" w14:textId="456A19C6" w:rsidR="004F3E93" w:rsidRPr="004F3E93" w:rsidRDefault="00016633" w:rsidP="00016633">
            <w:pPr>
              <w:rPr>
                <w:rFonts w:ascii="Garamond" w:hAnsi="Garamond"/>
              </w:rPr>
            </w:pPr>
            <w:r w:rsidRPr="004F3E93">
              <w:rPr>
                <w:rFonts w:ascii="Garamond" w:hAnsi="Garamond"/>
              </w:rPr>
              <w:t>anëtar</w:t>
            </w:r>
            <w:r>
              <w:rPr>
                <w:rFonts w:ascii="Garamond" w:hAnsi="Garamond"/>
              </w:rPr>
              <w:t>;</w:t>
            </w:r>
          </w:p>
        </w:tc>
      </w:tr>
      <w:tr w:rsidR="004F3E93" w:rsidRPr="004F3E93" w14:paraId="49F33141" w14:textId="77777777" w:rsidTr="004F3E93">
        <w:tc>
          <w:tcPr>
            <w:tcW w:w="2122" w:type="dxa"/>
          </w:tcPr>
          <w:p w14:paraId="180921FF" w14:textId="77777777" w:rsidR="004F3E93" w:rsidRPr="004F3E93" w:rsidRDefault="004F3E93" w:rsidP="00016633">
            <w:pPr>
              <w:rPr>
                <w:rFonts w:ascii="Garamond" w:hAnsi="Garamond"/>
              </w:rPr>
            </w:pPr>
            <w:proofErr w:type="spellStart"/>
            <w:r w:rsidRPr="004F3E93">
              <w:rPr>
                <w:rFonts w:ascii="Garamond" w:hAnsi="Garamond"/>
              </w:rPr>
              <w:t>Marjana</w:t>
            </w:r>
            <w:proofErr w:type="spellEnd"/>
            <w:r w:rsidRPr="004F3E93">
              <w:rPr>
                <w:rFonts w:ascii="Garamond" w:hAnsi="Garamond"/>
              </w:rPr>
              <w:t xml:space="preserve"> </w:t>
            </w:r>
            <w:proofErr w:type="spellStart"/>
            <w:r w:rsidRPr="004F3E93">
              <w:rPr>
                <w:rFonts w:ascii="Garamond" w:hAnsi="Garamond"/>
              </w:rPr>
              <w:t>Semini</w:t>
            </w:r>
            <w:proofErr w:type="spellEnd"/>
          </w:p>
        </w:tc>
        <w:tc>
          <w:tcPr>
            <w:tcW w:w="1134" w:type="dxa"/>
          </w:tcPr>
          <w:p w14:paraId="3169FBF2" w14:textId="5F57E638" w:rsidR="004F3E93" w:rsidRPr="004F3E93" w:rsidRDefault="00016633" w:rsidP="00016633">
            <w:pPr>
              <w:rPr>
                <w:rFonts w:ascii="Garamond" w:hAnsi="Garamond"/>
              </w:rPr>
            </w:pPr>
            <w:r w:rsidRPr="004F3E93">
              <w:rPr>
                <w:rFonts w:ascii="Garamond" w:hAnsi="Garamond"/>
              </w:rPr>
              <w:t>anëtare</w:t>
            </w:r>
            <w:r>
              <w:rPr>
                <w:rFonts w:ascii="Garamond" w:hAnsi="Garamond"/>
              </w:rPr>
              <w:t>;</w:t>
            </w:r>
          </w:p>
        </w:tc>
      </w:tr>
      <w:tr w:rsidR="004F3E93" w:rsidRPr="004F3E93" w14:paraId="709088F4" w14:textId="77777777" w:rsidTr="004F3E93">
        <w:tc>
          <w:tcPr>
            <w:tcW w:w="2122" w:type="dxa"/>
          </w:tcPr>
          <w:p w14:paraId="11B56940" w14:textId="77777777" w:rsidR="004F3E93" w:rsidRPr="004F3E93" w:rsidRDefault="004F3E93" w:rsidP="00016633">
            <w:pPr>
              <w:rPr>
                <w:rFonts w:ascii="Garamond" w:hAnsi="Garamond"/>
              </w:rPr>
            </w:pPr>
            <w:proofErr w:type="spellStart"/>
            <w:r w:rsidRPr="004F3E93">
              <w:rPr>
                <w:rFonts w:ascii="Garamond" w:hAnsi="Garamond"/>
              </w:rPr>
              <w:t>Marsida</w:t>
            </w:r>
            <w:proofErr w:type="spellEnd"/>
            <w:r w:rsidRPr="004F3E93">
              <w:rPr>
                <w:rFonts w:ascii="Garamond" w:hAnsi="Garamond"/>
              </w:rPr>
              <w:t xml:space="preserve"> </w:t>
            </w:r>
            <w:proofErr w:type="spellStart"/>
            <w:r w:rsidRPr="004F3E93">
              <w:rPr>
                <w:rFonts w:ascii="Garamond" w:hAnsi="Garamond"/>
              </w:rPr>
              <w:t>Xhaferllari</w:t>
            </w:r>
            <w:proofErr w:type="spellEnd"/>
          </w:p>
        </w:tc>
        <w:tc>
          <w:tcPr>
            <w:tcW w:w="1134" w:type="dxa"/>
          </w:tcPr>
          <w:p w14:paraId="77937F88" w14:textId="79E238B8" w:rsidR="004F3E93" w:rsidRPr="004F3E93" w:rsidRDefault="00016633" w:rsidP="00016633">
            <w:pPr>
              <w:rPr>
                <w:rFonts w:ascii="Garamond" w:hAnsi="Garamond"/>
              </w:rPr>
            </w:pPr>
            <w:r w:rsidRPr="004F3E93">
              <w:rPr>
                <w:rFonts w:ascii="Garamond" w:hAnsi="Garamond"/>
              </w:rPr>
              <w:t>anëtare</w:t>
            </w:r>
            <w:r>
              <w:rPr>
                <w:rFonts w:ascii="Garamond" w:hAnsi="Garamond"/>
              </w:rPr>
              <w:t>,</w:t>
            </w:r>
          </w:p>
        </w:tc>
      </w:tr>
    </w:tbl>
    <w:p w14:paraId="5154C7F1" w14:textId="7ADC30F7" w:rsidR="004F3E93" w:rsidRPr="004F3E93" w:rsidRDefault="004F3E93" w:rsidP="004F3E93">
      <w:pPr>
        <w:spacing w:line="240" w:lineRule="auto"/>
        <w:ind w:firstLine="284"/>
        <w:jc w:val="both"/>
        <w:rPr>
          <w:rFonts w:ascii="Garamond" w:hAnsi="Garamond"/>
        </w:rPr>
      </w:pPr>
      <w:r w:rsidRPr="004F3E93">
        <w:rPr>
          <w:rFonts w:ascii="Garamond" w:hAnsi="Garamond"/>
        </w:rPr>
        <w:t xml:space="preserve">me sekretare </w:t>
      </w:r>
      <w:proofErr w:type="spellStart"/>
      <w:r w:rsidRPr="004F3E93">
        <w:rPr>
          <w:rFonts w:ascii="Garamond" w:hAnsi="Garamond"/>
        </w:rPr>
        <w:t>Farisja</w:t>
      </w:r>
      <w:proofErr w:type="spellEnd"/>
      <w:r w:rsidRPr="004F3E93">
        <w:rPr>
          <w:rFonts w:ascii="Garamond" w:hAnsi="Garamond"/>
        </w:rPr>
        <w:t xml:space="preserve"> </w:t>
      </w:r>
      <w:proofErr w:type="spellStart"/>
      <w:r w:rsidRPr="004F3E93">
        <w:rPr>
          <w:rFonts w:ascii="Garamond" w:hAnsi="Garamond"/>
        </w:rPr>
        <w:t>Idrizaj</w:t>
      </w:r>
      <w:proofErr w:type="spellEnd"/>
      <w:r w:rsidRPr="004F3E93">
        <w:rPr>
          <w:rFonts w:ascii="Garamond" w:hAnsi="Garamond"/>
        </w:rPr>
        <w:t>, në datën 4.3.2026 mori në shqyrtim në seancë plenare mbi bazë të dokumenteve çështjen nr. 13 (B) 2025 të Regjistrit Themeltar, që u përket:</w:t>
      </w:r>
    </w:p>
    <w:p w14:paraId="2FC23D32" w14:textId="5261AB21" w:rsidR="004F3E93" w:rsidRPr="004F3E93" w:rsidRDefault="004F3E93" w:rsidP="004F3E93">
      <w:pPr>
        <w:spacing w:line="240" w:lineRule="auto"/>
        <w:ind w:firstLine="284"/>
        <w:jc w:val="both"/>
        <w:rPr>
          <w:rFonts w:ascii="Garamond" w:hAnsi="Garamond"/>
        </w:rPr>
      </w:pPr>
      <w:r w:rsidRPr="004F3E93">
        <w:rPr>
          <w:rFonts w:ascii="Garamond" w:hAnsi="Garamond"/>
          <w:bCs/>
        </w:rPr>
        <w:t xml:space="preserve">KËRKUESE: </w:t>
      </w:r>
      <w:r w:rsidR="00016633" w:rsidRPr="004F3E93">
        <w:rPr>
          <w:rFonts w:ascii="Garamond" w:hAnsi="Garamond"/>
          <w:bCs/>
        </w:rPr>
        <w:t>Banka Kombëtare Tregtare</w:t>
      </w:r>
      <w:r w:rsidRPr="004F3E93">
        <w:rPr>
          <w:rFonts w:ascii="Garamond" w:hAnsi="Garamond"/>
        </w:rPr>
        <w:t xml:space="preserve">, përfaqësuar nga administratori </w:t>
      </w:r>
      <w:proofErr w:type="spellStart"/>
      <w:r w:rsidRPr="004F3E93">
        <w:rPr>
          <w:rFonts w:ascii="Garamond" w:hAnsi="Garamond"/>
        </w:rPr>
        <w:t>Ndue</w:t>
      </w:r>
      <w:proofErr w:type="spellEnd"/>
      <w:r w:rsidRPr="004F3E93">
        <w:rPr>
          <w:rFonts w:ascii="Garamond" w:hAnsi="Garamond"/>
        </w:rPr>
        <w:t xml:space="preserve"> </w:t>
      </w:r>
      <w:proofErr w:type="spellStart"/>
      <w:r w:rsidRPr="004F3E93">
        <w:rPr>
          <w:rFonts w:ascii="Garamond" w:hAnsi="Garamond"/>
        </w:rPr>
        <w:t>Maluta</w:t>
      </w:r>
      <w:proofErr w:type="spellEnd"/>
      <w:r w:rsidRPr="004F3E93">
        <w:rPr>
          <w:rFonts w:ascii="Garamond" w:hAnsi="Garamond"/>
        </w:rPr>
        <w:t>.</w:t>
      </w:r>
    </w:p>
    <w:p w14:paraId="5CC75AAB" w14:textId="625C72B3" w:rsidR="004F3E93" w:rsidRPr="004F3E93" w:rsidRDefault="004F3E93" w:rsidP="004F3E93">
      <w:pPr>
        <w:spacing w:line="240" w:lineRule="auto"/>
        <w:ind w:firstLine="284"/>
        <w:rPr>
          <w:rFonts w:ascii="Garamond" w:hAnsi="Garamond"/>
          <w:bCs/>
        </w:rPr>
      </w:pPr>
      <w:r w:rsidRPr="004F3E93">
        <w:rPr>
          <w:rFonts w:ascii="Garamond" w:hAnsi="Garamond"/>
          <w:bCs/>
        </w:rPr>
        <w:t xml:space="preserve">SUBJEKTE TË INTERESUARA: </w:t>
      </w:r>
    </w:p>
    <w:p w14:paraId="66EE3579" w14:textId="18998074" w:rsidR="004F3E93" w:rsidRPr="004F3E93" w:rsidRDefault="00016633" w:rsidP="004F3E93">
      <w:pPr>
        <w:spacing w:line="240" w:lineRule="auto"/>
        <w:ind w:firstLine="284"/>
        <w:jc w:val="both"/>
        <w:rPr>
          <w:rFonts w:ascii="Garamond" w:hAnsi="Garamond"/>
        </w:rPr>
      </w:pPr>
      <w:proofErr w:type="spellStart"/>
      <w:r w:rsidRPr="004F3E93">
        <w:rPr>
          <w:rFonts w:ascii="Garamond" w:hAnsi="Garamond"/>
          <w:bCs/>
        </w:rPr>
        <w:t>Erjon</w:t>
      </w:r>
      <w:proofErr w:type="spellEnd"/>
      <w:r w:rsidRPr="004F3E93">
        <w:rPr>
          <w:rFonts w:ascii="Garamond" w:hAnsi="Garamond"/>
          <w:bCs/>
        </w:rPr>
        <w:t xml:space="preserve"> </w:t>
      </w:r>
      <w:proofErr w:type="spellStart"/>
      <w:r w:rsidRPr="004F3E93">
        <w:rPr>
          <w:rFonts w:ascii="Garamond" w:hAnsi="Garamond"/>
          <w:bCs/>
        </w:rPr>
        <w:t>Kasmi</w:t>
      </w:r>
      <w:proofErr w:type="spellEnd"/>
      <w:r w:rsidR="004F3E93" w:rsidRPr="004F3E93">
        <w:rPr>
          <w:rFonts w:ascii="Garamond" w:hAnsi="Garamond"/>
          <w:bCs/>
        </w:rPr>
        <w:t>,</w:t>
      </w:r>
      <w:r w:rsidR="004F3E93" w:rsidRPr="004F3E93">
        <w:rPr>
          <w:rFonts w:ascii="Garamond" w:hAnsi="Garamond"/>
        </w:rPr>
        <w:t xml:space="preserve"> në mungesë.</w:t>
      </w:r>
    </w:p>
    <w:p w14:paraId="5B865D9D" w14:textId="433996A2" w:rsidR="004F3E93" w:rsidRPr="004F3E93" w:rsidRDefault="00016633" w:rsidP="004F3E93">
      <w:pPr>
        <w:spacing w:line="240" w:lineRule="auto"/>
        <w:ind w:firstLine="284"/>
        <w:jc w:val="both"/>
        <w:rPr>
          <w:rFonts w:ascii="Garamond" w:hAnsi="Garamond"/>
          <w:bCs/>
        </w:rPr>
      </w:pPr>
      <w:r w:rsidRPr="004F3E93">
        <w:rPr>
          <w:rFonts w:ascii="Garamond" w:hAnsi="Garamond"/>
          <w:bCs/>
        </w:rPr>
        <w:t xml:space="preserve">Shoqëria “Dini </w:t>
      </w:r>
      <w:r w:rsidR="004F3E93" w:rsidRPr="004F3E93">
        <w:rPr>
          <w:rFonts w:ascii="Garamond" w:hAnsi="Garamond"/>
          <w:bCs/>
        </w:rPr>
        <w:t xml:space="preserve">2009” </w:t>
      </w:r>
      <w:proofErr w:type="spellStart"/>
      <w:r w:rsidRPr="004F3E93">
        <w:rPr>
          <w:rFonts w:ascii="Garamond" w:hAnsi="Garamond"/>
          <w:bCs/>
        </w:rPr>
        <w:t>sh.p.k</w:t>
      </w:r>
      <w:proofErr w:type="spellEnd"/>
      <w:r w:rsidRPr="004F3E93">
        <w:rPr>
          <w:rFonts w:ascii="Garamond" w:hAnsi="Garamond"/>
          <w:bCs/>
        </w:rPr>
        <w:t xml:space="preserve">., </w:t>
      </w:r>
      <w:r w:rsidR="004F3E93" w:rsidRPr="004F3E93">
        <w:rPr>
          <w:rFonts w:ascii="Garamond" w:hAnsi="Garamond"/>
        </w:rPr>
        <w:t>në mungesë.</w:t>
      </w:r>
    </w:p>
    <w:p w14:paraId="4CC23723" w14:textId="60E318CF" w:rsidR="004F3E93" w:rsidRPr="004F3E93" w:rsidRDefault="00016633" w:rsidP="004F3E93">
      <w:pPr>
        <w:spacing w:line="240" w:lineRule="auto"/>
        <w:ind w:firstLine="284"/>
        <w:jc w:val="both"/>
        <w:rPr>
          <w:rFonts w:ascii="Garamond" w:hAnsi="Garamond"/>
          <w:bCs/>
        </w:rPr>
      </w:pPr>
      <w:r w:rsidRPr="004F3E93">
        <w:rPr>
          <w:rFonts w:ascii="Garamond" w:hAnsi="Garamond"/>
          <w:bCs/>
        </w:rPr>
        <w:t>Agjencia Shtetërore e Kadastrës, Drejtoria Vendore Tiranë</w:t>
      </w:r>
      <w:r w:rsidR="004F3E93" w:rsidRPr="004F3E93">
        <w:rPr>
          <w:rFonts w:ascii="Garamond" w:hAnsi="Garamond"/>
          <w:bCs/>
        </w:rPr>
        <w:t xml:space="preserve">, </w:t>
      </w:r>
      <w:r w:rsidR="004F3E93" w:rsidRPr="004F3E93">
        <w:rPr>
          <w:rFonts w:ascii="Garamond" w:hAnsi="Garamond"/>
        </w:rPr>
        <w:t>në mungesë.</w:t>
      </w:r>
    </w:p>
    <w:p w14:paraId="50010465" w14:textId="6EA87696" w:rsidR="004F3E93" w:rsidRPr="004F3E93" w:rsidRDefault="004F3E93" w:rsidP="004F3E93">
      <w:pPr>
        <w:pStyle w:val="BodyTextIndent2"/>
        <w:spacing w:line="240" w:lineRule="auto"/>
        <w:ind w:left="0" w:firstLine="284"/>
        <w:rPr>
          <w:rFonts w:ascii="Garamond" w:hAnsi="Garamond"/>
          <w:b w:val="0"/>
        </w:rPr>
      </w:pPr>
      <w:r w:rsidRPr="004F3E93">
        <w:rPr>
          <w:rFonts w:ascii="Garamond" w:hAnsi="Garamond"/>
          <w:b w:val="0"/>
        </w:rPr>
        <w:t>OBJEKTI:  Shfuqizimi i vendimeve nr. 11950, datë 15.12.2014</w:t>
      </w:r>
      <w:r w:rsidR="00016633">
        <w:rPr>
          <w:rFonts w:ascii="Garamond" w:hAnsi="Garamond"/>
          <w:b w:val="0"/>
        </w:rPr>
        <w:t>,</w:t>
      </w:r>
      <w:r w:rsidRPr="004F3E93">
        <w:rPr>
          <w:rFonts w:ascii="Garamond" w:hAnsi="Garamond"/>
          <w:b w:val="0"/>
        </w:rPr>
        <w:t xml:space="preserve"> të Gjykatës së Rrethit Gjyqësor Tiranë; nr. 1624, datë 1.7.2016</w:t>
      </w:r>
      <w:r w:rsidR="00016633">
        <w:rPr>
          <w:rFonts w:ascii="Garamond" w:hAnsi="Garamond"/>
          <w:b w:val="0"/>
        </w:rPr>
        <w:t>,</w:t>
      </w:r>
      <w:r w:rsidRPr="004F3E93">
        <w:rPr>
          <w:rFonts w:ascii="Garamond" w:hAnsi="Garamond"/>
          <w:b w:val="0"/>
        </w:rPr>
        <w:t xml:space="preserve"> të Gjykatës së Apelit Tiranë; nr. 00-2024-4563, datë 13.11.2024</w:t>
      </w:r>
      <w:r w:rsidR="00016633">
        <w:rPr>
          <w:rFonts w:ascii="Garamond" w:hAnsi="Garamond"/>
          <w:b w:val="0"/>
        </w:rPr>
        <w:t>,</w:t>
      </w:r>
      <w:r w:rsidRPr="004F3E93">
        <w:rPr>
          <w:rFonts w:ascii="Garamond" w:hAnsi="Garamond"/>
          <w:b w:val="0"/>
        </w:rPr>
        <w:t xml:space="preserve"> të Kolegjit Civil të Gjykatës së Lartë, si të papajtueshme me Kushtetutën e Republikës së Shqipërisë.</w:t>
      </w:r>
    </w:p>
    <w:p w14:paraId="2AE686E3" w14:textId="09FEE17E" w:rsidR="004F3E93" w:rsidRPr="004F3E93" w:rsidRDefault="004F3E93" w:rsidP="004F3E93">
      <w:pPr>
        <w:pStyle w:val="BodyTextIndent2"/>
        <w:spacing w:line="240" w:lineRule="auto"/>
        <w:ind w:left="0" w:firstLine="284"/>
        <w:rPr>
          <w:rFonts w:ascii="Garamond" w:hAnsi="Garamond"/>
          <w:b w:val="0"/>
        </w:rPr>
      </w:pPr>
      <w:r w:rsidRPr="004F3E93">
        <w:rPr>
          <w:rFonts w:ascii="Garamond" w:hAnsi="Garamond"/>
          <w:b w:val="0"/>
        </w:rPr>
        <w:t xml:space="preserve">BAZA LIGJORE: Nenet  15, pika 1, 16, pika 2, 17, 41, 42, 131, pika 1, shkronja “f” dhe 134, pikat 1, shkronja “i” e 2, të Kushtetutës së Republikës së Shqipërisë </w:t>
      </w:r>
      <w:r w:rsidRPr="004F3E93">
        <w:rPr>
          <w:rFonts w:ascii="Garamond" w:hAnsi="Garamond"/>
          <w:b w:val="0"/>
          <w:i/>
          <w:iCs/>
        </w:rPr>
        <w:t>(Kushtetuta)</w:t>
      </w:r>
      <w:r w:rsidRPr="004F3E93">
        <w:rPr>
          <w:rFonts w:ascii="Garamond" w:hAnsi="Garamond"/>
          <w:b w:val="0"/>
        </w:rPr>
        <w:t xml:space="preserve">; neni 6 i Konventës Evropiane për të Drejtat e Njeriut </w:t>
      </w:r>
      <w:r w:rsidRPr="004F3E93">
        <w:rPr>
          <w:rFonts w:ascii="Garamond" w:hAnsi="Garamond"/>
          <w:b w:val="0"/>
          <w:i/>
          <w:iCs/>
        </w:rPr>
        <w:t>(</w:t>
      </w:r>
      <w:proofErr w:type="spellStart"/>
      <w:r w:rsidRPr="004F3E93">
        <w:rPr>
          <w:rFonts w:ascii="Garamond" w:hAnsi="Garamond"/>
          <w:b w:val="0"/>
          <w:i/>
          <w:iCs/>
        </w:rPr>
        <w:t>KEDNJ</w:t>
      </w:r>
      <w:proofErr w:type="spellEnd"/>
      <w:r w:rsidRPr="004F3E93">
        <w:rPr>
          <w:rFonts w:ascii="Garamond" w:hAnsi="Garamond"/>
          <w:b w:val="0"/>
          <w:i/>
          <w:iCs/>
        </w:rPr>
        <w:t>)</w:t>
      </w:r>
      <w:r w:rsidRPr="004F3E93">
        <w:rPr>
          <w:rFonts w:ascii="Garamond" w:hAnsi="Garamond"/>
          <w:b w:val="0"/>
        </w:rPr>
        <w:t>; nenet 27-31 dhe 71/a të ligjit nr. 8577, datë 10.2.2000</w:t>
      </w:r>
      <w:r w:rsidR="00016633">
        <w:rPr>
          <w:rFonts w:ascii="Garamond" w:hAnsi="Garamond"/>
          <w:b w:val="0"/>
        </w:rPr>
        <w:t>,</w:t>
      </w:r>
      <w:r w:rsidRPr="004F3E93">
        <w:rPr>
          <w:rFonts w:ascii="Garamond" w:hAnsi="Garamond"/>
          <w:b w:val="0"/>
        </w:rPr>
        <w:t xml:space="preserve"> “Për organizimin dhe funksionimin e Gjykatës Kushtetuese të Republikës së Shqipërisë”, të ndryshuar </w:t>
      </w:r>
      <w:r w:rsidRPr="004F3E93">
        <w:rPr>
          <w:rFonts w:ascii="Garamond" w:hAnsi="Garamond"/>
          <w:b w:val="0"/>
          <w:i/>
          <w:iCs/>
        </w:rPr>
        <w:t>(Ligji Organik i Gjykatës)</w:t>
      </w:r>
      <w:r w:rsidRPr="004F3E93">
        <w:rPr>
          <w:rFonts w:ascii="Garamond" w:hAnsi="Garamond"/>
          <w:b w:val="0"/>
        </w:rPr>
        <w:t>.</w:t>
      </w:r>
    </w:p>
    <w:p w14:paraId="68D17BD1" w14:textId="77777777" w:rsidR="004F3E93" w:rsidRPr="004F3E93" w:rsidRDefault="004F3E93" w:rsidP="004F3E93">
      <w:pPr>
        <w:pStyle w:val="BodyTextIndent2"/>
        <w:spacing w:line="240" w:lineRule="auto"/>
        <w:ind w:left="0" w:firstLine="284"/>
        <w:rPr>
          <w:rFonts w:ascii="Garamond" w:hAnsi="Garamond"/>
          <w:b w:val="0"/>
        </w:rPr>
      </w:pPr>
    </w:p>
    <w:p w14:paraId="4787FA76" w14:textId="77777777" w:rsidR="004F3E93" w:rsidRPr="004F3E93" w:rsidRDefault="004F3E93" w:rsidP="004F3E93">
      <w:pPr>
        <w:pStyle w:val="BodyTextIndent2"/>
        <w:spacing w:line="240" w:lineRule="auto"/>
        <w:ind w:left="0" w:firstLine="284"/>
        <w:jc w:val="center"/>
        <w:rPr>
          <w:rFonts w:ascii="Garamond" w:hAnsi="Garamond"/>
          <w:b w:val="0"/>
        </w:rPr>
      </w:pPr>
      <w:r w:rsidRPr="004F3E93">
        <w:rPr>
          <w:rFonts w:ascii="Garamond" w:hAnsi="Garamond"/>
          <w:b w:val="0"/>
        </w:rPr>
        <w:t>GJYKATA KUSHTETUESE,</w:t>
      </w:r>
    </w:p>
    <w:p w14:paraId="159FA101" w14:textId="77777777" w:rsidR="004F3E93" w:rsidRPr="004F3E93" w:rsidRDefault="004F3E93" w:rsidP="004F3E93">
      <w:pPr>
        <w:spacing w:line="240" w:lineRule="auto"/>
        <w:ind w:firstLine="284"/>
        <w:jc w:val="both"/>
        <w:rPr>
          <w:rFonts w:ascii="Garamond" w:hAnsi="Garamond"/>
        </w:rPr>
      </w:pPr>
    </w:p>
    <w:p w14:paraId="46A04C2C" w14:textId="5BCAFED9" w:rsidR="004F3E93" w:rsidRPr="004F3E93" w:rsidRDefault="004F3E93" w:rsidP="004F3E93">
      <w:pPr>
        <w:spacing w:line="240" w:lineRule="auto"/>
        <w:ind w:firstLine="284"/>
        <w:jc w:val="both"/>
        <w:rPr>
          <w:rFonts w:ascii="Garamond" w:hAnsi="Garamond"/>
        </w:rPr>
      </w:pPr>
      <w:r w:rsidRPr="004F3E93">
        <w:rPr>
          <w:rFonts w:ascii="Garamond" w:hAnsi="Garamond"/>
        </w:rPr>
        <w:t xml:space="preserve">pasi dëgjoi </w:t>
      </w:r>
      <w:proofErr w:type="spellStart"/>
      <w:r w:rsidRPr="004F3E93">
        <w:rPr>
          <w:rFonts w:ascii="Garamond" w:hAnsi="Garamond"/>
        </w:rPr>
        <w:t>relatoren</w:t>
      </w:r>
      <w:proofErr w:type="spellEnd"/>
      <w:r w:rsidRPr="004F3E93">
        <w:rPr>
          <w:rFonts w:ascii="Garamond" w:hAnsi="Garamond"/>
        </w:rPr>
        <w:t xml:space="preserve"> e çështjes </w:t>
      </w:r>
      <w:proofErr w:type="spellStart"/>
      <w:r w:rsidRPr="004F3E93">
        <w:rPr>
          <w:rFonts w:ascii="Garamond" w:hAnsi="Garamond"/>
        </w:rPr>
        <w:t>Marsida</w:t>
      </w:r>
      <w:proofErr w:type="spellEnd"/>
      <w:r w:rsidRPr="004F3E93">
        <w:rPr>
          <w:rFonts w:ascii="Garamond" w:hAnsi="Garamond"/>
        </w:rPr>
        <w:t xml:space="preserve"> </w:t>
      </w:r>
      <w:proofErr w:type="spellStart"/>
      <w:r w:rsidRPr="004F3E93">
        <w:rPr>
          <w:rFonts w:ascii="Garamond" w:hAnsi="Garamond"/>
        </w:rPr>
        <w:t>Xhaferllari</w:t>
      </w:r>
      <w:proofErr w:type="spellEnd"/>
      <w:r w:rsidRPr="004F3E93">
        <w:rPr>
          <w:rFonts w:ascii="Garamond" w:hAnsi="Garamond"/>
        </w:rPr>
        <w:t>, mori në shqyrtim pretendimet me shkrim të kërkueses, Bankës Kombëtare Tregtare (</w:t>
      </w:r>
      <w:r w:rsidRPr="004F3E93">
        <w:rPr>
          <w:rFonts w:ascii="Garamond" w:hAnsi="Garamond"/>
          <w:i/>
          <w:iCs/>
        </w:rPr>
        <w:t>kërkuesja</w:t>
      </w:r>
      <w:r w:rsidRPr="004F3E93">
        <w:rPr>
          <w:rFonts w:ascii="Garamond" w:hAnsi="Garamond"/>
        </w:rPr>
        <w:t xml:space="preserve">), e cila ka kërkuar pranimin e kërkesës, konstatoi mungesën e prapësimeve me shkrim të subjekteve të interesuara, </w:t>
      </w:r>
      <w:proofErr w:type="spellStart"/>
      <w:r w:rsidRPr="004F3E93">
        <w:rPr>
          <w:rFonts w:ascii="Garamond" w:hAnsi="Garamond"/>
        </w:rPr>
        <w:t>Erjon</w:t>
      </w:r>
      <w:proofErr w:type="spellEnd"/>
      <w:r w:rsidRPr="004F3E93">
        <w:rPr>
          <w:rFonts w:ascii="Garamond" w:hAnsi="Garamond"/>
        </w:rPr>
        <w:t xml:space="preserve"> </w:t>
      </w:r>
      <w:proofErr w:type="spellStart"/>
      <w:r w:rsidRPr="004F3E93">
        <w:rPr>
          <w:rFonts w:ascii="Garamond" w:hAnsi="Garamond"/>
        </w:rPr>
        <w:t>Kasmi</w:t>
      </w:r>
      <w:proofErr w:type="spellEnd"/>
      <w:r w:rsidRPr="004F3E93">
        <w:rPr>
          <w:rFonts w:ascii="Garamond" w:hAnsi="Garamond"/>
        </w:rPr>
        <w:t xml:space="preserve">, shoqëria “Dini 2009” </w:t>
      </w:r>
      <w:proofErr w:type="spellStart"/>
      <w:r w:rsidRPr="004F3E93">
        <w:rPr>
          <w:rFonts w:ascii="Garamond" w:hAnsi="Garamond"/>
        </w:rPr>
        <w:t>sh.p.k</w:t>
      </w:r>
      <w:proofErr w:type="spellEnd"/>
      <w:r w:rsidRPr="004F3E93">
        <w:rPr>
          <w:rFonts w:ascii="Garamond" w:hAnsi="Garamond"/>
        </w:rPr>
        <w:t>.</w:t>
      </w:r>
      <w:r w:rsidRPr="004F3E93">
        <w:rPr>
          <w:rFonts w:ascii="Garamond" w:hAnsi="Garamond"/>
          <w:i/>
          <w:iCs/>
        </w:rPr>
        <w:t xml:space="preserve"> (shoqëria ndërtuese)</w:t>
      </w:r>
      <w:r w:rsidRPr="004F3E93">
        <w:rPr>
          <w:rFonts w:ascii="Garamond" w:hAnsi="Garamond"/>
        </w:rPr>
        <w:t xml:space="preserve">, Agjencia Shtetërore e Kadastrës </w:t>
      </w:r>
      <w:r w:rsidRPr="00EA7E34">
        <w:rPr>
          <w:rFonts w:ascii="Garamond" w:hAnsi="Garamond"/>
          <w:i/>
          <w:iCs/>
        </w:rPr>
        <w:t>(ASHK)</w:t>
      </w:r>
      <w:r w:rsidRPr="004F3E93">
        <w:rPr>
          <w:rFonts w:ascii="Garamond" w:hAnsi="Garamond"/>
        </w:rPr>
        <w:t xml:space="preserve"> (Drejtoria Vendore Tiranë), si dhe diskutoi çështjen në tërësi, </w:t>
      </w:r>
    </w:p>
    <w:p w14:paraId="0E96FC85" w14:textId="77777777" w:rsidR="004F3E93" w:rsidRPr="004F3E93" w:rsidRDefault="004F3E93" w:rsidP="004F3E93">
      <w:pPr>
        <w:tabs>
          <w:tab w:val="left" w:pos="1080"/>
        </w:tabs>
        <w:spacing w:line="240" w:lineRule="auto"/>
        <w:ind w:firstLine="284"/>
        <w:rPr>
          <w:rFonts w:ascii="Garamond" w:hAnsi="Garamond"/>
          <w:b/>
          <w:bCs/>
        </w:rPr>
      </w:pPr>
      <w:bookmarkStart w:id="0" w:name="_GoBack"/>
      <w:bookmarkEnd w:id="0"/>
    </w:p>
    <w:p w14:paraId="51622733" w14:textId="0C99157A" w:rsidR="004F3E93" w:rsidRPr="004F3E93" w:rsidRDefault="004F3E93" w:rsidP="004F3E93">
      <w:pPr>
        <w:tabs>
          <w:tab w:val="left" w:pos="1080"/>
        </w:tabs>
        <w:spacing w:line="240" w:lineRule="auto"/>
        <w:ind w:firstLine="284"/>
        <w:jc w:val="center"/>
        <w:rPr>
          <w:rFonts w:ascii="Garamond" w:hAnsi="Garamond"/>
          <w:bCs/>
        </w:rPr>
      </w:pPr>
      <w:r w:rsidRPr="004F3E93">
        <w:rPr>
          <w:rFonts w:ascii="Garamond" w:hAnsi="Garamond"/>
          <w:bCs/>
        </w:rPr>
        <w:t>VËREN:</w:t>
      </w:r>
    </w:p>
    <w:p w14:paraId="49998F47" w14:textId="77777777" w:rsidR="004F3E93" w:rsidRPr="004F3E93" w:rsidRDefault="004F3E93" w:rsidP="004F3E93">
      <w:pPr>
        <w:spacing w:line="240" w:lineRule="auto"/>
        <w:ind w:firstLine="284"/>
        <w:jc w:val="center"/>
        <w:rPr>
          <w:rFonts w:ascii="Garamond" w:hAnsi="Garamond"/>
          <w:b/>
          <w:bCs/>
        </w:rPr>
      </w:pPr>
    </w:p>
    <w:p w14:paraId="3D86A1CD" w14:textId="27F0527F" w:rsidR="004F3E93" w:rsidRPr="00EA7E34" w:rsidRDefault="004F3E93" w:rsidP="004F3E93">
      <w:pPr>
        <w:spacing w:line="240" w:lineRule="auto"/>
        <w:ind w:firstLine="284"/>
        <w:jc w:val="center"/>
        <w:rPr>
          <w:rFonts w:ascii="Garamond" w:hAnsi="Garamond"/>
        </w:rPr>
      </w:pPr>
      <w:r w:rsidRPr="00EA7E34">
        <w:rPr>
          <w:rFonts w:ascii="Garamond" w:hAnsi="Garamond"/>
        </w:rPr>
        <w:t>I</w:t>
      </w:r>
    </w:p>
    <w:p w14:paraId="70F9F9E1" w14:textId="77777777" w:rsidR="004F3E93" w:rsidRPr="004F3E93" w:rsidRDefault="004F3E93" w:rsidP="004F3E93">
      <w:pPr>
        <w:spacing w:line="240" w:lineRule="auto"/>
        <w:ind w:firstLine="284"/>
        <w:jc w:val="center"/>
        <w:rPr>
          <w:rFonts w:ascii="Garamond" w:hAnsi="Garamond"/>
          <w:b/>
          <w:bCs/>
        </w:rPr>
      </w:pPr>
      <w:r w:rsidRPr="004F3E93">
        <w:rPr>
          <w:rFonts w:ascii="Garamond" w:hAnsi="Garamond"/>
          <w:b/>
          <w:bCs/>
        </w:rPr>
        <w:t>Rrethanat e çështjes</w:t>
      </w:r>
    </w:p>
    <w:p w14:paraId="24667881" w14:textId="77777777" w:rsidR="004F3E93" w:rsidRPr="004F3E93" w:rsidRDefault="004F3E93" w:rsidP="004F3E93">
      <w:pPr>
        <w:pStyle w:val="BodyTextIndent2"/>
        <w:tabs>
          <w:tab w:val="left" w:pos="1080"/>
        </w:tabs>
        <w:spacing w:line="240" w:lineRule="auto"/>
        <w:ind w:left="0" w:firstLine="284"/>
        <w:rPr>
          <w:rFonts w:ascii="Garamond" w:hAnsi="Garamond"/>
          <w:b w:val="0"/>
          <w:bCs/>
        </w:rPr>
      </w:pPr>
    </w:p>
    <w:p w14:paraId="40F426B9" w14:textId="121D4B95"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1. Në datën 22.9.2010 subjekti i interesuar, shoqëria ndërtuese</w:t>
      </w:r>
      <w:r w:rsidRPr="004F3E93">
        <w:rPr>
          <w:rFonts w:ascii="Garamond" w:hAnsi="Garamond"/>
          <w:b w:val="0"/>
          <w:bCs/>
          <w:i/>
          <w:iCs/>
        </w:rPr>
        <w:t xml:space="preserve">, </w:t>
      </w:r>
      <w:r w:rsidRPr="004F3E93">
        <w:rPr>
          <w:rFonts w:ascii="Garamond" w:hAnsi="Garamond"/>
          <w:b w:val="0"/>
          <w:bCs/>
        </w:rPr>
        <w:t xml:space="preserve">ka lidhur kontratë porosie për ndërtimin e një apartamenti me sipërfaqe 111.4 </w:t>
      </w:r>
      <w:proofErr w:type="spellStart"/>
      <w:r w:rsidRPr="004F3E93">
        <w:rPr>
          <w:rFonts w:ascii="Garamond" w:hAnsi="Garamond"/>
          <w:b w:val="0"/>
          <w:bCs/>
        </w:rPr>
        <w:t>m</w:t>
      </w:r>
      <w:r w:rsidRPr="00EA7E34">
        <w:rPr>
          <w:rFonts w:ascii="Garamond" w:hAnsi="Garamond"/>
          <w:b w:val="0"/>
          <w:bCs/>
          <w:vertAlign w:val="superscript"/>
        </w:rPr>
        <w:t>2</w:t>
      </w:r>
      <w:proofErr w:type="spellEnd"/>
      <w:r w:rsidRPr="004F3E93">
        <w:rPr>
          <w:rFonts w:ascii="Garamond" w:hAnsi="Garamond"/>
          <w:b w:val="0"/>
          <w:bCs/>
        </w:rPr>
        <w:t xml:space="preserve"> në fshatin </w:t>
      </w:r>
      <w:proofErr w:type="spellStart"/>
      <w:r w:rsidRPr="004F3E93">
        <w:rPr>
          <w:rFonts w:ascii="Garamond" w:hAnsi="Garamond"/>
          <w:b w:val="0"/>
          <w:bCs/>
        </w:rPr>
        <w:t>Linzë</w:t>
      </w:r>
      <w:proofErr w:type="spellEnd"/>
      <w:r w:rsidRPr="004F3E93">
        <w:rPr>
          <w:rFonts w:ascii="Garamond" w:hAnsi="Garamond"/>
          <w:b w:val="0"/>
          <w:bCs/>
        </w:rPr>
        <w:t>, lagjja “</w:t>
      </w:r>
      <w:proofErr w:type="spellStart"/>
      <w:r w:rsidRPr="004F3E93">
        <w:rPr>
          <w:rFonts w:ascii="Garamond" w:hAnsi="Garamond"/>
          <w:b w:val="0"/>
          <w:bCs/>
        </w:rPr>
        <w:t>Qesarakë</w:t>
      </w:r>
      <w:proofErr w:type="spellEnd"/>
      <w:r w:rsidRPr="004F3E93">
        <w:rPr>
          <w:rFonts w:ascii="Garamond" w:hAnsi="Garamond"/>
          <w:b w:val="0"/>
          <w:bCs/>
        </w:rPr>
        <w:t xml:space="preserve">”, Tiranë në favor të subjektit tjetër të interesuar </w:t>
      </w:r>
      <w:proofErr w:type="spellStart"/>
      <w:r w:rsidRPr="004F3E93">
        <w:rPr>
          <w:rFonts w:ascii="Garamond" w:hAnsi="Garamond"/>
          <w:b w:val="0"/>
          <w:bCs/>
        </w:rPr>
        <w:t>Erjon</w:t>
      </w:r>
      <w:proofErr w:type="spellEnd"/>
      <w:r w:rsidRPr="004F3E93">
        <w:rPr>
          <w:rFonts w:ascii="Garamond" w:hAnsi="Garamond"/>
          <w:b w:val="0"/>
          <w:bCs/>
        </w:rPr>
        <w:t xml:space="preserve"> </w:t>
      </w:r>
      <w:proofErr w:type="spellStart"/>
      <w:r w:rsidRPr="004F3E93">
        <w:rPr>
          <w:rFonts w:ascii="Garamond" w:hAnsi="Garamond"/>
          <w:b w:val="0"/>
          <w:bCs/>
        </w:rPr>
        <w:t>Kasmi</w:t>
      </w:r>
      <w:proofErr w:type="spellEnd"/>
      <w:r w:rsidRPr="004F3E93">
        <w:rPr>
          <w:rFonts w:ascii="Garamond" w:hAnsi="Garamond"/>
          <w:b w:val="0"/>
          <w:bCs/>
        </w:rPr>
        <w:t xml:space="preserve">, kundrejt vlerës 33.420 euro. Sipas kontratës, shoqëria ndërtuese garantonte se dispononte personelin e duhur, materialet, mjetet dhe teknologjinë e nevojshme për ndërtimin e godinës </w:t>
      </w:r>
      <w:r w:rsidRPr="004F3E93">
        <w:rPr>
          <w:rFonts w:ascii="Garamond" w:hAnsi="Garamond"/>
          <w:b w:val="0"/>
          <w:bCs/>
          <w:i/>
          <w:iCs/>
        </w:rPr>
        <w:t xml:space="preserve">(neni 6, pika 4.1), </w:t>
      </w:r>
      <w:r w:rsidRPr="004F3E93">
        <w:rPr>
          <w:rFonts w:ascii="Garamond" w:hAnsi="Garamond"/>
          <w:b w:val="0"/>
          <w:bCs/>
        </w:rPr>
        <w:t xml:space="preserve">pronësia mbi apartamentin do të fitohej nga porositësi pas përfundimit të godinës dhe regjistrimit të saj në Zyrën Vendore të Regjistrimit të Pasurive të Paluajtshme </w:t>
      </w:r>
      <w:r w:rsidRPr="004F3E93">
        <w:rPr>
          <w:rFonts w:ascii="Garamond" w:hAnsi="Garamond"/>
          <w:b w:val="0"/>
          <w:bCs/>
          <w:i/>
          <w:iCs/>
        </w:rPr>
        <w:t>(</w:t>
      </w:r>
      <w:proofErr w:type="spellStart"/>
      <w:r w:rsidRPr="004F3E93">
        <w:rPr>
          <w:rFonts w:ascii="Garamond" w:hAnsi="Garamond"/>
          <w:b w:val="0"/>
          <w:bCs/>
          <w:i/>
          <w:iCs/>
        </w:rPr>
        <w:t>ZVRPP</w:t>
      </w:r>
      <w:proofErr w:type="spellEnd"/>
      <w:r w:rsidRPr="004F3E93">
        <w:rPr>
          <w:rFonts w:ascii="Garamond" w:hAnsi="Garamond"/>
          <w:b w:val="0"/>
          <w:bCs/>
          <w:i/>
          <w:iCs/>
        </w:rPr>
        <w:t>)</w:t>
      </w:r>
      <w:r w:rsidRPr="004F3E93">
        <w:rPr>
          <w:rFonts w:ascii="Garamond" w:hAnsi="Garamond"/>
          <w:b w:val="0"/>
          <w:bCs/>
        </w:rPr>
        <w:t xml:space="preserve"> Tiranë, ndërsa kalimi i pronësisë së apartamentit, aksesorëve e ambienteve të përbashkëta do të bëhej përmes kontratës së shitjes që do të nënshkruhej nga të dyja palët </w:t>
      </w:r>
      <w:r w:rsidRPr="004F3E93">
        <w:rPr>
          <w:rFonts w:ascii="Garamond" w:hAnsi="Garamond"/>
          <w:b w:val="0"/>
          <w:bCs/>
          <w:i/>
          <w:iCs/>
        </w:rPr>
        <w:t>(neni 3, paragrafi i parë)</w:t>
      </w:r>
      <w:r w:rsidRPr="004F3E93">
        <w:rPr>
          <w:rFonts w:ascii="Garamond" w:hAnsi="Garamond"/>
          <w:b w:val="0"/>
          <w:bCs/>
        </w:rPr>
        <w:t xml:space="preserve">. Po sipas kontratës, dorëzimi i apartamentit do të bëhej brenda muajit prill 2012 </w:t>
      </w:r>
      <w:r w:rsidRPr="004F3E93">
        <w:rPr>
          <w:rFonts w:ascii="Garamond" w:hAnsi="Garamond"/>
          <w:b w:val="0"/>
          <w:bCs/>
          <w:i/>
          <w:iCs/>
        </w:rPr>
        <w:t xml:space="preserve">(neni 3, paragrafi i dytë). </w:t>
      </w:r>
      <w:r w:rsidRPr="004F3E93">
        <w:rPr>
          <w:rFonts w:ascii="Garamond" w:hAnsi="Garamond"/>
          <w:b w:val="0"/>
          <w:bCs/>
        </w:rPr>
        <w:t xml:space="preserve">Për përmbushjen e kontratës së porosisë, subjekti i interesuar </w:t>
      </w:r>
      <w:proofErr w:type="spellStart"/>
      <w:r w:rsidRPr="004F3E93">
        <w:rPr>
          <w:rFonts w:ascii="Garamond" w:hAnsi="Garamond"/>
          <w:b w:val="0"/>
          <w:bCs/>
        </w:rPr>
        <w:t>Erjon</w:t>
      </w:r>
      <w:proofErr w:type="spellEnd"/>
      <w:r w:rsidRPr="004F3E93">
        <w:rPr>
          <w:rFonts w:ascii="Garamond" w:hAnsi="Garamond"/>
          <w:b w:val="0"/>
          <w:bCs/>
        </w:rPr>
        <w:t xml:space="preserve"> </w:t>
      </w:r>
      <w:proofErr w:type="spellStart"/>
      <w:r w:rsidRPr="004F3E93">
        <w:rPr>
          <w:rFonts w:ascii="Garamond" w:hAnsi="Garamond"/>
          <w:b w:val="0"/>
          <w:bCs/>
        </w:rPr>
        <w:t>Kasmi</w:t>
      </w:r>
      <w:proofErr w:type="spellEnd"/>
      <w:r w:rsidRPr="004F3E93">
        <w:rPr>
          <w:rFonts w:ascii="Garamond" w:hAnsi="Garamond"/>
          <w:b w:val="0"/>
          <w:bCs/>
        </w:rPr>
        <w:t xml:space="preserve"> ka paguar me para në dorë shumën 15.000 euro, ndërsa pjesën </w:t>
      </w:r>
      <w:r w:rsidRPr="004F3E93">
        <w:rPr>
          <w:rFonts w:ascii="Garamond" w:hAnsi="Garamond"/>
          <w:b w:val="0"/>
          <w:bCs/>
        </w:rPr>
        <w:lastRenderedPageBreak/>
        <w:t xml:space="preserve">tjetër 18.420 euro e ka paguar përmes kredisë bankare të datës 21.10.2010, të marrë nga kërkuesja </w:t>
      </w:r>
      <w:proofErr w:type="spellStart"/>
      <w:r w:rsidRPr="004F3E93">
        <w:rPr>
          <w:rFonts w:ascii="Garamond" w:hAnsi="Garamond"/>
          <w:b w:val="0"/>
          <w:bCs/>
        </w:rPr>
        <w:t>BKT</w:t>
      </w:r>
      <w:proofErr w:type="spellEnd"/>
      <w:r w:rsidRPr="004F3E93">
        <w:rPr>
          <w:rFonts w:ascii="Garamond" w:hAnsi="Garamond"/>
          <w:b w:val="0"/>
          <w:bCs/>
        </w:rPr>
        <w:t xml:space="preserve">. </w:t>
      </w:r>
    </w:p>
    <w:p w14:paraId="717E55F4" w14:textId="36AF5D6A"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 xml:space="preserve">2. Me përfundimin e karabinasë, shoqëria ndërtuese e ka regjistruar në </w:t>
      </w:r>
      <w:proofErr w:type="spellStart"/>
      <w:r w:rsidRPr="004F3E93">
        <w:rPr>
          <w:rFonts w:ascii="Garamond" w:hAnsi="Garamond"/>
          <w:b w:val="0"/>
          <w:bCs/>
        </w:rPr>
        <w:t>ZVRPP</w:t>
      </w:r>
      <w:proofErr w:type="spellEnd"/>
      <w:r w:rsidRPr="004F3E93">
        <w:rPr>
          <w:rFonts w:ascii="Garamond" w:hAnsi="Garamond"/>
          <w:b w:val="0"/>
          <w:bCs/>
        </w:rPr>
        <w:t>, sipas përcaktimeve të ligjit nr. 7843, datë 13.7.1994</w:t>
      </w:r>
      <w:r w:rsidR="00EA7E34">
        <w:rPr>
          <w:rFonts w:ascii="Garamond" w:hAnsi="Garamond"/>
          <w:b w:val="0"/>
          <w:bCs/>
        </w:rPr>
        <w:t>,</w:t>
      </w:r>
      <w:r w:rsidRPr="004F3E93">
        <w:rPr>
          <w:rFonts w:ascii="Garamond" w:hAnsi="Garamond"/>
          <w:b w:val="0"/>
          <w:bCs/>
        </w:rPr>
        <w:t xml:space="preserve"> “Për regjistrimin e pasurive të paluajtshme”, të ndryshuar </w:t>
      </w:r>
      <w:r w:rsidRPr="004F3E93">
        <w:rPr>
          <w:rFonts w:ascii="Garamond" w:hAnsi="Garamond"/>
          <w:b w:val="0"/>
          <w:bCs/>
          <w:i/>
          <w:iCs/>
        </w:rPr>
        <w:t>(Ligji për Regjistrimin e Pasurive të Paluajtshme)</w:t>
      </w:r>
      <w:r w:rsidRPr="004F3E93">
        <w:rPr>
          <w:rFonts w:ascii="Garamond" w:hAnsi="Garamond"/>
          <w:b w:val="0"/>
          <w:bCs/>
        </w:rPr>
        <w:t xml:space="preserve">, në fuqi në kohën e kryerjes së veprimit. </w:t>
      </w:r>
    </w:p>
    <w:p w14:paraId="16B46E2D" w14:textId="37B75D69"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 xml:space="preserve">3. Në datën 12.12.2011 shoqëria ndërtuese ka lidhur me kërkuesen kontratat e kredisë bankare dhe hipotekimit, përmes të cilave ajo ka marrë kredi bankare në shumën 14.000.000 lekë, duke lënë si </w:t>
      </w:r>
      <w:proofErr w:type="spellStart"/>
      <w:r w:rsidRPr="004F3E93">
        <w:rPr>
          <w:rFonts w:ascii="Garamond" w:hAnsi="Garamond"/>
          <w:b w:val="0"/>
          <w:bCs/>
        </w:rPr>
        <w:t>kolateral</w:t>
      </w:r>
      <w:proofErr w:type="spellEnd"/>
      <w:r w:rsidRPr="004F3E93">
        <w:rPr>
          <w:rFonts w:ascii="Garamond" w:hAnsi="Garamond"/>
          <w:b w:val="0"/>
          <w:bCs/>
        </w:rPr>
        <w:t xml:space="preserve"> edhe disa kate të godinës së banimit, përfshirë apartamentin e porositur nga subjekti i interesuar </w:t>
      </w:r>
      <w:proofErr w:type="spellStart"/>
      <w:r w:rsidRPr="004F3E93">
        <w:rPr>
          <w:rFonts w:ascii="Garamond" w:hAnsi="Garamond"/>
          <w:b w:val="0"/>
          <w:bCs/>
        </w:rPr>
        <w:t>Erjon</w:t>
      </w:r>
      <w:proofErr w:type="spellEnd"/>
      <w:r w:rsidRPr="004F3E93">
        <w:rPr>
          <w:rFonts w:ascii="Garamond" w:hAnsi="Garamond"/>
          <w:b w:val="0"/>
          <w:bCs/>
        </w:rPr>
        <w:t xml:space="preserve"> </w:t>
      </w:r>
      <w:proofErr w:type="spellStart"/>
      <w:r w:rsidRPr="004F3E93">
        <w:rPr>
          <w:rFonts w:ascii="Garamond" w:hAnsi="Garamond"/>
          <w:b w:val="0"/>
          <w:bCs/>
        </w:rPr>
        <w:t>Kasmi</w:t>
      </w:r>
      <w:proofErr w:type="spellEnd"/>
      <w:r w:rsidRPr="004F3E93">
        <w:rPr>
          <w:rFonts w:ascii="Garamond" w:hAnsi="Garamond"/>
          <w:b w:val="0"/>
          <w:bCs/>
        </w:rPr>
        <w:t xml:space="preserve">. Kontrata e hipotekimit është regjistruar gjithashtu në </w:t>
      </w:r>
      <w:proofErr w:type="spellStart"/>
      <w:r w:rsidRPr="004F3E93">
        <w:rPr>
          <w:rFonts w:ascii="Garamond" w:hAnsi="Garamond"/>
          <w:b w:val="0"/>
          <w:bCs/>
        </w:rPr>
        <w:t>ZVRPP</w:t>
      </w:r>
      <w:proofErr w:type="spellEnd"/>
      <w:r w:rsidRPr="004F3E93">
        <w:rPr>
          <w:rFonts w:ascii="Garamond" w:hAnsi="Garamond"/>
          <w:b w:val="0"/>
          <w:bCs/>
        </w:rPr>
        <w:t xml:space="preserve">. </w:t>
      </w:r>
    </w:p>
    <w:p w14:paraId="22F363A1" w14:textId="6F03A5CE"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4. Kredia bankare nuk është shlyer nga shoqëria ndërtuese, ndaj kërkuesja i është drejtuar gjykatës për lëshimin e urdhrit të ekzekutimit të saj. Kërkesa është pranuar me vendimin nr. 797 akti, datë 5.3.2014</w:t>
      </w:r>
      <w:r w:rsidR="00EA7E34">
        <w:rPr>
          <w:rFonts w:ascii="Garamond" w:hAnsi="Garamond"/>
          <w:b w:val="0"/>
          <w:bCs/>
        </w:rPr>
        <w:t>,</w:t>
      </w:r>
      <w:r w:rsidRPr="004F3E93">
        <w:rPr>
          <w:rFonts w:ascii="Garamond" w:hAnsi="Garamond"/>
          <w:b w:val="0"/>
          <w:bCs/>
        </w:rPr>
        <w:t xml:space="preserve"> të Gjykatës së Rrethit Gjyqësor Tiranë. Kjo e fundit, me vendimin e datës 4.7.2014, ka vendosur pranimin e kërkesës së subjektit të interesuar, </w:t>
      </w:r>
      <w:proofErr w:type="spellStart"/>
      <w:r w:rsidRPr="004F3E93">
        <w:rPr>
          <w:rFonts w:ascii="Garamond" w:hAnsi="Garamond"/>
          <w:b w:val="0"/>
          <w:bCs/>
        </w:rPr>
        <w:t>Erjon</w:t>
      </w:r>
      <w:proofErr w:type="spellEnd"/>
      <w:r w:rsidRPr="004F3E93">
        <w:rPr>
          <w:rFonts w:ascii="Garamond" w:hAnsi="Garamond"/>
          <w:b w:val="0"/>
          <w:bCs/>
        </w:rPr>
        <w:t xml:space="preserve"> </w:t>
      </w:r>
      <w:proofErr w:type="spellStart"/>
      <w:r w:rsidRPr="004F3E93">
        <w:rPr>
          <w:rFonts w:ascii="Garamond" w:hAnsi="Garamond"/>
          <w:b w:val="0"/>
          <w:bCs/>
        </w:rPr>
        <w:t>Kasmi</w:t>
      </w:r>
      <w:proofErr w:type="spellEnd"/>
      <w:r w:rsidRPr="004F3E93">
        <w:rPr>
          <w:rFonts w:ascii="Garamond" w:hAnsi="Garamond"/>
          <w:b w:val="0"/>
          <w:bCs/>
        </w:rPr>
        <w:t xml:space="preserve">, për sigurimin e padisë, duke pezulluar ekzekutimin e kontratës së kredisë bankare të lidhur mes shoqërisë ndërtuese dhe kërkueses, për sa i takon apartamentit të tij. </w:t>
      </w:r>
    </w:p>
    <w:p w14:paraId="6E41E290" w14:textId="009F7FBB"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 xml:space="preserve">5. Në datën 26.2.2014 subjekti i interesuar, </w:t>
      </w:r>
      <w:proofErr w:type="spellStart"/>
      <w:r w:rsidRPr="004F3E93">
        <w:rPr>
          <w:rFonts w:ascii="Garamond" w:hAnsi="Garamond"/>
          <w:b w:val="0"/>
          <w:bCs/>
        </w:rPr>
        <w:t>Erjon</w:t>
      </w:r>
      <w:proofErr w:type="spellEnd"/>
      <w:r w:rsidRPr="004F3E93">
        <w:rPr>
          <w:rFonts w:ascii="Garamond" w:hAnsi="Garamond"/>
          <w:b w:val="0"/>
          <w:bCs/>
        </w:rPr>
        <w:t xml:space="preserve"> </w:t>
      </w:r>
      <w:proofErr w:type="spellStart"/>
      <w:r w:rsidRPr="004F3E93">
        <w:rPr>
          <w:rFonts w:ascii="Garamond" w:hAnsi="Garamond"/>
          <w:b w:val="0"/>
          <w:bCs/>
        </w:rPr>
        <w:t>Kasmi</w:t>
      </w:r>
      <w:proofErr w:type="spellEnd"/>
      <w:r w:rsidRPr="004F3E93">
        <w:rPr>
          <w:rFonts w:ascii="Garamond" w:hAnsi="Garamond"/>
          <w:b w:val="0"/>
          <w:bCs/>
        </w:rPr>
        <w:t xml:space="preserve">, i është drejtuar </w:t>
      </w:r>
      <w:proofErr w:type="spellStart"/>
      <w:r w:rsidRPr="004F3E93">
        <w:rPr>
          <w:rFonts w:ascii="Garamond" w:hAnsi="Garamond"/>
          <w:b w:val="0"/>
          <w:bCs/>
        </w:rPr>
        <w:t>ZVRPP</w:t>
      </w:r>
      <w:proofErr w:type="spellEnd"/>
      <w:r w:rsidRPr="004F3E93">
        <w:rPr>
          <w:rFonts w:ascii="Garamond" w:hAnsi="Garamond"/>
          <w:b w:val="0"/>
          <w:bCs/>
        </w:rPr>
        <w:t xml:space="preserve">-së me kërkesë për regjistrimin e kontratës së porosisë. Me shkresën e datës 20.3.2014, </w:t>
      </w:r>
      <w:proofErr w:type="spellStart"/>
      <w:r w:rsidRPr="004F3E93">
        <w:rPr>
          <w:rFonts w:ascii="Garamond" w:hAnsi="Garamond"/>
          <w:b w:val="0"/>
          <w:bCs/>
        </w:rPr>
        <w:t>ZVRPP</w:t>
      </w:r>
      <w:proofErr w:type="spellEnd"/>
      <w:r w:rsidRPr="004F3E93">
        <w:rPr>
          <w:rFonts w:ascii="Garamond" w:hAnsi="Garamond"/>
          <w:b w:val="0"/>
          <w:bCs/>
        </w:rPr>
        <w:t xml:space="preserve">-ja e ka informuar se pjesa e godinës së ndërtimit, ku përfshihej edhe apartamenti objekt i kontratës së porosisë, ishte regjistruar prej saj në hipotekë si karabina më 24.10.2011 dhe më 15.12.2011 për të ishte vendosur </w:t>
      </w:r>
      <w:proofErr w:type="spellStart"/>
      <w:r w:rsidRPr="004F3E93">
        <w:rPr>
          <w:rFonts w:ascii="Garamond" w:hAnsi="Garamond"/>
          <w:b w:val="0"/>
          <w:bCs/>
        </w:rPr>
        <w:t>inskript</w:t>
      </w:r>
      <w:proofErr w:type="spellEnd"/>
      <w:r w:rsidRPr="004F3E93">
        <w:rPr>
          <w:rFonts w:ascii="Garamond" w:hAnsi="Garamond"/>
          <w:b w:val="0"/>
          <w:bCs/>
        </w:rPr>
        <w:t xml:space="preserve"> në favor të kërkueses. Në këto rrethana, subjekti i interesuar ka ngritur padi në gjykatë, me objekt konstatimin e pavlefshmërisë absolute të kontratës së hipotekimit për pjesën e tij takuese me sipërfaqe 111.4 </w:t>
      </w:r>
      <w:proofErr w:type="spellStart"/>
      <w:r w:rsidRPr="004F3E93">
        <w:rPr>
          <w:rFonts w:ascii="Garamond" w:hAnsi="Garamond"/>
          <w:b w:val="0"/>
          <w:bCs/>
        </w:rPr>
        <w:t>m</w:t>
      </w:r>
      <w:r w:rsidRPr="00016633">
        <w:rPr>
          <w:rStyle w:val="BodyTextChar"/>
          <w:rFonts w:ascii="Garamond" w:eastAsiaTheme="minorHAnsi" w:hAnsi="Garamond"/>
          <w:b w:val="0"/>
          <w:bCs/>
          <w:vertAlign w:val="superscript"/>
        </w:rPr>
        <w:t>2</w:t>
      </w:r>
      <w:proofErr w:type="spellEnd"/>
      <w:r w:rsidRPr="004F3E93">
        <w:rPr>
          <w:rFonts w:ascii="Garamond" w:hAnsi="Garamond"/>
          <w:b w:val="0"/>
          <w:bCs/>
        </w:rPr>
        <w:t xml:space="preserve">, fshirjen e </w:t>
      </w:r>
      <w:proofErr w:type="spellStart"/>
      <w:r w:rsidRPr="004F3E93">
        <w:rPr>
          <w:rFonts w:ascii="Garamond" w:hAnsi="Garamond"/>
          <w:b w:val="0"/>
          <w:bCs/>
        </w:rPr>
        <w:t>inskriptit</w:t>
      </w:r>
      <w:proofErr w:type="spellEnd"/>
      <w:r w:rsidRPr="004F3E93">
        <w:rPr>
          <w:rFonts w:ascii="Garamond" w:hAnsi="Garamond"/>
          <w:b w:val="0"/>
          <w:bCs/>
        </w:rPr>
        <w:t xml:space="preserve"> të bërë nga </w:t>
      </w:r>
      <w:proofErr w:type="spellStart"/>
      <w:r w:rsidRPr="004F3E93">
        <w:rPr>
          <w:rFonts w:ascii="Garamond" w:hAnsi="Garamond"/>
          <w:b w:val="0"/>
          <w:bCs/>
        </w:rPr>
        <w:t>ZVRPP</w:t>
      </w:r>
      <w:proofErr w:type="spellEnd"/>
      <w:r w:rsidRPr="004F3E93">
        <w:rPr>
          <w:rFonts w:ascii="Garamond" w:hAnsi="Garamond"/>
          <w:b w:val="0"/>
          <w:bCs/>
        </w:rPr>
        <w:t xml:space="preserve">-ja në favor të kërkueses për apartamentin e tij, detyrimin e </w:t>
      </w:r>
      <w:proofErr w:type="spellStart"/>
      <w:r w:rsidRPr="004F3E93">
        <w:rPr>
          <w:rFonts w:ascii="Garamond" w:hAnsi="Garamond"/>
          <w:b w:val="0"/>
          <w:bCs/>
        </w:rPr>
        <w:t>ZVRPP</w:t>
      </w:r>
      <w:proofErr w:type="spellEnd"/>
      <w:r w:rsidRPr="004F3E93">
        <w:rPr>
          <w:rFonts w:ascii="Garamond" w:hAnsi="Garamond"/>
          <w:b w:val="0"/>
          <w:bCs/>
        </w:rPr>
        <w:t xml:space="preserve">-së të regjistronte në regjistrin e karabinave kontratën e porosisë të lidhur mes tij e shoqërisë ndërtuese, si dhe detyrimin e kërkueses dhe </w:t>
      </w:r>
      <w:proofErr w:type="spellStart"/>
      <w:r w:rsidRPr="004F3E93">
        <w:rPr>
          <w:rFonts w:ascii="Garamond" w:hAnsi="Garamond"/>
          <w:b w:val="0"/>
          <w:bCs/>
        </w:rPr>
        <w:t>ZVRPP</w:t>
      </w:r>
      <w:proofErr w:type="spellEnd"/>
      <w:r w:rsidRPr="004F3E93">
        <w:rPr>
          <w:rFonts w:ascii="Garamond" w:hAnsi="Garamond"/>
          <w:b w:val="0"/>
          <w:bCs/>
        </w:rPr>
        <w:t xml:space="preserve">-së të pushonin cenimin e të drejtave të fituara përmes kontratës së datës 22.9.2010 për apartamentin në fjalë. </w:t>
      </w:r>
    </w:p>
    <w:p w14:paraId="709DAEA9" w14:textId="40951D6B"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 xml:space="preserve">6. Në përfundim të gjykimit, Gjykata e Rrethit Gjyqësor Tiranë, me vendimin nr. 11950, datë 15.12.2014, ka vendosur pranimin e padisë për të gjitha kërkimet dhe ka lëshuar edhe urdhrin e ekzekutimit, me arsyetimin se subjekti i interesuar, </w:t>
      </w:r>
      <w:proofErr w:type="spellStart"/>
      <w:r w:rsidRPr="004F3E93">
        <w:rPr>
          <w:rFonts w:ascii="Garamond" w:hAnsi="Garamond"/>
          <w:b w:val="0"/>
          <w:bCs/>
        </w:rPr>
        <w:t>Erjon</w:t>
      </w:r>
      <w:proofErr w:type="spellEnd"/>
      <w:r w:rsidRPr="004F3E93">
        <w:rPr>
          <w:rFonts w:ascii="Garamond" w:hAnsi="Garamond"/>
          <w:b w:val="0"/>
          <w:bCs/>
        </w:rPr>
        <w:t xml:space="preserve"> </w:t>
      </w:r>
      <w:proofErr w:type="spellStart"/>
      <w:r w:rsidRPr="004F3E93">
        <w:rPr>
          <w:rFonts w:ascii="Garamond" w:hAnsi="Garamond"/>
          <w:b w:val="0"/>
          <w:bCs/>
        </w:rPr>
        <w:t>Kasmi</w:t>
      </w:r>
      <w:proofErr w:type="spellEnd"/>
      <w:r w:rsidRPr="004F3E93">
        <w:rPr>
          <w:rFonts w:ascii="Garamond" w:hAnsi="Garamond"/>
          <w:b w:val="0"/>
          <w:bCs/>
        </w:rPr>
        <w:t xml:space="preserve">, kishte përmbushur detyrimet e kontratës së porosisë dhe ishte posedues i ligjshëm i apartamentit. Kundër vendimit kanë paraqitur ankim kërkuesja dhe </w:t>
      </w:r>
      <w:proofErr w:type="spellStart"/>
      <w:r w:rsidRPr="004F3E93">
        <w:rPr>
          <w:rFonts w:ascii="Garamond" w:hAnsi="Garamond"/>
          <w:b w:val="0"/>
          <w:bCs/>
        </w:rPr>
        <w:t>ZVRPP</w:t>
      </w:r>
      <w:proofErr w:type="spellEnd"/>
      <w:r w:rsidRPr="004F3E93">
        <w:rPr>
          <w:rFonts w:ascii="Garamond" w:hAnsi="Garamond"/>
          <w:b w:val="0"/>
          <w:bCs/>
        </w:rPr>
        <w:t>-ja.</w:t>
      </w:r>
    </w:p>
    <w:p w14:paraId="6C428F70" w14:textId="044CEEF5"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 xml:space="preserve">7. Gjykata e Apelit Tiranë, me vendimin nr. 1624, datë 1.7.2016, ka vendosur lënien në fuqi të vendimit, me arsyetim të ndryshëm. Sipas asaj gjykate, kontrata e lidhur mes subjektit të interesuar, </w:t>
      </w:r>
      <w:proofErr w:type="spellStart"/>
      <w:r w:rsidRPr="004F3E93">
        <w:rPr>
          <w:rFonts w:ascii="Garamond" w:hAnsi="Garamond"/>
          <w:b w:val="0"/>
          <w:bCs/>
        </w:rPr>
        <w:t>Erjon</w:t>
      </w:r>
      <w:proofErr w:type="spellEnd"/>
      <w:r w:rsidRPr="004F3E93">
        <w:rPr>
          <w:rFonts w:ascii="Garamond" w:hAnsi="Garamond"/>
          <w:b w:val="0"/>
          <w:bCs/>
        </w:rPr>
        <w:t xml:space="preserve"> </w:t>
      </w:r>
      <w:proofErr w:type="spellStart"/>
      <w:r w:rsidRPr="004F3E93">
        <w:rPr>
          <w:rFonts w:ascii="Garamond" w:hAnsi="Garamond"/>
          <w:b w:val="0"/>
          <w:bCs/>
        </w:rPr>
        <w:t>Kasmi</w:t>
      </w:r>
      <w:proofErr w:type="spellEnd"/>
      <w:r w:rsidRPr="004F3E93">
        <w:rPr>
          <w:rFonts w:ascii="Garamond" w:hAnsi="Garamond"/>
          <w:b w:val="0"/>
          <w:bCs/>
        </w:rPr>
        <w:t xml:space="preserve">, e shoqërisë ndërtuese, pavarësisht emrit që mbante, përbënte kontratë për shitjen e sendit të ardhshëm, e cila rregullohej nga neni 705 i Kodit Civil </w:t>
      </w:r>
      <w:r w:rsidRPr="004F3E93">
        <w:rPr>
          <w:rFonts w:ascii="Garamond" w:hAnsi="Garamond"/>
          <w:b w:val="0"/>
          <w:bCs/>
          <w:i/>
          <w:iCs/>
        </w:rPr>
        <w:t>(</w:t>
      </w:r>
      <w:proofErr w:type="spellStart"/>
      <w:r w:rsidRPr="004F3E93">
        <w:rPr>
          <w:rFonts w:ascii="Garamond" w:hAnsi="Garamond"/>
          <w:b w:val="0"/>
          <w:bCs/>
          <w:i/>
          <w:iCs/>
        </w:rPr>
        <w:t>KC</w:t>
      </w:r>
      <w:proofErr w:type="spellEnd"/>
      <w:r w:rsidRPr="004F3E93">
        <w:rPr>
          <w:rFonts w:ascii="Garamond" w:hAnsi="Garamond"/>
          <w:b w:val="0"/>
          <w:bCs/>
          <w:i/>
          <w:iCs/>
        </w:rPr>
        <w:t>)</w:t>
      </w:r>
      <w:r w:rsidRPr="004F3E93">
        <w:rPr>
          <w:rFonts w:ascii="Garamond" w:hAnsi="Garamond"/>
          <w:b w:val="0"/>
          <w:bCs/>
        </w:rPr>
        <w:t xml:space="preserve">. Në kushtet e pagesës së çmimit të plotë dhe posedimit të apartamentit të përfunduar, çka vërtetohej edhe nga libreza e energjisë elektrike, shoqëria ndërtuese nuk kishte asnjë të drejtë të vendoste në hipotekë një send që nuk ishte në pronësi të saj, ndaj pretendimi i subjektit të interesuar </w:t>
      </w:r>
      <w:proofErr w:type="spellStart"/>
      <w:r w:rsidRPr="004F3E93">
        <w:rPr>
          <w:rFonts w:ascii="Garamond" w:hAnsi="Garamond"/>
          <w:b w:val="0"/>
          <w:bCs/>
        </w:rPr>
        <w:t>Erjon</w:t>
      </w:r>
      <w:proofErr w:type="spellEnd"/>
      <w:r w:rsidRPr="004F3E93">
        <w:rPr>
          <w:rFonts w:ascii="Garamond" w:hAnsi="Garamond"/>
          <w:b w:val="0"/>
          <w:bCs/>
        </w:rPr>
        <w:t xml:space="preserve"> </w:t>
      </w:r>
      <w:proofErr w:type="spellStart"/>
      <w:r w:rsidRPr="004F3E93">
        <w:rPr>
          <w:rFonts w:ascii="Garamond" w:hAnsi="Garamond"/>
          <w:b w:val="0"/>
          <w:bCs/>
        </w:rPr>
        <w:t>Kasmi</w:t>
      </w:r>
      <w:proofErr w:type="spellEnd"/>
      <w:r w:rsidRPr="004F3E93">
        <w:rPr>
          <w:rFonts w:ascii="Garamond" w:hAnsi="Garamond"/>
          <w:b w:val="0"/>
          <w:bCs/>
        </w:rPr>
        <w:t xml:space="preserve"> për pushimin e cenimit të sendit ishte i bazuar. Kundër këtij vendimi kërkuesja ka paraqitur rekurs. </w:t>
      </w:r>
    </w:p>
    <w:p w14:paraId="5085BA3E" w14:textId="0DC1ECFF"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8. Kolegji Civil i Gjykatës së Lartë, me vendimin nr. 00-2024-4563, datë 13.11.2024, ka vendosur mospranimin e rekursit, me arsyetimin se shkaqet e ngritura nuk parashikoheshin nga ligji.</w:t>
      </w:r>
    </w:p>
    <w:p w14:paraId="3546AE6C" w14:textId="58A29D27"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 xml:space="preserve">9. Në datën 2.4.2025 kërkuesja i është drejtuar Gjykatës Kushtetuese </w:t>
      </w:r>
      <w:r w:rsidRPr="004F3E93">
        <w:rPr>
          <w:rFonts w:ascii="Garamond" w:hAnsi="Garamond"/>
          <w:b w:val="0"/>
          <w:bCs/>
          <w:i/>
          <w:iCs/>
        </w:rPr>
        <w:t xml:space="preserve">(Gjykata) </w:t>
      </w:r>
      <w:r w:rsidRPr="004F3E93">
        <w:rPr>
          <w:rFonts w:ascii="Garamond" w:hAnsi="Garamond"/>
          <w:b w:val="0"/>
          <w:bCs/>
        </w:rPr>
        <w:t>me ankim kushtetues individual, i cili, pas plotësimit, sipas parashikimeve të nenit 27 të Ligjit Organik të Gjykatës, është regjistruar në datën 11.4.2025. Në datën 20.5.2025</w:t>
      </w:r>
      <w:r w:rsidR="00EA7E34">
        <w:rPr>
          <w:rFonts w:ascii="Garamond" w:hAnsi="Garamond"/>
          <w:b w:val="0"/>
          <w:bCs/>
        </w:rPr>
        <w:t>,</w:t>
      </w:r>
      <w:r w:rsidRPr="004F3E93">
        <w:rPr>
          <w:rFonts w:ascii="Garamond" w:hAnsi="Garamond"/>
          <w:b w:val="0"/>
          <w:bCs/>
        </w:rPr>
        <w:t xml:space="preserve"> Kolegji i Gjykatës ka vendosur kalimin e çështjes për shqyrtim në seancë plenare mbi bazë të dokumenteve.</w:t>
      </w:r>
    </w:p>
    <w:p w14:paraId="739E2D2A" w14:textId="77777777" w:rsidR="004F3E93" w:rsidRPr="004F3E93" w:rsidRDefault="004F3E93" w:rsidP="004F3E93">
      <w:pPr>
        <w:pStyle w:val="BodyTextIndent2"/>
        <w:tabs>
          <w:tab w:val="left" w:pos="1080"/>
        </w:tabs>
        <w:spacing w:line="240" w:lineRule="auto"/>
        <w:ind w:left="0" w:firstLine="284"/>
        <w:rPr>
          <w:rFonts w:ascii="Garamond" w:hAnsi="Garamond"/>
          <w:b w:val="0"/>
          <w:bCs/>
        </w:rPr>
      </w:pPr>
    </w:p>
    <w:p w14:paraId="16378C7C" w14:textId="77777777" w:rsidR="004F3E93" w:rsidRPr="00EA7E34" w:rsidRDefault="004F3E93" w:rsidP="004F3E93">
      <w:pPr>
        <w:pStyle w:val="BodyTextIndent2"/>
        <w:tabs>
          <w:tab w:val="left" w:pos="980"/>
        </w:tabs>
        <w:spacing w:line="240" w:lineRule="auto"/>
        <w:ind w:left="0" w:firstLine="284"/>
        <w:jc w:val="center"/>
        <w:rPr>
          <w:rFonts w:ascii="Garamond" w:hAnsi="Garamond"/>
          <w:b w:val="0"/>
          <w:bCs/>
        </w:rPr>
      </w:pPr>
      <w:proofErr w:type="spellStart"/>
      <w:r w:rsidRPr="00EA7E34">
        <w:rPr>
          <w:rFonts w:ascii="Garamond" w:hAnsi="Garamond"/>
          <w:b w:val="0"/>
          <w:bCs/>
        </w:rPr>
        <w:t>II</w:t>
      </w:r>
      <w:proofErr w:type="spellEnd"/>
    </w:p>
    <w:p w14:paraId="6C153DFF" w14:textId="0A29B95E" w:rsidR="004F3E93" w:rsidRPr="00EA7E34" w:rsidRDefault="004F3E93" w:rsidP="004F3E93">
      <w:pPr>
        <w:pStyle w:val="BodyTextIndent2"/>
        <w:tabs>
          <w:tab w:val="left" w:pos="980"/>
        </w:tabs>
        <w:spacing w:line="240" w:lineRule="auto"/>
        <w:ind w:left="0" w:firstLine="284"/>
        <w:jc w:val="center"/>
        <w:rPr>
          <w:rFonts w:ascii="Garamond" w:hAnsi="Garamond"/>
        </w:rPr>
      </w:pPr>
      <w:r w:rsidRPr="00EA7E34">
        <w:rPr>
          <w:rFonts w:ascii="Garamond" w:hAnsi="Garamond"/>
        </w:rPr>
        <w:t>Pretendimet në Gjykatën Kushtetuese</w:t>
      </w:r>
    </w:p>
    <w:p w14:paraId="1786F91A" w14:textId="77777777" w:rsidR="004F3E93" w:rsidRPr="004F3E93" w:rsidRDefault="004F3E93" w:rsidP="004F3E93">
      <w:pPr>
        <w:pStyle w:val="BodyTextIndent2"/>
        <w:tabs>
          <w:tab w:val="left" w:pos="1080"/>
        </w:tabs>
        <w:spacing w:line="240" w:lineRule="auto"/>
        <w:ind w:left="0" w:firstLine="284"/>
        <w:rPr>
          <w:rFonts w:ascii="Garamond" w:hAnsi="Garamond"/>
          <w:b w:val="0"/>
          <w:bCs/>
        </w:rPr>
      </w:pPr>
    </w:p>
    <w:p w14:paraId="05F84E62" w14:textId="3FAAD3AA"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 xml:space="preserve">10. </w:t>
      </w:r>
      <w:r w:rsidRPr="004F3E93">
        <w:rPr>
          <w:rFonts w:ascii="Garamond" w:hAnsi="Garamond"/>
          <w:i/>
          <w:iCs/>
        </w:rPr>
        <w:t>Kërkuesja</w:t>
      </w:r>
      <w:r w:rsidRPr="004F3E93">
        <w:rPr>
          <w:rFonts w:ascii="Garamond" w:hAnsi="Garamond"/>
          <w:b w:val="0"/>
          <w:bCs/>
        </w:rPr>
        <w:t>, në mënyrë të përmbledhur, ka pretenduar se nga vendimet gjyqësore të kundërshtuara i janë cenuar:</w:t>
      </w:r>
    </w:p>
    <w:p w14:paraId="21E3CB10" w14:textId="2E8BD809"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 xml:space="preserve">10.1. </w:t>
      </w:r>
      <w:r w:rsidRPr="004F3E93">
        <w:rPr>
          <w:rFonts w:ascii="Garamond" w:hAnsi="Garamond"/>
          <w:b w:val="0"/>
          <w:bCs/>
          <w:i/>
          <w:iCs/>
        </w:rPr>
        <w:t>E drejta për proces të rregullt ligjor</w:t>
      </w:r>
      <w:r w:rsidRPr="004F3E93">
        <w:rPr>
          <w:rFonts w:ascii="Garamond" w:hAnsi="Garamond"/>
          <w:b w:val="0"/>
          <w:bCs/>
        </w:rPr>
        <w:t>, e garantuar nga neni 42 i Kushtetutës, në aspektet e mëposhtme:</w:t>
      </w:r>
    </w:p>
    <w:p w14:paraId="3AF1E6E6" w14:textId="7C582B1E"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i/>
          <w:iCs/>
        </w:rPr>
        <w:lastRenderedPageBreak/>
        <w:t xml:space="preserve">10.1.1. Parimi i sigurisë juridike, </w:t>
      </w:r>
      <w:r w:rsidRPr="004F3E93">
        <w:rPr>
          <w:rFonts w:ascii="Garamond" w:hAnsi="Garamond"/>
          <w:b w:val="0"/>
          <w:bCs/>
        </w:rPr>
        <w:t xml:space="preserve">pasi në kohën e shqyrtimit të çështjes nga gjykata e apelit dhe Gjykata e Lartë, ajo kishte fituar pronësinë mbi apartamentin me anë të procedurave përmbarimore për ekzekutimin e detyrueshëm të kredisë së pashlyer të shoqërisë ndërtuese. </w:t>
      </w:r>
    </w:p>
    <w:p w14:paraId="6D33E755" w14:textId="5675663E"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i/>
          <w:iCs/>
        </w:rPr>
        <w:t>10.1.2. Standardi i arsyetimit të vendimit gjyqësor,</w:t>
      </w:r>
      <w:r w:rsidRPr="004F3E93">
        <w:rPr>
          <w:rFonts w:ascii="Garamond" w:hAnsi="Garamond"/>
          <w:b w:val="0"/>
          <w:bCs/>
        </w:rPr>
        <w:t xml:space="preserve"> pasi në vlerësimin e pavlefshmërisë absolute të kontratës së hipotekimit gjykatat e zakonshme kanë interpretuar dhe zbatuar ligjin në mënyrë të gabuar. Arsyetimi i tyre i ka cenuar edhe </w:t>
      </w:r>
      <w:r w:rsidRPr="004F3E93">
        <w:rPr>
          <w:rFonts w:ascii="Garamond" w:hAnsi="Garamond"/>
          <w:b w:val="0"/>
          <w:bCs/>
          <w:i/>
          <w:iCs/>
        </w:rPr>
        <w:t>parimin e paanshmërisë së gjykatës</w:t>
      </w:r>
      <w:r w:rsidRPr="004F3E93">
        <w:rPr>
          <w:rFonts w:ascii="Garamond" w:hAnsi="Garamond"/>
          <w:b w:val="0"/>
          <w:bCs/>
        </w:rPr>
        <w:t xml:space="preserve"> dhe </w:t>
      </w:r>
      <w:r w:rsidRPr="004F3E93">
        <w:rPr>
          <w:rFonts w:ascii="Garamond" w:hAnsi="Garamond"/>
          <w:b w:val="0"/>
          <w:bCs/>
          <w:i/>
          <w:iCs/>
        </w:rPr>
        <w:t>barazisë së armëve në proces</w:t>
      </w:r>
      <w:r w:rsidRPr="004F3E93">
        <w:rPr>
          <w:rFonts w:ascii="Garamond" w:hAnsi="Garamond"/>
          <w:b w:val="0"/>
          <w:bCs/>
        </w:rPr>
        <w:t xml:space="preserve">. Gjykata e Lartë ka vendosur mospranimin e rekursit pa u dhënë përgjigje të arsyetuar pretendimeve të kërkueses. </w:t>
      </w:r>
    </w:p>
    <w:p w14:paraId="7B3EA9A7" w14:textId="67EF9DCE"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 xml:space="preserve">10.2. </w:t>
      </w:r>
      <w:r w:rsidRPr="004F3E93">
        <w:rPr>
          <w:rFonts w:ascii="Garamond" w:hAnsi="Garamond"/>
          <w:b w:val="0"/>
          <w:bCs/>
          <w:i/>
          <w:iCs/>
        </w:rPr>
        <w:t>E drejta e pronës</w:t>
      </w:r>
      <w:r w:rsidRPr="004F3E93">
        <w:rPr>
          <w:rFonts w:ascii="Garamond" w:hAnsi="Garamond"/>
          <w:b w:val="0"/>
          <w:bCs/>
        </w:rPr>
        <w:t xml:space="preserve">, e garantuar nga neni 41 i Kushtetutës dhe neni 1 i Protokollit nr. 1 të </w:t>
      </w:r>
      <w:proofErr w:type="spellStart"/>
      <w:r w:rsidRPr="004F3E93">
        <w:rPr>
          <w:rFonts w:ascii="Garamond" w:hAnsi="Garamond"/>
          <w:b w:val="0"/>
          <w:bCs/>
        </w:rPr>
        <w:t>KEDNJ</w:t>
      </w:r>
      <w:proofErr w:type="spellEnd"/>
      <w:r w:rsidRPr="004F3E93">
        <w:rPr>
          <w:rFonts w:ascii="Garamond" w:hAnsi="Garamond"/>
          <w:b w:val="0"/>
          <w:bCs/>
        </w:rPr>
        <w:t xml:space="preserve">-së, pasi ajo është shpronësuar </w:t>
      </w:r>
      <w:r w:rsidRPr="004F3E93">
        <w:rPr>
          <w:rFonts w:ascii="Garamond" w:hAnsi="Garamond"/>
          <w:b w:val="0"/>
          <w:bCs/>
          <w:i/>
          <w:iCs/>
        </w:rPr>
        <w:t>de facto</w:t>
      </w:r>
      <w:r w:rsidRPr="004F3E93">
        <w:rPr>
          <w:rFonts w:ascii="Garamond" w:hAnsi="Garamond"/>
          <w:b w:val="0"/>
          <w:bCs/>
        </w:rPr>
        <w:t xml:space="preserve"> pa shpërblim, çka i ka sjellë dëm të madh financiar. Kontrata e porosisë nuk përbën mënyrë të fitimit të pronësisë dhe veprimi juridik për kalimin e pronësisë së sendit të paluajtshëm dhe të drejtave reale mbi të është i vlefshëm kur sendi regjistrohet, sipas nenit 83 të </w:t>
      </w:r>
      <w:proofErr w:type="spellStart"/>
      <w:r w:rsidRPr="004F3E93">
        <w:rPr>
          <w:rFonts w:ascii="Garamond" w:hAnsi="Garamond"/>
          <w:b w:val="0"/>
          <w:bCs/>
        </w:rPr>
        <w:t>KC</w:t>
      </w:r>
      <w:proofErr w:type="spellEnd"/>
      <w:r w:rsidRPr="004F3E93">
        <w:rPr>
          <w:rFonts w:ascii="Garamond" w:hAnsi="Garamond"/>
          <w:b w:val="0"/>
          <w:bCs/>
        </w:rPr>
        <w:t>-së, ndaj subjekti i interesuar nuk e ka fituar pronësinë rregullisht. Ndërsa kërkuesja e ka fituar titullin e pronësisë sipas ligjit, pasi kontrata e hipotekës është nënshkruar nga pronari i sendit të vendosur në hipotekë dhe është regjistruar në ASHK. Kufizimi i së drejtës së saj të pronës është bërë në cenim të nenit 17 të Kushtetutës, pasi nuk ekzistonte një interes publik ose një e drejtë e porositësit të apartamentit që duhej të mbrohej.</w:t>
      </w:r>
    </w:p>
    <w:p w14:paraId="2DFF5C96" w14:textId="1CCB56DE"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 xml:space="preserve">11. </w:t>
      </w:r>
      <w:r w:rsidRPr="004F3E93">
        <w:rPr>
          <w:rFonts w:ascii="Garamond" w:hAnsi="Garamond"/>
          <w:i/>
          <w:iCs/>
        </w:rPr>
        <w:t xml:space="preserve">Subjektet e interesuara, </w:t>
      </w:r>
      <w:proofErr w:type="spellStart"/>
      <w:r w:rsidRPr="004F3E93">
        <w:rPr>
          <w:rFonts w:ascii="Garamond" w:hAnsi="Garamond"/>
          <w:i/>
          <w:iCs/>
        </w:rPr>
        <w:t>Erjon</w:t>
      </w:r>
      <w:proofErr w:type="spellEnd"/>
      <w:r w:rsidRPr="004F3E93">
        <w:rPr>
          <w:rFonts w:ascii="Garamond" w:hAnsi="Garamond"/>
          <w:i/>
          <w:iCs/>
        </w:rPr>
        <w:t xml:space="preserve"> </w:t>
      </w:r>
      <w:proofErr w:type="spellStart"/>
      <w:r w:rsidRPr="004F3E93">
        <w:rPr>
          <w:rFonts w:ascii="Garamond" w:hAnsi="Garamond"/>
          <w:i/>
          <w:iCs/>
        </w:rPr>
        <w:t>Kasmi</w:t>
      </w:r>
      <w:proofErr w:type="spellEnd"/>
      <w:r w:rsidRPr="004F3E93">
        <w:rPr>
          <w:rFonts w:ascii="Garamond" w:hAnsi="Garamond"/>
          <w:i/>
          <w:iCs/>
        </w:rPr>
        <w:t xml:space="preserve">, shoqëria “Dini 2009” </w:t>
      </w:r>
      <w:proofErr w:type="spellStart"/>
      <w:r w:rsidRPr="004F3E93">
        <w:rPr>
          <w:rFonts w:ascii="Garamond" w:hAnsi="Garamond"/>
          <w:i/>
          <w:iCs/>
        </w:rPr>
        <w:t>sh.p.k</w:t>
      </w:r>
      <w:proofErr w:type="spellEnd"/>
      <w:r w:rsidRPr="004F3E93">
        <w:rPr>
          <w:rFonts w:ascii="Garamond" w:hAnsi="Garamond"/>
          <w:i/>
          <w:iCs/>
        </w:rPr>
        <w:t xml:space="preserve"> dhe</w:t>
      </w:r>
      <w:r w:rsidRPr="004F3E93">
        <w:rPr>
          <w:rFonts w:ascii="Garamond" w:hAnsi="Garamond"/>
        </w:rPr>
        <w:t xml:space="preserve"> </w:t>
      </w:r>
      <w:r w:rsidRPr="004F3E93">
        <w:rPr>
          <w:rFonts w:ascii="Garamond" w:hAnsi="Garamond"/>
          <w:i/>
          <w:iCs/>
        </w:rPr>
        <w:t>ASHK-ja, Drejtoria Vendore Tiranë,</w:t>
      </w:r>
      <w:r w:rsidRPr="004F3E93">
        <w:rPr>
          <w:rFonts w:ascii="Garamond" w:hAnsi="Garamond"/>
          <w:b w:val="0"/>
          <w:bCs/>
        </w:rPr>
        <w:t xml:space="preserve"> nuk kanë paraqitur prapësime me shkrim, edhe pse janë njoftuar.</w:t>
      </w:r>
    </w:p>
    <w:p w14:paraId="388FB624" w14:textId="77777777" w:rsidR="004F3E93" w:rsidRPr="00EA7E34" w:rsidRDefault="004F3E93" w:rsidP="004F3E93">
      <w:pPr>
        <w:pStyle w:val="BodyTextIndent2"/>
        <w:tabs>
          <w:tab w:val="left" w:pos="1260"/>
        </w:tabs>
        <w:spacing w:line="240" w:lineRule="auto"/>
        <w:ind w:left="0" w:firstLine="284"/>
        <w:rPr>
          <w:rFonts w:ascii="Garamond" w:hAnsi="Garamond"/>
          <w:b w:val="0"/>
          <w:bCs/>
          <w:i/>
          <w:iCs/>
        </w:rPr>
      </w:pPr>
    </w:p>
    <w:p w14:paraId="7C4B6023" w14:textId="77777777" w:rsidR="004F3E93" w:rsidRPr="00EA7E34" w:rsidRDefault="004F3E93" w:rsidP="004F3E93">
      <w:pPr>
        <w:pStyle w:val="BodyTextIndent2"/>
        <w:spacing w:line="240" w:lineRule="auto"/>
        <w:ind w:left="0" w:firstLine="284"/>
        <w:jc w:val="center"/>
        <w:rPr>
          <w:rFonts w:ascii="Garamond" w:hAnsi="Garamond"/>
          <w:b w:val="0"/>
          <w:bCs/>
        </w:rPr>
      </w:pPr>
      <w:proofErr w:type="spellStart"/>
      <w:r w:rsidRPr="00EA7E34">
        <w:rPr>
          <w:rFonts w:ascii="Garamond" w:hAnsi="Garamond"/>
          <w:b w:val="0"/>
          <w:bCs/>
        </w:rPr>
        <w:t>III</w:t>
      </w:r>
      <w:proofErr w:type="spellEnd"/>
    </w:p>
    <w:p w14:paraId="72B40F7B" w14:textId="77777777" w:rsidR="004F3E93" w:rsidRPr="004F3E93" w:rsidRDefault="004F3E93" w:rsidP="004F3E93">
      <w:pPr>
        <w:pStyle w:val="BodyTextIndent2"/>
        <w:tabs>
          <w:tab w:val="left" w:pos="1260"/>
        </w:tabs>
        <w:spacing w:line="240" w:lineRule="auto"/>
        <w:ind w:left="0" w:firstLine="284"/>
        <w:jc w:val="center"/>
        <w:rPr>
          <w:rFonts w:ascii="Garamond" w:hAnsi="Garamond"/>
        </w:rPr>
      </w:pPr>
      <w:r w:rsidRPr="004F3E93">
        <w:rPr>
          <w:rFonts w:ascii="Garamond" w:hAnsi="Garamond"/>
        </w:rPr>
        <w:t>Vlerësimi i Gjykatës Kushtetuese</w:t>
      </w:r>
    </w:p>
    <w:p w14:paraId="4D78FE30" w14:textId="77777777" w:rsidR="004F3E93" w:rsidRDefault="004F3E93" w:rsidP="004F3E93">
      <w:pPr>
        <w:pStyle w:val="BodyTextIndent2"/>
        <w:tabs>
          <w:tab w:val="left" w:pos="0"/>
        </w:tabs>
        <w:spacing w:line="240" w:lineRule="auto"/>
        <w:ind w:left="0" w:firstLine="284"/>
        <w:rPr>
          <w:rFonts w:ascii="Garamond" w:hAnsi="Garamond"/>
          <w:b w:val="0"/>
          <w:bCs/>
          <w:i/>
          <w:iCs/>
        </w:rPr>
      </w:pPr>
    </w:p>
    <w:p w14:paraId="00C2C9C3" w14:textId="300F13D7" w:rsidR="004F3E93" w:rsidRPr="004F3E93" w:rsidRDefault="004F3E93" w:rsidP="004F3E93">
      <w:pPr>
        <w:pStyle w:val="BodyTextIndent2"/>
        <w:tabs>
          <w:tab w:val="left" w:pos="0"/>
        </w:tabs>
        <w:spacing w:line="240" w:lineRule="auto"/>
        <w:ind w:left="0" w:firstLine="284"/>
        <w:rPr>
          <w:rFonts w:ascii="Garamond" w:hAnsi="Garamond"/>
          <w:b w:val="0"/>
          <w:bCs/>
          <w:i/>
          <w:iCs/>
        </w:rPr>
      </w:pPr>
      <w:r w:rsidRPr="004F3E93">
        <w:rPr>
          <w:rFonts w:ascii="Garamond" w:hAnsi="Garamond"/>
          <w:b w:val="0"/>
          <w:bCs/>
          <w:i/>
          <w:iCs/>
        </w:rPr>
        <w:t>A. Për legjitimimin e kërkueses</w:t>
      </w:r>
    </w:p>
    <w:p w14:paraId="4BC2FCDB" w14:textId="32713305"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 xml:space="preserve">12. Çështja e legjitimimit </w:t>
      </w:r>
      <w:r w:rsidRPr="004F3E93">
        <w:rPr>
          <w:rFonts w:ascii="Garamond" w:hAnsi="Garamond"/>
          <w:b w:val="0"/>
          <w:bCs/>
          <w:i/>
          <w:iCs/>
        </w:rPr>
        <w:t>(</w:t>
      </w:r>
      <w:proofErr w:type="spellStart"/>
      <w:r w:rsidRPr="004F3E93">
        <w:rPr>
          <w:rFonts w:ascii="Garamond" w:hAnsi="Garamond"/>
          <w:b w:val="0"/>
          <w:bCs/>
          <w:i/>
          <w:iCs/>
        </w:rPr>
        <w:t>locus</w:t>
      </w:r>
      <w:proofErr w:type="spellEnd"/>
      <w:r w:rsidRPr="004F3E93">
        <w:rPr>
          <w:rFonts w:ascii="Garamond" w:hAnsi="Garamond"/>
          <w:b w:val="0"/>
          <w:bCs/>
          <w:i/>
          <w:iCs/>
        </w:rPr>
        <w:t xml:space="preserve"> </w:t>
      </w:r>
      <w:proofErr w:type="spellStart"/>
      <w:r w:rsidRPr="004F3E93">
        <w:rPr>
          <w:rFonts w:ascii="Garamond" w:hAnsi="Garamond"/>
          <w:b w:val="0"/>
          <w:bCs/>
          <w:i/>
          <w:iCs/>
        </w:rPr>
        <w:t>standi</w:t>
      </w:r>
      <w:proofErr w:type="spellEnd"/>
      <w:r w:rsidRPr="004F3E93">
        <w:rPr>
          <w:rFonts w:ascii="Garamond" w:hAnsi="Garamond"/>
          <w:b w:val="0"/>
          <w:bCs/>
          <w:i/>
          <w:iCs/>
        </w:rPr>
        <w:t>)</w:t>
      </w:r>
      <w:r w:rsidRPr="004F3E93">
        <w:rPr>
          <w:rFonts w:ascii="Garamond" w:hAnsi="Garamond"/>
          <w:b w:val="0"/>
          <w:bCs/>
        </w:rPr>
        <w:t xml:space="preserve"> është një ndër aspektet kryesore që lidhet me nisjen e një procesi kushtetues. Sipas neneve 131, pika 1, shkronja “f” dhe 134, pikat 1, shkronja “i” dhe 2, të Kushtetutës, si dhe nenit 71 të Ligjit Organik të Gjykatës, çdo person juridik, subjekt i së drejtës private mund të vërë në lëvizje Gjykatën për gjykimin përfundimtar të ankesave kundër çdo vendimi gjyqësor që cenon të drejtat dhe liritë themelore të garantuara në Kushtetutë. Ankimi kushtetues individual, në çdo rast, duhet të plotësojë edhe kriteret </w:t>
      </w:r>
      <w:proofErr w:type="spellStart"/>
      <w:r w:rsidRPr="004F3E93">
        <w:rPr>
          <w:rFonts w:ascii="Garamond" w:hAnsi="Garamond"/>
          <w:b w:val="0"/>
          <w:bCs/>
        </w:rPr>
        <w:t>kumulative</w:t>
      </w:r>
      <w:proofErr w:type="spellEnd"/>
      <w:r w:rsidRPr="004F3E93">
        <w:rPr>
          <w:rFonts w:ascii="Garamond" w:hAnsi="Garamond"/>
          <w:b w:val="0"/>
          <w:bCs/>
        </w:rPr>
        <w:t xml:space="preserve"> të nenit 71/a të Ligjit Organik të Gjykatës, që lidhen me shterimin e mjeteve juridike efektive, afatin e paraqitjes së kërkesës, pasojat negative të pësuara në mënyrë të drejtpërdrejtë e reale, mundësinë për rivendosjen e së drejtës së shkelur. </w:t>
      </w:r>
    </w:p>
    <w:p w14:paraId="126B2E30" w14:textId="2EFB5734"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 xml:space="preserve">13. Kërkuesja, si person juridik i së drejtës private, legjitimohet </w:t>
      </w:r>
      <w:proofErr w:type="spellStart"/>
      <w:r w:rsidRPr="004F3E93">
        <w:rPr>
          <w:rFonts w:ascii="Garamond" w:hAnsi="Garamond"/>
          <w:b w:val="0"/>
          <w:bCs/>
          <w:i/>
          <w:iCs/>
        </w:rPr>
        <w:t>ratione</w:t>
      </w:r>
      <w:proofErr w:type="spellEnd"/>
      <w:r w:rsidRPr="004F3E93">
        <w:rPr>
          <w:rFonts w:ascii="Garamond" w:hAnsi="Garamond"/>
          <w:b w:val="0"/>
          <w:bCs/>
          <w:i/>
          <w:iCs/>
        </w:rPr>
        <w:t xml:space="preserve"> </w:t>
      </w:r>
      <w:proofErr w:type="spellStart"/>
      <w:r w:rsidRPr="004F3E93">
        <w:rPr>
          <w:rFonts w:ascii="Garamond" w:hAnsi="Garamond"/>
          <w:b w:val="0"/>
          <w:bCs/>
          <w:i/>
          <w:iCs/>
        </w:rPr>
        <w:t>personae</w:t>
      </w:r>
      <w:proofErr w:type="spellEnd"/>
      <w:r w:rsidRPr="004F3E93">
        <w:rPr>
          <w:rFonts w:ascii="Garamond" w:hAnsi="Garamond"/>
          <w:b w:val="0"/>
          <w:bCs/>
          <w:i/>
          <w:iCs/>
        </w:rPr>
        <w:t>,</w:t>
      </w:r>
      <w:r w:rsidRPr="004F3E93">
        <w:rPr>
          <w:rFonts w:ascii="Garamond" w:hAnsi="Garamond"/>
          <w:b w:val="0"/>
          <w:bCs/>
        </w:rPr>
        <w:t xml:space="preserve"> bazuar në nenet 131, pika 1, shkronja “f”, 134, pika 1, shkronja “i”, dhe 16 të Kushtetutës, pasi thelbi i të drejtave kushtetuese që ajo pretendon se i janë cenuar (e drejta për proces të rregullt dhe ajo e pronës) përputhen me qëllimet e përgjithshme të veprimtarisë tregtare të saj. Ajo ka qenë palë në procesin gjyqësor të kundërshtuar, ku është vendosur për të drejtën e saj të pronësisë, ndaj justifikon interesin në çështjen e parashtruar.</w:t>
      </w:r>
    </w:p>
    <w:p w14:paraId="34D79119" w14:textId="4E222024"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 xml:space="preserve">14. Për sa i përket kriterit të </w:t>
      </w:r>
      <w:r w:rsidRPr="004F3E93">
        <w:rPr>
          <w:rFonts w:ascii="Garamond" w:hAnsi="Garamond"/>
          <w:b w:val="0"/>
          <w:bCs/>
          <w:i/>
          <w:iCs/>
        </w:rPr>
        <w:t>shterimit të mjeteve juridike efektive</w:t>
      </w:r>
      <w:r w:rsidRPr="004F3E93">
        <w:rPr>
          <w:rFonts w:ascii="Garamond" w:hAnsi="Garamond"/>
          <w:b w:val="0"/>
          <w:bCs/>
        </w:rPr>
        <w:t xml:space="preserve">, në jurisprudencën e vazhdueshme të saj Gjykata ka theksuar se sipas nenit 131, pika 1, shkronja “f”, të Kushtetutës, ky rregull nënkupton jo vetëm që individi t’u jetë drejtuar të gjitha instancave të zakonshme gjyqësore, por edhe vetë pretendimet t’i ketë paraqitur më parë në këto instanca, të paktën në substancë, duke respektuar kërkesat formale dhe afatet e parashikuara në ligjin procedural </w:t>
      </w:r>
      <w:r w:rsidRPr="004F3E93">
        <w:rPr>
          <w:rFonts w:ascii="Garamond" w:hAnsi="Garamond"/>
          <w:b w:val="0"/>
          <w:bCs/>
          <w:i/>
          <w:iCs/>
        </w:rPr>
        <w:t>(shih vendimet nr. 3, datë 21.1.2025; nr. 67, datë 3.10.2024;  nr. 14, datë 21.6.2022</w:t>
      </w:r>
      <w:r w:rsidR="00EA7E34">
        <w:rPr>
          <w:rFonts w:ascii="Garamond" w:hAnsi="Garamond"/>
          <w:b w:val="0"/>
          <w:bCs/>
          <w:i/>
          <w:iCs/>
        </w:rPr>
        <w:t>,</w:t>
      </w:r>
      <w:r w:rsidRPr="004F3E93">
        <w:rPr>
          <w:rFonts w:ascii="Garamond" w:hAnsi="Garamond"/>
          <w:b w:val="0"/>
          <w:bCs/>
          <w:i/>
          <w:iCs/>
        </w:rPr>
        <w:t xml:space="preserve"> të Gjykatës Kushtetuese)</w:t>
      </w:r>
      <w:r w:rsidRPr="004F3E93">
        <w:rPr>
          <w:rFonts w:ascii="Garamond" w:hAnsi="Garamond"/>
          <w:b w:val="0"/>
          <w:bCs/>
        </w:rPr>
        <w:t>.</w:t>
      </w:r>
    </w:p>
    <w:p w14:paraId="4CE6459F" w14:textId="4AA978DA"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15. Në rastin konkret, Gjykata vëren se në ankimin kushtetues individual kërkuesja ka pretenduar cenimin e së drejtës për proces të rregullt ligjor në drejtim të parimit të paanshmërisë së gjykatës dhe parimit të barazisë së armëve, pa i parashtruar ato më parë në gjykatat e juridiksionit të zakonshëm. Në kushtet kur kërkuesja nuk ka shteruar mjetet juridike efektive në dispozicion për këto pretendime, Gjykata vlerëson se ato nuk mund të merren në shqyrtim. Ndërsa për sa u përket pretendimeve të tjera, Gjykata vëren se kërkuesja i ka ngritur më parë në formë e substancë në gjykatat e zakonshme, duke shteruar mjetet juridike efektive në lidhje me to, në kuptim të nenit 131, pika 1, shkronja “f”, të Kushtetutës.</w:t>
      </w:r>
    </w:p>
    <w:p w14:paraId="3909C0ED" w14:textId="2FFB3977"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lastRenderedPageBreak/>
        <w:t xml:space="preserve">16. Kërkuesja legjitimohet edhe </w:t>
      </w:r>
      <w:proofErr w:type="spellStart"/>
      <w:r w:rsidRPr="004F3E93">
        <w:rPr>
          <w:rFonts w:ascii="Garamond" w:hAnsi="Garamond"/>
          <w:b w:val="0"/>
          <w:bCs/>
          <w:i/>
          <w:iCs/>
        </w:rPr>
        <w:t>ratione</w:t>
      </w:r>
      <w:proofErr w:type="spellEnd"/>
      <w:r w:rsidRPr="004F3E93">
        <w:rPr>
          <w:rFonts w:ascii="Garamond" w:hAnsi="Garamond"/>
          <w:b w:val="0"/>
          <w:bCs/>
          <w:i/>
          <w:iCs/>
        </w:rPr>
        <w:t xml:space="preserve"> </w:t>
      </w:r>
      <w:proofErr w:type="spellStart"/>
      <w:r w:rsidRPr="004F3E93">
        <w:rPr>
          <w:rFonts w:ascii="Garamond" w:hAnsi="Garamond"/>
          <w:b w:val="0"/>
          <w:bCs/>
          <w:i/>
          <w:iCs/>
        </w:rPr>
        <w:t>temporis</w:t>
      </w:r>
      <w:proofErr w:type="spellEnd"/>
      <w:r w:rsidRPr="004F3E93">
        <w:rPr>
          <w:rFonts w:ascii="Garamond" w:hAnsi="Garamond"/>
          <w:b w:val="0"/>
          <w:bCs/>
        </w:rPr>
        <w:t>, në kuptim të nenit 71/a, pika 1, shkronja “b”, të Ligjit Organik të Gjykatës, pasi vendimi i Gjykatës së Lartë, që ka përmbyllur procesin gjyqësor, është dhënë në datën 13.11.2024 dhe i është komunikuar kërkueses në datën 8.1.2025, ndërsa ankimi kushtetues është paraqitur në datën 2.4.2025, pra brenda afatit ligjor 4-mujor.</w:t>
      </w:r>
    </w:p>
    <w:p w14:paraId="463B079C" w14:textId="5A3E8093"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 xml:space="preserve">17. Në drejtim të legjitimimit </w:t>
      </w:r>
      <w:proofErr w:type="spellStart"/>
      <w:r w:rsidRPr="004F3E93">
        <w:rPr>
          <w:rFonts w:ascii="Garamond" w:hAnsi="Garamond"/>
          <w:b w:val="0"/>
          <w:bCs/>
          <w:i/>
          <w:iCs/>
        </w:rPr>
        <w:t>ratione</w:t>
      </w:r>
      <w:proofErr w:type="spellEnd"/>
      <w:r w:rsidRPr="004F3E93">
        <w:rPr>
          <w:rFonts w:ascii="Garamond" w:hAnsi="Garamond"/>
          <w:b w:val="0"/>
          <w:bCs/>
          <w:i/>
          <w:iCs/>
        </w:rPr>
        <w:t xml:space="preserve"> </w:t>
      </w:r>
      <w:proofErr w:type="spellStart"/>
      <w:r w:rsidRPr="004F3E93">
        <w:rPr>
          <w:rFonts w:ascii="Garamond" w:hAnsi="Garamond"/>
          <w:b w:val="0"/>
          <w:bCs/>
          <w:i/>
          <w:iCs/>
        </w:rPr>
        <w:t>materiae</w:t>
      </w:r>
      <w:proofErr w:type="spellEnd"/>
      <w:r w:rsidRPr="004F3E93">
        <w:rPr>
          <w:rFonts w:ascii="Garamond" w:hAnsi="Garamond"/>
          <w:b w:val="0"/>
          <w:bCs/>
          <w:i/>
          <w:iCs/>
        </w:rPr>
        <w:t>,</w:t>
      </w:r>
      <w:r w:rsidRPr="004F3E93">
        <w:rPr>
          <w:rFonts w:ascii="Garamond" w:hAnsi="Garamond"/>
          <w:b w:val="0"/>
          <w:bCs/>
        </w:rPr>
        <w:t xml:space="preserve"> kërkuesja ka pretenduar cenimin e së drejtës për proces të rregullt ligjor (në aspektet e parimit të sigurisë juridike e standardit të arsyetimit të vendimit gjyqësor) dhe së drejtës së pronës, të garantuara nga nenet 42 dhe 41 të Kushtetutës, me argumentin se gjykatat e zakonshme kanë interpretuar ligjin në mënyrë të tillë, që i kanë asaj hequr të drejtën e pronësisë mbi apartamentin, që e kishte fituar për shkak të </w:t>
      </w:r>
      <w:proofErr w:type="spellStart"/>
      <w:r w:rsidRPr="004F3E93">
        <w:rPr>
          <w:rFonts w:ascii="Garamond" w:hAnsi="Garamond"/>
          <w:b w:val="0"/>
          <w:bCs/>
        </w:rPr>
        <w:t>mosshlyerjes</w:t>
      </w:r>
      <w:proofErr w:type="spellEnd"/>
      <w:r w:rsidRPr="004F3E93">
        <w:rPr>
          <w:rFonts w:ascii="Garamond" w:hAnsi="Garamond"/>
          <w:b w:val="0"/>
          <w:bCs/>
        </w:rPr>
        <w:t xml:space="preserve"> së kredisë bankare që i kishte dhënë shoqërisë ndërtuese.</w:t>
      </w:r>
    </w:p>
    <w:p w14:paraId="619FB866" w14:textId="2B312A01"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 xml:space="preserve">18. Kërkuesja e ka paraqitur pretendimin për cenimin e së drejtës së pronës sipas nenit 41 të Kushtetutës, me argumentin e humbjes të së drejtës së pronësisë, si rezultat i pavlefshmërisë absolute të hipotekës mbi apartamentin që garantonte kredinë bankare. Gjykata, duke mbajtur në konsideratë se argumenti lidhet në thelb me interpretimin e ligjit material civil nga gjykatat e zakonshme në procesin gjyqësor të zhvilluar ndaj kërkueses, çmon ta analizojë çështjen e paraqitur në këndvështrim të nenit 42 të Kushtetutës, sipas të cilit prona nuk mund të cenohet pa një proces të rregullt ligjor dhe se kushdo, për mbrojtjen e së drejtës kushtetuese të pronës, ka të drejtën e një gjykimi të drejtë. Në vlerësimin e së drejtës së pronës së kërkueses, Gjykata evidenton se prona përfshin çdo posedim të sendeve ose të </w:t>
      </w:r>
      <w:proofErr w:type="spellStart"/>
      <w:r w:rsidRPr="004F3E93">
        <w:rPr>
          <w:rFonts w:ascii="Garamond" w:hAnsi="Garamond"/>
          <w:b w:val="0"/>
          <w:bCs/>
        </w:rPr>
        <w:t>të</w:t>
      </w:r>
      <w:proofErr w:type="spellEnd"/>
      <w:r w:rsidRPr="004F3E93">
        <w:rPr>
          <w:rFonts w:ascii="Garamond" w:hAnsi="Garamond"/>
          <w:b w:val="0"/>
          <w:bCs/>
        </w:rPr>
        <w:t xml:space="preserve"> drejtave të tjera materiale pasurore, të fituara në përputhje me ligjin</w:t>
      </w:r>
      <w:r w:rsidRPr="004F3E93">
        <w:rPr>
          <w:rFonts w:ascii="Garamond" w:hAnsi="Garamond"/>
          <w:b w:val="0"/>
          <w:bCs/>
          <w:i/>
          <w:iCs/>
        </w:rPr>
        <w:t xml:space="preserve"> (shih vendimet nr. 7, datë 25.3.2025; nr. 31, datë  18.4.2024; nr. 53, datë 31.10.2023</w:t>
      </w:r>
      <w:r w:rsidR="00EA7E34">
        <w:rPr>
          <w:rFonts w:ascii="Garamond" w:hAnsi="Garamond"/>
          <w:b w:val="0"/>
          <w:bCs/>
          <w:i/>
          <w:iCs/>
        </w:rPr>
        <w:t>,</w:t>
      </w:r>
      <w:r w:rsidRPr="004F3E93">
        <w:rPr>
          <w:rFonts w:ascii="Garamond" w:hAnsi="Garamond"/>
          <w:b w:val="0"/>
          <w:bCs/>
          <w:i/>
          <w:iCs/>
        </w:rPr>
        <w:t xml:space="preserve"> të Gjykatës Kushtetuese)</w:t>
      </w:r>
      <w:r w:rsidRPr="004F3E93">
        <w:rPr>
          <w:rFonts w:ascii="Garamond" w:hAnsi="Garamond"/>
          <w:b w:val="0"/>
          <w:bCs/>
        </w:rPr>
        <w:t xml:space="preserve">. Në jurisprudencën kushtetuese është pohuar se përfshihen në konceptin kushtetues të pronës private kamata ligjore e aktit të dhënies së kredisë bankare </w:t>
      </w:r>
      <w:r w:rsidRPr="004F3E93">
        <w:rPr>
          <w:rFonts w:ascii="Garamond" w:hAnsi="Garamond"/>
          <w:b w:val="0"/>
          <w:bCs/>
          <w:i/>
          <w:iCs/>
        </w:rPr>
        <w:t>(shih vendimin nr. 30, datë 2.11.2022</w:t>
      </w:r>
      <w:r w:rsidR="00EA7E34">
        <w:rPr>
          <w:rFonts w:ascii="Garamond" w:hAnsi="Garamond"/>
          <w:b w:val="0"/>
          <w:bCs/>
          <w:i/>
          <w:iCs/>
        </w:rPr>
        <w:t>,</w:t>
      </w:r>
      <w:r w:rsidRPr="004F3E93">
        <w:rPr>
          <w:rFonts w:ascii="Garamond" w:hAnsi="Garamond"/>
          <w:b w:val="0"/>
          <w:bCs/>
          <w:i/>
          <w:iCs/>
        </w:rPr>
        <w:t xml:space="preserve"> të Gjykatës Kushtetuese</w:t>
      </w:r>
      <w:r w:rsidRPr="004F3E93">
        <w:rPr>
          <w:rFonts w:ascii="Garamond" w:hAnsi="Garamond"/>
          <w:b w:val="0"/>
          <w:bCs/>
        </w:rPr>
        <w:t xml:space="preserve">) dhe vlera e interesit bankar </w:t>
      </w:r>
      <w:r w:rsidRPr="004F3E93">
        <w:rPr>
          <w:rFonts w:ascii="Garamond" w:hAnsi="Garamond"/>
          <w:b w:val="0"/>
          <w:bCs/>
          <w:i/>
          <w:iCs/>
        </w:rPr>
        <w:t>(vendimi nr. 5, datë 13.2.2024</w:t>
      </w:r>
      <w:r w:rsidR="00EA7E34">
        <w:rPr>
          <w:rFonts w:ascii="Garamond" w:hAnsi="Garamond"/>
          <w:b w:val="0"/>
          <w:bCs/>
          <w:i/>
          <w:iCs/>
        </w:rPr>
        <w:t>,</w:t>
      </w:r>
      <w:r w:rsidRPr="004F3E93">
        <w:rPr>
          <w:rFonts w:ascii="Garamond" w:hAnsi="Garamond"/>
          <w:b w:val="0"/>
          <w:bCs/>
          <w:i/>
          <w:iCs/>
        </w:rPr>
        <w:t xml:space="preserve"> të Gjykatës Kushtetuese)</w:t>
      </w:r>
      <w:r w:rsidRPr="004F3E93">
        <w:rPr>
          <w:rFonts w:ascii="Garamond" w:hAnsi="Garamond"/>
          <w:b w:val="0"/>
          <w:bCs/>
        </w:rPr>
        <w:t>. Me të njëjtin arsyetim, Gjykata çmon se edhe kredia bankare dhe mjetet garantuese të saj, siç është hipoteka, përfshihen në konceptin kushtetues të pronës, për sa kohë ato respektivisht përcaktojnë detyrime monetare dhe sigurojnë shlyerjen e tyre.</w:t>
      </w:r>
    </w:p>
    <w:p w14:paraId="4771FAE5" w14:textId="748FA133"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 xml:space="preserve">19. Për sa më lart, për të përcaktuar nëse kërkueses i është cenuar e drejta e pronës, është e rëndësishme të analizohet në themel nëse procesi gjyqësor, në të cilin janë dhënë vendimet që kundërshtohen nga kërkuesja, ka përmbushur standardet e procesit të rregullt në këndvështrim të standardit të arsyetimit të vendimit gjyqësor. </w:t>
      </w:r>
    </w:p>
    <w:p w14:paraId="3E689BAD" w14:textId="77777777" w:rsidR="004F3E93" w:rsidRPr="004F3E93" w:rsidRDefault="004F3E93" w:rsidP="004F3E93">
      <w:pPr>
        <w:pStyle w:val="BodyTextIndent2"/>
        <w:tabs>
          <w:tab w:val="left" w:pos="1080"/>
        </w:tabs>
        <w:spacing w:line="240" w:lineRule="auto"/>
        <w:ind w:left="0" w:firstLine="284"/>
        <w:rPr>
          <w:rFonts w:ascii="Garamond" w:hAnsi="Garamond"/>
          <w:b w:val="0"/>
          <w:bCs/>
          <w:i/>
          <w:iCs/>
        </w:rPr>
      </w:pPr>
      <w:r w:rsidRPr="004F3E93">
        <w:rPr>
          <w:rFonts w:ascii="Garamond" w:hAnsi="Garamond"/>
          <w:b w:val="0"/>
          <w:bCs/>
          <w:i/>
          <w:iCs/>
        </w:rPr>
        <w:t>B. Për themelin e pretendimeve</w:t>
      </w:r>
    </w:p>
    <w:p w14:paraId="4E290A26" w14:textId="77777777" w:rsidR="004F3E93" w:rsidRPr="004F3E93" w:rsidRDefault="004F3E93" w:rsidP="004F3E93">
      <w:pPr>
        <w:pStyle w:val="BodyTextIndent2"/>
        <w:tabs>
          <w:tab w:val="left" w:pos="1080"/>
        </w:tabs>
        <w:spacing w:line="240" w:lineRule="auto"/>
        <w:ind w:left="0" w:firstLine="284"/>
        <w:rPr>
          <w:rFonts w:ascii="Garamond" w:hAnsi="Garamond"/>
          <w:b w:val="0"/>
          <w:bCs/>
          <w:i/>
          <w:iCs/>
        </w:rPr>
      </w:pPr>
      <w:proofErr w:type="spellStart"/>
      <w:r w:rsidRPr="004F3E93">
        <w:rPr>
          <w:rFonts w:ascii="Garamond" w:hAnsi="Garamond"/>
          <w:b w:val="0"/>
          <w:bCs/>
          <w:i/>
          <w:iCs/>
        </w:rPr>
        <w:t>B.1</w:t>
      </w:r>
      <w:proofErr w:type="spellEnd"/>
      <w:r w:rsidRPr="004F3E93">
        <w:rPr>
          <w:rFonts w:ascii="Garamond" w:hAnsi="Garamond"/>
          <w:b w:val="0"/>
          <w:bCs/>
          <w:i/>
          <w:iCs/>
        </w:rPr>
        <w:t xml:space="preserve">. Për cenimin e standardit të arsyetimit të vendimit gjyqësor </w:t>
      </w:r>
    </w:p>
    <w:p w14:paraId="17772687" w14:textId="2F1E9AA1" w:rsidR="004F3E93" w:rsidRPr="004F3E93" w:rsidRDefault="004F3E93" w:rsidP="004F3E93">
      <w:pPr>
        <w:pStyle w:val="ListParagraph"/>
        <w:tabs>
          <w:tab w:val="left" w:pos="1080"/>
        </w:tabs>
        <w:spacing w:line="240" w:lineRule="auto"/>
        <w:ind w:left="0" w:firstLine="284"/>
        <w:jc w:val="both"/>
        <w:rPr>
          <w:rFonts w:ascii="Garamond" w:hAnsi="Garamond"/>
        </w:rPr>
      </w:pPr>
      <w:r w:rsidRPr="004F3E93">
        <w:rPr>
          <w:rFonts w:ascii="Garamond" w:hAnsi="Garamond"/>
        </w:rPr>
        <w:t xml:space="preserve">20. Kërkuesja ka pretenduar se gjykatat kanë interpretuar në mënyrë të gabuar dispozitat ligjore për pavlefshmërinë absolute të kontratës së hipotekës, pasi kontrata e porosisë nuk përbën mënyrë të fitimit të titullit të pronësisë. Ato nuk kanë marrë parasysh faktin se titulli i pronësisë së saj për pasurinë në fjalë është fituar sipas ligjit, përmes procedurave përmbarimore për ekzekutimin e detyrueshëm të kredisë së pashlyer të shoqërisë ndërtuese, mbi bazën e të cilave pasuria objekt gjykimi është regjistruar në ASHK në emër të saj. Sipas kërkueses, arsyetimi i gjykatave ka çuar në shpronësimin e saj </w:t>
      </w:r>
      <w:r w:rsidRPr="004F3E93">
        <w:rPr>
          <w:rFonts w:ascii="Garamond" w:hAnsi="Garamond"/>
          <w:i/>
          <w:iCs/>
        </w:rPr>
        <w:t>de facto</w:t>
      </w:r>
      <w:r w:rsidRPr="004F3E93">
        <w:rPr>
          <w:rFonts w:ascii="Garamond" w:hAnsi="Garamond"/>
        </w:rPr>
        <w:t xml:space="preserve"> dhe pa shpërblim. E drejta e pronës i është kufizuar kërkueses në shkelje të nenit 17 të Kushtetutës, pasi nuk ekziston një interes publik ose një e drejtë e porositësit të apartamentit që duhej të mbrohej.</w:t>
      </w:r>
      <w:r w:rsidRPr="004F3E93">
        <w:rPr>
          <w:rFonts w:ascii="Garamond" w:hAnsi="Garamond"/>
          <w:b/>
          <w:bCs/>
        </w:rPr>
        <w:t xml:space="preserve"> </w:t>
      </w:r>
      <w:r w:rsidRPr="004F3E93">
        <w:rPr>
          <w:rFonts w:ascii="Garamond" w:hAnsi="Garamond"/>
        </w:rPr>
        <w:t>Gjykata e Lartë nuk u ka dhënë përgjigje pretendimeve të saj në këtë drejtim.</w:t>
      </w:r>
    </w:p>
    <w:p w14:paraId="510DD0E6" w14:textId="43584005" w:rsidR="004F3E93" w:rsidRPr="004F3E93" w:rsidRDefault="004F3E93" w:rsidP="004F3E93">
      <w:pPr>
        <w:pStyle w:val="ListParagraph"/>
        <w:tabs>
          <w:tab w:val="left" w:pos="1080"/>
        </w:tabs>
        <w:spacing w:line="240" w:lineRule="auto"/>
        <w:ind w:left="0" w:firstLine="284"/>
        <w:jc w:val="both"/>
        <w:rPr>
          <w:rFonts w:ascii="Garamond" w:hAnsi="Garamond"/>
        </w:rPr>
      </w:pPr>
      <w:r w:rsidRPr="004F3E93">
        <w:rPr>
          <w:rFonts w:ascii="Garamond" w:hAnsi="Garamond"/>
        </w:rPr>
        <w:t xml:space="preserve">21. Gjykata ka pohuar se është detyrë e gjykatave të juridiksionit të zakonshëm të vlerësojnë faktet dhe provat e administruara, si dhe të interpretojnë ligjin për qëllim të procesit gjyqësor që ato zhvillojnë, ndërsa detyra e saj (Gjykatës) është të vlerësojë nëse gjatë procesit gjyqësor ka pasur shkelje të </w:t>
      </w:r>
      <w:proofErr w:type="spellStart"/>
      <w:r w:rsidRPr="004F3E93">
        <w:rPr>
          <w:rFonts w:ascii="Garamond" w:hAnsi="Garamond"/>
        </w:rPr>
        <w:t>të</w:t>
      </w:r>
      <w:proofErr w:type="spellEnd"/>
      <w:r w:rsidRPr="004F3E93">
        <w:rPr>
          <w:rFonts w:ascii="Garamond" w:hAnsi="Garamond"/>
        </w:rPr>
        <w:t xml:space="preserve"> drejtave kushtetuese, si dhe nëse zbatimi i ligjit ka qenë eventualisht arbitrar, në kuptimin që të bjerë ndesh haptazi me konceptin e gjykimit të drejtë të përcaktuar në nenin 42 të Kushtetutës </w:t>
      </w:r>
      <w:r w:rsidRPr="004F3E93">
        <w:rPr>
          <w:rFonts w:ascii="Garamond" w:hAnsi="Garamond"/>
          <w:i/>
          <w:iCs/>
        </w:rPr>
        <w:t>(shih vendimet nr. 48, datë 22.9.2025;</w:t>
      </w:r>
      <w:r w:rsidRPr="004F3E93">
        <w:rPr>
          <w:rFonts w:ascii="Garamond" w:hAnsi="Garamond"/>
          <w:b/>
          <w:bCs/>
          <w:i/>
          <w:iCs/>
        </w:rPr>
        <w:t xml:space="preserve"> </w:t>
      </w:r>
      <w:r w:rsidRPr="004F3E93">
        <w:rPr>
          <w:rFonts w:ascii="Garamond" w:hAnsi="Garamond"/>
          <w:i/>
          <w:iCs/>
        </w:rPr>
        <w:t>nr. 3, datë 23.2.2016; nr. 42, datë 7.7.2014</w:t>
      </w:r>
      <w:r w:rsidR="00016633">
        <w:rPr>
          <w:rFonts w:ascii="Garamond" w:hAnsi="Garamond"/>
          <w:i/>
          <w:iCs/>
        </w:rPr>
        <w:t>,</w:t>
      </w:r>
      <w:r w:rsidRPr="004F3E93">
        <w:rPr>
          <w:rFonts w:ascii="Garamond" w:hAnsi="Garamond"/>
          <w:i/>
          <w:iCs/>
        </w:rPr>
        <w:t xml:space="preserve"> të Gjykatës Kushtetuese)</w:t>
      </w:r>
      <w:r w:rsidRPr="004F3E93">
        <w:rPr>
          <w:rFonts w:ascii="Garamond" w:hAnsi="Garamond"/>
        </w:rPr>
        <w:t xml:space="preserve">. Gjykata nuk vepron si shkallë e katërt gjykimi, por ndërhyn atëherë kur gabimi ligjor ose faktik nga gjykatat e juridiksionit të zakonshëm është aq i dukshëm, sa një gjykatë e kujdesshme nuk mund ta kishte bërë ndonjëherë ose është i tillë që gjykimin e bën të padrejtë </w:t>
      </w:r>
      <w:r w:rsidRPr="004F3E93">
        <w:rPr>
          <w:rFonts w:ascii="Garamond" w:hAnsi="Garamond"/>
          <w:i/>
          <w:iCs/>
        </w:rPr>
        <w:t>(shih vendimet nr. 63, datë 23.10.2025; nr. 33, datë 14.11.2022; nr. 3, datë 23.2.2016</w:t>
      </w:r>
      <w:r w:rsidR="00016633">
        <w:rPr>
          <w:rFonts w:ascii="Garamond" w:hAnsi="Garamond"/>
          <w:i/>
          <w:iCs/>
        </w:rPr>
        <w:t>,</w:t>
      </w:r>
      <w:r w:rsidRPr="004F3E93">
        <w:rPr>
          <w:rFonts w:ascii="Garamond" w:hAnsi="Garamond"/>
          <w:i/>
          <w:iCs/>
        </w:rPr>
        <w:t xml:space="preserve"> të Gjykatës Kushtetuese).</w:t>
      </w:r>
      <w:r w:rsidRPr="004F3E93">
        <w:rPr>
          <w:rFonts w:ascii="Garamond" w:hAnsi="Garamond"/>
        </w:rPr>
        <w:t xml:space="preserve"> Në këto raste, për të mos vënë në dyshim të drejtën e gjykatave të zakonshme për të interpretuar ligjin për </w:t>
      </w:r>
      <w:r w:rsidRPr="004F3E93">
        <w:rPr>
          <w:rFonts w:ascii="Garamond" w:hAnsi="Garamond"/>
        </w:rPr>
        <w:lastRenderedPageBreak/>
        <w:t xml:space="preserve">qëllim të procesit gjyqësor që ato zhvillojnë, Gjykata kufizohet vetëm në identifikimin e gabimeve të dukshme, të cilat shkojnë përtej pretendimeve për interpretim të gabuar të ligjit dhe që cenojnë gjykimin e drejtë </w:t>
      </w:r>
      <w:r w:rsidRPr="004F3E93">
        <w:rPr>
          <w:rFonts w:ascii="Garamond" w:hAnsi="Garamond"/>
          <w:i/>
          <w:iCs/>
        </w:rPr>
        <w:t>(shih vendimin nr. 11, datë 11.2.2026</w:t>
      </w:r>
      <w:r w:rsidR="00016633">
        <w:rPr>
          <w:rFonts w:ascii="Garamond" w:hAnsi="Garamond"/>
          <w:i/>
          <w:iCs/>
        </w:rPr>
        <w:t>,</w:t>
      </w:r>
      <w:r w:rsidRPr="004F3E93">
        <w:rPr>
          <w:rFonts w:ascii="Garamond" w:hAnsi="Garamond"/>
          <w:i/>
          <w:iCs/>
        </w:rPr>
        <w:t xml:space="preserve"> të Gjykatës Kushtetuese)</w:t>
      </w:r>
      <w:r w:rsidRPr="004F3E93">
        <w:rPr>
          <w:rFonts w:ascii="Garamond" w:hAnsi="Garamond"/>
        </w:rPr>
        <w:t>.</w:t>
      </w:r>
    </w:p>
    <w:p w14:paraId="1A13E8D0" w14:textId="679D5A54" w:rsidR="004F3E93" w:rsidRPr="004F3E93" w:rsidRDefault="004F3E93" w:rsidP="004F3E93">
      <w:pPr>
        <w:pStyle w:val="ListParagraph"/>
        <w:tabs>
          <w:tab w:val="left" w:pos="1080"/>
        </w:tabs>
        <w:spacing w:line="240" w:lineRule="auto"/>
        <w:ind w:left="0" w:firstLine="284"/>
        <w:jc w:val="both"/>
        <w:rPr>
          <w:rFonts w:ascii="Garamond" w:hAnsi="Garamond"/>
        </w:rPr>
      </w:pPr>
      <w:r w:rsidRPr="004F3E93">
        <w:rPr>
          <w:rFonts w:ascii="Garamond" w:hAnsi="Garamond"/>
        </w:rPr>
        <w:t xml:space="preserve">22. Elementi thelbësor i një vendimi të drejtë është arsyetimi, i cili u tregon palëve se ato janë dëgjuar, si dhe u jep mundësinë atyre ta kundërshtojnë atë. Detyrimi për arsyetim ndryshon në varësi të rrethanave të çështjes konkrete dhe natyrës së vendimit </w:t>
      </w:r>
      <w:r w:rsidRPr="004F3E93">
        <w:rPr>
          <w:rFonts w:ascii="Garamond" w:hAnsi="Garamond"/>
          <w:i/>
          <w:iCs/>
        </w:rPr>
        <w:t>(shih vendimet nr. 21, datë 26.9.2022; nr. 6, datë 16.2.2021; nr. 79, datë 14.12.2017</w:t>
      </w:r>
      <w:r w:rsidR="00016633">
        <w:rPr>
          <w:rFonts w:ascii="Garamond" w:hAnsi="Garamond"/>
          <w:i/>
          <w:iCs/>
        </w:rPr>
        <w:t>,</w:t>
      </w:r>
      <w:r w:rsidRPr="004F3E93">
        <w:rPr>
          <w:rFonts w:ascii="Garamond" w:hAnsi="Garamond"/>
          <w:i/>
          <w:iCs/>
        </w:rPr>
        <w:t xml:space="preserve"> të Gjykatës Kushtetuese).</w:t>
      </w:r>
      <w:r w:rsidRPr="004F3E93">
        <w:rPr>
          <w:rFonts w:ascii="Garamond" w:hAnsi="Garamond"/>
        </w:rPr>
        <w:t xml:space="preserve"> Arsyetimi i kufizuar i vendimeve të mospranimit të rekursit nga Gjykata e Lartë nuk cenon standardin kushtetues të arsyetimit, përderisa në thelb shpreh shkaqet e mospranimit të rekursit nga ana e kolegjeve të saj gjatë shqyrtimit paraprak të tij në dhomën e këshillimit </w:t>
      </w:r>
      <w:r w:rsidRPr="004F3E93">
        <w:rPr>
          <w:rFonts w:ascii="Garamond" w:hAnsi="Garamond"/>
          <w:i/>
          <w:iCs/>
        </w:rPr>
        <w:t>(shih vendimet nr. 10, datë 7.3.2023; nr. 21, datë 16.4.2015; nr. 37, datë 19.9.2011</w:t>
      </w:r>
      <w:r w:rsidR="00016633">
        <w:rPr>
          <w:rFonts w:ascii="Garamond" w:hAnsi="Garamond"/>
          <w:i/>
          <w:iCs/>
        </w:rPr>
        <w:t>,</w:t>
      </w:r>
      <w:r w:rsidRPr="004F3E93">
        <w:rPr>
          <w:rFonts w:ascii="Garamond" w:hAnsi="Garamond"/>
          <w:i/>
          <w:iCs/>
        </w:rPr>
        <w:t xml:space="preserve"> të Gjykatës Kushtetuese).</w:t>
      </w:r>
      <w:r w:rsidRPr="004F3E93">
        <w:rPr>
          <w:rFonts w:ascii="Garamond" w:hAnsi="Garamond"/>
        </w:rPr>
        <w:t xml:space="preserve"> </w:t>
      </w:r>
    </w:p>
    <w:p w14:paraId="08D74490" w14:textId="13F42839"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 xml:space="preserve">23. Në kushtet kur kërkuesja kundërshton mënyrën e interpretimit të ligjit nga gjykatat e zakonshme, Gjykata evidenton se </w:t>
      </w:r>
      <w:proofErr w:type="spellStart"/>
      <w:r w:rsidRPr="004F3E93">
        <w:rPr>
          <w:rFonts w:ascii="Garamond" w:hAnsi="Garamond"/>
          <w:b w:val="0"/>
          <w:bCs/>
        </w:rPr>
        <w:t>KC</w:t>
      </w:r>
      <w:proofErr w:type="spellEnd"/>
      <w:r w:rsidRPr="004F3E93">
        <w:rPr>
          <w:rFonts w:ascii="Garamond" w:hAnsi="Garamond"/>
          <w:b w:val="0"/>
          <w:bCs/>
        </w:rPr>
        <w:t xml:space="preserve">-ja parashikon se kontrata e hipotekës është veprim juridik absolutisht i pavlefshëm kur i kalon kreditorit të drejtën reale të hipotekës mbi një send, për të cilin nuk ka të drejtën e pronësisë, sepse është në kundërshtim me dispozitat urdhëruese të ligjit </w:t>
      </w:r>
      <w:r w:rsidRPr="004F3E93">
        <w:rPr>
          <w:rFonts w:ascii="Garamond" w:hAnsi="Garamond"/>
          <w:b w:val="0"/>
          <w:bCs/>
          <w:i/>
          <w:iCs/>
        </w:rPr>
        <w:t>(nenet 92/a, 663, 141, 143, 149, 162, 560, 562, 566 dhe 572)</w:t>
      </w:r>
      <w:r w:rsidRPr="004F3E93">
        <w:rPr>
          <w:rFonts w:ascii="Garamond" w:hAnsi="Garamond"/>
          <w:b w:val="0"/>
          <w:bCs/>
        </w:rPr>
        <w:t xml:space="preserve">. Gjithashtu, </w:t>
      </w:r>
      <w:proofErr w:type="spellStart"/>
      <w:r w:rsidRPr="004F3E93">
        <w:rPr>
          <w:rFonts w:ascii="Garamond" w:hAnsi="Garamond"/>
          <w:b w:val="0"/>
          <w:bCs/>
        </w:rPr>
        <w:t>KC</w:t>
      </w:r>
      <w:proofErr w:type="spellEnd"/>
      <w:r w:rsidRPr="004F3E93">
        <w:rPr>
          <w:rFonts w:ascii="Garamond" w:hAnsi="Garamond"/>
          <w:b w:val="0"/>
          <w:bCs/>
        </w:rPr>
        <w:t xml:space="preserve">-ja ka përcaktuar se kontrata e shitjes është një ndër mënyrat e fitimit të pronësisë mbi sendin e paluajtshëm </w:t>
      </w:r>
      <w:r w:rsidRPr="004F3E93">
        <w:rPr>
          <w:rFonts w:ascii="Garamond" w:hAnsi="Garamond"/>
          <w:b w:val="0"/>
          <w:bCs/>
          <w:i/>
          <w:iCs/>
        </w:rPr>
        <w:t>(neni 705)</w:t>
      </w:r>
      <w:r w:rsidRPr="004F3E93">
        <w:rPr>
          <w:rFonts w:ascii="Garamond" w:hAnsi="Garamond"/>
          <w:b w:val="0"/>
          <w:bCs/>
        </w:rPr>
        <w:t xml:space="preserve">. Shitja mund të ketë si objekt edhe fitimin në të ardhmen të një sendi ose të drejte, për të cilat fitimi i pronësisë bëhet sapo sendi ose e drejta pranohet se ekzistojnë </w:t>
      </w:r>
      <w:r w:rsidRPr="004F3E93">
        <w:rPr>
          <w:rFonts w:ascii="Garamond" w:hAnsi="Garamond"/>
          <w:b w:val="0"/>
          <w:bCs/>
          <w:i/>
          <w:iCs/>
        </w:rPr>
        <w:t>(neni 706)</w:t>
      </w:r>
      <w:r w:rsidRPr="004F3E93">
        <w:rPr>
          <w:rFonts w:ascii="Garamond" w:hAnsi="Garamond"/>
          <w:b w:val="0"/>
          <w:bCs/>
        </w:rPr>
        <w:t xml:space="preserve">. Veprimet juridike për kalimin e pronësisë së sendeve të paluajtshme dhe të drejtave reale mbi to janë të vlefshme vetëm kur bëhen me akt noterial dhe regjistrohen </w:t>
      </w:r>
      <w:r w:rsidRPr="004F3E93">
        <w:rPr>
          <w:rFonts w:ascii="Garamond" w:hAnsi="Garamond"/>
          <w:b w:val="0"/>
          <w:bCs/>
          <w:i/>
          <w:iCs/>
        </w:rPr>
        <w:t>(neni 83)</w:t>
      </w:r>
      <w:r w:rsidRPr="004F3E93">
        <w:rPr>
          <w:rFonts w:ascii="Garamond" w:hAnsi="Garamond"/>
          <w:b w:val="0"/>
          <w:bCs/>
        </w:rPr>
        <w:t xml:space="preserve">. Kontratat me të cilat krijohen, njihen, ndryshohen ose pushojnë të drejtat e pronësisë mbi sendet e paluajtshme duhet të regjistrohen në regjistrin e pasurive të paluajtshme </w:t>
      </w:r>
      <w:r w:rsidRPr="004F3E93">
        <w:rPr>
          <w:rFonts w:ascii="Garamond" w:hAnsi="Garamond"/>
          <w:b w:val="0"/>
          <w:bCs/>
          <w:i/>
          <w:iCs/>
        </w:rPr>
        <w:t>(neni 193, shkronja “b”)</w:t>
      </w:r>
      <w:r w:rsidRPr="004F3E93">
        <w:rPr>
          <w:rFonts w:ascii="Garamond" w:hAnsi="Garamond"/>
          <w:b w:val="0"/>
          <w:bCs/>
        </w:rPr>
        <w:t xml:space="preserve">. Ndërkohë, Ligji për Regjistrimin e Pasurive të Paluajtshme, sipas përmbajtjes në kohën e lidhjes së kontratës së hipotekimit të apartamentit në favor të kërkueses, ka parashikuar regjistrimin e përkohshëm të karabinasë dhe regjistrimin e hipotekave. Regjistrimi është i vlefshëm deri në përfundimin e objektit, për efekt të kreditimit të investitorit ose regjistrimin e kontratave paraprake </w:t>
      </w:r>
      <w:r w:rsidRPr="004F3E93">
        <w:rPr>
          <w:rFonts w:ascii="Garamond" w:hAnsi="Garamond"/>
          <w:b w:val="0"/>
          <w:bCs/>
          <w:i/>
          <w:iCs/>
        </w:rPr>
        <w:t>(neni 41/a)</w:t>
      </w:r>
      <w:r w:rsidRPr="004F3E93">
        <w:rPr>
          <w:rFonts w:ascii="Garamond" w:hAnsi="Garamond"/>
          <w:b w:val="0"/>
          <w:bCs/>
        </w:rPr>
        <w:t xml:space="preserve">. </w:t>
      </w:r>
    </w:p>
    <w:p w14:paraId="456E095A" w14:textId="53F55613"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 xml:space="preserve">24. Sipas jurisprudencës </w:t>
      </w:r>
      <w:proofErr w:type="spellStart"/>
      <w:r w:rsidRPr="004F3E93">
        <w:rPr>
          <w:rFonts w:ascii="Garamond" w:hAnsi="Garamond"/>
          <w:b w:val="0"/>
          <w:bCs/>
        </w:rPr>
        <w:t>unifikuese</w:t>
      </w:r>
      <w:proofErr w:type="spellEnd"/>
      <w:r w:rsidRPr="004F3E93">
        <w:rPr>
          <w:rFonts w:ascii="Garamond" w:hAnsi="Garamond"/>
          <w:b w:val="0"/>
          <w:bCs/>
        </w:rPr>
        <w:t xml:space="preserve"> të Gjykatës së Lartë, e drejta e pronësisë mbi një pasuri të paluajtshme kalon në çastin e lidhjes së kontratës së tjetërsimit të pasurisë. Blerësi ose përfituesi i pasurisë bëhet pronar i ligjshëm në momentin e nënshkrimit të kontratës, duke fituar edhe të gjitha të drejtat dhe detyrimet që lidhen me qenien e tij si pronar mbi këtë pasuri. </w:t>
      </w:r>
      <w:proofErr w:type="spellStart"/>
      <w:r w:rsidRPr="004F3E93">
        <w:rPr>
          <w:rFonts w:ascii="Garamond" w:hAnsi="Garamond"/>
          <w:b w:val="0"/>
          <w:bCs/>
        </w:rPr>
        <w:t>Mosregjistrimi</w:t>
      </w:r>
      <w:proofErr w:type="spellEnd"/>
      <w:r w:rsidRPr="004F3E93">
        <w:rPr>
          <w:rFonts w:ascii="Garamond" w:hAnsi="Garamond"/>
          <w:b w:val="0"/>
          <w:bCs/>
        </w:rPr>
        <w:t xml:space="preserve"> i kontratës së tjetërsimit të pasurive të paluajtshme në regjistrat publikë të pasurive të paluajtshme nuk cenon vlefshmërinë e veprimit juridik dhe nuk e bën atë absolutisht të pavlefshëm. Regjistrimi ose transkriptimi i një veprimi juridik nuk është një element i vlefshmërisë së tij (kontratës), por </w:t>
      </w:r>
      <w:proofErr w:type="spellStart"/>
      <w:r w:rsidRPr="004F3E93">
        <w:rPr>
          <w:rFonts w:ascii="Garamond" w:hAnsi="Garamond"/>
          <w:b w:val="0"/>
          <w:bCs/>
        </w:rPr>
        <w:t>mosregjistrimi</w:t>
      </w:r>
      <w:proofErr w:type="spellEnd"/>
      <w:r w:rsidRPr="004F3E93">
        <w:rPr>
          <w:rFonts w:ascii="Garamond" w:hAnsi="Garamond"/>
          <w:b w:val="0"/>
          <w:bCs/>
        </w:rPr>
        <w:t xml:space="preserve"> nuk i jep mundësinë blerësit që të tjetërsojë pronën tek të tretët </w:t>
      </w:r>
      <w:r w:rsidRPr="004F3E93">
        <w:rPr>
          <w:rFonts w:ascii="Garamond" w:hAnsi="Garamond"/>
          <w:b w:val="0"/>
          <w:bCs/>
          <w:i/>
          <w:iCs/>
        </w:rPr>
        <w:t xml:space="preserve">(shih vendimin </w:t>
      </w:r>
      <w:proofErr w:type="spellStart"/>
      <w:r w:rsidRPr="004F3E93">
        <w:rPr>
          <w:rFonts w:ascii="Garamond" w:hAnsi="Garamond"/>
          <w:b w:val="0"/>
          <w:bCs/>
          <w:i/>
          <w:iCs/>
        </w:rPr>
        <w:t>unifikues</w:t>
      </w:r>
      <w:proofErr w:type="spellEnd"/>
      <w:r w:rsidRPr="004F3E93">
        <w:rPr>
          <w:rFonts w:ascii="Garamond" w:hAnsi="Garamond"/>
          <w:b w:val="0"/>
          <w:bCs/>
          <w:i/>
          <w:iCs/>
        </w:rPr>
        <w:t xml:space="preserve"> nr. 1, datë 6.1.2009</w:t>
      </w:r>
      <w:r w:rsidR="00EA7E34">
        <w:rPr>
          <w:rFonts w:ascii="Garamond" w:hAnsi="Garamond"/>
          <w:b w:val="0"/>
          <w:bCs/>
          <w:i/>
          <w:iCs/>
        </w:rPr>
        <w:t>,</w:t>
      </w:r>
      <w:r w:rsidRPr="004F3E93">
        <w:rPr>
          <w:rFonts w:ascii="Garamond" w:hAnsi="Garamond"/>
          <w:b w:val="0"/>
          <w:bCs/>
          <w:i/>
          <w:iCs/>
        </w:rPr>
        <w:t xml:space="preserve"> të Kolegjeve të Bashkuara të Gjykatës së Lartë)</w:t>
      </w:r>
      <w:r w:rsidRPr="004F3E93">
        <w:rPr>
          <w:rFonts w:ascii="Garamond" w:hAnsi="Garamond"/>
          <w:b w:val="0"/>
          <w:bCs/>
        </w:rPr>
        <w:t xml:space="preserve">.  </w:t>
      </w:r>
    </w:p>
    <w:p w14:paraId="29698EA6" w14:textId="5A3FA119"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25. Duke mbajtur në konsideratë sa më sipër, Gjykata do të analizojë në vijim nëse gjykatat e zakonshme kanë identifikuar, pa gabime ligjore të dukshme, ligjin e zbatueshëm që rregullon kalimin e pronësisë me anë të shitjes të një sendi të ardhshëm dhe pavlefshmërinë e hipotekës, që ka qenë objekt i procesit gjyqësor të kundërshtuar dhe nëse vendimi i Gjykatës së Lartë për mospranimin e rekursit të kërkueses është në përputhje me standardet kushtetuese të arsyetimit.</w:t>
      </w:r>
    </w:p>
    <w:p w14:paraId="51923EAF" w14:textId="76347A2D"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 xml:space="preserve">26. Në këtë këndvështrim, Gjykata vëren se gjykata e shkallës së parë në datën 15.12.2014 ka vendosur pranimin e padisë së subjektit të interesuar, </w:t>
      </w:r>
      <w:proofErr w:type="spellStart"/>
      <w:r w:rsidRPr="004F3E93">
        <w:rPr>
          <w:rFonts w:ascii="Garamond" w:hAnsi="Garamond"/>
          <w:b w:val="0"/>
          <w:bCs/>
        </w:rPr>
        <w:t>Erjon</w:t>
      </w:r>
      <w:proofErr w:type="spellEnd"/>
      <w:r w:rsidRPr="004F3E93">
        <w:rPr>
          <w:rFonts w:ascii="Garamond" w:hAnsi="Garamond"/>
          <w:b w:val="0"/>
          <w:bCs/>
        </w:rPr>
        <w:t xml:space="preserve"> </w:t>
      </w:r>
      <w:proofErr w:type="spellStart"/>
      <w:r w:rsidRPr="004F3E93">
        <w:rPr>
          <w:rFonts w:ascii="Garamond" w:hAnsi="Garamond"/>
          <w:b w:val="0"/>
          <w:bCs/>
        </w:rPr>
        <w:t>Kasmi</w:t>
      </w:r>
      <w:proofErr w:type="spellEnd"/>
      <w:r w:rsidRPr="004F3E93">
        <w:rPr>
          <w:rFonts w:ascii="Garamond" w:hAnsi="Garamond"/>
          <w:b w:val="0"/>
          <w:bCs/>
        </w:rPr>
        <w:t xml:space="preserve">, duke vënë në dukje se apartamenti, objekt gjykimi, ishte vënë </w:t>
      </w:r>
      <w:proofErr w:type="spellStart"/>
      <w:r w:rsidRPr="004F3E93">
        <w:rPr>
          <w:rFonts w:ascii="Garamond" w:hAnsi="Garamond"/>
          <w:b w:val="0"/>
          <w:bCs/>
        </w:rPr>
        <w:t>kolateral</w:t>
      </w:r>
      <w:proofErr w:type="spellEnd"/>
      <w:r w:rsidRPr="004F3E93">
        <w:rPr>
          <w:rFonts w:ascii="Garamond" w:hAnsi="Garamond"/>
          <w:b w:val="0"/>
          <w:bCs/>
        </w:rPr>
        <w:t xml:space="preserve"> për dy kredi bankare, që të dyja të dhëna nga vetë kërkuesja: i</w:t>
      </w:r>
      <w:r w:rsidR="00EA7E34">
        <w:rPr>
          <w:rFonts w:ascii="Garamond" w:hAnsi="Garamond"/>
          <w:b w:val="0"/>
          <w:bCs/>
        </w:rPr>
        <w:t>.</w:t>
      </w:r>
      <w:r w:rsidRPr="004F3E93">
        <w:rPr>
          <w:rFonts w:ascii="Garamond" w:hAnsi="Garamond"/>
          <w:b w:val="0"/>
          <w:bCs/>
        </w:rPr>
        <w:t xml:space="preserve"> kredia e dhënë fillimisht tek subjekti i interesuar, </w:t>
      </w:r>
      <w:proofErr w:type="spellStart"/>
      <w:r w:rsidRPr="004F3E93">
        <w:rPr>
          <w:rFonts w:ascii="Garamond" w:hAnsi="Garamond"/>
          <w:b w:val="0"/>
          <w:bCs/>
        </w:rPr>
        <w:t>Erjon</w:t>
      </w:r>
      <w:proofErr w:type="spellEnd"/>
      <w:r w:rsidRPr="004F3E93">
        <w:rPr>
          <w:rFonts w:ascii="Garamond" w:hAnsi="Garamond"/>
          <w:b w:val="0"/>
          <w:bCs/>
        </w:rPr>
        <w:t xml:space="preserve"> </w:t>
      </w:r>
      <w:proofErr w:type="spellStart"/>
      <w:r w:rsidRPr="004F3E93">
        <w:rPr>
          <w:rFonts w:ascii="Garamond" w:hAnsi="Garamond"/>
          <w:b w:val="0"/>
          <w:bCs/>
        </w:rPr>
        <w:t>Kasmi</w:t>
      </w:r>
      <w:proofErr w:type="spellEnd"/>
      <w:r w:rsidRPr="004F3E93">
        <w:rPr>
          <w:rFonts w:ascii="Garamond" w:hAnsi="Garamond"/>
          <w:b w:val="0"/>
          <w:bCs/>
        </w:rPr>
        <w:t xml:space="preserve">, për të realizuar blerjen e apartamentit prej tij nga shoqëria ndërtuese; </w:t>
      </w:r>
      <w:proofErr w:type="spellStart"/>
      <w:r w:rsidRPr="004F3E93">
        <w:rPr>
          <w:rFonts w:ascii="Garamond" w:hAnsi="Garamond"/>
          <w:b w:val="0"/>
          <w:bCs/>
        </w:rPr>
        <w:t>ii</w:t>
      </w:r>
      <w:proofErr w:type="spellEnd"/>
      <w:r w:rsidR="00EA7E34">
        <w:rPr>
          <w:rFonts w:ascii="Garamond" w:hAnsi="Garamond"/>
          <w:b w:val="0"/>
          <w:bCs/>
        </w:rPr>
        <w:t>.</w:t>
      </w:r>
      <w:r w:rsidRPr="004F3E93">
        <w:rPr>
          <w:rFonts w:ascii="Garamond" w:hAnsi="Garamond"/>
          <w:b w:val="0"/>
          <w:bCs/>
        </w:rPr>
        <w:t xml:space="preserve"> kredia e dhënë më pas tek shoqëria ndërtuese për të realizuar ndërtimin e të gjithë godinës me apartamente. Sipas asaj gjykate, për zgjidhjen e mosmarrëveshjes ishin të zbatueshme nenet 305 e 309 të </w:t>
      </w:r>
      <w:proofErr w:type="spellStart"/>
      <w:r w:rsidRPr="004F3E93">
        <w:rPr>
          <w:rFonts w:ascii="Garamond" w:hAnsi="Garamond"/>
          <w:b w:val="0"/>
          <w:bCs/>
        </w:rPr>
        <w:t>KC</w:t>
      </w:r>
      <w:proofErr w:type="spellEnd"/>
      <w:r w:rsidRPr="004F3E93">
        <w:rPr>
          <w:rFonts w:ascii="Garamond" w:hAnsi="Garamond"/>
          <w:b w:val="0"/>
          <w:bCs/>
        </w:rPr>
        <w:t xml:space="preserve">-së për posedimin e ligjshëm të sendit nga personi jo pronar dhe subjekti i interesuar </w:t>
      </w:r>
      <w:proofErr w:type="spellStart"/>
      <w:r w:rsidRPr="004F3E93">
        <w:rPr>
          <w:rFonts w:ascii="Garamond" w:hAnsi="Garamond"/>
          <w:b w:val="0"/>
          <w:bCs/>
        </w:rPr>
        <w:t>Erjon</w:t>
      </w:r>
      <w:proofErr w:type="spellEnd"/>
      <w:r w:rsidRPr="004F3E93">
        <w:rPr>
          <w:rFonts w:ascii="Garamond" w:hAnsi="Garamond"/>
          <w:b w:val="0"/>
          <w:bCs/>
        </w:rPr>
        <w:t xml:space="preserve"> </w:t>
      </w:r>
      <w:proofErr w:type="spellStart"/>
      <w:r w:rsidRPr="004F3E93">
        <w:rPr>
          <w:rFonts w:ascii="Garamond" w:hAnsi="Garamond"/>
          <w:b w:val="0"/>
          <w:bCs/>
        </w:rPr>
        <w:t>Kasmi</w:t>
      </w:r>
      <w:proofErr w:type="spellEnd"/>
      <w:r w:rsidRPr="004F3E93">
        <w:rPr>
          <w:rFonts w:ascii="Garamond" w:hAnsi="Garamond"/>
          <w:b w:val="0"/>
          <w:bCs/>
        </w:rPr>
        <w:t xml:space="preserve"> ishte posedues i ligjshëm i kësaj pasurie.</w:t>
      </w:r>
    </w:p>
    <w:p w14:paraId="727BAB3E" w14:textId="283E35CD"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 xml:space="preserve">27. Kërkuesja ka paraqitur apel, duke ngritur si shkak zbatimin e keq të ligjit dhe vlerësimin e gabuar të provave. Sipas saj, kontrata e kredisë me shoqërinë ndërtuese ishte bërë me akt noterial, në përputhje me kërkesat e </w:t>
      </w:r>
      <w:proofErr w:type="spellStart"/>
      <w:r w:rsidRPr="004F3E93">
        <w:rPr>
          <w:rFonts w:ascii="Garamond" w:hAnsi="Garamond"/>
          <w:b w:val="0"/>
          <w:bCs/>
        </w:rPr>
        <w:t>KC</w:t>
      </w:r>
      <w:proofErr w:type="spellEnd"/>
      <w:r w:rsidRPr="004F3E93">
        <w:rPr>
          <w:rFonts w:ascii="Garamond" w:hAnsi="Garamond"/>
          <w:b w:val="0"/>
          <w:bCs/>
        </w:rPr>
        <w:t xml:space="preserve">-së. Pasuria ishte regjistruar në </w:t>
      </w:r>
      <w:proofErr w:type="spellStart"/>
      <w:r w:rsidRPr="004F3E93">
        <w:rPr>
          <w:rFonts w:ascii="Garamond" w:hAnsi="Garamond"/>
          <w:b w:val="0"/>
          <w:bCs/>
        </w:rPr>
        <w:t>ZVRPP</w:t>
      </w:r>
      <w:proofErr w:type="spellEnd"/>
      <w:r w:rsidRPr="004F3E93">
        <w:rPr>
          <w:rFonts w:ascii="Garamond" w:hAnsi="Garamond"/>
          <w:b w:val="0"/>
          <w:bCs/>
        </w:rPr>
        <w:t xml:space="preserve"> në emër të shoqërisë </w:t>
      </w:r>
      <w:r w:rsidRPr="004F3E93">
        <w:rPr>
          <w:rFonts w:ascii="Garamond" w:hAnsi="Garamond"/>
          <w:b w:val="0"/>
          <w:bCs/>
        </w:rPr>
        <w:lastRenderedPageBreak/>
        <w:t xml:space="preserve">ndërtuese dhe në regjistër nuk kishte asnjë </w:t>
      </w:r>
      <w:proofErr w:type="spellStart"/>
      <w:r w:rsidRPr="004F3E93">
        <w:rPr>
          <w:rFonts w:ascii="Garamond" w:hAnsi="Garamond"/>
          <w:b w:val="0"/>
          <w:bCs/>
        </w:rPr>
        <w:t>inskriptim</w:t>
      </w:r>
      <w:proofErr w:type="spellEnd"/>
      <w:r w:rsidRPr="004F3E93">
        <w:rPr>
          <w:rFonts w:ascii="Garamond" w:hAnsi="Garamond"/>
          <w:b w:val="0"/>
          <w:bCs/>
        </w:rPr>
        <w:t xml:space="preserve"> tjetër për efekt të drejtash pasurore.  Sipas kërkueses, kontrata që subjekti i interesuar </w:t>
      </w:r>
      <w:proofErr w:type="spellStart"/>
      <w:r w:rsidRPr="004F3E93">
        <w:rPr>
          <w:rFonts w:ascii="Garamond" w:hAnsi="Garamond"/>
          <w:b w:val="0"/>
          <w:bCs/>
        </w:rPr>
        <w:t>Erjon</w:t>
      </w:r>
      <w:proofErr w:type="spellEnd"/>
      <w:r w:rsidRPr="004F3E93">
        <w:rPr>
          <w:rFonts w:ascii="Garamond" w:hAnsi="Garamond"/>
          <w:b w:val="0"/>
          <w:bCs/>
        </w:rPr>
        <w:t xml:space="preserve"> </w:t>
      </w:r>
      <w:proofErr w:type="spellStart"/>
      <w:r w:rsidRPr="004F3E93">
        <w:rPr>
          <w:rFonts w:ascii="Garamond" w:hAnsi="Garamond"/>
          <w:b w:val="0"/>
          <w:bCs/>
        </w:rPr>
        <w:t>Kasmi</w:t>
      </w:r>
      <w:proofErr w:type="spellEnd"/>
      <w:r w:rsidRPr="004F3E93">
        <w:rPr>
          <w:rFonts w:ascii="Garamond" w:hAnsi="Garamond"/>
          <w:b w:val="0"/>
          <w:bCs/>
        </w:rPr>
        <w:t xml:space="preserve"> kishte lidhur me shoqërinë ndërtuese ishte kontratë sipërmarrjeje, nuk ishte e regjistruar dhe e drejta e pronësisë do të kalonte në momentin e regjistrimit përfundimtar të saj nga shoqëria ndërtuese, përmes kontratës së shitjes, sipas neneve 83 e 164 të </w:t>
      </w:r>
      <w:proofErr w:type="spellStart"/>
      <w:r w:rsidRPr="004F3E93">
        <w:rPr>
          <w:rFonts w:ascii="Garamond" w:hAnsi="Garamond"/>
          <w:b w:val="0"/>
          <w:bCs/>
        </w:rPr>
        <w:t>KC</w:t>
      </w:r>
      <w:proofErr w:type="spellEnd"/>
      <w:r w:rsidRPr="004F3E93">
        <w:rPr>
          <w:rFonts w:ascii="Garamond" w:hAnsi="Garamond"/>
          <w:b w:val="0"/>
          <w:bCs/>
        </w:rPr>
        <w:t xml:space="preserve">-së. Kontrata e lidhur nuk ishte kontratë shitjeje, për më tepër që leja e shfrytëzimit nuk ishte nxjerrë ende, ndaj subjekti i interesuar </w:t>
      </w:r>
      <w:proofErr w:type="spellStart"/>
      <w:r w:rsidRPr="004F3E93">
        <w:rPr>
          <w:rFonts w:ascii="Garamond" w:hAnsi="Garamond"/>
          <w:b w:val="0"/>
          <w:bCs/>
        </w:rPr>
        <w:t>Erjon</w:t>
      </w:r>
      <w:proofErr w:type="spellEnd"/>
      <w:r w:rsidRPr="004F3E93">
        <w:rPr>
          <w:rFonts w:ascii="Garamond" w:hAnsi="Garamond"/>
          <w:b w:val="0"/>
          <w:bCs/>
        </w:rPr>
        <w:t xml:space="preserve"> </w:t>
      </w:r>
      <w:proofErr w:type="spellStart"/>
      <w:r w:rsidRPr="004F3E93">
        <w:rPr>
          <w:rFonts w:ascii="Garamond" w:hAnsi="Garamond"/>
          <w:b w:val="0"/>
          <w:bCs/>
        </w:rPr>
        <w:t>Kasmi</w:t>
      </w:r>
      <w:proofErr w:type="spellEnd"/>
      <w:r w:rsidRPr="004F3E93">
        <w:rPr>
          <w:rFonts w:ascii="Garamond" w:hAnsi="Garamond"/>
          <w:b w:val="0"/>
          <w:bCs/>
        </w:rPr>
        <w:t xml:space="preserve">, nuk mund të konsiderohej pronar. </w:t>
      </w:r>
    </w:p>
    <w:p w14:paraId="0D656A67" w14:textId="68687289"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 xml:space="preserve">28. Gjykata e Apelit Tiranë në datën 1.7.2016 ka vendosur lënien në fuqi të vendimit të gjykatës së shkallës së parë, por me tjetër arsyetim, duke vënë në dukje se nuk ishin të zbatueshme rregullat për posedimin, por ato për fitimin e pronësisë. Sipas saj, duke interpretuar vullnetin e palëve </w:t>
      </w:r>
      <w:proofErr w:type="spellStart"/>
      <w:r w:rsidRPr="004F3E93">
        <w:rPr>
          <w:rFonts w:ascii="Garamond" w:hAnsi="Garamond"/>
          <w:b w:val="0"/>
          <w:bCs/>
        </w:rPr>
        <w:t>kontraktore</w:t>
      </w:r>
      <w:proofErr w:type="spellEnd"/>
      <w:r w:rsidRPr="004F3E93">
        <w:rPr>
          <w:rFonts w:ascii="Garamond" w:hAnsi="Garamond"/>
          <w:b w:val="0"/>
          <w:bCs/>
        </w:rPr>
        <w:t xml:space="preserve">, nuk bëhej fjalë për kontratë porosie, por kontratë për shitjen e sendit në të ardhmen, e cila rregullohej nga neni 750 i </w:t>
      </w:r>
      <w:proofErr w:type="spellStart"/>
      <w:r w:rsidRPr="004F3E93">
        <w:rPr>
          <w:rFonts w:ascii="Garamond" w:hAnsi="Garamond"/>
          <w:b w:val="0"/>
          <w:bCs/>
        </w:rPr>
        <w:t>KC</w:t>
      </w:r>
      <w:proofErr w:type="spellEnd"/>
      <w:r w:rsidRPr="004F3E93">
        <w:rPr>
          <w:rFonts w:ascii="Garamond" w:hAnsi="Garamond"/>
          <w:b w:val="0"/>
          <w:bCs/>
        </w:rPr>
        <w:t xml:space="preserve">-së. Sendi ishte krijuar </w:t>
      </w:r>
      <w:r w:rsidRPr="004F3E93">
        <w:rPr>
          <w:rFonts w:ascii="Garamond" w:hAnsi="Garamond"/>
          <w:b w:val="0"/>
          <w:bCs/>
          <w:i/>
          <w:iCs/>
        </w:rPr>
        <w:t>de facto</w:t>
      </w:r>
      <w:r w:rsidRPr="004F3E93">
        <w:rPr>
          <w:rFonts w:ascii="Garamond" w:hAnsi="Garamond"/>
          <w:b w:val="0"/>
          <w:bCs/>
        </w:rPr>
        <w:t xml:space="preserve"> në fund të vitit 2010 dhe ishte pranuar se ekzistonte, pasi subjekti i interesuar, </w:t>
      </w:r>
      <w:proofErr w:type="spellStart"/>
      <w:r w:rsidRPr="004F3E93">
        <w:rPr>
          <w:rFonts w:ascii="Garamond" w:hAnsi="Garamond"/>
          <w:b w:val="0"/>
          <w:bCs/>
        </w:rPr>
        <w:t>Erjon</w:t>
      </w:r>
      <w:proofErr w:type="spellEnd"/>
      <w:r w:rsidRPr="004F3E93">
        <w:rPr>
          <w:rFonts w:ascii="Garamond" w:hAnsi="Garamond"/>
          <w:b w:val="0"/>
          <w:bCs/>
        </w:rPr>
        <w:t xml:space="preserve"> </w:t>
      </w:r>
      <w:proofErr w:type="spellStart"/>
      <w:r w:rsidRPr="004F3E93">
        <w:rPr>
          <w:rFonts w:ascii="Garamond" w:hAnsi="Garamond"/>
          <w:b w:val="0"/>
          <w:bCs/>
        </w:rPr>
        <w:t>Kasmi</w:t>
      </w:r>
      <w:proofErr w:type="spellEnd"/>
      <w:r w:rsidRPr="004F3E93">
        <w:rPr>
          <w:rFonts w:ascii="Garamond" w:hAnsi="Garamond"/>
          <w:b w:val="0"/>
          <w:bCs/>
        </w:rPr>
        <w:t xml:space="preserve">, kishte marrë posedimin faktik mbi të, çka vërtetohej edhe nga libreza e energjisë elektrike. Po ashtu, gjykata e apelit ka vërejtur se regjistrimi i godinës karabina ishte bërë në vitin 2011 nga shoqëria ndërtuese (në ndryshim nga sa pretendon kërkuesja se sendi nuk ka ekzistuar </w:t>
      </w:r>
      <w:r w:rsidRPr="004F3E93">
        <w:rPr>
          <w:rFonts w:ascii="Garamond" w:hAnsi="Garamond"/>
          <w:b w:val="0"/>
          <w:bCs/>
          <w:i/>
          <w:iCs/>
        </w:rPr>
        <w:t>de jure</w:t>
      </w:r>
      <w:r w:rsidRPr="004F3E93">
        <w:rPr>
          <w:rFonts w:ascii="Garamond" w:hAnsi="Garamond"/>
          <w:b w:val="0"/>
          <w:bCs/>
        </w:rPr>
        <w:t xml:space="preserve">), ndonëse regjistrimi i objektit të përfunduar nuk ishte bërë ende. Mbi bazën e kësaj analize, gjykata e apelit ka arritur në përfundimin se subjektit të interesuar, </w:t>
      </w:r>
      <w:proofErr w:type="spellStart"/>
      <w:r w:rsidRPr="004F3E93">
        <w:rPr>
          <w:rFonts w:ascii="Garamond" w:hAnsi="Garamond"/>
          <w:b w:val="0"/>
          <w:bCs/>
        </w:rPr>
        <w:t>Erjon</w:t>
      </w:r>
      <w:proofErr w:type="spellEnd"/>
      <w:r w:rsidRPr="004F3E93">
        <w:rPr>
          <w:rFonts w:ascii="Garamond" w:hAnsi="Garamond"/>
          <w:b w:val="0"/>
          <w:bCs/>
        </w:rPr>
        <w:t xml:space="preserve"> </w:t>
      </w:r>
      <w:proofErr w:type="spellStart"/>
      <w:r w:rsidRPr="004F3E93">
        <w:rPr>
          <w:rFonts w:ascii="Garamond" w:hAnsi="Garamond"/>
          <w:b w:val="0"/>
          <w:bCs/>
        </w:rPr>
        <w:t>Kasmi</w:t>
      </w:r>
      <w:proofErr w:type="spellEnd"/>
      <w:r w:rsidRPr="004F3E93">
        <w:rPr>
          <w:rFonts w:ascii="Garamond" w:hAnsi="Garamond"/>
          <w:b w:val="0"/>
          <w:bCs/>
        </w:rPr>
        <w:t xml:space="preserve">, i kishte kaluar e drejta e pronësisë që në momentin kur ky send ishte pranuar se ekzistonte, në përputhje me përmbajtjen e nenit 706 të </w:t>
      </w:r>
      <w:proofErr w:type="spellStart"/>
      <w:r w:rsidRPr="004F3E93">
        <w:rPr>
          <w:rFonts w:ascii="Garamond" w:hAnsi="Garamond"/>
          <w:b w:val="0"/>
          <w:bCs/>
        </w:rPr>
        <w:t>KC</w:t>
      </w:r>
      <w:proofErr w:type="spellEnd"/>
      <w:r w:rsidRPr="004F3E93">
        <w:rPr>
          <w:rFonts w:ascii="Garamond" w:hAnsi="Garamond"/>
          <w:b w:val="0"/>
          <w:bCs/>
        </w:rPr>
        <w:t>-së. Për këtë arsye, sipas gjykatës së apelit, shoqëria ndërtuese nuk kishte asnjë të drejtë të vendoste në hipotekë një send që nuk ishte në pronësi të saj, ndaj me të drejtë gjykata e rrethit kishte vlerësuar të pavlefshme kontratën e hipotekimit.</w:t>
      </w:r>
    </w:p>
    <w:p w14:paraId="06AFB515" w14:textId="4621E2F0"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29. Kërkuesja ka paraqitur rekurs, duke ngritur sërish si shkak zbatimin e keq të ligjit dhe vlerësimin e gabuar të provave. Krahas pretendimeve të ngritura në aktin e apelit, ajo ka parashtruar edhe pretendimin se ekzistenca e sendit nuk duhej lidhur vetëm me gjendjen e faktit, por edhe me ekzistencën juridike, pra ndërtimi nuk konsiderohej i përfunduar sipas ligjit, pasi shoqëria nuk kishte plotësuar të gjitha kërkesat ligjore dhe nuk e kishte regjistruar ende atë.</w:t>
      </w:r>
    </w:p>
    <w:p w14:paraId="1DC29AEE" w14:textId="6CD70220"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30. Në analizë të këtyre pretendimeve, Gjykata e Lartë ka vendosur mospranimin e rekursit të kërkueses, duke vlerësuar se, në kundërshtim nga sa ajo pretendonte, gjykatat e faktit kishin respektuar ligjin material, duke e interpretuar dhe zbatuar drejt atë. Po kështu, vendimet e tyre nuk vinin në kundërshtim me ndonjë vendim të Kolegjit Civil ose të Kolegjeve të Bashkuara të saj, ndërsa pjesa e pretendimeve në rekurs që ngrinte çështje të vlerësimit të provave dilte jashtë funksionit rishikues dhe ekskluzivisht ligjor të saj.</w:t>
      </w:r>
    </w:p>
    <w:p w14:paraId="4DBE6E0F" w14:textId="4477631B"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 xml:space="preserve">31. Nga sa më lart, Gjykata vëren se gjykata e apelit e ka arsyetuar vendimmarrjen e saj në drejtim të përcaktimit të fakteve dhe legjislacionit të zbatueshëm për zgjidhjen e çështjes konkrete, duke identifikuar dispozitat e </w:t>
      </w:r>
      <w:proofErr w:type="spellStart"/>
      <w:r w:rsidRPr="004F3E93">
        <w:rPr>
          <w:rFonts w:ascii="Garamond" w:hAnsi="Garamond"/>
          <w:b w:val="0"/>
          <w:bCs/>
        </w:rPr>
        <w:t>KC</w:t>
      </w:r>
      <w:proofErr w:type="spellEnd"/>
      <w:r w:rsidRPr="004F3E93">
        <w:rPr>
          <w:rFonts w:ascii="Garamond" w:hAnsi="Garamond"/>
          <w:b w:val="0"/>
          <w:bCs/>
        </w:rPr>
        <w:t xml:space="preserve">-së që rregullojnë kontratën e shitjes së sendit të ardhshëm dhe mënyrën e fitimit të pronësisë së subjektit të interesuar. Identifikimi dhe interpretimi i ligjit material prej saj i janë nënshtruar kontrollit të ligjshmërisë nga Gjykata e Lartë, e cila, në ushtrim të funksionit të saj si gjykatë ligji, i ka gjetur të drejtë. Në vlerësimin e Gjykatës, ligji i zbatueshëm që ka rregulluar titullin e pronësisë për pronën objekt procesi gjyqësor të kundërshtuar është identifikuar nga gjykatat e zakonshme pa gabime ligjore të dukshme. Vendimi i Gjykatës së Lartë për mospranimin e rekursit të kërkueses, ndonëse me arsyetim të kufizuar, është në përputhje me standardet kushtetuese të arsyetimit, për sa kohë parashtron në pjesën hyrëse me saktësi shkaqet e rekursit. </w:t>
      </w:r>
    </w:p>
    <w:p w14:paraId="1D9107DF" w14:textId="36D829EF" w:rsidR="004F3E93" w:rsidRPr="004F3E93" w:rsidRDefault="004F3E93" w:rsidP="004F3E93">
      <w:pPr>
        <w:pStyle w:val="BodyTextIndent2"/>
        <w:tabs>
          <w:tab w:val="left" w:pos="1080"/>
        </w:tabs>
        <w:spacing w:line="240" w:lineRule="auto"/>
        <w:ind w:left="0" w:firstLine="284"/>
        <w:rPr>
          <w:rFonts w:ascii="Garamond" w:hAnsi="Garamond"/>
          <w:b w:val="0"/>
          <w:bCs/>
        </w:rPr>
      </w:pPr>
      <w:r w:rsidRPr="004F3E93">
        <w:rPr>
          <w:rFonts w:ascii="Garamond" w:hAnsi="Garamond"/>
          <w:b w:val="0"/>
          <w:bCs/>
        </w:rPr>
        <w:t>32. Në përfundim, Gjykata çmon se pretendimi i kërkueses për cenimin e së drejtës për proces të rregullt ligjor në aspektin e standardit të arsyetimit të vendimit gjyqësor është i pabazuar, sipas arsyetimit të këtij vendimi, ndaj kërkesa rrëzohet.</w:t>
      </w:r>
    </w:p>
    <w:p w14:paraId="59FE3CCC" w14:textId="77777777" w:rsidR="004F3E93" w:rsidRPr="004F3E93" w:rsidRDefault="004F3E93" w:rsidP="004F3E93">
      <w:pPr>
        <w:pStyle w:val="BodyTextIndent2"/>
        <w:tabs>
          <w:tab w:val="left" w:pos="840"/>
          <w:tab w:val="left" w:pos="1080"/>
        </w:tabs>
        <w:spacing w:line="240" w:lineRule="auto"/>
        <w:ind w:left="0" w:firstLine="284"/>
        <w:rPr>
          <w:rFonts w:ascii="Garamond" w:hAnsi="Garamond"/>
        </w:rPr>
      </w:pPr>
    </w:p>
    <w:p w14:paraId="096F53FA" w14:textId="4A5B1685" w:rsidR="004F3E93" w:rsidRDefault="004F3E93" w:rsidP="004F3E93">
      <w:pPr>
        <w:spacing w:line="240" w:lineRule="auto"/>
        <w:ind w:firstLine="284"/>
        <w:jc w:val="center"/>
        <w:rPr>
          <w:rFonts w:ascii="Garamond" w:hAnsi="Garamond"/>
          <w:bCs/>
        </w:rPr>
      </w:pPr>
      <w:r w:rsidRPr="004F3E93">
        <w:rPr>
          <w:rFonts w:ascii="Garamond" w:hAnsi="Garamond"/>
          <w:bCs/>
        </w:rPr>
        <w:t>PËR KËTO ARSYE,</w:t>
      </w:r>
    </w:p>
    <w:p w14:paraId="237BCE1A" w14:textId="77777777" w:rsidR="004F3E93" w:rsidRPr="004F3E93" w:rsidRDefault="004F3E93" w:rsidP="004F3E93">
      <w:pPr>
        <w:spacing w:line="240" w:lineRule="auto"/>
        <w:ind w:firstLine="284"/>
        <w:jc w:val="center"/>
        <w:rPr>
          <w:rFonts w:ascii="Garamond" w:hAnsi="Garamond"/>
        </w:rPr>
      </w:pPr>
    </w:p>
    <w:p w14:paraId="0EF54696" w14:textId="1560344B" w:rsidR="004F3E93" w:rsidRPr="004F3E93" w:rsidRDefault="004F3E93" w:rsidP="004F3E93">
      <w:pPr>
        <w:spacing w:line="240" w:lineRule="auto"/>
        <w:ind w:firstLine="284"/>
        <w:jc w:val="both"/>
        <w:rPr>
          <w:rFonts w:ascii="Garamond" w:hAnsi="Garamond"/>
        </w:rPr>
      </w:pPr>
      <w:r w:rsidRPr="004F3E93">
        <w:rPr>
          <w:rFonts w:ascii="Garamond" w:hAnsi="Garamond"/>
        </w:rPr>
        <w:t>Gjykata Kushtetuese, në mbështetje të neneve 131, pika 1, shkronja “f” dhe 134, pika 1, shkronja “i”, të Kushtetutës, si dhe neneve 72 e vijues</w:t>
      </w:r>
      <w:r w:rsidR="00EA7E34">
        <w:rPr>
          <w:rFonts w:ascii="Garamond" w:hAnsi="Garamond"/>
        </w:rPr>
        <w:t>e</w:t>
      </w:r>
      <w:r w:rsidRPr="004F3E93">
        <w:rPr>
          <w:rFonts w:ascii="Garamond" w:hAnsi="Garamond"/>
        </w:rPr>
        <w:t xml:space="preserve"> të ligjit nr. 8577, datë 10.2.2000</w:t>
      </w:r>
      <w:r w:rsidR="00EA7E34">
        <w:rPr>
          <w:rFonts w:ascii="Garamond" w:hAnsi="Garamond"/>
        </w:rPr>
        <w:t>,</w:t>
      </w:r>
      <w:r w:rsidRPr="004F3E93">
        <w:rPr>
          <w:rFonts w:ascii="Garamond" w:hAnsi="Garamond"/>
        </w:rPr>
        <w:t xml:space="preserve"> “Për organizimin dhe funksionimin e Gjykatës Kushtetuese të Republikës së Shqipërisë”, të ndryshuar, njëzëri,</w:t>
      </w:r>
    </w:p>
    <w:p w14:paraId="72A194C6" w14:textId="77777777" w:rsidR="004F3E93" w:rsidRPr="004F3E93" w:rsidRDefault="004F3E93" w:rsidP="004F3E93">
      <w:pPr>
        <w:spacing w:line="240" w:lineRule="auto"/>
        <w:ind w:firstLine="284"/>
        <w:jc w:val="both"/>
        <w:rPr>
          <w:rFonts w:ascii="Garamond" w:hAnsi="Garamond"/>
        </w:rPr>
      </w:pPr>
    </w:p>
    <w:p w14:paraId="3BD5572E" w14:textId="7D497285" w:rsidR="004F3E93" w:rsidRPr="004F3E93" w:rsidRDefault="004F3E93" w:rsidP="004F3E93">
      <w:pPr>
        <w:spacing w:line="240" w:lineRule="auto"/>
        <w:ind w:firstLine="284"/>
        <w:jc w:val="center"/>
        <w:rPr>
          <w:rFonts w:ascii="Garamond" w:hAnsi="Garamond"/>
          <w:bCs/>
        </w:rPr>
      </w:pPr>
      <w:r w:rsidRPr="004F3E93">
        <w:rPr>
          <w:rFonts w:ascii="Garamond" w:hAnsi="Garamond"/>
          <w:bCs/>
        </w:rPr>
        <w:t>VENDOSI:</w:t>
      </w:r>
    </w:p>
    <w:p w14:paraId="00762A1A" w14:textId="77777777" w:rsidR="004F3E93" w:rsidRDefault="004F3E93" w:rsidP="004F3E93">
      <w:pPr>
        <w:spacing w:line="240" w:lineRule="auto"/>
        <w:ind w:firstLine="284"/>
        <w:jc w:val="both"/>
        <w:rPr>
          <w:rFonts w:ascii="Garamond" w:hAnsi="Garamond"/>
        </w:rPr>
      </w:pPr>
    </w:p>
    <w:p w14:paraId="027E653E" w14:textId="05BB609D" w:rsidR="004F3E93" w:rsidRPr="004F3E93" w:rsidRDefault="004F3E93" w:rsidP="004F3E93">
      <w:pPr>
        <w:spacing w:line="240" w:lineRule="auto"/>
        <w:ind w:firstLine="284"/>
        <w:jc w:val="both"/>
        <w:rPr>
          <w:rFonts w:ascii="Garamond" w:hAnsi="Garamond"/>
        </w:rPr>
      </w:pPr>
      <w:r w:rsidRPr="004F3E93">
        <w:rPr>
          <w:rFonts w:ascii="Garamond" w:hAnsi="Garamond"/>
        </w:rPr>
        <w:t>1. Rrëzimin e kërkesës.</w:t>
      </w:r>
    </w:p>
    <w:p w14:paraId="45FEB3B8" w14:textId="77777777" w:rsidR="004F3E93" w:rsidRPr="004F3E93" w:rsidRDefault="004F3E93" w:rsidP="004F3E93">
      <w:pPr>
        <w:spacing w:line="240" w:lineRule="auto"/>
        <w:ind w:firstLine="284"/>
        <w:jc w:val="both"/>
        <w:rPr>
          <w:rFonts w:ascii="Garamond" w:hAnsi="Garamond"/>
        </w:rPr>
      </w:pPr>
      <w:r w:rsidRPr="004F3E93">
        <w:rPr>
          <w:rFonts w:ascii="Garamond" w:hAnsi="Garamond"/>
        </w:rPr>
        <w:t>Ky vendim është përfundimtar dhe hyn në fuqi ditën e botimit në Fletoren Zyrtare.</w:t>
      </w:r>
    </w:p>
    <w:p w14:paraId="6E8933DA" w14:textId="77777777" w:rsidR="00EA7E34" w:rsidRDefault="00EA7E34" w:rsidP="004F3E93">
      <w:pPr>
        <w:spacing w:line="240" w:lineRule="auto"/>
        <w:ind w:firstLine="284"/>
        <w:jc w:val="both"/>
        <w:rPr>
          <w:rFonts w:ascii="Garamond" w:hAnsi="Garamond"/>
          <w:b/>
          <w:bCs/>
        </w:rPr>
      </w:pPr>
    </w:p>
    <w:p w14:paraId="57417C87" w14:textId="6F4AE046" w:rsidR="004F3E93" w:rsidRPr="004F3E93" w:rsidRDefault="004F3E93" w:rsidP="004F3E93">
      <w:pPr>
        <w:spacing w:line="240" w:lineRule="auto"/>
        <w:ind w:firstLine="284"/>
        <w:jc w:val="both"/>
        <w:rPr>
          <w:rFonts w:ascii="Garamond" w:hAnsi="Garamond"/>
          <w:b/>
          <w:bCs/>
        </w:rPr>
      </w:pPr>
      <w:r w:rsidRPr="004F3E93">
        <w:rPr>
          <w:rFonts w:ascii="Garamond" w:hAnsi="Garamond"/>
          <w:b/>
          <w:bCs/>
        </w:rPr>
        <w:t>Marrë më 4.3.2026</w:t>
      </w:r>
      <w:r w:rsidR="00EA7E34">
        <w:rPr>
          <w:rFonts w:ascii="Garamond" w:hAnsi="Garamond"/>
          <w:b/>
          <w:bCs/>
        </w:rPr>
        <w:t>.</w:t>
      </w:r>
    </w:p>
    <w:p w14:paraId="065319FE" w14:textId="6D15540A" w:rsidR="004F3E93" w:rsidRPr="004F3E93" w:rsidRDefault="004F3E93" w:rsidP="004F3E93">
      <w:pPr>
        <w:spacing w:line="240" w:lineRule="auto"/>
        <w:ind w:firstLine="284"/>
        <w:jc w:val="both"/>
        <w:rPr>
          <w:rFonts w:ascii="Garamond" w:hAnsi="Garamond"/>
          <w:b/>
          <w:bCs/>
        </w:rPr>
      </w:pPr>
      <w:r w:rsidRPr="004F3E93">
        <w:rPr>
          <w:rFonts w:ascii="Garamond" w:hAnsi="Garamond"/>
          <w:b/>
          <w:bCs/>
        </w:rPr>
        <w:t>Shpallur më 7.4.2026</w:t>
      </w:r>
      <w:r w:rsidR="00EA7E34">
        <w:rPr>
          <w:rFonts w:ascii="Garamond" w:hAnsi="Garamond"/>
          <w:b/>
          <w:bCs/>
        </w:rPr>
        <w:t>.</w:t>
      </w:r>
    </w:p>
    <w:p w14:paraId="3D18DBAC" w14:textId="5039CA5C" w:rsidR="004F3E93" w:rsidRDefault="004F3E93" w:rsidP="004F3E93">
      <w:pPr>
        <w:tabs>
          <w:tab w:val="left" w:pos="720"/>
          <w:tab w:val="left" w:pos="1080"/>
        </w:tabs>
        <w:spacing w:line="240" w:lineRule="auto"/>
        <w:ind w:firstLine="284"/>
        <w:jc w:val="both"/>
        <w:rPr>
          <w:rFonts w:ascii="Garamond" w:hAnsi="Garamond"/>
        </w:rPr>
      </w:pPr>
    </w:p>
    <w:p w14:paraId="54151DFD" w14:textId="29EC4059" w:rsidR="004F3E93" w:rsidRDefault="0060506C" w:rsidP="004F3E93">
      <w:pPr>
        <w:tabs>
          <w:tab w:val="left" w:pos="720"/>
          <w:tab w:val="left" w:pos="1080"/>
        </w:tabs>
        <w:spacing w:line="240" w:lineRule="auto"/>
        <w:ind w:firstLine="284"/>
        <w:jc w:val="both"/>
        <w:rPr>
          <w:rFonts w:ascii="Garamond" w:hAnsi="Garamond"/>
        </w:rPr>
      </w:pPr>
      <w:r w:rsidRPr="00394493">
        <w:rPr>
          <w:rFonts w:ascii="Garamond" w:hAnsi="Garamond"/>
          <w:b/>
        </w:rPr>
        <w:t>Kryetare:</w:t>
      </w:r>
      <w:r>
        <w:rPr>
          <w:rFonts w:ascii="Garamond" w:hAnsi="Garamond"/>
        </w:rPr>
        <w:t xml:space="preserve"> </w:t>
      </w:r>
      <w:proofErr w:type="spellStart"/>
      <w:r w:rsidRPr="004F3E93">
        <w:rPr>
          <w:rFonts w:ascii="Garamond" w:hAnsi="Garamond"/>
          <w:bCs/>
        </w:rPr>
        <w:t>Fiona</w:t>
      </w:r>
      <w:proofErr w:type="spellEnd"/>
      <w:r w:rsidRPr="004F3E93">
        <w:rPr>
          <w:rFonts w:ascii="Garamond" w:hAnsi="Garamond"/>
          <w:bCs/>
        </w:rPr>
        <w:t xml:space="preserve"> </w:t>
      </w:r>
      <w:proofErr w:type="spellStart"/>
      <w:r w:rsidRPr="004F3E93">
        <w:rPr>
          <w:rFonts w:ascii="Garamond" w:hAnsi="Garamond"/>
          <w:bCs/>
        </w:rPr>
        <w:t>Papajorgji</w:t>
      </w:r>
      <w:proofErr w:type="spellEnd"/>
    </w:p>
    <w:p w14:paraId="62159216" w14:textId="1BB8D5DA" w:rsidR="0060506C" w:rsidRPr="004F3E93" w:rsidRDefault="0060506C" w:rsidP="004F3E93">
      <w:pPr>
        <w:tabs>
          <w:tab w:val="left" w:pos="720"/>
          <w:tab w:val="left" w:pos="1080"/>
        </w:tabs>
        <w:spacing w:line="240" w:lineRule="auto"/>
        <w:ind w:firstLine="284"/>
        <w:jc w:val="both"/>
        <w:rPr>
          <w:rFonts w:ascii="Garamond" w:hAnsi="Garamond"/>
        </w:rPr>
      </w:pPr>
      <w:r w:rsidRPr="00394493">
        <w:rPr>
          <w:rFonts w:ascii="Garamond" w:hAnsi="Garamond"/>
          <w:b/>
        </w:rPr>
        <w:t>An</w:t>
      </w:r>
      <w:r w:rsidR="00394493" w:rsidRPr="00394493">
        <w:rPr>
          <w:rFonts w:ascii="Garamond" w:hAnsi="Garamond"/>
          <w:b/>
        </w:rPr>
        <w:t>ëtarë:</w:t>
      </w:r>
      <w:r w:rsidR="00394493">
        <w:rPr>
          <w:rFonts w:ascii="Garamond" w:hAnsi="Garamond"/>
        </w:rPr>
        <w:t xml:space="preserve"> </w:t>
      </w:r>
      <w:proofErr w:type="spellStart"/>
      <w:r w:rsidR="00394493" w:rsidRPr="004F3E93">
        <w:rPr>
          <w:rFonts w:ascii="Garamond" w:hAnsi="Garamond"/>
          <w:bCs/>
        </w:rPr>
        <w:t>Sandër</w:t>
      </w:r>
      <w:proofErr w:type="spellEnd"/>
      <w:r w:rsidR="00394493" w:rsidRPr="004F3E93">
        <w:rPr>
          <w:rFonts w:ascii="Garamond" w:hAnsi="Garamond"/>
          <w:bCs/>
        </w:rPr>
        <w:t xml:space="preserve"> Beci</w:t>
      </w:r>
      <w:r w:rsidR="00394493">
        <w:rPr>
          <w:rFonts w:ascii="Garamond" w:hAnsi="Garamond"/>
          <w:bCs/>
        </w:rPr>
        <w:t>,</w:t>
      </w:r>
      <w:r w:rsidR="00394493" w:rsidRPr="00394493">
        <w:rPr>
          <w:rFonts w:ascii="Garamond" w:hAnsi="Garamond"/>
          <w:bCs/>
        </w:rPr>
        <w:t xml:space="preserve"> </w:t>
      </w:r>
      <w:proofErr w:type="spellStart"/>
      <w:r w:rsidR="00394493" w:rsidRPr="004F3E93">
        <w:rPr>
          <w:rFonts w:ascii="Garamond" w:hAnsi="Garamond"/>
          <w:bCs/>
        </w:rPr>
        <w:t>Sonila</w:t>
      </w:r>
      <w:proofErr w:type="spellEnd"/>
      <w:r w:rsidR="00394493" w:rsidRPr="004F3E93">
        <w:rPr>
          <w:rFonts w:ascii="Garamond" w:hAnsi="Garamond"/>
          <w:bCs/>
        </w:rPr>
        <w:t xml:space="preserve"> Bejtja</w:t>
      </w:r>
      <w:r w:rsidR="00394493">
        <w:rPr>
          <w:rFonts w:ascii="Garamond" w:hAnsi="Garamond"/>
          <w:bCs/>
        </w:rPr>
        <w:t>,</w:t>
      </w:r>
      <w:r w:rsidR="00394493" w:rsidRPr="00394493">
        <w:rPr>
          <w:rFonts w:ascii="Garamond" w:hAnsi="Garamond"/>
          <w:bCs/>
        </w:rPr>
        <w:t xml:space="preserve"> </w:t>
      </w:r>
      <w:r w:rsidR="00394493" w:rsidRPr="004F3E93">
        <w:rPr>
          <w:rFonts w:ascii="Garamond" w:hAnsi="Garamond"/>
          <w:bCs/>
        </w:rPr>
        <w:t>Genti Ibrahimi</w:t>
      </w:r>
      <w:r w:rsidR="00394493">
        <w:rPr>
          <w:rFonts w:ascii="Garamond" w:hAnsi="Garamond"/>
          <w:bCs/>
        </w:rPr>
        <w:t>,</w:t>
      </w:r>
      <w:r w:rsidR="00394493" w:rsidRPr="00394493">
        <w:rPr>
          <w:rFonts w:ascii="Garamond" w:hAnsi="Garamond"/>
          <w:bCs/>
        </w:rPr>
        <w:t xml:space="preserve"> </w:t>
      </w:r>
      <w:r w:rsidR="00394493" w:rsidRPr="004F3E93">
        <w:rPr>
          <w:rFonts w:ascii="Garamond" w:hAnsi="Garamond"/>
          <w:bCs/>
        </w:rPr>
        <w:t>Ilir Toska</w:t>
      </w:r>
      <w:r w:rsidR="00394493">
        <w:rPr>
          <w:rFonts w:ascii="Garamond" w:hAnsi="Garamond"/>
          <w:bCs/>
        </w:rPr>
        <w:t>,</w:t>
      </w:r>
      <w:r w:rsidR="00394493" w:rsidRPr="00394493">
        <w:rPr>
          <w:rFonts w:ascii="Garamond" w:hAnsi="Garamond"/>
        </w:rPr>
        <w:t xml:space="preserve"> </w:t>
      </w:r>
      <w:proofErr w:type="spellStart"/>
      <w:r w:rsidR="00394493" w:rsidRPr="004F3E93">
        <w:rPr>
          <w:rFonts w:ascii="Garamond" w:hAnsi="Garamond"/>
        </w:rPr>
        <w:t>Marsida</w:t>
      </w:r>
      <w:proofErr w:type="spellEnd"/>
      <w:r w:rsidR="00394493" w:rsidRPr="004F3E93">
        <w:rPr>
          <w:rFonts w:ascii="Garamond" w:hAnsi="Garamond"/>
        </w:rPr>
        <w:t xml:space="preserve"> </w:t>
      </w:r>
      <w:proofErr w:type="spellStart"/>
      <w:r w:rsidR="00394493" w:rsidRPr="004F3E93">
        <w:rPr>
          <w:rFonts w:ascii="Garamond" w:hAnsi="Garamond"/>
        </w:rPr>
        <w:t>Xhaferllari</w:t>
      </w:r>
      <w:proofErr w:type="spellEnd"/>
      <w:r w:rsidR="00394493">
        <w:rPr>
          <w:rFonts w:ascii="Garamond" w:hAnsi="Garamond"/>
        </w:rPr>
        <w:t>,</w:t>
      </w:r>
      <w:r w:rsidR="00394493" w:rsidRPr="00394493">
        <w:rPr>
          <w:rFonts w:ascii="Garamond" w:hAnsi="Garamond"/>
        </w:rPr>
        <w:t xml:space="preserve"> </w:t>
      </w:r>
      <w:proofErr w:type="spellStart"/>
      <w:r w:rsidR="00394493" w:rsidRPr="004F3E93">
        <w:rPr>
          <w:rFonts w:ascii="Garamond" w:hAnsi="Garamond"/>
        </w:rPr>
        <w:t>Marjana</w:t>
      </w:r>
      <w:proofErr w:type="spellEnd"/>
      <w:r w:rsidR="00394493" w:rsidRPr="004F3E93">
        <w:rPr>
          <w:rFonts w:ascii="Garamond" w:hAnsi="Garamond"/>
        </w:rPr>
        <w:t xml:space="preserve"> </w:t>
      </w:r>
      <w:proofErr w:type="spellStart"/>
      <w:r w:rsidR="00394493" w:rsidRPr="004F3E93">
        <w:rPr>
          <w:rFonts w:ascii="Garamond" w:hAnsi="Garamond"/>
        </w:rPr>
        <w:t>Semini</w:t>
      </w:r>
      <w:proofErr w:type="spellEnd"/>
    </w:p>
    <w:p w14:paraId="1C1599D2" w14:textId="77777777" w:rsidR="00394493" w:rsidRDefault="00394493" w:rsidP="004F3E93">
      <w:pPr>
        <w:tabs>
          <w:tab w:val="left" w:pos="0"/>
        </w:tabs>
        <w:spacing w:line="240" w:lineRule="auto"/>
        <w:ind w:firstLine="284"/>
        <w:rPr>
          <w:rFonts w:ascii="Garamond" w:hAnsi="Garamond"/>
          <w:bCs/>
        </w:rPr>
      </w:pPr>
    </w:p>
    <w:sectPr w:rsidR="00394493" w:rsidSect="00C27A95">
      <w:headerReference w:type="default" r:id="rId13"/>
      <w:footerReference w:type="default" r:id="rId14"/>
      <w:footerReference w:type="first" r:id="rId15"/>
      <w:pgSz w:w="11906" w:h="16838"/>
      <w:pgMar w:top="900" w:right="1440" w:bottom="1260" w:left="1440" w:header="720" w:footer="285"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E224744" w16cex:dateUtc="2026-04-03T17:34:00Z"/>
  <w16cex:commentExtensible w16cex:durableId="646C800E" w16cex:dateUtc="2026-04-03T17:52:00Z"/>
  <w16cex:commentExtensible w16cex:durableId="7FCD3652" w16cex:dateUtc="2026-04-03T18:3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197778" w14:textId="77777777" w:rsidR="00016633" w:rsidRDefault="00016633" w:rsidP="009D6BFB">
      <w:pPr>
        <w:spacing w:line="240" w:lineRule="auto"/>
      </w:pPr>
      <w:r>
        <w:separator/>
      </w:r>
    </w:p>
  </w:endnote>
  <w:endnote w:type="continuationSeparator" w:id="0">
    <w:p w14:paraId="2606D330" w14:textId="77777777" w:rsidR="00016633" w:rsidRDefault="00016633" w:rsidP="009D6BFB">
      <w:pPr>
        <w:spacing w:line="240" w:lineRule="auto"/>
      </w:pPr>
      <w:r>
        <w:continuationSeparator/>
      </w:r>
    </w:p>
  </w:endnote>
  <w:endnote w:type="continuationNotice" w:id="1">
    <w:p w14:paraId="3AA31C4E" w14:textId="77777777" w:rsidR="00016633" w:rsidRDefault="0001663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A9EB17" w14:textId="77777777" w:rsidR="00016633" w:rsidRDefault="000166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9B4D97" w14:textId="77777777" w:rsidR="00016633" w:rsidRDefault="00016633">
    <w:pPr>
      <w:pStyle w:val="Footer"/>
      <w:jc w:val="right"/>
    </w:pPr>
  </w:p>
  <w:p w14:paraId="2D9B4D98" w14:textId="77777777" w:rsidR="00016633" w:rsidRDefault="000166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1603BF" w14:textId="77777777" w:rsidR="00016633" w:rsidRDefault="00016633" w:rsidP="009D6BFB">
      <w:pPr>
        <w:spacing w:line="240" w:lineRule="auto"/>
      </w:pPr>
      <w:r>
        <w:separator/>
      </w:r>
    </w:p>
  </w:footnote>
  <w:footnote w:type="continuationSeparator" w:id="0">
    <w:p w14:paraId="7CD7D927" w14:textId="77777777" w:rsidR="00016633" w:rsidRDefault="00016633" w:rsidP="009D6BFB">
      <w:pPr>
        <w:spacing w:line="240" w:lineRule="auto"/>
      </w:pPr>
      <w:r>
        <w:continuationSeparator/>
      </w:r>
    </w:p>
  </w:footnote>
  <w:footnote w:type="continuationNotice" w:id="1">
    <w:p w14:paraId="048C8905" w14:textId="77777777" w:rsidR="00016633" w:rsidRDefault="0001663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E88B9" w14:textId="77777777" w:rsidR="00016633" w:rsidRDefault="000166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E6698"/>
    <w:multiLevelType w:val="multilevel"/>
    <w:tmpl w:val="D0BEBA60"/>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4140AC"/>
    <w:multiLevelType w:val="multilevel"/>
    <w:tmpl w:val="F9B2DF0C"/>
    <w:lvl w:ilvl="0">
      <w:start w:val="1"/>
      <w:numFmt w:val="decimal"/>
      <w:suff w:val="space"/>
      <w:lvlText w:val="%1."/>
      <w:lvlJc w:val="left"/>
      <w:pPr>
        <w:ind w:left="3150" w:hanging="360"/>
      </w:pPr>
      <w:rPr>
        <w:rFonts w:hint="default"/>
        <w:sz w:val="24"/>
        <w:szCs w:val="24"/>
      </w:rPr>
    </w:lvl>
    <w:lvl w:ilvl="1">
      <w:start w:val="1"/>
      <w:numFmt w:val="decimal"/>
      <w:suff w:val="space"/>
      <w:lvlText w:val="%1.%2."/>
      <w:lvlJc w:val="left"/>
      <w:pPr>
        <w:ind w:left="792" w:hanging="432"/>
      </w:pPr>
      <w:rPr>
        <w:rFonts w:hint="default"/>
        <w:i w:val="0"/>
      </w:rPr>
    </w:lvl>
    <w:lvl w:ilvl="2">
      <w:start w:val="1"/>
      <w:numFmt w:val="decimal"/>
      <w:suff w:val="space"/>
      <w:lvlText w:val="%1.%2.%3."/>
      <w:lvlJc w:val="left"/>
      <w:pPr>
        <w:ind w:left="1224" w:hanging="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96F69"/>
    <w:multiLevelType w:val="hybridMultilevel"/>
    <w:tmpl w:val="AA1C5E56"/>
    <w:lvl w:ilvl="0" w:tplc="87F66714">
      <w:start w:val="1"/>
      <w:numFmt w:val="bullet"/>
      <w:lvlText w:val="•"/>
      <w:lvlJc w:val="left"/>
      <w:pPr>
        <w:tabs>
          <w:tab w:val="num" w:pos="720"/>
        </w:tabs>
        <w:ind w:left="720" w:hanging="360"/>
      </w:pPr>
      <w:rPr>
        <w:rFonts w:ascii="Arial" w:hAnsi="Arial" w:hint="default"/>
      </w:rPr>
    </w:lvl>
    <w:lvl w:ilvl="1" w:tplc="C5085146" w:tentative="1">
      <w:start w:val="1"/>
      <w:numFmt w:val="bullet"/>
      <w:lvlText w:val="•"/>
      <w:lvlJc w:val="left"/>
      <w:pPr>
        <w:tabs>
          <w:tab w:val="num" w:pos="1440"/>
        </w:tabs>
        <w:ind w:left="1440" w:hanging="360"/>
      </w:pPr>
      <w:rPr>
        <w:rFonts w:ascii="Arial" w:hAnsi="Arial" w:hint="default"/>
      </w:rPr>
    </w:lvl>
    <w:lvl w:ilvl="2" w:tplc="67C6A4AC" w:tentative="1">
      <w:start w:val="1"/>
      <w:numFmt w:val="bullet"/>
      <w:lvlText w:val="•"/>
      <w:lvlJc w:val="left"/>
      <w:pPr>
        <w:tabs>
          <w:tab w:val="num" w:pos="2160"/>
        </w:tabs>
        <w:ind w:left="2160" w:hanging="360"/>
      </w:pPr>
      <w:rPr>
        <w:rFonts w:ascii="Arial" w:hAnsi="Arial" w:hint="default"/>
      </w:rPr>
    </w:lvl>
    <w:lvl w:ilvl="3" w:tplc="FD2293EE" w:tentative="1">
      <w:start w:val="1"/>
      <w:numFmt w:val="bullet"/>
      <w:lvlText w:val="•"/>
      <w:lvlJc w:val="left"/>
      <w:pPr>
        <w:tabs>
          <w:tab w:val="num" w:pos="2880"/>
        </w:tabs>
        <w:ind w:left="2880" w:hanging="360"/>
      </w:pPr>
      <w:rPr>
        <w:rFonts w:ascii="Arial" w:hAnsi="Arial" w:hint="default"/>
      </w:rPr>
    </w:lvl>
    <w:lvl w:ilvl="4" w:tplc="B5261F26" w:tentative="1">
      <w:start w:val="1"/>
      <w:numFmt w:val="bullet"/>
      <w:lvlText w:val="•"/>
      <w:lvlJc w:val="left"/>
      <w:pPr>
        <w:tabs>
          <w:tab w:val="num" w:pos="3600"/>
        </w:tabs>
        <w:ind w:left="3600" w:hanging="360"/>
      </w:pPr>
      <w:rPr>
        <w:rFonts w:ascii="Arial" w:hAnsi="Arial" w:hint="default"/>
      </w:rPr>
    </w:lvl>
    <w:lvl w:ilvl="5" w:tplc="713804CE" w:tentative="1">
      <w:start w:val="1"/>
      <w:numFmt w:val="bullet"/>
      <w:lvlText w:val="•"/>
      <w:lvlJc w:val="left"/>
      <w:pPr>
        <w:tabs>
          <w:tab w:val="num" w:pos="4320"/>
        </w:tabs>
        <w:ind w:left="4320" w:hanging="360"/>
      </w:pPr>
      <w:rPr>
        <w:rFonts w:ascii="Arial" w:hAnsi="Arial" w:hint="default"/>
      </w:rPr>
    </w:lvl>
    <w:lvl w:ilvl="6" w:tplc="C6AC5A34" w:tentative="1">
      <w:start w:val="1"/>
      <w:numFmt w:val="bullet"/>
      <w:lvlText w:val="•"/>
      <w:lvlJc w:val="left"/>
      <w:pPr>
        <w:tabs>
          <w:tab w:val="num" w:pos="5040"/>
        </w:tabs>
        <w:ind w:left="5040" w:hanging="360"/>
      </w:pPr>
      <w:rPr>
        <w:rFonts w:ascii="Arial" w:hAnsi="Arial" w:hint="default"/>
      </w:rPr>
    </w:lvl>
    <w:lvl w:ilvl="7" w:tplc="15B8A836" w:tentative="1">
      <w:start w:val="1"/>
      <w:numFmt w:val="bullet"/>
      <w:lvlText w:val="•"/>
      <w:lvlJc w:val="left"/>
      <w:pPr>
        <w:tabs>
          <w:tab w:val="num" w:pos="5760"/>
        </w:tabs>
        <w:ind w:left="5760" w:hanging="360"/>
      </w:pPr>
      <w:rPr>
        <w:rFonts w:ascii="Arial" w:hAnsi="Arial" w:hint="default"/>
      </w:rPr>
    </w:lvl>
    <w:lvl w:ilvl="8" w:tplc="B0924B2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0AE1A5A"/>
    <w:multiLevelType w:val="hybridMultilevel"/>
    <w:tmpl w:val="4BEA9FE8"/>
    <w:lvl w:ilvl="0" w:tplc="E624AA6A">
      <w:start w:val="9"/>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115BC6"/>
    <w:multiLevelType w:val="multilevel"/>
    <w:tmpl w:val="372AAA2A"/>
    <w:lvl w:ilvl="0">
      <w:start w:val="8"/>
      <w:numFmt w:val="decimal"/>
      <w:lvlText w:val="%1."/>
      <w:lvlJc w:val="left"/>
      <w:pPr>
        <w:ind w:left="1170" w:hanging="360"/>
      </w:pPr>
      <w:rPr>
        <w:rFonts w:eastAsia="Calibri" w:hint="default"/>
        <w:b w:val="0"/>
        <w:i w:val="0"/>
        <w:color w:val="auto"/>
      </w:rPr>
    </w:lvl>
    <w:lvl w:ilvl="1">
      <w:start w:val="1"/>
      <w:numFmt w:val="decimal"/>
      <w:lvlText w:val="%1.%2."/>
      <w:lvlJc w:val="left"/>
      <w:pPr>
        <w:ind w:left="1620" w:hanging="360"/>
      </w:pPr>
      <w:rPr>
        <w:rFonts w:eastAsia="Calibri" w:hint="default"/>
        <w:b w:val="0"/>
        <w:i w:val="0"/>
        <w:color w:val="auto"/>
      </w:rPr>
    </w:lvl>
    <w:lvl w:ilvl="2">
      <w:start w:val="1"/>
      <w:numFmt w:val="decimal"/>
      <w:lvlText w:val="%1.%2.%3."/>
      <w:lvlJc w:val="left"/>
      <w:pPr>
        <w:ind w:left="3240" w:hanging="720"/>
      </w:pPr>
      <w:rPr>
        <w:rFonts w:eastAsia="Calibri" w:hint="default"/>
        <w:i w:val="0"/>
        <w:color w:val="auto"/>
      </w:rPr>
    </w:lvl>
    <w:lvl w:ilvl="3">
      <w:start w:val="1"/>
      <w:numFmt w:val="decimal"/>
      <w:lvlText w:val="%1.%2.%3.%4."/>
      <w:lvlJc w:val="left"/>
      <w:pPr>
        <w:ind w:left="4500" w:hanging="720"/>
      </w:pPr>
      <w:rPr>
        <w:rFonts w:eastAsia="Calibri" w:hint="default"/>
        <w:i/>
      </w:rPr>
    </w:lvl>
    <w:lvl w:ilvl="4">
      <w:start w:val="1"/>
      <w:numFmt w:val="decimal"/>
      <w:lvlText w:val="%1.%2.%3.%4.%5."/>
      <w:lvlJc w:val="left"/>
      <w:pPr>
        <w:ind w:left="6120" w:hanging="1080"/>
      </w:pPr>
      <w:rPr>
        <w:rFonts w:eastAsia="Calibri" w:hint="default"/>
        <w:i/>
      </w:rPr>
    </w:lvl>
    <w:lvl w:ilvl="5">
      <w:start w:val="1"/>
      <w:numFmt w:val="decimal"/>
      <w:lvlText w:val="%1.%2.%3.%4.%5.%6."/>
      <w:lvlJc w:val="left"/>
      <w:pPr>
        <w:ind w:left="7380" w:hanging="1080"/>
      </w:pPr>
      <w:rPr>
        <w:rFonts w:eastAsia="Calibri" w:hint="default"/>
        <w:i/>
      </w:rPr>
    </w:lvl>
    <w:lvl w:ilvl="6">
      <w:start w:val="1"/>
      <w:numFmt w:val="decimal"/>
      <w:lvlText w:val="%1.%2.%3.%4.%5.%6.%7."/>
      <w:lvlJc w:val="left"/>
      <w:pPr>
        <w:ind w:left="9000" w:hanging="1440"/>
      </w:pPr>
      <w:rPr>
        <w:rFonts w:eastAsia="Calibri" w:hint="default"/>
        <w:i/>
      </w:rPr>
    </w:lvl>
    <w:lvl w:ilvl="7">
      <w:start w:val="1"/>
      <w:numFmt w:val="decimal"/>
      <w:lvlText w:val="%1.%2.%3.%4.%5.%6.%7.%8."/>
      <w:lvlJc w:val="left"/>
      <w:pPr>
        <w:ind w:left="10260" w:hanging="1440"/>
      </w:pPr>
      <w:rPr>
        <w:rFonts w:eastAsia="Calibri" w:hint="default"/>
        <w:i/>
      </w:rPr>
    </w:lvl>
    <w:lvl w:ilvl="8">
      <w:start w:val="1"/>
      <w:numFmt w:val="decimal"/>
      <w:lvlText w:val="%1.%2.%3.%4.%5.%6.%7.%8.%9."/>
      <w:lvlJc w:val="left"/>
      <w:pPr>
        <w:ind w:left="11880" w:hanging="1800"/>
      </w:pPr>
      <w:rPr>
        <w:rFonts w:eastAsia="Calibri" w:hint="default"/>
        <w:i/>
      </w:rPr>
    </w:lvl>
  </w:abstractNum>
  <w:abstractNum w:abstractNumId="5" w15:restartNumberingAfterBreak="0">
    <w:nsid w:val="174D0C9D"/>
    <w:multiLevelType w:val="multilevel"/>
    <w:tmpl w:val="20828886"/>
    <w:lvl w:ilvl="0">
      <w:start w:val="1"/>
      <w:numFmt w:val="decimal"/>
      <w:lvlText w:val="%1."/>
      <w:lvlJc w:val="left"/>
      <w:pPr>
        <w:ind w:left="1440" w:hanging="720"/>
      </w:pPr>
      <w:rPr>
        <w:rFonts w:ascii="Times New Roman" w:eastAsia="Times New Roman" w:hAnsi="Times New Roman" w:cs="Times New Roman"/>
        <w:b w:val="0"/>
      </w:rPr>
    </w:lvl>
    <w:lvl w:ilvl="1">
      <w:start w:val="1"/>
      <w:numFmt w:val="decimal"/>
      <w:isLgl/>
      <w:lvlText w:val="%1.%2."/>
      <w:lvlJc w:val="left"/>
      <w:pPr>
        <w:ind w:left="135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881" w:hanging="720"/>
      </w:pPr>
      <w:rPr>
        <w:rFonts w:hint="default"/>
        <w:b/>
        <w:i/>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6" w15:restartNumberingAfterBreak="0">
    <w:nsid w:val="1A0A37BF"/>
    <w:multiLevelType w:val="hybridMultilevel"/>
    <w:tmpl w:val="5C409A4A"/>
    <w:lvl w:ilvl="0" w:tplc="F1144A2E">
      <w:start w:val="1"/>
      <w:numFmt w:val="decimal"/>
      <w:lvlText w:val="10.1.%1."/>
      <w:lvlJc w:val="left"/>
      <w:pPr>
        <w:ind w:left="1800" w:hanging="360"/>
      </w:pPr>
      <w:rPr>
        <w:rFonts w:hint="default"/>
        <w:b w:val="0"/>
        <w:i w:val="0"/>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7" w15:restartNumberingAfterBreak="0">
    <w:nsid w:val="1AF021EC"/>
    <w:multiLevelType w:val="hybridMultilevel"/>
    <w:tmpl w:val="7146FCD0"/>
    <w:lvl w:ilvl="0" w:tplc="A06CEBBE">
      <w:start w:val="1"/>
      <w:numFmt w:val="decimal"/>
      <w:lvlText w:val="12.1.%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2D11207E"/>
    <w:multiLevelType w:val="multilevel"/>
    <w:tmpl w:val="AE28B9B0"/>
    <w:lvl w:ilvl="0">
      <w:start w:val="7"/>
      <w:numFmt w:val="decimal"/>
      <w:lvlText w:val="%1."/>
      <w:lvlJc w:val="left"/>
      <w:pPr>
        <w:ind w:left="540" w:hanging="540"/>
      </w:pPr>
      <w:rPr>
        <w:rFonts w:eastAsia="MS Mincho" w:hint="default"/>
        <w:b w:val="0"/>
        <w:i w:val="0"/>
        <w:color w:val="auto"/>
      </w:rPr>
    </w:lvl>
    <w:lvl w:ilvl="1">
      <w:start w:val="1"/>
      <w:numFmt w:val="decimal"/>
      <w:lvlText w:val="%1.%2."/>
      <w:lvlJc w:val="left"/>
      <w:pPr>
        <w:ind w:left="1440" w:hanging="540"/>
      </w:pPr>
      <w:rPr>
        <w:rFonts w:eastAsia="MS Mincho" w:hint="default"/>
        <w:i/>
        <w:color w:val="auto"/>
      </w:rPr>
    </w:lvl>
    <w:lvl w:ilvl="2">
      <w:start w:val="1"/>
      <w:numFmt w:val="decimal"/>
      <w:lvlText w:val="%1.%2.%3."/>
      <w:lvlJc w:val="left"/>
      <w:pPr>
        <w:ind w:left="2520" w:hanging="720"/>
      </w:pPr>
      <w:rPr>
        <w:rFonts w:eastAsia="MS Mincho" w:hint="default"/>
        <w:i/>
        <w:color w:val="auto"/>
      </w:rPr>
    </w:lvl>
    <w:lvl w:ilvl="3">
      <w:start w:val="1"/>
      <w:numFmt w:val="decimal"/>
      <w:lvlText w:val="%1.%2.%3.%4."/>
      <w:lvlJc w:val="left"/>
      <w:pPr>
        <w:ind w:left="3420" w:hanging="720"/>
      </w:pPr>
      <w:rPr>
        <w:rFonts w:eastAsia="MS Mincho" w:hint="default"/>
        <w:i/>
        <w:color w:val="auto"/>
      </w:rPr>
    </w:lvl>
    <w:lvl w:ilvl="4">
      <w:start w:val="1"/>
      <w:numFmt w:val="decimal"/>
      <w:lvlText w:val="%1.%2.%3.%4.%5."/>
      <w:lvlJc w:val="left"/>
      <w:pPr>
        <w:ind w:left="4680" w:hanging="1080"/>
      </w:pPr>
      <w:rPr>
        <w:rFonts w:eastAsia="MS Mincho" w:hint="default"/>
        <w:i/>
        <w:color w:val="auto"/>
      </w:rPr>
    </w:lvl>
    <w:lvl w:ilvl="5">
      <w:start w:val="1"/>
      <w:numFmt w:val="decimal"/>
      <w:lvlText w:val="%1.%2.%3.%4.%5.%6."/>
      <w:lvlJc w:val="left"/>
      <w:pPr>
        <w:ind w:left="5580" w:hanging="1080"/>
      </w:pPr>
      <w:rPr>
        <w:rFonts w:eastAsia="MS Mincho" w:hint="default"/>
        <w:i/>
        <w:color w:val="auto"/>
      </w:rPr>
    </w:lvl>
    <w:lvl w:ilvl="6">
      <w:start w:val="1"/>
      <w:numFmt w:val="decimal"/>
      <w:lvlText w:val="%1.%2.%3.%4.%5.%6.%7."/>
      <w:lvlJc w:val="left"/>
      <w:pPr>
        <w:ind w:left="6840" w:hanging="1440"/>
      </w:pPr>
      <w:rPr>
        <w:rFonts w:eastAsia="MS Mincho" w:hint="default"/>
        <w:i/>
        <w:color w:val="auto"/>
      </w:rPr>
    </w:lvl>
    <w:lvl w:ilvl="7">
      <w:start w:val="1"/>
      <w:numFmt w:val="decimal"/>
      <w:lvlText w:val="%1.%2.%3.%4.%5.%6.%7.%8."/>
      <w:lvlJc w:val="left"/>
      <w:pPr>
        <w:ind w:left="7740" w:hanging="1440"/>
      </w:pPr>
      <w:rPr>
        <w:rFonts w:eastAsia="MS Mincho" w:hint="default"/>
        <w:i/>
        <w:color w:val="auto"/>
      </w:rPr>
    </w:lvl>
    <w:lvl w:ilvl="8">
      <w:start w:val="1"/>
      <w:numFmt w:val="decimal"/>
      <w:lvlText w:val="%1.%2.%3.%4.%5.%6.%7.%8.%9."/>
      <w:lvlJc w:val="left"/>
      <w:pPr>
        <w:ind w:left="9000" w:hanging="1800"/>
      </w:pPr>
      <w:rPr>
        <w:rFonts w:eastAsia="MS Mincho" w:hint="default"/>
        <w:i/>
        <w:color w:val="auto"/>
      </w:rPr>
    </w:lvl>
  </w:abstractNum>
  <w:abstractNum w:abstractNumId="9" w15:restartNumberingAfterBreak="0">
    <w:nsid w:val="38F71CFF"/>
    <w:multiLevelType w:val="multilevel"/>
    <w:tmpl w:val="2FE02A3C"/>
    <w:lvl w:ilvl="0">
      <w:start w:val="6"/>
      <w:numFmt w:val="decimal"/>
      <w:lvlText w:val="%1."/>
      <w:lvlJc w:val="left"/>
      <w:pPr>
        <w:ind w:left="297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0" w15:restartNumberingAfterBreak="0">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1" w15:restartNumberingAfterBreak="0">
    <w:nsid w:val="44BB6EB3"/>
    <w:multiLevelType w:val="hybridMultilevel"/>
    <w:tmpl w:val="208E4F54"/>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26B0C1D"/>
    <w:multiLevelType w:val="multilevel"/>
    <w:tmpl w:val="769E06E4"/>
    <w:lvl w:ilvl="0">
      <w:start w:val="7"/>
      <w:numFmt w:val="decimal"/>
      <w:lvlText w:val="%1."/>
      <w:lvlJc w:val="left"/>
      <w:pPr>
        <w:ind w:left="1080" w:hanging="360"/>
      </w:pPr>
      <w:rPr>
        <w:rFonts w:hint="default"/>
        <w:b w:val="0"/>
        <w:i w:val="0"/>
      </w:rPr>
    </w:lvl>
    <w:lvl w:ilvl="1">
      <w:start w:val="1"/>
      <w:numFmt w:val="decimal"/>
      <w:lvlText w:val="%1.%2."/>
      <w:lvlJc w:val="left"/>
      <w:pPr>
        <w:ind w:left="1350" w:hanging="360"/>
      </w:pPr>
      <w:rPr>
        <w:rFonts w:ascii="Times New Roman" w:hAnsi="Times New Roman" w:cs="Times New Roman" w:hint="default"/>
        <w:b w:val="0"/>
        <w:i w:val="0"/>
        <w:sz w:val="24"/>
        <w:szCs w:val="24"/>
      </w:rPr>
    </w:lvl>
    <w:lvl w:ilvl="2">
      <w:start w:val="1"/>
      <w:numFmt w:val="decimal"/>
      <w:lvlText w:val="%1.%2.%3."/>
      <w:lvlJc w:val="left"/>
      <w:pPr>
        <w:ind w:left="1800" w:hanging="720"/>
      </w:pPr>
      <w:rPr>
        <w:rFonts w:ascii="Times New Roman" w:hAnsi="Times New Roman" w:cs="Times New Roman" w:hint="default"/>
        <w:b w:val="0"/>
        <w:i w:val="0"/>
        <w:sz w:val="24"/>
        <w:szCs w:val="24"/>
      </w:rPr>
    </w:lvl>
    <w:lvl w:ilvl="3">
      <w:start w:val="1"/>
      <w:numFmt w:val="decimal"/>
      <w:lvlText w:val="%1.%2.%3.%4."/>
      <w:lvlJc w:val="left"/>
      <w:pPr>
        <w:ind w:left="990" w:hanging="720"/>
      </w:pPr>
      <w:rPr>
        <w:rFonts w:hint="default"/>
        <w:b/>
        <w:i/>
      </w:rPr>
    </w:lvl>
    <w:lvl w:ilvl="4">
      <w:start w:val="1"/>
      <w:numFmt w:val="decimal"/>
      <w:lvlText w:val="%1.%2.%3.%4.%5."/>
      <w:lvlJc w:val="left"/>
      <w:pPr>
        <w:ind w:left="1440" w:hanging="1080"/>
      </w:pPr>
      <w:rPr>
        <w:rFonts w:hint="default"/>
        <w:b/>
        <w:i/>
      </w:rPr>
    </w:lvl>
    <w:lvl w:ilvl="5">
      <w:start w:val="1"/>
      <w:numFmt w:val="decimal"/>
      <w:lvlText w:val="%1.%2.%3.%4.%5.%6."/>
      <w:lvlJc w:val="left"/>
      <w:pPr>
        <w:ind w:left="1530" w:hanging="1080"/>
      </w:pPr>
      <w:rPr>
        <w:rFonts w:hint="default"/>
        <w:b/>
        <w:i/>
      </w:rPr>
    </w:lvl>
    <w:lvl w:ilvl="6">
      <w:start w:val="1"/>
      <w:numFmt w:val="decimal"/>
      <w:lvlText w:val="%1.%2.%3.%4.%5.%6.%7."/>
      <w:lvlJc w:val="left"/>
      <w:pPr>
        <w:ind w:left="1980" w:hanging="1440"/>
      </w:pPr>
      <w:rPr>
        <w:rFonts w:hint="default"/>
        <w:b/>
        <w:i/>
      </w:rPr>
    </w:lvl>
    <w:lvl w:ilvl="7">
      <w:start w:val="1"/>
      <w:numFmt w:val="decimal"/>
      <w:lvlText w:val="%1.%2.%3.%4.%5.%6.%7.%8."/>
      <w:lvlJc w:val="left"/>
      <w:pPr>
        <w:ind w:left="2070" w:hanging="1440"/>
      </w:pPr>
      <w:rPr>
        <w:rFonts w:hint="default"/>
        <w:b/>
        <w:i/>
      </w:rPr>
    </w:lvl>
    <w:lvl w:ilvl="8">
      <w:start w:val="1"/>
      <w:numFmt w:val="decimal"/>
      <w:lvlText w:val="%1.%2.%3.%4.%5.%6.%7.%8.%9."/>
      <w:lvlJc w:val="left"/>
      <w:pPr>
        <w:ind w:left="2520" w:hanging="1800"/>
      </w:pPr>
      <w:rPr>
        <w:rFonts w:hint="default"/>
        <w:b/>
        <w:i/>
      </w:rPr>
    </w:lvl>
  </w:abstractNum>
  <w:abstractNum w:abstractNumId="14" w15:restartNumberingAfterBreak="0">
    <w:nsid w:val="55BA184B"/>
    <w:multiLevelType w:val="multilevel"/>
    <w:tmpl w:val="02BE9DFA"/>
    <w:lvl w:ilvl="0">
      <w:start w:val="1"/>
      <w:numFmt w:val="decimal"/>
      <w:lvlText w:val="%1."/>
      <w:lvlJc w:val="left"/>
      <w:pPr>
        <w:ind w:left="360" w:hanging="360"/>
      </w:pPr>
      <w:rPr>
        <w:b w:val="0"/>
        <w:i w:val="0"/>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61A664F"/>
    <w:multiLevelType w:val="hybridMultilevel"/>
    <w:tmpl w:val="41D2AB9E"/>
    <w:lvl w:ilvl="0" w:tplc="AEF43636">
      <w:start w:val="1"/>
      <w:numFmt w:val="decimal"/>
      <w:lvlText w:val="12.%1."/>
      <w:lvlJc w:val="left"/>
      <w:pPr>
        <w:ind w:left="1440" w:hanging="360"/>
      </w:pPr>
      <w:rPr>
        <w:rFonts w:hint="default"/>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6524B4F"/>
    <w:multiLevelType w:val="multilevel"/>
    <w:tmpl w:val="02BE9DFA"/>
    <w:lvl w:ilvl="0">
      <w:start w:val="1"/>
      <w:numFmt w:val="decimal"/>
      <w:lvlText w:val="%1."/>
      <w:lvlJc w:val="left"/>
      <w:pPr>
        <w:ind w:left="360" w:hanging="360"/>
      </w:pPr>
      <w:rPr>
        <w:b w:val="0"/>
        <w:i w:val="0"/>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C9206DA"/>
    <w:multiLevelType w:val="multilevel"/>
    <w:tmpl w:val="E90ACC4A"/>
    <w:lvl w:ilvl="0">
      <w:start w:val="1"/>
      <w:numFmt w:val="decimal"/>
      <w:lvlText w:val="%1."/>
      <w:lvlJc w:val="left"/>
      <w:pPr>
        <w:ind w:left="2610" w:hanging="360"/>
      </w:pPr>
      <w:rPr>
        <w:rFonts w:ascii="Times New Roman" w:eastAsia="Calibri" w:hAnsi="Times New Roman" w:cs="Times New Roman" w:hint="default"/>
        <w:b w:val="0"/>
        <w:i w:val="0"/>
        <w:sz w:val="24"/>
        <w:szCs w:val="24"/>
      </w:rPr>
    </w:lvl>
    <w:lvl w:ilvl="1">
      <w:start w:val="1"/>
      <w:numFmt w:val="decimal"/>
      <w:isLgl/>
      <w:lvlText w:val="%1.%2."/>
      <w:lvlJc w:val="left"/>
      <w:pPr>
        <w:ind w:left="-2925" w:hanging="405"/>
      </w:pPr>
      <w:rPr>
        <w:rFonts w:hint="default"/>
        <w:b w:val="0"/>
        <w:i w:val="0"/>
      </w:rPr>
    </w:lvl>
    <w:lvl w:ilvl="2">
      <w:start w:val="1"/>
      <w:numFmt w:val="decimal"/>
      <w:isLgl/>
      <w:lvlText w:val="%1.%2.%3"/>
      <w:lvlJc w:val="left"/>
      <w:pPr>
        <w:ind w:left="-2250" w:hanging="720"/>
      </w:pPr>
      <w:rPr>
        <w:rFonts w:hint="default"/>
        <w:i w:val="0"/>
      </w:rPr>
    </w:lvl>
    <w:lvl w:ilvl="3">
      <w:start w:val="1"/>
      <w:numFmt w:val="decimal"/>
      <w:isLgl/>
      <w:lvlText w:val="%1.%2.%3.%4"/>
      <w:lvlJc w:val="left"/>
      <w:pPr>
        <w:ind w:left="-189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810" w:hanging="1080"/>
      </w:pPr>
      <w:rPr>
        <w:rFonts w:hint="default"/>
      </w:rPr>
    </w:lvl>
    <w:lvl w:ilvl="6">
      <w:start w:val="1"/>
      <w:numFmt w:val="decimal"/>
      <w:isLgl/>
      <w:lvlText w:val="%1.%2.%3.%4.%5.%6.%7"/>
      <w:lvlJc w:val="left"/>
      <w:pPr>
        <w:ind w:left="-90" w:hanging="1440"/>
      </w:pPr>
      <w:rPr>
        <w:rFonts w:hint="default"/>
      </w:rPr>
    </w:lvl>
    <w:lvl w:ilvl="7">
      <w:start w:val="1"/>
      <w:numFmt w:val="decimal"/>
      <w:isLgl/>
      <w:lvlText w:val="%1.%2.%3.%4.%5.%6.%7.%8"/>
      <w:lvlJc w:val="left"/>
      <w:pPr>
        <w:ind w:left="270" w:hanging="1440"/>
      </w:pPr>
      <w:rPr>
        <w:rFonts w:hint="default"/>
      </w:rPr>
    </w:lvl>
    <w:lvl w:ilvl="8">
      <w:start w:val="1"/>
      <w:numFmt w:val="decimal"/>
      <w:isLgl/>
      <w:lvlText w:val="%1.%2.%3.%4.%5.%6.%7.%8.%9"/>
      <w:lvlJc w:val="left"/>
      <w:pPr>
        <w:ind w:left="990" w:hanging="1800"/>
      </w:pPr>
      <w:rPr>
        <w:rFonts w:hint="default"/>
      </w:rPr>
    </w:lvl>
  </w:abstractNum>
  <w:abstractNum w:abstractNumId="18" w15:restartNumberingAfterBreak="0">
    <w:nsid w:val="650539C5"/>
    <w:multiLevelType w:val="hybridMultilevel"/>
    <w:tmpl w:val="DC4E5CC6"/>
    <w:lvl w:ilvl="0" w:tplc="72A80DA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5BD3D60"/>
    <w:multiLevelType w:val="hybridMultilevel"/>
    <w:tmpl w:val="0EB223DC"/>
    <w:lvl w:ilvl="0" w:tplc="7040AF1A">
      <w:start w:val="1"/>
      <w:numFmt w:val="decimal"/>
      <w:lvlText w:val="9.%1."/>
      <w:lvlJc w:val="left"/>
      <w:pPr>
        <w:ind w:left="1500" w:hanging="360"/>
      </w:pPr>
      <w:rPr>
        <w:rFonts w:hint="default"/>
      </w:rPr>
    </w:lvl>
    <w:lvl w:ilvl="1" w:tplc="041C0019">
      <w:start w:val="1"/>
      <w:numFmt w:val="lowerLetter"/>
      <w:lvlText w:val="%2."/>
      <w:lvlJc w:val="left"/>
      <w:pPr>
        <w:ind w:left="2220" w:hanging="360"/>
      </w:pPr>
    </w:lvl>
    <w:lvl w:ilvl="2" w:tplc="041C001B" w:tentative="1">
      <w:start w:val="1"/>
      <w:numFmt w:val="lowerRoman"/>
      <w:lvlText w:val="%3."/>
      <w:lvlJc w:val="right"/>
      <w:pPr>
        <w:ind w:left="2940" w:hanging="180"/>
      </w:pPr>
    </w:lvl>
    <w:lvl w:ilvl="3" w:tplc="041C000F" w:tentative="1">
      <w:start w:val="1"/>
      <w:numFmt w:val="decimal"/>
      <w:lvlText w:val="%4."/>
      <w:lvlJc w:val="left"/>
      <w:pPr>
        <w:ind w:left="3660" w:hanging="360"/>
      </w:pPr>
    </w:lvl>
    <w:lvl w:ilvl="4" w:tplc="041C0019" w:tentative="1">
      <w:start w:val="1"/>
      <w:numFmt w:val="lowerLetter"/>
      <w:lvlText w:val="%5."/>
      <w:lvlJc w:val="left"/>
      <w:pPr>
        <w:ind w:left="4380" w:hanging="360"/>
      </w:pPr>
    </w:lvl>
    <w:lvl w:ilvl="5" w:tplc="041C001B" w:tentative="1">
      <w:start w:val="1"/>
      <w:numFmt w:val="lowerRoman"/>
      <w:lvlText w:val="%6."/>
      <w:lvlJc w:val="right"/>
      <w:pPr>
        <w:ind w:left="5100" w:hanging="180"/>
      </w:pPr>
    </w:lvl>
    <w:lvl w:ilvl="6" w:tplc="041C000F" w:tentative="1">
      <w:start w:val="1"/>
      <w:numFmt w:val="decimal"/>
      <w:lvlText w:val="%7."/>
      <w:lvlJc w:val="left"/>
      <w:pPr>
        <w:ind w:left="5820" w:hanging="360"/>
      </w:pPr>
    </w:lvl>
    <w:lvl w:ilvl="7" w:tplc="041C0019" w:tentative="1">
      <w:start w:val="1"/>
      <w:numFmt w:val="lowerLetter"/>
      <w:lvlText w:val="%8."/>
      <w:lvlJc w:val="left"/>
      <w:pPr>
        <w:ind w:left="6540" w:hanging="360"/>
      </w:pPr>
    </w:lvl>
    <w:lvl w:ilvl="8" w:tplc="041C001B" w:tentative="1">
      <w:start w:val="1"/>
      <w:numFmt w:val="lowerRoman"/>
      <w:lvlText w:val="%9."/>
      <w:lvlJc w:val="right"/>
      <w:pPr>
        <w:ind w:left="7260" w:hanging="180"/>
      </w:pPr>
    </w:lvl>
  </w:abstractNum>
  <w:abstractNum w:abstractNumId="20" w15:restartNumberingAfterBreak="0">
    <w:nsid w:val="772B79A1"/>
    <w:multiLevelType w:val="hybridMultilevel"/>
    <w:tmpl w:val="2CC4BE48"/>
    <w:lvl w:ilvl="0" w:tplc="FE989008">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6"/>
  </w:num>
  <w:num w:numId="2">
    <w:abstractNumId w:val="15"/>
  </w:num>
  <w:num w:numId="3">
    <w:abstractNumId w:val="7"/>
  </w:num>
  <w:num w:numId="4">
    <w:abstractNumId w:val="19"/>
  </w:num>
  <w:num w:numId="5">
    <w:abstractNumId w:val="6"/>
  </w:num>
  <w:num w:numId="6">
    <w:abstractNumId w:val="3"/>
  </w:num>
  <w:num w:numId="7">
    <w:abstractNumId w:val="0"/>
  </w:num>
  <w:num w:numId="8">
    <w:abstractNumId w:val="11"/>
  </w:num>
  <w:num w:numId="9">
    <w:abstractNumId w:val="17"/>
  </w:num>
  <w:num w:numId="10">
    <w:abstractNumId w:val="4"/>
  </w:num>
  <w:num w:numId="11">
    <w:abstractNumId w:val="5"/>
  </w:num>
  <w:num w:numId="12">
    <w:abstractNumId w:val="13"/>
  </w:num>
  <w:num w:numId="13">
    <w:abstractNumId w:val="18"/>
  </w:num>
  <w:num w:numId="14">
    <w:abstractNumId w:val="14"/>
  </w:num>
  <w:num w:numId="15">
    <w:abstractNumId w:val="20"/>
  </w:num>
  <w:num w:numId="16">
    <w:abstractNumId w:val="9"/>
  </w:num>
  <w:num w:numId="17">
    <w:abstractNumId w:val="8"/>
  </w:num>
  <w:num w:numId="18">
    <w:abstractNumId w:val="12"/>
  </w:num>
  <w:num w:numId="19">
    <w:abstractNumId w:val="10"/>
  </w:num>
  <w:num w:numId="20">
    <w:abstractNumId w:val="2"/>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SortMethod w:val="0000"/>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BFB"/>
    <w:rsid w:val="00001464"/>
    <w:rsid w:val="00001A2E"/>
    <w:rsid w:val="00001BDC"/>
    <w:rsid w:val="00002195"/>
    <w:rsid w:val="00003E83"/>
    <w:rsid w:val="0000436E"/>
    <w:rsid w:val="00004527"/>
    <w:rsid w:val="00006726"/>
    <w:rsid w:val="00006972"/>
    <w:rsid w:val="00006EC9"/>
    <w:rsid w:val="00010593"/>
    <w:rsid w:val="0001085E"/>
    <w:rsid w:val="000113E2"/>
    <w:rsid w:val="00011418"/>
    <w:rsid w:val="00011A52"/>
    <w:rsid w:val="0001284D"/>
    <w:rsid w:val="00012F10"/>
    <w:rsid w:val="00012F34"/>
    <w:rsid w:val="00012FED"/>
    <w:rsid w:val="0001398C"/>
    <w:rsid w:val="00013B89"/>
    <w:rsid w:val="00013F71"/>
    <w:rsid w:val="000146AC"/>
    <w:rsid w:val="000147C4"/>
    <w:rsid w:val="000149D5"/>
    <w:rsid w:val="00014C75"/>
    <w:rsid w:val="00014F1D"/>
    <w:rsid w:val="000152AF"/>
    <w:rsid w:val="00016145"/>
    <w:rsid w:val="00016633"/>
    <w:rsid w:val="00016EFC"/>
    <w:rsid w:val="00020980"/>
    <w:rsid w:val="00021026"/>
    <w:rsid w:val="000214B3"/>
    <w:rsid w:val="00021654"/>
    <w:rsid w:val="00022381"/>
    <w:rsid w:val="000223BA"/>
    <w:rsid w:val="00022AD5"/>
    <w:rsid w:val="0002357D"/>
    <w:rsid w:val="0002382E"/>
    <w:rsid w:val="00024900"/>
    <w:rsid w:val="00024FC1"/>
    <w:rsid w:val="00025164"/>
    <w:rsid w:val="000254AB"/>
    <w:rsid w:val="000254F1"/>
    <w:rsid w:val="00025A4F"/>
    <w:rsid w:val="00026FEE"/>
    <w:rsid w:val="000303E8"/>
    <w:rsid w:val="00030FC6"/>
    <w:rsid w:val="0003109E"/>
    <w:rsid w:val="000315A4"/>
    <w:rsid w:val="00031851"/>
    <w:rsid w:val="00031A2A"/>
    <w:rsid w:val="00032804"/>
    <w:rsid w:val="00032D1D"/>
    <w:rsid w:val="00033526"/>
    <w:rsid w:val="00033638"/>
    <w:rsid w:val="00033783"/>
    <w:rsid w:val="00033E4A"/>
    <w:rsid w:val="00033F31"/>
    <w:rsid w:val="00033F95"/>
    <w:rsid w:val="00035BCE"/>
    <w:rsid w:val="00035CE4"/>
    <w:rsid w:val="00037051"/>
    <w:rsid w:val="000400BB"/>
    <w:rsid w:val="000400DB"/>
    <w:rsid w:val="0004157B"/>
    <w:rsid w:val="00042C55"/>
    <w:rsid w:val="00042F0D"/>
    <w:rsid w:val="00043545"/>
    <w:rsid w:val="000454C8"/>
    <w:rsid w:val="000456C9"/>
    <w:rsid w:val="00045851"/>
    <w:rsid w:val="00045FA4"/>
    <w:rsid w:val="00047B44"/>
    <w:rsid w:val="0005065F"/>
    <w:rsid w:val="0005068E"/>
    <w:rsid w:val="000519C6"/>
    <w:rsid w:val="000523D9"/>
    <w:rsid w:val="00052556"/>
    <w:rsid w:val="000529E1"/>
    <w:rsid w:val="00053CE2"/>
    <w:rsid w:val="000542CE"/>
    <w:rsid w:val="00054814"/>
    <w:rsid w:val="0005497D"/>
    <w:rsid w:val="00057016"/>
    <w:rsid w:val="000573FA"/>
    <w:rsid w:val="00057B11"/>
    <w:rsid w:val="00057FE7"/>
    <w:rsid w:val="000611B1"/>
    <w:rsid w:val="000620F1"/>
    <w:rsid w:val="000628F0"/>
    <w:rsid w:val="00062941"/>
    <w:rsid w:val="00062C8F"/>
    <w:rsid w:val="00062CF9"/>
    <w:rsid w:val="000630E6"/>
    <w:rsid w:val="00063917"/>
    <w:rsid w:val="0006694E"/>
    <w:rsid w:val="000669CA"/>
    <w:rsid w:val="00066E17"/>
    <w:rsid w:val="00071240"/>
    <w:rsid w:val="000715C0"/>
    <w:rsid w:val="00071E7B"/>
    <w:rsid w:val="00074782"/>
    <w:rsid w:val="00076290"/>
    <w:rsid w:val="000806AA"/>
    <w:rsid w:val="00081648"/>
    <w:rsid w:val="00081B66"/>
    <w:rsid w:val="0008276E"/>
    <w:rsid w:val="00083606"/>
    <w:rsid w:val="00085460"/>
    <w:rsid w:val="0008586D"/>
    <w:rsid w:val="00086DDF"/>
    <w:rsid w:val="00086F39"/>
    <w:rsid w:val="0008744D"/>
    <w:rsid w:val="0009008C"/>
    <w:rsid w:val="000905FE"/>
    <w:rsid w:val="00090A19"/>
    <w:rsid w:val="00091643"/>
    <w:rsid w:val="0009180E"/>
    <w:rsid w:val="0009183C"/>
    <w:rsid w:val="00092807"/>
    <w:rsid w:val="000933A9"/>
    <w:rsid w:val="0009369D"/>
    <w:rsid w:val="0009429C"/>
    <w:rsid w:val="00095CDA"/>
    <w:rsid w:val="0009766E"/>
    <w:rsid w:val="00097A92"/>
    <w:rsid w:val="00097DEA"/>
    <w:rsid w:val="000A0A77"/>
    <w:rsid w:val="000A0EE9"/>
    <w:rsid w:val="000A1EDB"/>
    <w:rsid w:val="000A22FB"/>
    <w:rsid w:val="000A335B"/>
    <w:rsid w:val="000A4025"/>
    <w:rsid w:val="000A40D7"/>
    <w:rsid w:val="000A4170"/>
    <w:rsid w:val="000A41C4"/>
    <w:rsid w:val="000A5506"/>
    <w:rsid w:val="000A5521"/>
    <w:rsid w:val="000A60F8"/>
    <w:rsid w:val="000A678C"/>
    <w:rsid w:val="000A6CB7"/>
    <w:rsid w:val="000A6E9B"/>
    <w:rsid w:val="000A70D2"/>
    <w:rsid w:val="000B000F"/>
    <w:rsid w:val="000B1006"/>
    <w:rsid w:val="000B1655"/>
    <w:rsid w:val="000B213B"/>
    <w:rsid w:val="000B26F2"/>
    <w:rsid w:val="000B2DFC"/>
    <w:rsid w:val="000B3E4B"/>
    <w:rsid w:val="000B4822"/>
    <w:rsid w:val="000B5A70"/>
    <w:rsid w:val="000B66C6"/>
    <w:rsid w:val="000B6C4A"/>
    <w:rsid w:val="000B6F24"/>
    <w:rsid w:val="000B7FD3"/>
    <w:rsid w:val="000C1A8D"/>
    <w:rsid w:val="000C277E"/>
    <w:rsid w:val="000C2B42"/>
    <w:rsid w:val="000C2F00"/>
    <w:rsid w:val="000C37FD"/>
    <w:rsid w:val="000C4552"/>
    <w:rsid w:val="000C50E5"/>
    <w:rsid w:val="000C52C1"/>
    <w:rsid w:val="000C5401"/>
    <w:rsid w:val="000C5418"/>
    <w:rsid w:val="000C6024"/>
    <w:rsid w:val="000C610C"/>
    <w:rsid w:val="000C6769"/>
    <w:rsid w:val="000C75F2"/>
    <w:rsid w:val="000C7911"/>
    <w:rsid w:val="000D1CED"/>
    <w:rsid w:val="000D2CA5"/>
    <w:rsid w:val="000D61D7"/>
    <w:rsid w:val="000D6904"/>
    <w:rsid w:val="000D6DDC"/>
    <w:rsid w:val="000D6FA3"/>
    <w:rsid w:val="000D76CF"/>
    <w:rsid w:val="000E00CB"/>
    <w:rsid w:val="000E2E5D"/>
    <w:rsid w:val="000E481C"/>
    <w:rsid w:val="000E4A05"/>
    <w:rsid w:val="000E4A09"/>
    <w:rsid w:val="000E4EBC"/>
    <w:rsid w:val="000E54F8"/>
    <w:rsid w:val="000E5D83"/>
    <w:rsid w:val="000E64CA"/>
    <w:rsid w:val="000E66AF"/>
    <w:rsid w:val="000E7F50"/>
    <w:rsid w:val="000F0C11"/>
    <w:rsid w:val="000F1487"/>
    <w:rsid w:val="000F1623"/>
    <w:rsid w:val="000F2916"/>
    <w:rsid w:val="000F43F9"/>
    <w:rsid w:val="000F5427"/>
    <w:rsid w:val="000F5F37"/>
    <w:rsid w:val="000F614E"/>
    <w:rsid w:val="000F715B"/>
    <w:rsid w:val="000F79A5"/>
    <w:rsid w:val="000F79F6"/>
    <w:rsid w:val="001004A3"/>
    <w:rsid w:val="00100CDF"/>
    <w:rsid w:val="00101144"/>
    <w:rsid w:val="001032B5"/>
    <w:rsid w:val="00103ED4"/>
    <w:rsid w:val="001041A6"/>
    <w:rsid w:val="00104F9A"/>
    <w:rsid w:val="001050E5"/>
    <w:rsid w:val="00105858"/>
    <w:rsid w:val="00106108"/>
    <w:rsid w:val="00106D66"/>
    <w:rsid w:val="00106DFE"/>
    <w:rsid w:val="00106F57"/>
    <w:rsid w:val="0011157E"/>
    <w:rsid w:val="00111718"/>
    <w:rsid w:val="00111848"/>
    <w:rsid w:val="00111B3A"/>
    <w:rsid w:val="00112245"/>
    <w:rsid w:val="001122E8"/>
    <w:rsid w:val="0011239F"/>
    <w:rsid w:val="00112939"/>
    <w:rsid w:val="00112A95"/>
    <w:rsid w:val="00113C22"/>
    <w:rsid w:val="0011432F"/>
    <w:rsid w:val="00114D6E"/>
    <w:rsid w:val="00115CFF"/>
    <w:rsid w:val="00116777"/>
    <w:rsid w:val="001169FD"/>
    <w:rsid w:val="00116EA7"/>
    <w:rsid w:val="00117E74"/>
    <w:rsid w:val="0012039F"/>
    <w:rsid w:val="00121CD8"/>
    <w:rsid w:val="00122A1D"/>
    <w:rsid w:val="00122B01"/>
    <w:rsid w:val="001231FA"/>
    <w:rsid w:val="001235A1"/>
    <w:rsid w:val="00124C80"/>
    <w:rsid w:val="00124D99"/>
    <w:rsid w:val="00125A1B"/>
    <w:rsid w:val="00125F18"/>
    <w:rsid w:val="0012628A"/>
    <w:rsid w:val="001279F6"/>
    <w:rsid w:val="00130CD7"/>
    <w:rsid w:val="001316D0"/>
    <w:rsid w:val="00131970"/>
    <w:rsid w:val="00131A28"/>
    <w:rsid w:val="00131B03"/>
    <w:rsid w:val="001367BC"/>
    <w:rsid w:val="001377B7"/>
    <w:rsid w:val="00137A8D"/>
    <w:rsid w:val="00137CE5"/>
    <w:rsid w:val="00141067"/>
    <w:rsid w:val="0014117A"/>
    <w:rsid w:val="00142046"/>
    <w:rsid w:val="0014278C"/>
    <w:rsid w:val="00143628"/>
    <w:rsid w:val="0014364D"/>
    <w:rsid w:val="00144E2B"/>
    <w:rsid w:val="00145B2A"/>
    <w:rsid w:val="00145B99"/>
    <w:rsid w:val="0014635C"/>
    <w:rsid w:val="001465BD"/>
    <w:rsid w:val="00146C2F"/>
    <w:rsid w:val="00146D97"/>
    <w:rsid w:val="00146DD4"/>
    <w:rsid w:val="0014739B"/>
    <w:rsid w:val="00147534"/>
    <w:rsid w:val="001479C4"/>
    <w:rsid w:val="0015040F"/>
    <w:rsid w:val="0015077D"/>
    <w:rsid w:val="001507E4"/>
    <w:rsid w:val="00150DC2"/>
    <w:rsid w:val="001515A8"/>
    <w:rsid w:val="00151B6D"/>
    <w:rsid w:val="001521F9"/>
    <w:rsid w:val="00156CBD"/>
    <w:rsid w:val="00156F56"/>
    <w:rsid w:val="0015787F"/>
    <w:rsid w:val="0016068C"/>
    <w:rsid w:val="00160D41"/>
    <w:rsid w:val="00161905"/>
    <w:rsid w:val="00163168"/>
    <w:rsid w:val="001632B8"/>
    <w:rsid w:val="0016437E"/>
    <w:rsid w:val="001659E8"/>
    <w:rsid w:val="00166A64"/>
    <w:rsid w:val="00166E6B"/>
    <w:rsid w:val="00166F66"/>
    <w:rsid w:val="00170C13"/>
    <w:rsid w:val="00170D3F"/>
    <w:rsid w:val="001718B7"/>
    <w:rsid w:val="001719F6"/>
    <w:rsid w:val="00171D7D"/>
    <w:rsid w:val="001720D5"/>
    <w:rsid w:val="00172C66"/>
    <w:rsid w:val="00173313"/>
    <w:rsid w:val="0017373F"/>
    <w:rsid w:val="001742C7"/>
    <w:rsid w:val="001757A8"/>
    <w:rsid w:val="0017597E"/>
    <w:rsid w:val="001768BF"/>
    <w:rsid w:val="00176A3F"/>
    <w:rsid w:val="001775B0"/>
    <w:rsid w:val="0018006B"/>
    <w:rsid w:val="00180255"/>
    <w:rsid w:val="00180391"/>
    <w:rsid w:val="00180D5C"/>
    <w:rsid w:val="00182015"/>
    <w:rsid w:val="00182B92"/>
    <w:rsid w:val="00182F1A"/>
    <w:rsid w:val="0018313E"/>
    <w:rsid w:val="00183E0B"/>
    <w:rsid w:val="001843D9"/>
    <w:rsid w:val="00185863"/>
    <w:rsid w:val="00185896"/>
    <w:rsid w:val="00190747"/>
    <w:rsid w:val="00190A79"/>
    <w:rsid w:val="00191F86"/>
    <w:rsid w:val="00192380"/>
    <w:rsid w:val="00192525"/>
    <w:rsid w:val="00193298"/>
    <w:rsid w:val="00193C6B"/>
    <w:rsid w:val="00194895"/>
    <w:rsid w:val="00194C3D"/>
    <w:rsid w:val="00195E4F"/>
    <w:rsid w:val="001964B5"/>
    <w:rsid w:val="0019719B"/>
    <w:rsid w:val="001A1150"/>
    <w:rsid w:val="001A1242"/>
    <w:rsid w:val="001A1779"/>
    <w:rsid w:val="001A1913"/>
    <w:rsid w:val="001A2D67"/>
    <w:rsid w:val="001A2E59"/>
    <w:rsid w:val="001A3762"/>
    <w:rsid w:val="001A410F"/>
    <w:rsid w:val="001A50B3"/>
    <w:rsid w:val="001A6F7B"/>
    <w:rsid w:val="001A7071"/>
    <w:rsid w:val="001A70D1"/>
    <w:rsid w:val="001A734F"/>
    <w:rsid w:val="001A7FAF"/>
    <w:rsid w:val="001B04ED"/>
    <w:rsid w:val="001B0C91"/>
    <w:rsid w:val="001B0F45"/>
    <w:rsid w:val="001B20F3"/>
    <w:rsid w:val="001B304E"/>
    <w:rsid w:val="001B353C"/>
    <w:rsid w:val="001B3DAF"/>
    <w:rsid w:val="001B5835"/>
    <w:rsid w:val="001B5858"/>
    <w:rsid w:val="001B78A4"/>
    <w:rsid w:val="001C1187"/>
    <w:rsid w:val="001C1B16"/>
    <w:rsid w:val="001C2148"/>
    <w:rsid w:val="001C2D89"/>
    <w:rsid w:val="001C2DFB"/>
    <w:rsid w:val="001C2FE5"/>
    <w:rsid w:val="001C4A95"/>
    <w:rsid w:val="001C52B2"/>
    <w:rsid w:val="001C52F1"/>
    <w:rsid w:val="001C5510"/>
    <w:rsid w:val="001C59AA"/>
    <w:rsid w:val="001C5C69"/>
    <w:rsid w:val="001C6D7F"/>
    <w:rsid w:val="001C6F8B"/>
    <w:rsid w:val="001C7473"/>
    <w:rsid w:val="001C7E27"/>
    <w:rsid w:val="001D0370"/>
    <w:rsid w:val="001D067E"/>
    <w:rsid w:val="001D0C28"/>
    <w:rsid w:val="001D16DF"/>
    <w:rsid w:val="001D192E"/>
    <w:rsid w:val="001D2C32"/>
    <w:rsid w:val="001D4C26"/>
    <w:rsid w:val="001D529E"/>
    <w:rsid w:val="001D77DC"/>
    <w:rsid w:val="001D7B69"/>
    <w:rsid w:val="001D7F60"/>
    <w:rsid w:val="001E07DA"/>
    <w:rsid w:val="001E095A"/>
    <w:rsid w:val="001E0E93"/>
    <w:rsid w:val="001E0F95"/>
    <w:rsid w:val="001E1218"/>
    <w:rsid w:val="001E1E66"/>
    <w:rsid w:val="001E21B7"/>
    <w:rsid w:val="001E2752"/>
    <w:rsid w:val="001E329A"/>
    <w:rsid w:val="001E3C3B"/>
    <w:rsid w:val="001E3C4E"/>
    <w:rsid w:val="001E4720"/>
    <w:rsid w:val="001E4941"/>
    <w:rsid w:val="001E4BA1"/>
    <w:rsid w:val="001E5AC2"/>
    <w:rsid w:val="001E698C"/>
    <w:rsid w:val="001E6FA9"/>
    <w:rsid w:val="001E72FF"/>
    <w:rsid w:val="001E749F"/>
    <w:rsid w:val="001E7603"/>
    <w:rsid w:val="001E776A"/>
    <w:rsid w:val="001F013A"/>
    <w:rsid w:val="001F0F6E"/>
    <w:rsid w:val="001F1FE8"/>
    <w:rsid w:val="001F23FE"/>
    <w:rsid w:val="001F2A03"/>
    <w:rsid w:val="001F2C24"/>
    <w:rsid w:val="001F3DEE"/>
    <w:rsid w:val="001F3EDB"/>
    <w:rsid w:val="001F4177"/>
    <w:rsid w:val="001F4873"/>
    <w:rsid w:val="001F4CFB"/>
    <w:rsid w:val="001F510E"/>
    <w:rsid w:val="001F594D"/>
    <w:rsid w:val="001F5AF9"/>
    <w:rsid w:val="001F6AF3"/>
    <w:rsid w:val="001F77A4"/>
    <w:rsid w:val="001F7D62"/>
    <w:rsid w:val="00200B06"/>
    <w:rsid w:val="002015CE"/>
    <w:rsid w:val="00204139"/>
    <w:rsid w:val="00204855"/>
    <w:rsid w:val="0020498A"/>
    <w:rsid w:val="002051A6"/>
    <w:rsid w:val="0020530E"/>
    <w:rsid w:val="002054E9"/>
    <w:rsid w:val="00205B18"/>
    <w:rsid w:val="00205C8D"/>
    <w:rsid w:val="00205ECB"/>
    <w:rsid w:val="0021344E"/>
    <w:rsid w:val="002139ED"/>
    <w:rsid w:val="00217B32"/>
    <w:rsid w:val="00220389"/>
    <w:rsid w:val="00220427"/>
    <w:rsid w:val="00220B5F"/>
    <w:rsid w:val="00221DAA"/>
    <w:rsid w:val="002224CD"/>
    <w:rsid w:val="00222DF5"/>
    <w:rsid w:val="00222E45"/>
    <w:rsid w:val="00223567"/>
    <w:rsid w:val="00223B3B"/>
    <w:rsid w:val="002242CF"/>
    <w:rsid w:val="0022518B"/>
    <w:rsid w:val="00227612"/>
    <w:rsid w:val="00230F37"/>
    <w:rsid w:val="00231274"/>
    <w:rsid w:val="00232D6F"/>
    <w:rsid w:val="00232FC0"/>
    <w:rsid w:val="00233559"/>
    <w:rsid w:val="002339B7"/>
    <w:rsid w:val="0023425E"/>
    <w:rsid w:val="00234C9F"/>
    <w:rsid w:val="00234E5C"/>
    <w:rsid w:val="002352BA"/>
    <w:rsid w:val="00235DD4"/>
    <w:rsid w:val="00237077"/>
    <w:rsid w:val="00237648"/>
    <w:rsid w:val="00237AA9"/>
    <w:rsid w:val="00237C4E"/>
    <w:rsid w:val="0024026F"/>
    <w:rsid w:val="00240A15"/>
    <w:rsid w:val="002414DE"/>
    <w:rsid w:val="002415DA"/>
    <w:rsid w:val="002417ED"/>
    <w:rsid w:val="002422CE"/>
    <w:rsid w:val="002422D0"/>
    <w:rsid w:val="00242812"/>
    <w:rsid w:val="00242C33"/>
    <w:rsid w:val="00243E8E"/>
    <w:rsid w:val="00244908"/>
    <w:rsid w:val="00244B30"/>
    <w:rsid w:val="002455CB"/>
    <w:rsid w:val="002457CC"/>
    <w:rsid w:val="0024597D"/>
    <w:rsid w:val="00246947"/>
    <w:rsid w:val="00247FC6"/>
    <w:rsid w:val="00250E1F"/>
    <w:rsid w:val="0025154B"/>
    <w:rsid w:val="002537BE"/>
    <w:rsid w:val="002539FE"/>
    <w:rsid w:val="00254215"/>
    <w:rsid w:val="002546DB"/>
    <w:rsid w:val="00254C30"/>
    <w:rsid w:val="00254F61"/>
    <w:rsid w:val="00256456"/>
    <w:rsid w:val="002566F1"/>
    <w:rsid w:val="002615F8"/>
    <w:rsid w:val="00261AB8"/>
    <w:rsid w:val="00261F85"/>
    <w:rsid w:val="00262285"/>
    <w:rsid w:val="00264CD8"/>
    <w:rsid w:val="002665A6"/>
    <w:rsid w:val="002666B7"/>
    <w:rsid w:val="00266D66"/>
    <w:rsid w:val="002678FA"/>
    <w:rsid w:val="002711C2"/>
    <w:rsid w:val="002711DD"/>
    <w:rsid w:val="002713E2"/>
    <w:rsid w:val="0027197A"/>
    <w:rsid w:val="00271AD7"/>
    <w:rsid w:val="002731F1"/>
    <w:rsid w:val="00273291"/>
    <w:rsid w:val="002732DD"/>
    <w:rsid w:val="00275FFA"/>
    <w:rsid w:val="00275FFD"/>
    <w:rsid w:val="002770E7"/>
    <w:rsid w:val="00277492"/>
    <w:rsid w:val="0027773C"/>
    <w:rsid w:val="00277791"/>
    <w:rsid w:val="00281D81"/>
    <w:rsid w:val="00283042"/>
    <w:rsid w:val="00283992"/>
    <w:rsid w:val="00283BF0"/>
    <w:rsid w:val="0028511D"/>
    <w:rsid w:val="002856E3"/>
    <w:rsid w:val="00286B36"/>
    <w:rsid w:val="00287094"/>
    <w:rsid w:val="00287200"/>
    <w:rsid w:val="00287948"/>
    <w:rsid w:val="00287D50"/>
    <w:rsid w:val="00290735"/>
    <w:rsid w:val="002908F0"/>
    <w:rsid w:val="00290BE9"/>
    <w:rsid w:val="00291647"/>
    <w:rsid w:val="00291663"/>
    <w:rsid w:val="00291E6E"/>
    <w:rsid w:val="00292653"/>
    <w:rsid w:val="0029266B"/>
    <w:rsid w:val="00294341"/>
    <w:rsid w:val="00294391"/>
    <w:rsid w:val="002946D4"/>
    <w:rsid w:val="0029481A"/>
    <w:rsid w:val="00294937"/>
    <w:rsid w:val="00296060"/>
    <w:rsid w:val="00296CFD"/>
    <w:rsid w:val="002977BD"/>
    <w:rsid w:val="00297C67"/>
    <w:rsid w:val="002A1920"/>
    <w:rsid w:val="002A3E78"/>
    <w:rsid w:val="002A57C1"/>
    <w:rsid w:val="002A60D5"/>
    <w:rsid w:val="002A6C45"/>
    <w:rsid w:val="002A7DCC"/>
    <w:rsid w:val="002B0C3A"/>
    <w:rsid w:val="002B1F2A"/>
    <w:rsid w:val="002B1FEE"/>
    <w:rsid w:val="002B321A"/>
    <w:rsid w:val="002B3B8F"/>
    <w:rsid w:val="002B4682"/>
    <w:rsid w:val="002B5E4C"/>
    <w:rsid w:val="002B761A"/>
    <w:rsid w:val="002B7E2D"/>
    <w:rsid w:val="002C1467"/>
    <w:rsid w:val="002C154F"/>
    <w:rsid w:val="002C1B86"/>
    <w:rsid w:val="002C1DD4"/>
    <w:rsid w:val="002C21DB"/>
    <w:rsid w:val="002C2D32"/>
    <w:rsid w:val="002C2E15"/>
    <w:rsid w:val="002C3741"/>
    <w:rsid w:val="002C4052"/>
    <w:rsid w:val="002C447C"/>
    <w:rsid w:val="002C524F"/>
    <w:rsid w:val="002C6606"/>
    <w:rsid w:val="002D06AD"/>
    <w:rsid w:val="002D11E8"/>
    <w:rsid w:val="002D1F1D"/>
    <w:rsid w:val="002D2CA1"/>
    <w:rsid w:val="002D3A2E"/>
    <w:rsid w:val="002D5008"/>
    <w:rsid w:val="002D55CC"/>
    <w:rsid w:val="002D57FD"/>
    <w:rsid w:val="002D6623"/>
    <w:rsid w:val="002D674B"/>
    <w:rsid w:val="002E040D"/>
    <w:rsid w:val="002E0A4A"/>
    <w:rsid w:val="002E3B63"/>
    <w:rsid w:val="002E415D"/>
    <w:rsid w:val="002E47FC"/>
    <w:rsid w:val="002E4C43"/>
    <w:rsid w:val="002E5200"/>
    <w:rsid w:val="002E57DA"/>
    <w:rsid w:val="002E57F8"/>
    <w:rsid w:val="002E71A2"/>
    <w:rsid w:val="002F003F"/>
    <w:rsid w:val="002F00C5"/>
    <w:rsid w:val="002F0AF1"/>
    <w:rsid w:val="002F2162"/>
    <w:rsid w:val="002F2FE2"/>
    <w:rsid w:val="002F46B4"/>
    <w:rsid w:val="002F515D"/>
    <w:rsid w:val="002F719D"/>
    <w:rsid w:val="002F7B9F"/>
    <w:rsid w:val="0030004A"/>
    <w:rsid w:val="0030079F"/>
    <w:rsid w:val="00300B9E"/>
    <w:rsid w:val="00301127"/>
    <w:rsid w:val="00302948"/>
    <w:rsid w:val="00302EE9"/>
    <w:rsid w:val="00303665"/>
    <w:rsid w:val="00304042"/>
    <w:rsid w:val="003040D4"/>
    <w:rsid w:val="0030460F"/>
    <w:rsid w:val="00305244"/>
    <w:rsid w:val="0030598B"/>
    <w:rsid w:val="003067F6"/>
    <w:rsid w:val="00306C72"/>
    <w:rsid w:val="00307DC0"/>
    <w:rsid w:val="003106AF"/>
    <w:rsid w:val="00311A3F"/>
    <w:rsid w:val="00311B2F"/>
    <w:rsid w:val="00312A51"/>
    <w:rsid w:val="00312DF4"/>
    <w:rsid w:val="00313A43"/>
    <w:rsid w:val="00320471"/>
    <w:rsid w:val="0032060B"/>
    <w:rsid w:val="00320770"/>
    <w:rsid w:val="00320AF6"/>
    <w:rsid w:val="003217BC"/>
    <w:rsid w:val="003228A9"/>
    <w:rsid w:val="00322967"/>
    <w:rsid w:val="00323B25"/>
    <w:rsid w:val="00325296"/>
    <w:rsid w:val="003253E0"/>
    <w:rsid w:val="00325585"/>
    <w:rsid w:val="00325EF5"/>
    <w:rsid w:val="00326AED"/>
    <w:rsid w:val="003278C2"/>
    <w:rsid w:val="00327B4A"/>
    <w:rsid w:val="00331416"/>
    <w:rsid w:val="00331A8A"/>
    <w:rsid w:val="00333DBD"/>
    <w:rsid w:val="00334D0A"/>
    <w:rsid w:val="0033739D"/>
    <w:rsid w:val="00337A98"/>
    <w:rsid w:val="00340506"/>
    <w:rsid w:val="00341385"/>
    <w:rsid w:val="00341711"/>
    <w:rsid w:val="00341C50"/>
    <w:rsid w:val="00342076"/>
    <w:rsid w:val="003423FA"/>
    <w:rsid w:val="00342BE3"/>
    <w:rsid w:val="00344351"/>
    <w:rsid w:val="00344695"/>
    <w:rsid w:val="00344AC6"/>
    <w:rsid w:val="00346147"/>
    <w:rsid w:val="003462C1"/>
    <w:rsid w:val="00347EFB"/>
    <w:rsid w:val="00350A43"/>
    <w:rsid w:val="00350E6D"/>
    <w:rsid w:val="00350E99"/>
    <w:rsid w:val="00351BD6"/>
    <w:rsid w:val="00352695"/>
    <w:rsid w:val="003530BF"/>
    <w:rsid w:val="0035337D"/>
    <w:rsid w:val="00354CAA"/>
    <w:rsid w:val="003552BF"/>
    <w:rsid w:val="00355D87"/>
    <w:rsid w:val="00355FC5"/>
    <w:rsid w:val="003574C8"/>
    <w:rsid w:val="00361BD0"/>
    <w:rsid w:val="00361D0E"/>
    <w:rsid w:val="0036206B"/>
    <w:rsid w:val="00362350"/>
    <w:rsid w:val="00362A02"/>
    <w:rsid w:val="00362BA1"/>
    <w:rsid w:val="00362DE3"/>
    <w:rsid w:val="00363159"/>
    <w:rsid w:val="003637A4"/>
    <w:rsid w:val="00363F5A"/>
    <w:rsid w:val="003640F8"/>
    <w:rsid w:val="003643BE"/>
    <w:rsid w:val="00364A0A"/>
    <w:rsid w:val="00364B6E"/>
    <w:rsid w:val="003679E1"/>
    <w:rsid w:val="00370194"/>
    <w:rsid w:val="00371032"/>
    <w:rsid w:val="003710CB"/>
    <w:rsid w:val="00371D27"/>
    <w:rsid w:val="00372219"/>
    <w:rsid w:val="00372989"/>
    <w:rsid w:val="003739E3"/>
    <w:rsid w:val="003745CB"/>
    <w:rsid w:val="00375313"/>
    <w:rsid w:val="00375B3E"/>
    <w:rsid w:val="00375C6C"/>
    <w:rsid w:val="00376EFD"/>
    <w:rsid w:val="00376FD0"/>
    <w:rsid w:val="003801F7"/>
    <w:rsid w:val="00380405"/>
    <w:rsid w:val="00380ACB"/>
    <w:rsid w:val="00380B88"/>
    <w:rsid w:val="00381A94"/>
    <w:rsid w:val="00381BB8"/>
    <w:rsid w:val="00381DC6"/>
    <w:rsid w:val="00382205"/>
    <w:rsid w:val="00382D6F"/>
    <w:rsid w:val="003830A4"/>
    <w:rsid w:val="00383795"/>
    <w:rsid w:val="003844BA"/>
    <w:rsid w:val="00384F39"/>
    <w:rsid w:val="00385D7D"/>
    <w:rsid w:val="003873A3"/>
    <w:rsid w:val="003875E9"/>
    <w:rsid w:val="003918E5"/>
    <w:rsid w:val="003921A1"/>
    <w:rsid w:val="00392652"/>
    <w:rsid w:val="00392B41"/>
    <w:rsid w:val="00392FCF"/>
    <w:rsid w:val="00393CA0"/>
    <w:rsid w:val="00394266"/>
    <w:rsid w:val="00394493"/>
    <w:rsid w:val="00394B69"/>
    <w:rsid w:val="00394DFE"/>
    <w:rsid w:val="00395361"/>
    <w:rsid w:val="003956DC"/>
    <w:rsid w:val="003966D5"/>
    <w:rsid w:val="003966F6"/>
    <w:rsid w:val="00396D33"/>
    <w:rsid w:val="00396D44"/>
    <w:rsid w:val="0039721C"/>
    <w:rsid w:val="0039753B"/>
    <w:rsid w:val="003A2FD6"/>
    <w:rsid w:val="003A3E2E"/>
    <w:rsid w:val="003A4C42"/>
    <w:rsid w:val="003A5039"/>
    <w:rsid w:val="003A551D"/>
    <w:rsid w:val="003A55FB"/>
    <w:rsid w:val="003A56A5"/>
    <w:rsid w:val="003A58C1"/>
    <w:rsid w:val="003A593B"/>
    <w:rsid w:val="003A5EC7"/>
    <w:rsid w:val="003A6A4A"/>
    <w:rsid w:val="003A6C6D"/>
    <w:rsid w:val="003A7AC9"/>
    <w:rsid w:val="003B017E"/>
    <w:rsid w:val="003B0B43"/>
    <w:rsid w:val="003B14B6"/>
    <w:rsid w:val="003B1FFC"/>
    <w:rsid w:val="003B2B0B"/>
    <w:rsid w:val="003B2BD6"/>
    <w:rsid w:val="003B351C"/>
    <w:rsid w:val="003B4099"/>
    <w:rsid w:val="003B44E1"/>
    <w:rsid w:val="003B48DB"/>
    <w:rsid w:val="003B49FC"/>
    <w:rsid w:val="003B51BC"/>
    <w:rsid w:val="003B5856"/>
    <w:rsid w:val="003B5C3F"/>
    <w:rsid w:val="003B6870"/>
    <w:rsid w:val="003B6B03"/>
    <w:rsid w:val="003B6FB9"/>
    <w:rsid w:val="003B7767"/>
    <w:rsid w:val="003C055E"/>
    <w:rsid w:val="003C17FA"/>
    <w:rsid w:val="003C1C60"/>
    <w:rsid w:val="003C24F7"/>
    <w:rsid w:val="003C2B04"/>
    <w:rsid w:val="003C3AAF"/>
    <w:rsid w:val="003C3EC2"/>
    <w:rsid w:val="003C5395"/>
    <w:rsid w:val="003C569D"/>
    <w:rsid w:val="003C6015"/>
    <w:rsid w:val="003C6331"/>
    <w:rsid w:val="003D1AA7"/>
    <w:rsid w:val="003D2469"/>
    <w:rsid w:val="003D2B40"/>
    <w:rsid w:val="003D39B4"/>
    <w:rsid w:val="003D4946"/>
    <w:rsid w:val="003D4DF1"/>
    <w:rsid w:val="003D5578"/>
    <w:rsid w:val="003D55EE"/>
    <w:rsid w:val="003D5831"/>
    <w:rsid w:val="003D64D1"/>
    <w:rsid w:val="003D6DD0"/>
    <w:rsid w:val="003D74F6"/>
    <w:rsid w:val="003D7504"/>
    <w:rsid w:val="003E05A7"/>
    <w:rsid w:val="003E0613"/>
    <w:rsid w:val="003E07D4"/>
    <w:rsid w:val="003E1190"/>
    <w:rsid w:val="003E11D0"/>
    <w:rsid w:val="003E11F2"/>
    <w:rsid w:val="003E1539"/>
    <w:rsid w:val="003E3632"/>
    <w:rsid w:val="003E3A0C"/>
    <w:rsid w:val="003E5237"/>
    <w:rsid w:val="003E5595"/>
    <w:rsid w:val="003E5A6F"/>
    <w:rsid w:val="003E6082"/>
    <w:rsid w:val="003E62E5"/>
    <w:rsid w:val="003E6A99"/>
    <w:rsid w:val="003E6AC4"/>
    <w:rsid w:val="003E7519"/>
    <w:rsid w:val="003F01AC"/>
    <w:rsid w:val="003F032A"/>
    <w:rsid w:val="003F0620"/>
    <w:rsid w:val="003F10F8"/>
    <w:rsid w:val="003F3048"/>
    <w:rsid w:val="003F32D5"/>
    <w:rsid w:val="003F4317"/>
    <w:rsid w:val="003F4884"/>
    <w:rsid w:val="003F4F50"/>
    <w:rsid w:val="003F52DF"/>
    <w:rsid w:val="003F594F"/>
    <w:rsid w:val="003F6251"/>
    <w:rsid w:val="003F6BAA"/>
    <w:rsid w:val="003F6ECE"/>
    <w:rsid w:val="003F7BCD"/>
    <w:rsid w:val="0040014C"/>
    <w:rsid w:val="00401287"/>
    <w:rsid w:val="00401393"/>
    <w:rsid w:val="0040142F"/>
    <w:rsid w:val="004017C2"/>
    <w:rsid w:val="00401D08"/>
    <w:rsid w:val="00402256"/>
    <w:rsid w:val="004039A1"/>
    <w:rsid w:val="00403A63"/>
    <w:rsid w:val="00403BB3"/>
    <w:rsid w:val="004045A2"/>
    <w:rsid w:val="004046CD"/>
    <w:rsid w:val="00404DA7"/>
    <w:rsid w:val="0040621C"/>
    <w:rsid w:val="00406BC7"/>
    <w:rsid w:val="00406D2F"/>
    <w:rsid w:val="004114B4"/>
    <w:rsid w:val="004119F1"/>
    <w:rsid w:val="00412D4D"/>
    <w:rsid w:val="00413841"/>
    <w:rsid w:val="0041392C"/>
    <w:rsid w:val="00413A67"/>
    <w:rsid w:val="00413D25"/>
    <w:rsid w:val="00413E16"/>
    <w:rsid w:val="0041515D"/>
    <w:rsid w:val="0041518E"/>
    <w:rsid w:val="004161D8"/>
    <w:rsid w:val="0041630C"/>
    <w:rsid w:val="0041645F"/>
    <w:rsid w:val="0041694A"/>
    <w:rsid w:val="00417E0B"/>
    <w:rsid w:val="0042016B"/>
    <w:rsid w:val="0042025D"/>
    <w:rsid w:val="004213CB"/>
    <w:rsid w:val="0042146B"/>
    <w:rsid w:val="004226D2"/>
    <w:rsid w:val="00422797"/>
    <w:rsid w:val="00422809"/>
    <w:rsid w:val="004229ED"/>
    <w:rsid w:val="00422BB6"/>
    <w:rsid w:val="0042476B"/>
    <w:rsid w:val="00425AA5"/>
    <w:rsid w:val="00426207"/>
    <w:rsid w:val="00426313"/>
    <w:rsid w:val="004266BB"/>
    <w:rsid w:val="00426BDA"/>
    <w:rsid w:val="0042720A"/>
    <w:rsid w:val="004277EB"/>
    <w:rsid w:val="00427C2C"/>
    <w:rsid w:val="00430F0A"/>
    <w:rsid w:val="00431347"/>
    <w:rsid w:val="0043162B"/>
    <w:rsid w:val="00431757"/>
    <w:rsid w:val="004317C0"/>
    <w:rsid w:val="00431E5D"/>
    <w:rsid w:val="00431F77"/>
    <w:rsid w:val="004324F1"/>
    <w:rsid w:val="0043260A"/>
    <w:rsid w:val="00433AFA"/>
    <w:rsid w:val="00434014"/>
    <w:rsid w:val="0043444B"/>
    <w:rsid w:val="0043498D"/>
    <w:rsid w:val="00435039"/>
    <w:rsid w:val="0043723C"/>
    <w:rsid w:val="004416DF"/>
    <w:rsid w:val="00442109"/>
    <w:rsid w:val="00443303"/>
    <w:rsid w:val="00444D2C"/>
    <w:rsid w:val="00445AEA"/>
    <w:rsid w:val="00446675"/>
    <w:rsid w:val="004476F1"/>
    <w:rsid w:val="00451D49"/>
    <w:rsid w:val="00452A68"/>
    <w:rsid w:val="004537E3"/>
    <w:rsid w:val="00453A2A"/>
    <w:rsid w:val="00453D7F"/>
    <w:rsid w:val="004554DE"/>
    <w:rsid w:val="0045555D"/>
    <w:rsid w:val="00456C17"/>
    <w:rsid w:val="00456D2A"/>
    <w:rsid w:val="00457CA3"/>
    <w:rsid w:val="004601C8"/>
    <w:rsid w:val="00461493"/>
    <w:rsid w:val="004620BD"/>
    <w:rsid w:val="00464970"/>
    <w:rsid w:val="00464BF2"/>
    <w:rsid w:val="004652FF"/>
    <w:rsid w:val="004655C3"/>
    <w:rsid w:val="0046583D"/>
    <w:rsid w:val="00466133"/>
    <w:rsid w:val="00466470"/>
    <w:rsid w:val="004667FB"/>
    <w:rsid w:val="00466D45"/>
    <w:rsid w:val="00470262"/>
    <w:rsid w:val="004719EB"/>
    <w:rsid w:val="00471C05"/>
    <w:rsid w:val="00472C32"/>
    <w:rsid w:val="00472CE6"/>
    <w:rsid w:val="00473099"/>
    <w:rsid w:val="0047326E"/>
    <w:rsid w:val="004736B5"/>
    <w:rsid w:val="00473E71"/>
    <w:rsid w:val="00474AD5"/>
    <w:rsid w:val="004754A8"/>
    <w:rsid w:val="0047576A"/>
    <w:rsid w:val="00475A5E"/>
    <w:rsid w:val="00480A75"/>
    <w:rsid w:val="00480EDF"/>
    <w:rsid w:val="00481DD5"/>
    <w:rsid w:val="004826D8"/>
    <w:rsid w:val="00483B47"/>
    <w:rsid w:val="00483D80"/>
    <w:rsid w:val="00484AA2"/>
    <w:rsid w:val="00485898"/>
    <w:rsid w:val="004864B5"/>
    <w:rsid w:val="004867B5"/>
    <w:rsid w:val="00487C4D"/>
    <w:rsid w:val="00490953"/>
    <w:rsid w:val="00490DBE"/>
    <w:rsid w:val="004917D8"/>
    <w:rsid w:val="00491C74"/>
    <w:rsid w:val="00492774"/>
    <w:rsid w:val="00493348"/>
    <w:rsid w:val="0049382A"/>
    <w:rsid w:val="00493937"/>
    <w:rsid w:val="0049433F"/>
    <w:rsid w:val="0049507C"/>
    <w:rsid w:val="004950C5"/>
    <w:rsid w:val="00495204"/>
    <w:rsid w:val="00495554"/>
    <w:rsid w:val="00496642"/>
    <w:rsid w:val="00496E8F"/>
    <w:rsid w:val="004971B7"/>
    <w:rsid w:val="00497497"/>
    <w:rsid w:val="004A0FD0"/>
    <w:rsid w:val="004A1DD8"/>
    <w:rsid w:val="004A26EA"/>
    <w:rsid w:val="004A2E43"/>
    <w:rsid w:val="004A4ED8"/>
    <w:rsid w:val="004A4EE4"/>
    <w:rsid w:val="004A5BC6"/>
    <w:rsid w:val="004A6062"/>
    <w:rsid w:val="004A7329"/>
    <w:rsid w:val="004B015F"/>
    <w:rsid w:val="004B065D"/>
    <w:rsid w:val="004B1537"/>
    <w:rsid w:val="004B1768"/>
    <w:rsid w:val="004B1AE9"/>
    <w:rsid w:val="004B1C76"/>
    <w:rsid w:val="004B2E24"/>
    <w:rsid w:val="004B31D2"/>
    <w:rsid w:val="004B362C"/>
    <w:rsid w:val="004B44EE"/>
    <w:rsid w:val="004B48E7"/>
    <w:rsid w:val="004B4CAF"/>
    <w:rsid w:val="004B4F89"/>
    <w:rsid w:val="004B5330"/>
    <w:rsid w:val="004B5653"/>
    <w:rsid w:val="004B5940"/>
    <w:rsid w:val="004B615A"/>
    <w:rsid w:val="004B6211"/>
    <w:rsid w:val="004C04BA"/>
    <w:rsid w:val="004C0C76"/>
    <w:rsid w:val="004C136E"/>
    <w:rsid w:val="004C1B70"/>
    <w:rsid w:val="004C3C94"/>
    <w:rsid w:val="004C4481"/>
    <w:rsid w:val="004C4DD6"/>
    <w:rsid w:val="004C679F"/>
    <w:rsid w:val="004C67E7"/>
    <w:rsid w:val="004C6A74"/>
    <w:rsid w:val="004C7AFB"/>
    <w:rsid w:val="004C7FE1"/>
    <w:rsid w:val="004D04BF"/>
    <w:rsid w:val="004D1CBF"/>
    <w:rsid w:val="004D1D62"/>
    <w:rsid w:val="004D2C9D"/>
    <w:rsid w:val="004D3D50"/>
    <w:rsid w:val="004D4241"/>
    <w:rsid w:val="004D48C1"/>
    <w:rsid w:val="004D4FC8"/>
    <w:rsid w:val="004D5702"/>
    <w:rsid w:val="004D58E6"/>
    <w:rsid w:val="004D5907"/>
    <w:rsid w:val="004D6DFC"/>
    <w:rsid w:val="004D7237"/>
    <w:rsid w:val="004D7C2F"/>
    <w:rsid w:val="004E07C9"/>
    <w:rsid w:val="004E0EF3"/>
    <w:rsid w:val="004E189A"/>
    <w:rsid w:val="004E19EE"/>
    <w:rsid w:val="004E1A1F"/>
    <w:rsid w:val="004E1EF9"/>
    <w:rsid w:val="004E213E"/>
    <w:rsid w:val="004E30D4"/>
    <w:rsid w:val="004E3780"/>
    <w:rsid w:val="004E3EEC"/>
    <w:rsid w:val="004E449C"/>
    <w:rsid w:val="004E5585"/>
    <w:rsid w:val="004E575F"/>
    <w:rsid w:val="004E6280"/>
    <w:rsid w:val="004E68D4"/>
    <w:rsid w:val="004F03E8"/>
    <w:rsid w:val="004F04BC"/>
    <w:rsid w:val="004F0B0B"/>
    <w:rsid w:val="004F1EE1"/>
    <w:rsid w:val="004F24DD"/>
    <w:rsid w:val="004F2CE2"/>
    <w:rsid w:val="004F3E93"/>
    <w:rsid w:val="004F3EA0"/>
    <w:rsid w:val="004F432A"/>
    <w:rsid w:val="004F48C0"/>
    <w:rsid w:val="004F4D51"/>
    <w:rsid w:val="004F512D"/>
    <w:rsid w:val="004F5B9F"/>
    <w:rsid w:val="004F7133"/>
    <w:rsid w:val="004F7B85"/>
    <w:rsid w:val="0050021B"/>
    <w:rsid w:val="005002A4"/>
    <w:rsid w:val="00500B3C"/>
    <w:rsid w:val="00500CBF"/>
    <w:rsid w:val="00500D32"/>
    <w:rsid w:val="005010CB"/>
    <w:rsid w:val="0050179C"/>
    <w:rsid w:val="00502053"/>
    <w:rsid w:val="00502D2A"/>
    <w:rsid w:val="00503CD0"/>
    <w:rsid w:val="00503DE8"/>
    <w:rsid w:val="00504138"/>
    <w:rsid w:val="005047ED"/>
    <w:rsid w:val="00504ABE"/>
    <w:rsid w:val="00506667"/>
    <w:rsid w:val="005069F8"/>
    <w:rsid w:val="005074B5"/>
    <w:rsid w:val="00507D63"/>
    <w:rsid w:val="005123F8"/>
    <w:rsid w:val="00512D0A"/>
    <w:rsid w:val="00513B25"/>
    <w:rsid w:val="00516232"/>
    <w:rsid w:val="0051796F"/>
    <w:rsid w:val="005223F3"/>
    <w:rsid w:val="005231B6"/>
    <w:rsid w:val="00523723"/>
    <w:rsid w:val="00524A6D"/>
    <w:rsid w:val="005250E2"/>
    <w:rsid w:val="00526BC1"/>
    <w:rsid w:val="00526C96"/>
    <w:rsid w:val="0052704E"/>
    <w:rsid w:val="005303C2"/>
    <w:rsid w:val="00530CCB"/>
    <w:rsid w:val="005311CB"/>
    <w:rsid w:val="00532009"/>
    <w:rsid w:val="00532141"/>
    <w:rsid w:val="00533081"/>
    <w:rsid w:val="00534A14"/>
    <w:rsid w:val="00536B21"/>
    <w:rsid w:val="00536E4F"/>
    <w:rsid w:val="005376DD"/>
    <w:rsid w:val="00540687"/>
    <w:rsid w:val="00540CE3"/>
    <w:rsid w:val="00543523"/>
    <w:rsid w:val="00543AFC"/>
    <w:rsid w:val="00545E0F"/>
    <w:rsid w:val="005465C0"/>
    <w:rsid w:val="0054778F"/>
    <w:rsid w:val="00547DD0"/>
    <w:rsid w:val="0055056E"/>
    <w:rsid w:val="00550866"/>
    <w:rsid w:val="0055218C"/>
    <w:rsid w:val="00552601"/>
    <w:rsid w:val="005527DB"/>
    <w:rsid w:val="00552A6C"/>
    <w:rsid w:val="0055325A"/>
    <w:rsid w:val="00554046"/>
    <w:rsid w:val="00554287"/>
    <w:rsid w:val="0055454D"/>
    <w:rsid w:val="005562D2"/>
    <w:rsid w:val="00556582"/>
    <w:rsid w:val="00556A0B"/>
    <w:rsid w:val="0055727A"/>
    <w:rsid w:val="00561179"/>
    <w:rsid w:val="005613D4"/>
    <w:rsid w:val="00562185"/>
    <w:rsid w:val="00562E2B"/>
    <w:rsid w:val="00562F42"/>
    <w:rsid w:val="005647A5"/>
    <w:rsid w:val="00565294"/>
    <w:rsid w:val="00565FD6"/>
    <w:rsid w:val="00566ADB"/>
    <w:rsid w:val="0057029F"/>
    <w:rsid w:val="00570BD1"/>
    <w:rsid w:val="00571042"/>
    <w:rsid w:val="005712D2"/>
    <w:rsid w:val="00571330"/>
    <w:rsid w:val="0057133D"/>
    <w:rsid w:val="00571524"/>
    <w:rsid w:val="005717C3"/>
    <w:rsid w:val="005725B2"/>
    <w:rsid w:val="005731C9"/>
    <w:rsid w:val="0057387D"/>
    <w:rsid w:val="0057441E"/>
    <w:rsid w:val="005750F2"/>
    <w:rsid w:val="00576BF8"/>
    <w:rsid w:val="00580155"/>
    <w:rsid w:val="0058090B"/>
    <w:rsid w:val="00580A26"/>
    <w:rsid w:val="00581649"/>
    <w:rsid w:val="0058168D"/>
    <w:rsid w:val="005817D1"/>
    <w:rsid w:val="00581F8F"/>
    <w:rsid w:val="00581FBD"/>
    <w:rsid w:val="0058215A"/>
    <w:rsid w:val="0058235D"/>
    <w:rsid w:val="00582DA8"/>
    <w:rsid w:val="00583694"/>
    <w:rsid w:val="00583A3B"/>
    <w:rsid w:val="00584147"/>
    <w:rsid w:val="00586C4E"/>
    <w:rsid w:val="0059082C"/>
    <w:rsid w:val="00590DD4"/>
    <w:rsid w:val="005918DB"/>
    <w:rsid w:val="00591BF7"/>
    <w:rsid w:val="005921B3"/>
    <w:rsid w:val="005927FB"/>
    <w:rsid w:val="005929F5"/>
    <w:rsid w:val="00593171"/>
    <w:rsid w:val="0059319C"/>
    <w:rsid w:val="005935D8"/>
    <w:rsid w:val="00594099"/>
    <w:rsid w:val="00594985"/>
    <w:rsid w:val="005951BF"/>
    <w:rsid w:val="005954F0"/>
    <w:rsid w:val="00595D88"/>
    <w:rsid w:val="005964BC"/>
    <w:rsid w:val="00596C76"/>
    <w:rsid w:val="00597066"/>
    <w:rsid w:val="005A0319"/>
    <w:rsid w:val="005A190F"/>
    <w:rsid w:val="005A22AC"/>
    <w:rsid w:val="005A2BE1"/>
    <w:rsid w:val="005A4AFF"/>
    <w:rsid w:val="005A5C58"/>
    <w:rsid w:val="005A767D"/>
    <w:rsid w:val="005B1F4D"/>
    <w:rsid w:val="005B2E0B"/>
    <w:rsid w:val="005B47CC"/>
    <w:rsid w:val="005B4E32"/>
    <w:rsid w:val="005B5915"/>
    <w:rsid w:val="005B615E"/>
    <w:rsid w:val="005B6694"/>
    <w:rsid w:val="005C055F"/>
    <w:rsid w:val="005C08D7"/>
    <w:rsid w:val="005C0D09"/>
    <w:rsid w:val="005C0D45"/>
    <w:rsid w:val="005C0F3D"/>
    <w:rsid w:val="005C1882"/>
    <w:rsid w:val="005C1CCA"/>
    <w:rsid w:val="005C23E4"/>
    <w:rsid w:val="005C25DD"/>
    <w:rsid w:val="005C4102"/>
    <w:rsid w:val="005C4533"/>
    <w:rsid w:val="005C7685"/>
    <w:rsid w:val="005D0212"/>
    <w:rsid w:val="005D14DD"/>
    <w:rsid w:val="005D3AD8"/>
    <w:rsid w:val="005D42D6"/>
    <w:rsid w:val="005D6547"/>
    <w:rsid w:val="005D78B6"/>
    <w:rsid w:val="005E00B9"/>
    <w:rsid w:val="005E29B8"/>
    <w:rsid w:val="005E3BD4"/>
    <w:rsid w:val="005E3CCD"/>
    <w:rsid w:val="005E420D"/>
    <w:rsid w:val="005E496A"/>
    <w:rsid w:val="005E5770"/>
    <w:rsid w:val="005E5C17"/>
    <w:rsid w:val="005E5FDA"/>
    <w:rsid w:val="005E641B"/>
    <w:rsid w:val="005E79B5"/>
    <w:rsid w:val="005F2382"/>
    <w:rsid w:val="005F42A3"/>
    <w:rsid w:val="005F4F57"/>
    <w:rsid w:val="005F5642"/>
    <w:rsid w:val="005F6E50"/>
    <w:rsid w:val="005F6F6C"/>
    <w:rsid w:val="005F71FD"/>
    <w:rsid w:val="005F758E"/>
    <w:rsid w:val="00600277"/>
    <w:rsid w:val="00601E95"/>
    <w:rsid w:val="00602BA9"/>
    <w:rsid w:val="00603686"/>
    <w:rsid w:val="00603EDB"/>
    <w:rsid w:val="00603F71"/>
    <w:rsid w:val="0060506C"/>
    <w:rsid w:val="006055C7"/>
    <w:rsid w:val="006057DE"/>
    <w:rsid w:val="006058D7"/>
    <w:rsid w:val="00605A42"/>
    <w:rsid w:val="0060652B"/>
    <w:rsid w:val="00606A90"/>
    <w:rsid w:val="00607D46"/>
    <w:rsid w:val="00610879"/>
    <w:rsid w:val="00610A62"/>
    <w:rsid w:val="00610AC8"/>
    <w:rsid w:val="0061134D"/>
    <w:rsid w:val="00611DD4"/>
    <w:rsid w:val="006128A8"/>
    <w:rsid w:val="00612CF1"/>
    <w:rsid w:val="00612DD6"/>
    <w:rsid w:val="0061506C"/>
    <w:rsid w:val="00617294"/>
    <w:rsid w:val="00622026"/>
    <w:rsid w:val="006229ED"/>
    <w:rsid w:val="00622FE7"/>
    <w:rsid w:val="00623051"/>
    <w:rsid w:val="006234AF"/>
    <w:rsid w:val="00623BA8"/>
    <w:rsid w:val="00623EC9"/>
    <w:rsid w:val="00623F88"/>
    <w:rsid w:val="0062458F"/>
    <w:rsid w:val="006247CA"/>
    <w:rsid w:val="00624BD9"/>
    <w:rsid w:val="00625596"/>
    <w:rsid w:val="00625636"/>
    <w:rsid w:val="00625C5A"/>
    <w:rsid w:val="00626835"/>
    <w:rsid w:val="00627AC2"/>
    <w:rsid w:val="0063099A"/>
    <w:rsid w:val="006309B4"/>
    <w:rsid w:val="006315A5"/>
    <w:rsid w:val="006323C0"/>
    <w:rsid w:val="0063267F"/>
    <w:rsid w:val="006333EA"/>
    <w:rsid w:val="00633597"/>
    <w:rsid w:val="0063360E"/>
    <w:rsid w:val="00633EE2"/>
    <w:rsid w:val="00634C89"/>
    <w:rsid w:val="00635A78"/>
    <w:rsid w:val="00636067"/>
    <w:rsid w:val="00636A73"/>
    <w:rsid w:val="00636E2A"/>
    <w:rsid w:val="0063729E"/>
    <w:rsid w:val="0063740E"/>
    <w:rsid w:val="006378E4"/>
    <w:rsid w:val="006402B2"/>
    <w:rsid w:val="00641A86"/>
    <w:rsid w:val="00641D67"/>
    <w:rsid w:val="00642294"/>
    <w:rsid w:val="00642835"/>
    <w:rsid w:val="00642F0D"/>
    <w:rsid w:val="00643917"/>
    <w:rsid w:val="00643BCD"/>
    <w:rsid w:val="006445DC"/>
    <w:rsid w:val="00644738"/>
    <w:rsid w:val="006456BB"/>
    <w:rsid w:val="00646066"/>
    <w:rsid w:val="00646561"/>
    <w:rsid w:val="00646636"/>
    <w:rsid w:val="00650F06"/>
    <w:rsid w:val="006511E2"/>
    <w:rsid w:val="006512A3"/>
    <w:rsid w:val="00651BC8"/>
    <w:rsid w:val="00651C9C"/>
    <w:rsid w:val="00651F20"/>
    <w:rsid w:val="006531D2"/>
    <w:rsid w:val="0065435F"/>
    <w:rsid w:val="006543EC"/>
    <w:rsid w:val="006561A3"/>
    <w:rsid w:val="00660BD0"/>
    <w:rsid w:val="00660D52"/>
    <w:rsid w:val="006613B8"/>
    <w:rsid w:val="006614A3"/>
    <w:rsid w:val="0066218F"/>
    <w:rsid w:val="0066274E"/>
    <w:rsid w:val="0066292C"/>
    <w:rsid w:val="00662D1E"/>
    <w:rsid w:val="00663737"/>
    <w:rsid w:val="00663881"/>
    <w:rsid w:val="00663BFD"/>
    <w:rsid w:val="006641B2"/>
    <w:rsid w:val="00665768"/>
    <w:rsid w:val="00665AC0"/>
    <w:rsid w:val="006674E0"/>
    <w:rsid w:val="00667A70"/>
    <w:rsid w:val="006701E0"/>
    <w:rsid w:val="00670CB0"/>
    <w:rsid w:val="00670D0C"/>
    <w:rsid w:val="00671B12"/>
    <w:rsid w:val="00671E87"/>
    <w:rsid w:val="00671EBB"/>
    <w:rsid w:val="00672488"/>
    <w:rsid w:val="0067392C"/>
    <w:rsid w:val="00673942"/>
    <w:rsid w:val="00674070"/>
    <w:rsid w:val="00674AC1"/>
    <w:rsid w:val="006758EA"/>
    <w:rsid w:val="0067612A"/>
    <w:rsid w:val="00676AD2"/>
    <w:rsid w:val="006775D6"/>
    <w:rsid w:val="00680310"/>
    <w:rsid w:val="00680EF2"/>
    <w:rsid w:val="00681760"/>
    <w:rsid w:val="00681D47"/>
    <w:rsid w:val="00682246"/>
    <w:rsid w:val="00682C3E"/>
    <w:rsid w:val="0068392A"/>
    <w:rsid w:val="00683E6E"/>
    <w:rsid w:val="00684308"/>
    <w:rsid w:val="006850C2"/>
    <w:rsid w:val="00685C92"/>
    <w:rsid w:val="00685ED7"/>
    <w:rsid w:val="006916CC"/>
    <w:rsid w:val="006923CF"/>
    <w:rsid w:val="00692C29"/>
    <w:rsid w:val="00692C33"/>
    <w:rsid w:val="00694265"/>
    <w:rsid w:val="00694531"/>
    <w:rsid w:val="006960D3"/>
    <w:rsid w:val="00696E2A"/>
    <w:rsid w:val="00696E62"/>
    <w:rsid w:val="00696E73"/>
    <w:rsid w:val="00697212"/>
    <w:rsid w:val="006A09E7"/>
    <w:rsid w:val="006A2332"/>
    <w:rsid w:val="006A374B"/>
    <w:rsid w:val="006A493D"/>
    <w:rsid w:val="006A5961"/>
    <w:rsid w:val="006A59DC"/>
    <w:rsid w:val="006A6CB3"/>
    <w:rsid w:val="006A7761"/>
    <w:rsid w:val="006A78FE"/>
    <w:rsid w:val="006B0C6C"/>
    <w:rsid w:val="006B1ACF"/>
    <w:rsid w:val="006B1FE7"/>
    <w:rsid w:val="006B34EC"/>
    <w:rsid w:val="006B3762"/>
    <w:rsid w:val="006B381E"/>
    <w:rsid w:val="006B5051"/>
    <w:rsid w:val="006B50C6"/>
    <w:rsid w:val="006B6843"/>
    <w:rsid w:val="006B6F64"/>
    <w:rsid w:val="006B719A"/>
    <w:rsid w:val="006B7515"/>
    <w:rsid w:val="006B76C8"/>
    <w:rsid w:val="006B7945"/>
    <w:rsid w:val="006B7C0E"/>
    <w:rsid w:val="006C0633"/>
    <w:rsid w:val="006C14E0"/>
    <w:rsid w:val="006C1A1A"/>
    <w:rsid w:val="006C2A9D"/>
    <w:rsid w:val="006C42E2"/>
    <w:rsid w:val="006D00A7"/>
    <w:rsid w:val="006D0C07"/>
    <w:rsid w:val="006D0C38"/>
    <w:rsid w:val="006D0F13"/>
    <w:rsid w:val="006D14B2"/>
    <w:rsid w:val="006D14E4"/>
    <w:rsid w:val="006D1DC6"/>
    <w:rsid w:val="006D2492"/>
    <w:rsid w:val="006D2946"/>
    <w:rsid w:val="006D2951"/>
    <w:rsid w:val="006D3F70"/>
    <w:rsid w:val="006D4842"/>
    <w:rsid w:val="006D59E1"/>
    <w:rsid w:val="006D5D94"/>
    <w:rsid w:val="006D6E25"/>
    <w:rsid w:val="006D7A79"/>
    <w:rsid w:val="006E0C28"/>
    <w:rsid w:val="006E0EDA"/>
    <w:rsid w:val="006E17CE"/>
    <w:rsid w:val="006E1E26"/>
    <w:rsid w:val="006E4352"/>
    <w:rsid w:val="006E58D1"/>
    <w:rsid w:val="006E5AA9"/>
    <w:rsid w:val="006E65E8"/>
    <w:rsid w:val="006E6BCD"/>
    <w:rsid w:val="006E7B91"/>
    <w:rsid w:val="006F09DE"/>
    <w:rsid w:val="006F1619"/>
    <w:rsid w:val="006F1A6C"/>
    <w:rsid w:val="006F1D95"/>
    <w:rsid w:val="006F2CAA"/>
    <w:rsid w:val="006F2D9C"/>
    <w:rsid w:val="006F3017"/>
    <w:rsid w:val="006F3C60"/>
    <w:rsid w:val="006F3C86"/>
    <w:rsid w:val="006F48B4"/>
    <w:rsid w:val="006F4AF9"/>
    <w:rsid w:val="006F5216"/>
    <w:rsid w:val="006F5BAE"/>
    <w:rsid w:val="006F5D00"/>
    <w:rsid w:val="006F6C14"/>
    <w:rsid w:val="006F6D6A"/>
    <w:rsid w:val="006F72D4"/>
    <w:rsid w:val="006F7A19"/>
    <w:rsid w:val="00700291"/>
    <w:rsid w:val="007006ED"/>
    <w:rsid w:val="00701621"/>
    <w:rsid w:val="0070189C"/>
    <w:rsid w:val="00701A37"/>
    <w:rsid w:val="00703034"/>
    <w:rsid w:val="00703771"/>
    <w:rsid w:val="00703E06"/>
    <w:rsid w:val="00704A5D"/>
    <w:rsid w:val="007050C9"/>
    <w:rsid w:val="0070542A"/>
    <w:rsid w:val="007063F6"/>
    <w:rsid w:val="00706873"/>
    <w:rsid w:val="0070747B"/>
    <w:rsid w:val="00707913"/>
    <w:rsid w:val="00710A9F"/>
    <w:rsid w:val="00711CDC"/>
    <w:rsid w:val="0071294F"/>
    <w:rsid w:val="00713D74"/>
    <w:rsid w:val="00713F32"/>
    <w:rsid w:val="00713FED"/>
    <w:rsid w:val="00714B54"/>
    <w:rsid w:val="00714DAB"/>
    <w:rsid w:val="007154AB"/>
    <w:rsid w:val="00715C88"/>
    <w:rsid w:val="0071661D"/>
    <w:rsid w:val="0071683A"/>
    <w:rsid w:val="00716973"/>
    <w:rsid w:val="00717278"/>
    <w:rsid w:val="00717A17"/>
    <w:rsid w:val="0072054E"/>
    <w:rsid w:val="00720D4C"/>
    <w:rsid w:val="00720DCC"/>
    <w:rsid w:val="007216A0"/>
    <w:rsid w:val="00722481"/>
    <w:rsid w:val="007224B7"/>
    <w:rsid w:val="00722997"/>
    <w:rsid w:val="00722C23"/>
    <w:rsid w:val="00724C19"/>
    <w:rsid w:val="00725129"/>
    <w:rsid w:val="007256CF"/>
    <w:rsid w:val="00725EEF"/>
    <w:rsid w:val="00726A4E"/>
    <w:rsid w:val="00727BB8"/>
    <w:rsid w:val="0073004A"/>
    <w:rsid w:val="00730957"/>
    <w:rsid w:val="00730F8F"/>
    <w:rsid w:val="00731605"/>
    <w:rsid w:val="007323AA"/>
    <w:rsid w:val="00733C3A"/>
    <w:rsid w:val="00733E24"/>
    <w:rsid w:val="00735194"/>
    <w:rsid w:val="0073588B"/>
    <w:rsid w:val="00735B5B"/>
    <w:rsid w:val="00735F01"/>
    <w:rsid w:val="007371BD"/>
    <w:rsid w:val="007376DA"/>
    <w:rsid w:val="00737AAB"/>
    <w:rsid w:val="00737F61"/>
    <w:rsid w:val="007402D0"/>
    <w:rsid w:val="00740504"/>
    <w:rsid w:val="00740B21"/>
    <w:rsid w:val="00740BA6"/>
    <w:rsid w:val="00740C3C"/>
    <w:rsid w:val="00742475"/>
    <w:rsid w:val="007428B8"/>
    <w:rsid w:val="00742DB9"/>
    <w:rsid w:val="00744044"/>
    <w:rsid w:val="0074536E"/>
    <w:rsid w:val="007460CD"/>
    <w:rsid w:val="0074656B"/>
    <w:rsid w:val="00747937"/>
    <w:rsid w:val="00750575"/>
    <w:rsid w:val="007506CE"/>
    <w:rsid w:val="00750B59"/>
    <w:rsid w:val="007525FB"/>
    <w:rsid w:val="00753338"/>
    <w:rsid w:val="0075351A"/>
    <w:rsid w:val="007553DF"/>
    <w:rsid w:val="0075655D"/>
    <w:rsid w:val="007603C2"/>
    <w:rsid w:val="007608FF"/>
    <w:rsid w:val="00762406"/>
    <w:rsid w:val="00762435"/>
    <w:rsid w:val="007639CA"/>
    <w:rsid w:val="0076552D"/>
    <w:rsid w:val="00765982"/>
    <w:rsid w:val="00766811"/>
    <w:rsid w:val="00766840"/>
    <w:rsid w:val="007670A3"/>
    <w:rsid w:val="00767BEE"/>
    <w:rsid w:val="007710C8"/>
    <w:rsid w:val="007716EC"/>
    <w:rsid w:val="0077180D"/>
    <w:rsid w:val="00771D6F"/>
    <w:rsid w:val="007723D0"/>
    <w:rsid w:val="0077240C"/>
    <w:rsid w:val="00773C1D"/>
    <w:rsid w:val="00774941"/>
    <w:rsid w:val="00774A67"/>
    <w:rsid w:val="0077511F"/>
    <w:rsid w:val="00775760"/>
    <w:rsid w:val="00775941"/>
    <w:rsid w:val="00776B1D"/>
    <w:rsid w:val="00777AE2"/>
    <w:rsid w:val="00780CB0"/>
    <w:rsid w:val="00781071"/>
    <w:rsid w:val="00781617"/>
    <w:rsid w:val="007835B4"/>
    <w:rsid w:val="00783E32"/>
    <w:rsid w:val="007848DC"/>
    <w:rsid w:val="00784C17"/>
    <w:rsid w:val="007851E7"/>
    <w:rsid w:val="007862AF"/>
    <w:rsid w:val="00786991"/>
    <w:rsid w:val="007873C7"/>
    <w:rsid w:val="00787961"/>
    <w:rsid w:val="00787ECF"/>
    <w:rsid w:val="0079045D"/>
    <w:rsid w:val="00790933"/>
    <w:rsid w:val="00792462"/>
    <w:rsid w:val="00792E3C"/>
    <w:rsid w:val="00793394"/>
    <w:rsid w:val="00793E67"/>
    <w:rsid w:val="00795A92"/>
    <w:rsid w:val="00797621"/>
    <w:rsid w:val="007976B6"/>
    <w:rsid w:val="007977AE"/>
    <w:rsid w:val="007A0155"/>
    <w:rsid w:val="007A025C"/>
    <w:rsid w:val="007A0C67"/>
    <w:rsid w:val="007A0F29"/>
    <w:rsid w:val="007A1283"/>
    <w:rsid w:val="007A1331"/>
    <w:rsid w:val="007A183B"/>
    <w:rsid w:val="007A3167"/>
    <w:rsid w:val="007A42B1"/>
    <w:rsid w:val="007A47D5"/>
    <w:rsid w:val="007A4BC2"/>
    <w:rsid w:val="007A4F5F"/>
    <w:rsid w:val="007A515F"/>
    <w:rsid w:val="007A5D3F"/>
    <w:rsid w:val="007A6E96"/>
    <w:rsid w:val="007A7DA2"/>
    <w:rsid w:val="007B2C2E"/>
    <w:rsid w:val="007B31DE"/>
    <w:rsid w:val="007B36C3"/>
    <w:rsid w:val="007B4155"/>
    <w:rsid w:val="007B4C53"/>
    <w:rsid w:val="007B5719"/>
    <w:rsid w:val="007B59B3"/>
    <w:rsid w:val="007B59E6"/>
    <w:rsid w:val="007B5B41"/>
    <w:rsid w:val="007B6B73"/>
    <w:rsid w:val="007B6CD4"/>
    <w:rsid w:val="007B6DFD"/>
    <w:rsid w:val="007B74D3"/>
    <w:rsid w:val="007B7EFB"/>
    <w:rsid w:val="007C1197"/>
    <w:rsid w:val="007C1B91"/>
    <w:rsid w:val="007C25A7"/>
    <w:rsid w:val="007C282B"/>
    <w:rsid w:val="007C293B"/>
    <w:rsid w:val="007C3161"/>
    <w:rsid w:val="007C364E"/>
    <w:rsid w:val="007C3730"/>
    <w:rsid w:val="007C4BC4"/>
    <w:rsid w:val="007C5321"/>
    <w:rsid w:val="007C59D5"/>
    <w:rsid w:val="007C63D5"/>
    <w:rsid w:val="007C6DB2"/>
    <w:rsid w:val="007C73CB"/>
    <w:rsid w:val="007C7A96"/>
    <w:rsid w:val="007D114A"/>
    <w:rsid w:val="007D28CF"/>
    <w:rsid w:val="007D2E6B"/>
    <w:rsid w:val="007D395C"/>
    <w:rsid w:val="007D3B38"/>
    <w:rsid w:val="007D3D70"/>
    <w:rsid w:val="007D581F"/>
    <w:rsid w:val="007D59CB"/>
    <w:rsid w:val="007D6AF0"/>
    <w:rsid w:val="007D6B66"/>
    <w:rsid w:val="007D6D27"/>
    <w:rsid w:val="007E11CA"/>
    <w:rsid w:val="007E1924"/>
    <w:rsid w:val="007E209C"/>
    <w:rsid w:val="007E2D0A"/>
    <w:rsid w:val="007E436E"/>
    <w:rsid w:val="007E509A"/>
    <w:rsid w:val="007E50C2"/>
    <w:rsid w:val="007E6116"/>
    <w:rsid w:val="007E65A3"/>
    <w:rsid w:val="007E6B6B"/>
    <w:rsid w:val="007E6CE5"/>
    <w:rsid w:val="007E739F"/>
    <w:rsid w:val="007E7D5C"/>
    <w:rsid w:val="007F13ED"/>
    <w:rsid w:val="007F34DF"/>
    <w:rsid w:val="007F3990"/>
    <w:rsid w:val="007F4BC3"/>
    <w:rsid w:val="007F4E20"/>
    <w:rsid w:val="007F55A6"/>
    <w:rsid w:val="007F5C44"/>
    <w:rsid w:val="007F6045"/>
    <w:rsid w:val="007F6939"/>
    <w:rsid w:val="007F6A6A"/>
    <w:rsid w:val="008005DD"/>
    <w:rsid w:val="00801896"/>
    <w:rsid w:val="00802F27"/>
    <w:rsid w:val="00802F60"/>
    <w:rsid w:val="00803465"/>
    <w:rsid w:val="00804794"/>
    <w:rsid w:val="00804799"/>
    <w:rsid w:val="00804845"/>
    <w:rsid w:val="00805520"/>
    <w:rsid w:val="00806764"/>
    <w:rsid w:val="00806938"/>
    <w:rsid w:val="0081165B"/>
    <w:rsid w:val="008118DE"/>
    <w:rsid w:val="00812964"/>
    <w:rsid w:val="0081313F"/>
    <w:rsid w:val="008132CD"/>
    <w:rsid w:val="00813308"/>
    <w:rsid w:val="00813C33"/>
    <w:rsid w:val="008145F9"/>
    <w:rsid w:val="00815621"/>
    <w:rsid w:val="00816408"/>
    <w:rsid w:val="0081644A"/>
    <w:rsid w:val="00816710"/>
    <w:rsid w:val="0081685B"/>
    <w:rsid w:val="00816AE0"/>
    <w:rsid w:val="008170E5"/>
    <w:rsid w:val="00820E88"/>
    <w:rsid w:val="008215C1"/>
    <w:rsid w:val="00822058"/>
    <w:rsid w:val="0082240B"/>
    <w:rsid w:val="008224C5"/>
    <w:rsid w:val="008226C0"/>
    <w:rsid w:val="008239F6"/>
    <w:rsid w:val="00823CD7"/>
    <w:rsid w:val="00824AFA"/>
    <w:rsid w:val="00825831"/>
    <w:rsid w:val="00825F1E"/>
    <w:rsid w:val="008266B4"/>
    <w:rsid w:val="00826D83"/>
    <w:rsid w:val="00827431"/>
    <w:rsid w:val="00831242"/>
    <w:rsid w:val="00831E0A"/>
    <w:rsid w:val="008320B7"/>
    <w:rsid w:val="00833527"/>
    <w:rsid w:val="008338A6"/>
    <w:rsid w:val="00833E13"/>
    <w:rsid w:val="0083502B"/>
    <w:rsid w:val="008350FA"/>
    <w:rsid w:val="008356B3"/>
    <w:rsid w:val="00837DB1"/>
    <w:rsid w:val="008401D3"/>
    <w:rsid w:val="00841891"/>
    <w:rsid w:val="008423C0"/>
    <w:rsid w:val="008439E8"/>
    <w:rsid w:val="008447FE"/>
    <w:rsid w:val="0084544D"/>
    <w:rsid w:val="008461B2"/>
    <w:rsid w:val="00846A67"/>
    <w:rsid w:val="00847665"/>
    <w:rsid w:val="00847DE5"/>
    <w:rsid w:val="0085010C"/>
    <w:rsid w:val="00850854"/>
    <w:rsid w:val="00850B66"/>
    <w:rsid w:val="00850C43"/>
    <w:rsid w:val="00850FF0"/>
    <w:rsid w:val="008516F7"/>
    <w:rsid w:val="0085181D"/>
    <w:rsid w:val="00851C2E"/>
    <w:rsid w:val="00852C04"/>
    <w:rsid w:val="00852ED9"/>
    <w:rsid w:val="00854264"/>
    <w:rsid w:val="00854B07"/>
    <w:rsid w:val="00856B26"/>
    <w:rsid w:val="00862048"/>
    <w:rsid w:val="0086304D"/>
    <w:rsid w:val="0086306E"/>
    <w:rsid w:val="00864129"/>
    <w:rsid w:val="00866789"/>
    <w:rsid w:val="00866CC8"/>
    <w:rsid w:val="00866CEB"/>
    <w:rsid w:val="00867F8E"/>
    <w:rsid w:val="00870D7D"/>
    <w:rsid w:val="00871175"/>
    <w:rsid w:val="00872A07"/>
    <w:rsid w:val="00872CAF"/>
    <w:rsid w:val="00872FD2"/>
    <w:rsid w:val="00873899"/>
    <w:rsid w:val="00873C20"/>
    <w:rsid w:val="008755D6"/>
    <w:rsid w:val="0087576D"/>
    <w:rsid w:val="008764CF"/>
    <w:rsid w:val="00877F84"/>
    <w:rsid w:val="00877F97"/>
    <w:rsid w:val="00880D39"/>
    <w:rsid w:val="008817DD"/>
    <w:rsid w:val="00881C39"/>
    <w:rsid w:val="00882A8D"/>
    <w:rsid w:val="0088304E"/>
    <w:rsid w:val="008849BB"/>
    <w:rsid w:val="00884F86"/>
    <w:rsid w:val="00885728"/>
    <w:rsid w:val="00885C2A"/>
    <w:rsid w:val="008874B3"/>
    <w:rsid w:val="008876D4"/>
    <w:rsid w:val="00887E72"/>
    <w:rsid w:val="00890544"/>
    <w:rsid w:val="00890E62"/>
    <w:rsid w:val="00890FFD"/>
    <w:rsid w:val="00891722"/>
    <w:rsid w:val="00893CAE"/>
    <w:rsid w:val="008960DF"/>
    <w:rsid w:val="00896CA7"/>
    <w:rsid w:val="0089768B"/>
    <w:rsid w:val="008A0B4F"/>
    <w:rsid w:val="008A0F90"/>
    <w:rsid w:val="008A28F0"/>
    <w:rsid w:val="008A2EC4"/>
    <w:rsid w:val="008A39F5"/>
    <w:rsid w:val="008A3C6C"/>
    <w:rsid w:val="008A4C94"/>
    <w:rsid w:val="008A5876"/>
    <w:rsid w:val="008B0AC3"/>
    <w:rsid w:val="008B1A4F"/>
    <w:rsid w:val="008B3809"/>
    <w:rsid w:val="008B4C82"/>
    <w:rsid w:val="008B4CC2"/>
    <w:rsid w:val="008B6394"/>
    <w:rsid w:val="008B657C"/>
    <w:rsid w:val="008C0E75"/>
    <w:rsid w:val="008C1129"/>
    <w:rsid w:val="008C126A"/>
    <w:rsid w:val="008C141A"/>
    <w:rsid w:val="008C2049"/>
    <w:rsid w:val="008C217D"/>
    <w:rsid w:val="008C23F4"/>
    <w:rsid w:val="008C4EE5"/>
    <w:rsid w:val="008C55F8"/>
    <w:rsid w:val="008C675F"/>
    <w:rsid w:val="008C6E86"/>
    <w:rsid w:val="008C79FB"/>
    <w:rsid w:val="008D06C8"/>
    <w:rsid w:val="008D125C"/>
    <w:rsid w:val="008D14B8"/>
    <w:rsid w:val="008D1847"/>
    <w:rsid w:val="008D1BDA"/>
    <w:rsid w:val="008D45FE"/>
    <w:rsid w:val="008D4B80"/>
    <w:rsid w:val="008D4BEA"/>
    <w:rsid w:val="008D5FAC"/>
    <w:rsid w:val="008D68AD"/>
    <w:rsid w:val="008E06F8"/>
    <w:rsid w:val="008E0FB8"/>
    <w:rsid w:val="008E2016"/>
    <w:rsid w:val="008E2C67"/>
    <w:rsid w:val="008E38C0"/>
    <w:rsid w:val="008E5BC5"/>
    <w:rsid w:val="008E62BC"/>
    <w:rsid w:val="008E7A1E"/>
    <w:rsid w:val="008E7B43"/>
    <w:rsid w:val="008F0E6E"/>
    <w:rsid w:val="008F1283"/>
    <w:rsid w:val="008F206A"/>
    <w:rsid w:val="008F319B"/>
    <w:rsid w:val="008F3244"/>
    <w:rsid w:val="008F380F"/>
    <w:rsid w:val="008F3B80"/>
    <w:rsid w:val="008F5162"/>
    <w:rsid w:val="008F5AC4"/>
    <w:rsid w:val="008F64CE"/>
    <w:rsid w:val="008F667D"/>
    <w:rsid w:val="008F6DD9"/>
    <w:rsid w:val="008F72B7"/>
    <w:rsid w:val="008F7E23"/>
    <w:rsid w:val="00900283"/>
    <w:rsid w:val="009003F6"/>
    <w:rsid w:val="00900805"/>
    <w:rsid w:val="00900CE5"/>
    <w:rsid w:val="0090239A"/>
    <w:rsid w:val="00902B13"/>
    <w:rsid w:val="0090335B"/>
    <w:rsid w:val="00903D2A"/>
    <w:rsid w:val="00904F4D"/>
    <w:rsid w:val="00904FAF"/>
    <w:rsid w:val="00905CD7"/>
    <w:rsid w:val="00905E51"/>
    <w:rsid w:val="0090700F"/>
    <w:rsid w:val="0091090D"/>
    <w:rsid w:val="00911DA1"/>
    <w:rsid w:val="00912518"/>
    <w:rsid w:val="009125D6"/>
    <w:rsid w:val="00913003"/>
    <w:rsid w:val="009131E1"/>
    <w:rsid w:val="00913378"/>
    <w:rsid w:val="009137E4"/>
    <w:rsid w:val="00913A5C"/>
    <w:rsid w:val="00913F85"/>
    <w:rsid w:val="0091450D"/>
    <w:rsid w:val="00914C57"/>
    <w:rsid w:val="00915252"/>
    <w:rsid w:val="00916070"/>
    <w:rsid w:val="009170DA"/>
    <w:rsid w:val="009172BE"/>
    <w:rsid w:val="009178EA"/>
    <w:rsid w:val="00920431"/>
    <w:rsid w:val="0092065B"/>
    <w:rsid w:val="0092086E"/>
    <w:rsid w:val="00921368"/>
    <w:rsid w:val="00921A32"/>
    <w:rsid w:val="00921DD3"/>
    <w:rsid w:val="00923116"/>
    <w:rsid w:val="0092627C"/>
    <w:rsid w:val="00930147"/>
    <w:rsid w:val="00931C86"/>
    <w:rsid w:val="00932AEB"/>
    <w:rsid w:val="00933235"/>
    <w:rsid w:val="0093361E"/>
    <w:rsid w:val="00933F71"/>
    <w:rsid w:val="00934743"/>
    <w:rsid w:val="00934B17"/>
    <w:rsid w:val="00935277"/>
    <w:rsid w:val="009359F2"/>
    <w:rsid w:val="00935D11"/>
    <w:rsid w:val="00935F6D"/>
    <w:rsid w:val="009362A4"/>
    <w:rsid w:val="00937732"/>
    <w:rsid w:val="00937B59"/>
    <w:rsid w:val="00937C16"/>
    <w:rsid w:val="00941634"/>
    <w:rsid w:val="00941BAF"/>
    <w:rsid w:val="00941EBE"/>
    <w:rsid w:val="009431B1"/>
    <w:rsid w:val="009437AF"/>
    <w:rsid w:val="00944140"/>
    <w:rsid w:val="00944F90"/>
    <w:rsid w:val="00945951"/>
    <w:rsid w:val="0094650E"/>
    <w:rsid w:val="00946B12"/>
    <w:rsid w:val="0094702D"/>
    <w:rsid w:val="00947160"/>
    <w:rsid w:val="0095073A"/>
    <w:rsid w:val="00950B60"/>
    <w:rsid w:val="00951E9A"/>
    <w:rsid w:val="0095348A"/>
    <w:rsid w:val="00955DD6"/>
    <w:rsid w:val="009577FB"/>
    <w:rsid w:val="00961A44"/>
    <w:rsid w:val="00961C0B"/>
    <w:rsid w:val="00961D92"/>
    <w:rsid w:val="00963CFD"/>
    <w:rsid w:val="0096404D"/>
    <w:rsid w:val="00964615"/>
    <w:rsid w:val="009648B5"/>
    <w:rsid w:val="00966408"/>
    <w:rsid w:val="00966CA2"/>
    <w:rsid w:val="009672C6"/>
    <w:rsid w:val="00970901"/>
    <w:rsid w:val="00971066"/>
    <w:rsid w:val="00972B41"/>
    <w:rsid w:val="00972C6D"/>
    <w:rsid w:val="009736C1"/>
    <w:rsid w:val="00974A00"/>
    <w:rsid w:val="00974DF4"/>
    <w:rsid w:val="00974FEB"/>
    <w:rsid w:val="00976187"/>
    <w:rsid w:val="0097655D"/>
    <w:rsid w:val="00976C2B"/>
    <w:rsid w:val="00976CC2"/>
    <w:rsid w:val="00976E34"/>
    <w:rsid w:val="00980824"/>
    <w:rsid w:val="00980B12"/>
    <w:rsid w:val="0098142B"/>
    <w:rsid w:val="00981E2E"/>
    <w:rsid w:val="0098397C"/>
    <w:rsid w:val="00983CA0"/>
    <w:rsid w:val="00984AF3"/>
    <w:rsid w:val="00984F1D"/>
    <w:rsid w:val="00984FD1"/>
    <w:rsid w:val="00986E41"/>
    <w:rsid w:val="009871EA"/>
    <w:rsid w:val="00987912"/>
    <w:rsid w:val="00987AD1"/>
    <w:rsid w:val="00990662"/>
    <w:rsid w:val="009906B7"/>
    <w:rsid w:val="00991651"/>
    <w:rsid w:val="00993016"/>
    <w:rsid w:val="00993398"/>
    <w:rsid w:val="00993E72"/>
    <w:rsid w:val="009948FA"/>
    <w:rsid w:val="00994CD5"/>
    <w:rsid w:val="00995A40"/>
    <w:rsid w:val="00995AD5"/>
    <w:rsid w:val="009961B3"/>
    <w:rsid w:val="0099699A"/>
    <w:rsid w:val="00997AAC"/>
    <w:rsid w:val="009A06A7"/>
    <w:rsid w:val="009A0E36"/>
    <w:rsid w:val="009A2868"/>
    <w:rsid w:val="009A2F3F"/>
    <w:rsid w:val="009A382C"/>
    <w:rsid w:val="009A3853"/>
    <w:rsid w:val="009A4142"/>
    <w:rsid w:val="009A4A6D"/>
    <w:rsid w:val="009A4C67"/>
    <w:rsid w:val="009A6642"/>
    <w:rsid w:val="009A7278"/>
    <w:rsid w:val="009B07DC"/>
    <w:rsid w:val="009B0AEF"/>
    <w:rsid w:val="009B0DC4"/>
    <w:rsid w:val="009B1B48"/>
    <w:rsid w:val="009B2068"/>
    <w:rsid w:val="009B20A6"/>
    <w:rsid w:val="009B290F"/>
    <w:rsid w:val="009B340B"/>
    <w:rsid w:val="009B3E29"/>
    <w:rsid w:val="009B448D"/>
    <w:rsid w:val="009B4994"/>
    <w:rsid w:val="009B520A"/>
    <w:rsid w:val="009B58C2"/>
    <w:rsid w:val="009B5BED"/>
    <w:rsid w:val="009B742D"/>
    <w:rsid w:val="009B7E80"/>
    <w:rsid w:val="009C0667"/>
    <w:rsid w:val="009C173E"/>
    <w:rsid w:val="009C1ECE"/>
    <w:rsid w:val="009C29EB"/>
    <w:rsid w:val="009C492C"/>
    <w:rsid w:val="009C5505"/>
    <w:rsid w:val="009C5EAB"/>
    <w:rsid w:val="009C6110"/>
    <w:rsid w:val="009C6A8B"/>
    <w:rsid w:val="009C6BB3"/>
    <w:rsid w:val="009C75AA"/>
    <w:rsid w:val="009D1254"/>
    <w:rsid w:val="009D1346"/>
    <w:rsid w:val="009D2520"/>
    <w:rsid w:val="009D4E05"/>
    <w:rsid w:val="009D53E5"/>
    <w:rsid w:val="009D5918"/>
    <w:rsid w:val="009D6099"/>
    <w:rsid w:val="009D62E3"/>
    <w:rsid w:val="009D6B0D"/>
    <w:rsid w:val="009D6BFB"/>
    <w:rsid w:val="009D7BB9"/>
    <w:rsid w:val="009E0AD0"/>
    <w:rsid w:val="009E2691"/>
    <w:rsid w:val="009E33EF"/>
    <w:rsid w:val="009E347B"/>
    <w:rsid w:val="009E42AF"/>
    <w:rsid w:val="009E513F"/>
    <w:rsid w:val="009E5230"/>
    <w:rsid w:val="009E5261"/>
    <w:rsid w:val="009E60C9"/>
    <w:rsid w:val="009E688E"/>
    <w:rsid w:val="009E702C"/>
    <w:rsid w:val="009E7FEE"/>
    <w:rsid w:val="009F0240"/>
    <w:rsid w:val="009F0557"/>
    <w:rsid w:val="009F09AA"/>
    <w:rsid w:val="009F0F20"/>
    <w:rsid w:val="009F1AF1"/>
    <w:rsid w:val="009F1C75"/>
    <w:rsid w:val="009F1C94"/>
    <w:rsid w:val="009F213F"/>
    <w:rsid w:val="009F2440"/>
    <w:rsid w:val="009F3A1B"/>
    <w:rsid w:val="009F3F99"/>
    <w:rsid w:val="009F4599"/>
    <w:rsid w:val="009F507C"/>
    <w:rsid w:val="009F55A8"/>
    <w:rsid w:val="009F5FDA"/>
    <w:rsid w:val="009F6A93"/>
    <w:rsid w:val="009F70DA"/>
    <w:rsid w:val="009F7207"/>
    <w:rsid w:val="009F73AC"/>
    <w:rsid w:val="009F763E"/>
    <w:rsid w:val="00A00A4F"/>
    <w:rsid w:val="00A00FDD"/>
    <w:rsid w:val="00A01409"/>
    <w:rsid w:val="00A025BF"/>
    <w:rsid w:val="00A0292D"/>
    <w:rsid w:val="00A03741"/>
    <w:rsid w:val="00A043AD"/>
    <w:rsid w:val="00A050BE"/>
    <w:rsid w:val="00A051D6"/>
    <w:rsid w:val="00A05956"/>
    <w:rsid w:val="00A05AF7"/>
    <w:rsid w:val="00A05B77"/>
    <w:rsid w:val="00A067B8"/>
    <w:rsid w:val="00A07675"/>
    <w:rsid w:val="00A078DF"/>
    <w:rsid w:val="00A07FFC"/>
    <w:rsid w:val="00A10EFE"/>
    <w:rsid w:val="00A1181C"/>
    <w:rsid w:val="00A11F0B"/>
    <w:rsid w:val="00A12AA7"/>
    <w:rsid w:val="00A12BC1"/>
    <w:rsid w:val="00A12DC3"/>
    <w:rsid w:val="00A13ACC"/>
    <w:rsid w:val="00A14070"/>
    <w:rsid w:val="00A16B84"/>
    <w:rsid w:val="00A170FD"/>
    <w:rsid w:val="00A1781E"/>
    <w:rsid w:val="00A17FE1"/>
    <w:rsid w:val="00A211B2"/>
    <w:rsid w:val="00A223B3"/>
    <w:rsid w:val="00A22C0F"/>
    <w:rsid w:val="00A23BD0"/>
    <w:rsid w:val="00A24014"/>
    <w:rsid w:val="00A2425D"/>
    <w:rsid w:val="00A249B9"/>
    <w:rsid w:val="00A27681"/>
    <w:rsid w:val="00A27E20"/>
    <w:rsid w:val="00A3012C"/>
    <w:rsid w:val="00A30E92"/>
    <w:rsid w:val="00A3401B"/>
    <w:rsid w:val="00A34D96"/>
    <w:rsid w:val="00A35044"/>
    <w:rsid w:val="00A350A5"/>
    <w:rsid w:val="00A3510F"/>
    <w:rsid w:val="00A35254"/>
    <w:rsid w:val="00A354D2"/>
    <w:rsid w:val="00A35BAA"/>
    <w:rsid w:val="00A35C81"/>
    <w:rsid w:val="00A36CD8"/>
    <w:rsid w:val="00A37200"/>
    <w:rsid w:val="00A4003A"/>
    <w:rsid w:val="00A4079F"/>
    <w:rsid w:val="00A412F4"/>
    <w:rsid w:val="00A41369"/>
    <w:rsid w:val="00A415BD"/>
    <w:rsid w:val="00A41D85"/>
    <w:rsid w:val="00A4309F"/>
    <w:rsid w:val="00A4402F"/>
    <w:rsid w:val="00A44E01"/>
    <w:rsid w:val="00A44F88"/>
    <w:rsid w:val="00A4551F"/>
    <w:rsid w:val="00A466D6"/>
    <w:rsid w:val="00A47202"/>
    <w:rsid w:val="00A50052"/>
    <w:rsid w:val="00A51FB9"/>
    <w:rsid w:val="00A52649"/>
    <w:rsid w:val="00A54E89"/>
    <w:rsid w:val="00A54EFC"/>
    <w:rsid w:val="00A557F0"/>
    <w:rsid w:val="00A55800"/>
    <w:rsid w:val="00A5593A"/>
    <w:rsid w:val="00A55F34"/>
    <w:rsid w:val="00A56370"/>
    <w:rsid w:val="00A566B6"/>
    <w:rsid w:val="00A56B56"/>
    <w:rsid w:val="00A56D61"/>
    <w:rsid w:val="00A5748B"/>
    <w:rsid w:val="00A57D63"/>
    <w:rsid w:val="00A57DFF"/>
    <w:rsid w:val="00A60534"/>
    <w:rsid w:val="00A61379"/>
    <w:rsid w:val="00A649D9"/>
    <w:rsid w:val="00A64B9C"/>
    <w:rsid w:val="00A64C65"/>
    <w:rsid w:val="00A658F1"/>
    <w:rsid w:val="00A73EE6"/>
    <w:rsid w:val="00A74083"/>
    <w:rsid w:val="00A75DED"/>
    <w:rsid w:val="00A7627C"/>
    <w:rsid w:val="00A768FE"/>
    <w:rsid w:val="00A8170B"/>
    <w:rsid w:val="00A82570"/>
    <w:rsid w:val="00A83D7C"/>
    <w:rsid w:val="00A83DE6"/>
    <w:rsid w:val="00A83FF0"/>
    <w:rsid w:val="00A8462B"/>
    <w:rsid w:val="00A84E52"/>
    <w:rsid w:val="00A85F83"/>
    <w:rsid w:val="00A86ACF"/>
    <w:rsid w:val="00A86E2C"/>
    <w:rsid w:val="00A87B16"/>
    <w:rsid w:val="00A903C8"/>
    <w:rsid w:val="00A90829"/>
    <w:rsid w:val="00A923DF"/>
    <w:rsid w:val="00A92A2E"/>
    <w:rsid w:val="00A92EDD"/>
    <w:rsid w:val="00A92EFB"/>
    <w:rsid w:val="00A93429"/>
    <w:rsid w:val="00A95AFA"/>
    <w:rsid w:val="00A965CB"/>
    <w:rsid w:val="00A974A0"/>
    <w:rsid w:val="00A97F4D"/>
    <w:rsid w:val="00AA07F8"/>
    <w:rsid w:val="00AA10EF"/>
    <w:rsid w:val="00AA122F"/>
    <w:rsid w:val="00AA2150"/>
    <w:rsid w:val="00AA3789"/>
    <w:rsid w:val="00AA47C1"/>
    <w:rsid w:val="00AA5678"/>
    <w:rsid w:val="00AA5E1C"/>
    <w:rsid w:val="00AA64FF"/>
    <w:rsid w:val="00AA6A29"/>
    <w:rsid w:val="00AA6BB7"/>
    <w:rsid w:val="00AA71CC"/>
    <w:rsid w:val="00AB0B4A"/>
    <w:rsid w:val="00AB1137"/>
    <w:rsid w:val="00AB263D"/>
    <w:rsid w:val="00AB41EB"/>
    <w:rsid w:val="00AB4F4C"/>
    <w:rsid w:val="00AB551B"/>
    <w:rsid w:val="00AB6DC0"/>
    <w:rsid w:val="00AB7181"/>
    <w:rsid w:val="00AB72B8"/>
    <w:rsid w:val="00AC10AE"/>
    <w:rsid w:val="00AC12F2"/>
    <w:rsid w:val="00AC2C0E"/>
    <w:rsid w:val="00AC2FBB"/>
    <w:rsid w:val="00AC3357"/>
    <w:rsid w:val="00AC409D"/>
    <w:rsid w:val="00AC481F"/>
    <w:rsid w:val="00AC5286"/>
    <w:rsid w:val="00AC5B3E"/>
    <w:rsid w:val="00AC7140"/>
    <w:rsid w:val="00AC76FB"/>
    <w:rsid w:val="00AD0807"/>
    <w:rsid w:val="00AD1D1D"/>
    <w:rsid w:val="00AD3353"/>
    <w:rsid w:val="00AD3CE5"/>
    <w:rsid w:val="00AD47B4"/>
    <w:rsid w:val="00AD5ACA"/>
    <w:rsid w:val="00AD72EC"/>
    <w:rsid w:val="00AD7373"/>
    <w:rsid w:val="00AD759B"/>
    <w:rsid w:val="00AD79E0"/>
    <w:rsid w:val="00AE0AC5"/>
    <w:rsid w:val="00AE20C9"/>
    <w:rsid w:val="00AE3CE9"/>
    <w:rsid w:val="00AE48D4"/>
    <w:rsid w:val="00AE5661"/>
    <w:rsid w:val="00AE5814"/>
    <w:rsid w:val="00AE765C"/>
    <w:rsid w:val="00AF068E"/>
    <w:rsid w:val="00AF0A3F"/>
    <w:rsid w:val="00AF172E"/>
    <w:rsid w:val="00AF2CF7"/>
    <w:rsid w:val="00AF4243"/>
    <w:rsid w:val="00AF4330"/>
    <w:rsid w:val="00AF4C10"/>
    <w:rsid w:val="00AF543B"/>
    <w:rsid w:val="00AF5814"/>
    <w:rsid w:val="00AF6686"/>
    <w:rsid w:val="00AF7197"/>
    <w:rsid w:val="00AF76B3"/>
    <w:rsid w:val="00B00782"/>
    <w:rsid w:val="00B00A2B"/>
    <w:rsid w:val="00B011D8"/>
    <w:rsid w:val="00B01C8F"/>
    <w:rsid w:val="00B02387"/>
    <w:rsid w:val="00B03751"/>
    <w:rsid w:val="00B04281"/>
    <w:rsid w:val="00B045A7"/>
    <w:rsid w:val="00B04C37"/>
    <w:rsid w:val="00B0580E"/>
    <w:rsid w:val="00B05FDA"/>
    <w:rsid w:val="00B067CE"/>
    <w:rsid w:val="00B06ED1"/>
    <w:rsid w:val="00B07A51"/>
    <w:rsid w:val="00B105CE"/>
    <w:rsid w:val="00B10A36"/>
    <w:rsid w:val="00B10DE1"/>
    <w:rsid w:val="00B11520"/>
    <w:rsid w:val="00B118E9"/>
    <w:rsid w:val="00B11A4C"/>
    <w:rsid w:val="00B1223B"/>
    <w:rsid w:val="00B1230B"/>
    <w:rsid w:val="00B13043"/>
    <w:rsid w:val="00B13401"/>
    <w:rsid w:val="00B13BAB"/>
    <w:rsid w:val="00B13BCE"/>
    <w:rsid w:val="00B13C52"/>
    <w:rsid w:val="00B1459C"/>
    <w:rsid w:val="00B148AD"/>
    <w:rsid w:val="00B148F5"/>
    <w:rsid w:val="00B14A32"/>
    <w:rsid w:val="00B17251"/>
    <w:rsid w:val="00B1726E"/>
    <w:rsid w:val="00B179C0"/>
    <w:rsid w:val="00B2000E"/>
    <w:rsid w:val="00B205DB"/>
    <w:rsid w:val="00B20C52"/>
    <w:rsid w:val="00B21E41"/>
    <w:rsid w:val="00B234AE"/>
    <w:rsid w:val="00B237B4"/>
    <w:rsid w:val="00B23A79"/>
    <w:rsid w:val="00B23BA6"/>
    <w:rsid w:val="00B2404C"/>
    <w:rsid w:val="00B2441B"/>
    <w:rsid w:val="00B250C6"/>
    <w:rsid w:val="00B25585"/>
    <w:rsid w:val="00B25765"/>
    <w:rsid w:val="00B26E9B"/>
    <w:rsid w:val="00B270D5"/>
    <w:rsid w:val="00B27353"/>
    <w:rsid w:val="00B27AB3"/>
    <w:rsid w:val="00B30213"/>
    <w:rsid w:val="00B30521"/>
    <w:rsid w:val="00B32611"/>
    <w:rsid w:val="00B329F8"/>
    <w:rsid w:val="00B32B6A"/>
    <w:rsid w:val="00B33C03"/>
    <w:rsid w:val="00B348B7"/>
    <w:rsid w:val="00B349D3"/>
    <w:rsid w:val="00B350F3"/>
    <w:rsid w:val="00B360DF"/>
    <w:rsid w:val="00B36815"/>
    <w:rsid w:val="00B3734A"/>
    <w:rsid w:val="00B37794"/>
    <w:rsid w:val="00B37DD9"/>
    <w:rsid w:val="00B37FAF"/>
    <w:rsid w:val="00B402A4"/>
    <w:rsid w:val="00B411B6"/>
    <w:rsid w:val="00B41226"/>
    <w:rsid w:val="00B41238"/>
    <w:rsid w:val="00B434B9"/>
    <w:rsid w:val="00B440B8"/>
    <w:rsid w:val="00B4474B"/>
    <w:rsid w:val="00B448B4"/>
    <w:rsid w:val="00B44F5C"/>
    <w:rsid w:val="00B470E2"/>
    <w:rsid w:val="00B47F25"/>
    <w:rsid w:val="00B506F6"/>
    <w:rsid w:val="00B5208E"/>
    <w:rsid w:val="00B538A8"/>
    <w:rsid w:val="00B54347"/>
    <w:rsid w:val="00B54624"/>
    <w:rsid w:val="00B54A7C"/>
    <w:rsid w:val="00B55933"/>
    <w:rsid w:val="00B55EDF"/>
    <w:rsid w:val="00B562A6"/>
    <w:rsid w:val="00B56D7B"/>
    <w:rsid w:val="00B57961"/>
    <w:rsid w:val="00B60BD1"/>
    <w:rsid w:val="00B612D8"/>
    <w:rsid w:val="00B622DB"/>
    <w:rsid w:val="00B6520D"/>
    <w:rsid w:val="00B653D2"/>
    <w:rsid w:val="00B657BD"/>
    <w:rsid w:val="00B66408"/>
    <w:rsid w:val="00B66BA9"/>
    <w:rsid w:val="00B67066"/>
    <w:rsid w:val="00B67732"/>
    <w:rsid w:val="00B67799"/>
    <w:rsid w:val="00B67A46"/>
    <w:rsid w:val="00B705CC"/>
    <w:rsid w:val="00B71957"/>
    <w:rsid w:val="00B71EB0"/>
    <w:rsid w:val="00B7302B"/>
    <w:rsid w:val="00B731F2"/>
    <w:rsid w:val="00B7352C"/>
    <w:rsid w:val="00B73590"/>
    <w:rsid w:val="00B73DB2"/>
    <w:rsid w:val="00B7461C"/>
    <w:rsid w:val="00B74D0B"/>
    <w:rsid w:val="00B74EC9"/>
    <w:rsid w:val="00B7534A"/>
    <w:rsid w:val="00B771B3"/>
    <w:rsid w:val="00B775E5"/>
    <w:rsid w:val="00B80B30"/>
    <w:rsid w:val="00B80CC1"/>
    <w:rsid w:val="00B8220D"/>
    <w:rsid w:val="00B84170"/>
    <w:rsid w:val="00B8421E"/>
    <w:rsid w:val="00B84F1B"/>
    <w:rsid w:val="00B8581B"/>
    <w:rsid w:val="00B85CAD"/>
    <w:rsid w:val="00B86840"/>
    <w:rsid w:val="00B86CEA"/>
    <w:rsid w:val="00B919DA"/>
    <w:rsid w:val="00B92F3B"/>
    <w:rsid w:val="00B93604"/>
    <w:rsid w:val="00B952BB"/>
    <w:rsid w:val="00B96F47"/>
    <w:rsid w:val="00B97D73"/>
    <w:rsid w:val="00BA1AE6"/>
    <w:rsid w:val="00BA1CD7"/>
    <w:rsid w:val="00BA26FA"/>
    <w:rsid w:val="00BA39C9"/>
    <w:rsid w:val="00BA4240"/>
    <w:rsid w:val="00BA4539"/>
    <w:rsid w:val="00BA4582"/>
    <w:rsid w:val="00BA6249"/>
    <w:rsid w:val="00BA691B"/>
    <w:rsid w:val="00BA709B"/>
    <w:rsid w:val="00BA75C3"/>
    <w:rsid w:val="00BA7D50"/>
    <w:rsid w:val="00BB2353"/>
    <w:rsid w:val="00BB259A"/>
    <w:rsid w:val="00BB2EE3"/>
    <w:rsid w:val="00BB305C"/>
    <w:rsid w:val="00BB4ED5"/>
    <w:rsid w:val="00BB5052"/>
    <w:rsid w:val="00BB58E5"/>
    <w:rsid w:val="00BB5939"/>
    <w:rsid w:val="00BB60A8"/>
    <w:rsid w:val="00BB6BEE"/>
    <w:rsid w:val="00BC08A1"/>
    <w:rsid w:val="00BC0B1B"/>
    <w:rsid w:val="00BC1D71"/>
    <w:rsid w:val="00BC24A5"/>
    <w:rsid w:val="00BC2FC8"/>
    <w:rsid w:val="00BC3E27"/>
    <w:rsid w:val="00BC44E7"/>
    <w:rsid w:val="00BC512E"/>
    <w:rsid w:val="00BC59B5"/>
    <w:rsid w:val="00BC6776"/>
    <w:rsid w:val="00BC6B15"/>
    <w:rsid w:val="00BC6BDC"/>
    <w:rsid w:val="00BD08A5"/>
    <w:rsid w:val="00BD0C99"/>
    <w:rsid w:val="00BD0F89"/>
    <w:rsid w:val="00BD2595"/>
    <w:rsid w:val="00BD3286"/>
    <w:rsid w:val="00BD3AD4"/>
    <w:rsid w:val="00BD3F82"/>
    <w:rsid w:val="00BD4097"/>
    <w:rsid w:val="00BD40C0"/>
    <w:rsid w:val="00BD4D3C"/>
    <w:rsid w:val="00BD50E3"/>
    <w:rsid w:val="00BD5633"/>
    <w:rsid w:val="00BD578D"/>
    <w:rsid w:val="00BD6284"/>
    <w:rsid w:val="00BD6498"/>
    <w:rsid w:val="00BD74A2"/>
    <w:rsid w:val="00BD7C27"/>
    <w:rsid w:val="00BE0C90"/>
    <w:rsid w:val="00BE1A43"/>
    <w:rsid w:val="00BE1F7B"/>
    <w:rsid w:val="00BE22FC"/>
    <w:rsid w:val="00BE2FFF"/>
    <w:rsid w:val="00BE374D"/>
    <w:rsid w:val="00BE3D62"/>
    <w:rsid w:val="00BE45C1"/>
    <w:rsid w:val="00BE513E"/>
    <w:rsid w:val="00BE55D7"/>
    <w:rsid w:val="00BE79D7"/>
    <w:rsid w:val="00BF0404"/>
    <w:rsid w:val="00BF1194"/>
    <w:rsid w:val="00BF1A16"/>
    <w:rsid w:val="00BF1AC5"/>
    <w:rsid w:val="00BF1D64"/>
    <w:rsid w:val="00BF233E"/>
    <w:rsid w:val="00BF321F"/>
    <w:rsid w:val="00BF386B"/>
    <w:rsid w:val="00BF3C71"/>
    <w:rsid w:val="00BF4BD9"/>
    <w:rsid w:val="00BF4F8D"/>
    <w:rsid w:val="00BF7861"/>
    <w:rsid w:val="00C008C7"/>
    <w:rsid w:val="00C00949"/>
    <w:rsid w:val="00C0174D"/>
    <w:rsid w:val="00C04DB4"/>
    <w:rsid w:val="00C07421"/>
    <w:rsid w:val="00C07574"/>
    <w:rsid w:val="00C076BE"/>
    <w:rsid w:val="00C07741"/>
    <w:rsid w:val="00C07916"/>
    <w:rsid w:val="00C07E97"/>
    <w:rsid w:val="00C107D2"/>
    <w:rsid w:val="00C115B0"/>
    <w:rsid w:val="00C123FC"/>
    <w:rsid w:val="00C12EAD"/>
    <w:rsid w:val="00C1353F"/>
    <w:rsid w:val="00C14E25"/>
    <w:rsid w:val="00C15669"/>
    <w:rsid w:val="00C15C5B"/>
    <w:rsid w:val="00C164EC"/>
    <w:rsid w:val="00C16A8D"/>
    <w:rsid w:val="00C20244"/>
    <w:rsid w:val="00C207A0"/>
    <w:rsid w:val="00C20D58"/>
    <w:rsid w:val="00C20ED7"/>
    <w:rsid w:val="00C211EE"/>
    <w:rsid w:val="00C21BCB"/>
    <w:rsid w:val="00C232A7"/>
    <w:rsid w:val="00C253D0"/>
    <w:rsid w:val="00C25971"/>
    <w:rsid w:val="00C25A6C"/>
    <w:rsid w:val="00C25D1D"/>
    <w:rsid w:val="00C25E3F"/>
    <w:rsid w:val="00C25E41"/>
    <w:rsid w:val="00C25E68"/>
    <w:rsid w:val="00C26144"/>
    <w:rsid w:val="00C27A95"/>
    <w:rsid w:val="00C27E41"/>
    <w:rsid w:val="00C30564"/>
    <w:rsid w:val="00C305E5"/>
    <w:rsid w:val="00C31E2E"/>
    <w:rsid w:val="00C32653"/>
    <w:rsid w:val="00C338F3"/>
    <w:rsid w:val="00C34803"/>
    <w:rsid w:val="00C34B28"/>
    <w:rsid w:val="00C34D0B"/>
    <w:rsid w:val="00C34F39"/>
    <w:rsid w:val="00C35686"/>
    <w:rsid w:val="00C36B71"/>
    <w:rsid w:val="00C36BBC"/>
    <w:rsid w:val="00C37CF9"/>
    <w:rsid w:val="00C401AB"/>
    <w:rsid w:val="00C4165D"/>
    <w:rsid w:val="00C41829"/>
    <w:rsid w:val="00C418B1"/>
    <w:rsid w:val="00C42686"/>
    <w:rsid w:val="00C432B1"/>
    <w:rsid w:val="00C436D3"/>
    <w:rsid w:val="00C44B68"/>
    <w:rsid w:val="00C454A0"/>
    <w:rsid w:val="00C459B7"/>
    <w:rsid w:val="00C475E2"/>
    <w:rsid w:val="00C47B30"/>
    <w:rsid w:val="00C47E55"/>
    <w:rsid w:val="00C50170"/>
    <w:rsid w:val="00C50A9A"/>
    <w:rsid w:val="00C521DD"/>
    <w:rsid w:val="00C5273A"/>
    <w:rsid w:val="00C52CC4"/>
    <w:rsid w:val="00C535F9"/>
    <w:rsid w:val="00C545F0"/>
    <w:rsid w:val="00C55490"/>
    <w:rsid w:val="00C55E3D"/>
    <w:rsid w:val="00C561C0"/>
    <w:rsid w:val="00C57EEC"/>
    <w:rsid w:val="00C60819"/>
    <w:rsid w:val="00C611D1"/>
    <w:rsid w:val="00C634A9"/>
    <w:rsid w:val="00C63BDD"/>
    <w:rsid w:val="00C63D1A"/>
    <w:rsid w:val="00C64FA2"/>
    <w:rsid w:val="00C65099"/>
    <w:rsid w:val="00C656BE"/>
    <w:rsid w:val="00C6576E"/>
    <w:rsid w:val="00C6577E"/>
    <w:rsid w:val="00C66738"/>
    <w:rsid w:val="00C66D15"/>
    <w:rsid w:val="00C66D2C"/>
    <w:rsid w:val="00C67B48"/>
    <w:rsid w:val="00C702F0"/>
    <w:rsid w:val="00C71296"/>
    <w:rsid w:val="00C71634"/>
    <w:rsid w:val="00C71677"/>
    <w:rsid w:val="00C71769"/>
    <w:rsid w:val="00C721DD"/>
    <w:rsid w:val="00C73528"/>
    <w:rsid w:val="00C746D9"/>
    <w:rsid w:val="00C74CB1"/>
    <w:rsid w:val="00C75759"/>
    <w:rsid w:val="00C7587F"/>
    <w:rsid w:val="00C75FD5"/>
    <w:rsid w:val="00C76420"/>
    <w:rsid w:val="00C76BC8"/>
    <w:rsid w:val="00C77EA9"/>
    <w:rsid w:val="00C804B0"/>
    <w:rsid w:val="00C80857"/>
    <w:rsid w:val="00C81629"/>
    <w:rsid w:val="00C8176F"/>
    <w:rsid w:val="00C822AD"/>
    <w:rsid w:val="00C831D3"/>
    <w:rsid w:val="00C839D4"/>
    <w:rsid w:val="00C83B0E"/>
    <w:rsid w:val="00C83C9D"/>
    <w:rsid w:val="00C84983"/>
    <w:rsid w:val="00C8525C"/>
    <w:rsid w:val="00C876D6"/>
    <w:rsid w:val="00C87706"/>
    <w:rsid w:val="00C90092"/>
    <w:rsid w:val="00C901FF"/>
    <w:rsid w:val="00C907CB"/>
    <w:rsid w:val="00C90F35"/>
    <w:rsid w:val="00C9152C"/>
    <w:rsid w:val="00C91BB6"/>
    <w:rsid w:val="00C92389"/>
    <w:rsid w:val="00C929FD"/>
    <w:rsid w:val="00C9405D"/>
    <w:rsid w:val="00C948E6"/>
    <w:rsid w:val="00C94C0D"/>
    <w:rsid w:val="00C94CDE"/>
    <w:rsid w:val="00C950B6"/>
    <w:rsid w:val="00C955C6"/>
    <w:rsid w:val="00C96265"/>
    <w:rsid w:val="00C96E08"/>
    <w:rsid w:val="00C978C4"/>
    <w:rsid w:val="00CA0139"/>
    <w:rsid w:val="00CA069D"/>
    <w:rsid w:val="00CA204C"/>
    <w:rsid w:val="00CA2279"/>
    <w:rsid w:val="00CA2DDD"/>
    <w:rsid w:val="00CA2E22"/>
    <w:rsid w:val="00CA39E1"/>
    <w:rsid w:val="00CA3A5B"/>
    <w:rsid w:val="00CA51DA"/>
    <w:rsid w:val="00CA5E92"/>
    <w:rsid w:val="00CA5EF2"/>
    <w:rsid w:val="00CA5F35"/>
    <w:rsid w:val="00CA7AD7"/>
    <w:rsid w:val="00CB0F9A"/>
    <w:rsid w:val="00CB174D"/>
    <w:rsid w:val="00CB206D"/>
    <w:rsid w:val="00CB2782"/>
    <w:rsid w:val="00CB3217"/>
    <w:rsid w:val="00CB3A9C"/>
    <w:rsid w:val="00CB40A2"/>
    <w:rsid w:val="00CB486A"/>
    <w:rsid w:val="00CB50DB"/>
    <w:rsid w:val="00CB52B7"/>
    <w:rsid w:val="00CB5626"/>
    <w:rsid w:val="00CB6799"/>
    <w:rsid w:val="00CB76B3"/>
    <w:rsid w:val="00CC0C08"/>
    <w:rsid w:val="00CC1078"/>
    <w:rsid w:val="00CC1CBD"/>
    <w:rsid w:val="00CC2B3C"/>
    <w:rsid w:val="00CC3F57"/>
    <w:rsid w:val="00CC3FE9"/>
    <w:rsid w:val="00CC4031"/>
    <w:rsid w:val="00CC412A"/>
    <w:rsid w:val="00CC4694"/>
    <w:rsid w:val="00CC4737"/>
    <w:rsid w:val="00CC4E5F"/>
    <w:rsid w:val="00CC5047"/>
    <w:rsid w:val="00CC5C85"/>
    <w:rsid w:val="00CC5D91"/>
    <w:rsid w:val="00CC7ED1"/>
    <w:rsid w:val="00CD02DB"/>
    <w:rsid w:val="00CD04B9"/>
    <w:rsid w:val="00CD3978"/>
    <w:rsid w:val="00CD4693"/>
    <w:rsid w:val="00CD52DB"/>
    <w:rsid w:val="00CD55CA"/>
    <w:rsid w:val="00CD63DC"/>
    <w:rsid w:val="00CD7094"/>
    <w:rsid w:val="00CD7BFE"/>
    <w:rsid w:val="00CE0117"/>
    <w:rsid w:val="00CE0D31"/>
    <w:rsid w:val="00CE1247"/>
    <w:rsid w:val="00CE2FBB"/>
    <w:rsid w:val="00CE350D"/>
    <w:rsid w:val="00CE36E0"/>
    <w:rsid w:val="00CE58C0"/>
    <w:rsid w:val="00CE5FA1"/>
    <w:rsid w:val="00CE6BB4"/>
    <w:rsid w:val="00CE75AB"/>
    <w:rsid w:val="00CE7EEB"/>
    <w:rsid w:val="00CF059B"/>
    <w:rsid w:val="00CF1D5E"/>
    <w:rsid w:val="00CF25B2"/>
    <w:rsid w:val="00CF2A6F"/>
    <w:rsid w:val="00CF3129"/>
    <w:rsid w:val="00CF508D"/>
    <w:rsid w:val="00CF5799"/>
    <w:rsid w:val="00CF6C4F"/>
    <w:rsid w:val="00CF7103"/>
    <w:rsid w:val="00CF7793"/>
    <w:rsid w:val="00CF7DF4"/>
    <w:rsid w:val="00D005C5"/>
    <w:rsid w:val="00D015AD"/>
    <w:rsid w:val="00D0178F"/>
    <w:rsid w:val="00D019B8"/>
    <w:rsid w:val="00D0234F"/>
    <w:rsid w:val="00D03012"/>
    <w:rsid w:val="00D03C4A"/>
    <w:rsid w:val="00D03E73"/>
    <w:rsid w:val="00D04105"/>
    <w:rsid w:val="00D04441"/>
    <w:rsid w:val="00D04627"/>
    <w:rsid w:val="00D05714"/>
    <w:rsid w:val="00D0581B"/>
    <w:rsid w:val="00D05A7D"/>
    <w:rsid w:val="00D064B8"/>
    <w:rsid w:val="00D0672E"/>
    <w:rsid w:val="00D070EF"/>
    <w:rsid w:val="00D0764F"/>
    <w:rsid w:val="00D07C25"/>
    <w:rsid w:val="00D105BD"/>
    <w:rsid w:val="00D1318E"/>
    <w:rsid w:val="00D13D5D"/>
    <w:rsid w:val="00D143F7"/>
    <w:rsid w:val="00D14A68"/>
    <w:rsid w:val="00D14E5B"/>
    <w:rsid w:val="00D14EB2"/>
    <w:rsid w:val="00D1529D"/>
    <w:rsid w:val="00D156C0"/>
    <w:rsid w:val="00D16EFE"/>
    <w:rsid w:val="00D172A2"/>
    <w:rsid w:val="00D177B9"/>
    <w:rsid w:val="00D17DD6"/>
    <w:rsid w:val="00D17EA0"/>
    <w:rsid w:val="00D20267"/>
    <w:rsid w:val="00D20410"/>
    <w:rsid w:val="00D20893"/>
    <w:rsid w:val="00D210DA"/>
    <w:rsid w:val="00D2210C"/>
    <w:rsid w:val="00D2210E"/>
    <w:rsid w:val="00D2252B"/>
    <w:rsid w:val="00D22E59"/>
    <w:rsid w:val="00D24D47"/>
    <w:rsid w:val="00D26A08"/>
    <w:rsid w:val="00D275E2"/>
    <w:rsid w:val="00D279C3"/>
    <w:rsid w:val="00D279F3"/>
    <w:rsid w:val="00D3048D"/>
    <w:rsid w:val="00D32305"/>
    <w:rsid w:val="00D324BA"/>
    <w:rsid w:val="00D3282A"/>
    <w:rsid w:val="00D32EF7"/>
    <w:rsid w:val="00D333FD"/>
    <w:rsid w:val="00D335FA"/>
    <w:rsid w:val="00D3497D"/>
    <w:rsid w:val="00D36956"/>
    <w:rsid w:val="00D36AE0"/>
    <w:rsid w:val="00D37414"/>
    <w:rsid w:val="00D37A8F"/>
    <w:rsid w:val="00D40330"/>
    <w:rsid w:val="00D40E45"/>
    <w:rsid w:val="00D419A8"/>
    <w:rsid w:val="00D41AB7"/>
    <w:rsid w:val="00D41C13"/>
    <w:rsid w:val="00D42D7B"/>
    <w:rsid w:val="00D44220"/>
    <w:rsid w:val="00D44C07"/>
    <w:rsid w:val="00D45247"/>
    <w:rsid w:val="00D45347"/>
    <w:rsid w:val="00D46ED4"/>
    <w:rsid w:val="00D470F9"/>
    <w:rsid w:val="00D47273"/>
    <w:rsid w:val="00D47E32"/>
    <w:rsid w:val="00D500DC"/>
    <w:rsid w:val="00D50550"/>
    <w:rsid w:val="00D50E1A"/>
    <w:rsid w:val="00D52B34"/>
    <w:rsid w:val="00D52E98"/>
    <w:rsid w:val="00D52EE6"/>
    <w:rsid w:val="00D53840"/>
    <w:rsid w:val="00D538E1"/>
    <w:rsid w:val="00D54D1A"/>
    <w:rsid w:val="00D54F86"/>
    <w:rsid w:val="00D54F8B"/>
    <w:rsid w:val="00D5751B"/>
    <w:rsid w:val="00D60B85"/>
    <w:rsid w:val="00D60D25"/>
    <w:rsid w:val="00D61185"/>
    <w:rsid w:val="00D626AC"/>
    <w:rsid w:val="00D64411"/>
    <w:rsid w:val="00D64E38"/>
    <w:rsid w:val="00D65E11"/>
    <w:rsid w:val="00D664FB"/>
    <w:rsid w:val="00D67CE4"/>
    <w:rsid w:val="00D67E84"/>
    <w:rsid w:val="00D7023A"/>
    <w:rsid w:val="00D702A3"/>
    <w:rsid w:val="00D70406"/>
    <w:rsid w:val="00D70D03"/>
    <w:rsid w:val="00D71BCB"/>
    <w:rsid w:val="00D71DD3"/>
    <w:rsid w:val="00D71F31"/>
    <w:rsid w:val="00D723B7"/>
    <w:rsid w:val="00D72DF1"/>
    <w:rsid w:val="00D73263"/>
    <w:rsid w:val="00D7336A"/>
    <w:rsid w:val="00D739A0"/>
    <w:rsid w:val="00D76411"/>
    <w:rsid w:val="00D76A32"/>
    <w:rsid w:val="00D77372"/>
    <w:rsid w:val="00D775E0"/>
    <w:rsid w:val="00D776BF"/>
    <w:rsid w:val="00D77705"/>
    <w:rsid w:val="00D7786D"/>
    <w:rsid w:val="00D80C22"/>
    <w:rsid w:val="00D81318"/>
    <w:rsid w:val="00D8132A"/>
    <w:rsid w:val="00D82888"/>
    <w:rsid w:val="00D8294A"/>
    <w:rsid w:val="00D83A37"/>
    <w:rsid w:val="00D84677"/>
    <w:rsid w:val="00D850CB"/>
    <w:rsid w:val="00D85112"/>
    <w:rsid w:val="00D854E9"/>
    <w:rsid w:val="00D87A5D"/>
    <w:rsid w:val="00D9100E"/>
    <w:rsid w:val="00D91719"/>
    <w:rsid w:val="00D937B6"/>
    <w:rsid w:val="00D9394B"/>
    <w:rsid w:val="00D93C62"/>
    <w:rsid w:val="00D94064"/>
    <w:rsid w:val="00D94FAF"/>
    <w:rsid w:val="00D96BA2"/>
    <w:rsid w:val="00D96F88"/>
    <w:rsid w:val="00DA13AF"/>
    <w:rsid w:val="00DA14E5"/>
    <w:rsid w:val="00DA2381"/>
    <w:rsid w:val="00DA2698"/>
    <w:rsid w:val="00DA30FC"/>
    <w:rsid w:val="00DA42A7"/>
    <w:rsid w:val="00DA4E40"/>
    <w:rsid w:val="00DA5A43"/>
    <w:rsid w:val="00DA6E54"/>
    <w:rsid w:val="00DB10D7"/>
    <w:rsid w:val="00DB12C0"/>
    <w:rsid w:val="00DB1DF1"/>
    <w:rsid w:val="00DB23F3"/>
    <w:rsid w:val="00DB3AC1"/>
    <w:rsid w:val="00DB3B37"/>
    <w:rsid w:val="00DB509A"/>
    <w:rsid w:val="00DB517E"/>
    <w:rsid w:val="00DB518B"/>
    <w:rsid w:val="00DB5B67"/>
    <w:rsid w:val="00DB6DA2"/>
    <w:rsid w:val="00DB7187"/>
    <w:rsid w:val="00DB71E8"/>
    <w:rsid w:val="00DB7BD0"/>
    <w:rsid w:val="00DC072F"/>
    <w:rsid w:val="00DC0B4B"/>
    <w:rsid w:val="00DC0E02"/>
    <w:rsid w:val="00DC2411"/>
    <w:rsid w:val="00DC38CB"/>
    <w:rsid w:val="00DC4254"/>
    <w:rsid w:val="00DC564E"/>
    <w:rsid w:val="00DC7AE6"/>
    <w:rsid w:val="00DC7C1D"/>
    <w:rsid w:val="00DD1098"/>
    <w:rsid w:val="00DD1289"/>
    <w:rsid w:val="00DD1315"/>
    <w:rsid w:val="00DD1CAB"/>
    <w:rsid w:val="00DD2942"/>
    <w:rsid w:val="00DD349C"/>
    <w:rsid w:val="00DD367C"/>
    <w:rsid w:val="00DD36D4"/>
    <w:rsid w:val="00DD3CB3"/>
    <w:rsid w:val="00DD6DD3"/>
    <w:rsid w:val="00DD7310"/>
    <w:rsid w:val="00DD7E2D"/>
    <w:rsid w:val="00DD7E6A"/>
    <w:rsid w:val="00DD7EFA"/>
    <w:rsid w:val="00DE0E8D"/>
    <w:rsid w:val="00DE16BA"/>
    <w:rsid w:val="00DE1EF7"/>
    <w:rsid w:val="00DE1F52"/>
    <w:rsid w:val="00DE1FBE"/>
    <w:rsid w:val="00DE3265"/>
    <w:rsid w:val="00DE32D2"/>
    <w:rsid w:val="00DE3724"/>
    <w:rsid w:val="00DE433B"/>
    <w:rsid w:val="00DE4781"/>
    <w:rsid w:val="00DE7056"/>
    <w:rsid w:val="00DE71D7"/>
    <w:rsid w:val="00DE7468"/>
    <w:rsid w:val="00DE7985"/>
    <w:rsid w:val="00DE7B21"/>
    <w:rsid w:val="00DF1037"/>
    <w:rsid w:val="00DF2D3A"/>
    <w:rsid w:val="00DF2E6E"/>
    <w:rsid w:val="00DF390C"/>
    <w:rsid w:val="00DF5ED8"/>
    <w:rsid w:val="00DF5F5F"/>
    <w:rsid w:val="00DF63EC"/>
    <w:rsid w:val="00DF6733"/>
    <w:rsid w:val="00DF6736"/>
    <w:rsid w:val="00DF682E"/>
    <w:rsid w:val="00DF791B"/>
    <w:rsid w:val="00DF7F4C"/>
    <w:rsid w:val="00E009BB"/>
    <w:rsid w:val="00E02093"/>
    <w:rsid w:val="00E03523"/>
    <w:rsid w:val="00E0493F"/>
    <w:rsid w:val="00E06963"/>
    <w:rsid w:val="00E073B0"/>
    <w:rsid w:val="00E079E6"/>
    <w:rsid w:val="00E07B86"/>
    <w:rsid w:val="00E07E09"/>
    <w:rsid w:val="00E109CF"/>
    <w:rsid w:val="00E11424"/>
    <w:rsid w:val="00E12DA5"/>
    <w:rsid w:val="00E13111"/>
    <w:rsid w:val="00E132C2"/>
    <w:rsid w:val="00E1341A"/>
    <w:rsid w:val="00E13749"/>
    <w:rsid w:val="00E14368"/>
    <w:rsid w:val="00E14FF0"/>
    <w:rsid w:val="00E153E7"/>
    <w:rsid w:val="00E15AB3"/>
    <w:rsid w:val="00E165CD"/>
    <w:rsid w:val="00E1734C"/>
    <w:rsid w:val="00E17AD9"/>
    <w:rsid w:val="00E200F2"/>
    <w:rsid w:val="00E20748"/>
    <w:rsid w:val="00E20A5D"/>
    <w:rsid w:val="00E20F84"/>
    <w:rsid w:val="00E2143E"/>
    <w:rsid w:val="00E2226D"/>
    <w:rsid w:val="00E234BB"/>
    <w:rsid w:val="00E234FA"/>
    <w:rsid w:val="00E23B4B"/>
    <w:rsid w:val="00E26F72"/>
    <w:rsid w:val="00E2770F"/>
    <w:rsid w:val="00E27BE5"/>
    <w:rsid w:val="00E3051C"/>
    <w:rsid w:val="00E31206"/>
    <w:rsid w:val="00E31479"/>
    <w:rsid w:val="00E31903"/>
    <w:rsid w:val="00E31B07"/>
    <w:rsid w:val="00E32C14"/>
    <w:rsid w:val="00E3396D"/>
    <w:rsid w:val="00E3407D"/>
    <w:rsid w:val="00E340AF"/>
    <w:rsid w:val="00E34F75"/>
    <w:rsid w:val="00E34FF6"/>
    <w:rsid w:val="00E3791F"/>
    <w:rsid w:val="00E37DE8"/>
    <w:rsid w:val="00E40369"/>
    <w:rsid w:val="00E40863"/>
    <w:rsid w:val="00E40A92"/>
    <w:rsid w:val="00E40D0B"/>
    <w:rsid w:val="00E40F4F"/>
    <w:rsid w:val="00E41651"/>
    <w:rsid w:val="00E42AD9"/>
    <w:rsid w:val="00E42C92"/>
    <w:rsid w:val="00E42CAD"/>
    <w:rsid w:val="00E43022"/>
    <w:rsid w:val="00E43071"/>
    <w:rsid w:val="00E4317B"/>
    <w:rsid w:val="00E43AF0"/>
    <w:rsid w:val="00E43F13"/>
    <w:rsid w:val="00E44D31"/>
    <w:rsid w:val="00E45493"/>
    <w:rsid w:val="00E469B5"/>
    <w:rsid w:val="00E46FD7"/>
    <w:rsid w:val="00E47253"/>
    <w:rsid w:val="00E47439"/>
    <w:rsid w:val="00E474D7"/>
    <w:rsid w:val="00E476A8"/>
    <w:rsid w:val="00E47CA5"/>
    <w:rsid w:val="00E509A8"/>
    <w:rsid w:val="00E513A5"/>
    <w:rsid w:val="00E51F0B"/>
    <w:rsid w:val="00E52550"/>
    <w:rsid w:val="00E52A1D"/>
    <w:rsid w:val="00E54A79"/>
    <w:rsid w:val="00E55286"/>
    <w:rsid w:val="00E55636"/>
    <w:rsid w:val="00E55A21"/>
    <w:rsid w:val="00E5782B"/>
    <w:rsid w:val="00E60F1D"/>
    <w:rsid w:val="00E61A72"/>
    <w:rsid w:val="00E62592"/>
    <w:rsid w:val="00E62748"/>
    <w:rsid w:val="00E6289E"/>
    <w:rsid w:val="00E6342D"/>
    <w:rsid w:val="00E64073"/>
    <w:rsid w:val="00E65AA1"/>
    <w:rsid w:val="00E66475"/>
    <w:rsid w:val="00E66DAC"/>
    <w:rsid w:val="00E703A6"/>
    <w:rsid w:val="00E7055C"/>
    <w:rsid w:val="00E706EE"/>
    <w:rsid w:val="00E717D0"/>
    <w:rsid w:val="00E72D14"/>
    <w:rsid w:val="00E73162"/>
    <w:rsid w:val="00E7360C"/>
    <w:rsid w:val="00E740CA"/>
    <w:rsid w:val="00E750F2"/>
    <w:rsid w:val="00E767A4"/>
    <w:rsid w:val="00E76F28"/>
    <w:rsid w:val="00E8032C"/>
    <w:rsid w:val="00E813E7"/>
    <w:rsid w:val="00E82F61"/>
    <w:rsid w:val="00E82FEB"/>
    <w:rsid w:val="00E83597"/>
    <w:rsid w:val="00E83E67"/>
    <w:rsid w:val="00E844D1"/>
    <w:rsid w:val="00E84A86"/>
    <w:rsid w:val="00E87D6F"/>
    <w:rsid w:val="00E87DB2"/>
    <w:rsid w:val="00E912AD"/>
    <w:rsid w:val="00E91430"/>
    <w:rsid w:val="00E92557"/>
    <w:rsid w:val="00E927D5"/>
    <w:rsid w:val="00E92C11"/>
    <w:rsid w:val="00E93060"/>
    <w:rsid w:val="00E937A1"/>
    <w:rsid w:val="00E93E2D"/>
    <w:rsid w:val="00E94554"/>
    <w:rsid w:val="00E94C14"/>
    <w:rsid w:val="00E9605E"/>
    <w:rsid w:val="00E967DF"/>
    <w:rsid w:val="00E96F45"/>
    <w:rsid w:val="00E971EC"/>
    <w:rsid w:val="00E97BD2"/>
    <w:rsid w:val="00E97D01"/>
    <w:rsid w:val="00EA00C4"/>
    <w:rsid w:val="00EA0107"/>
    <w:rsid w:val="00EA014F"/>
    <w:rsid w:val="00EA0F85"/>
    <w:rsid w:val="00EA2D0F"/>
    <w:rsid w:val="00EA362D"/>
    <w:rsid w:val="00EA3740"/>
    <w:rsid w:val="00EA3F82"/>
    <w:rsid w:val="00EA464D"/>
    <w:rsid w:val="00EA551E"/>
    <w:rsid w:val="00EA5CD5"/>
    <w:rsid w:val="00EA6628"/>
    <w:rsid w:val="00EA679C"/>
    <w:rsid w:val="00EA7E34"/>
    <w:rsid w:val="00EA7E5C"/>
    <w:rsid w:val="00EB15CF"/>
    <w:rsid w:val="00EB18BF"/>
    <w:rsid w:val="00EB24C8"/>
    <w:rsid w:val="00EB3A09"/>
    <w:rsid w:val="00EB3C44"/>
    <w:rsid w:val="00EB4943"/>
    <w:rsid w:val="00EB5FD0"/>
    <w:rsid w:val="00EC016B"/>
    <w:rsid w:val="00EC0713"/>
    <w:rsid w:val="00EC0A42"/>
    <w:rsid w:val="00EC0A6F"/>
    <w:rsid w:val="00EC13AB"/>
    <w:rsid w:val="00EC15A0"/>
    <w:rsid w:val="00EC1E44"/>
    <w:rsid w:val="00EC2391"/>
    <w:rsid w:val="00EC2F65"/>
    <w:rsid w:val="00EC38BE"/>
    <w:rsid w:val="00EC6667"/>
    <w:rsid w:val="00EC7534"/>
    <w:rsid w:val="00ED0166"/>
    <w:rsid w:val="00ED120D"/>
    <w:rsid w:val="00ED1D17"/>
    <w:rsid w:val="00ED2C9D"/>
    <w:rsid w:val="00ED2CC6"/>
    <w:rsid w:val="00ED2D64"/>
    <w:rsid w:val="00ED30E2"/>
    <w:rsid w:val="00ED3CF2"/>
    <w:rsid w:val="00ED46D5"/>
    <w:rsid w:val="00ED46E9"/>
    <w:rsid w:val="00ED5477"/>
    <w:rsid w:val="00ED7C34"/>
    <w:rsid w:val="00ED7CB1"/>
    <w:rsid w:val="00EE094D"/>
    <w:rsid w:val="00EE0F42"/>
    <w:rsid w:val="00EE1F41"/>
    <w:rsid w:val="00EE2544"/>
    <w:rsid w:val="00EE2552"/>
    <w:rsid w:val="00EE26F8"/>
    <w:rsid w:val="00EE2DB8"/>
    <w:rsid w:val="00EE2DD6"/>
    <w:rsid w:val="00EE3051"/>
    <w:rsid w:val="00EE35C3"/>
    <w:rsid w:val="00EE59FF"/>
    <w:rsid w:val="00EE5DA0"/>
    <w:rsid w:val="00EE5DA5"/>
    <w:rsid w:val="00EE64CC"/>
    <w:rsid w:val="00EE662A"/>
    <w:rsid w:val="00EE6885"/>
    <w:rsid w:val="00EE6901"/>
    <w:rsid w:val="00EE6911"/>
    <w:rsid w:val="00EE6A9A"/>
    <w:rsid w:val="00EE70D1"/>
    <w:rsid w:val="00EE72DE"/>
    <w:rsid w:val="00EE73EB"/>
    <w:rsid w:val="00EE7795"/>
    <w:rsid w:val="00EF29E4"/>
    <w:rsid w:val="00EF2A41"/>
    <w:rsid w:val="00EF2E6C"/>
    <w:rsid w:val="00EF3084"/>
    <w:rsid w:val="00EF3A90"/>
    <w:rsid w:val="00EF58A9"/>
    <w:rsid w:val="00EF6EE3"/>
    <w:rsid w:val="00F0042A"/>
    <w:rsid w:val="00F01D3C"/>
    <w:rsid w:val="00F0216B"/>
    <w:rsid w:val="00F02475"/>
    <w:rsid w:val="00F0266F"/>
    <w:rsid w:val="00F03C11"/>
    <w:rsid w:val="00F03DA9"/>
    <w:rsid w:val="00F043C5"/>
    <w:rsid w:val="00F04605"/>
    <w:rsid w:val="00F055EE"/>
    <w:rsid w:val="00F068B3"/>
    <w:rsid w:val="00F071E3"/>
    <w:rsid w:val="00F07DDE"/>
    <w:rsid w:val="00F10D4B"/>
    <w:rsid w:val="00F117B1"/>
    <w:rsid w:val="00F118E1"/>
    <w:rsid w:val="00F12C2F"/>
    <w:rsid w:val="00F137F5"/>
    <w:rsid w:val="00F138AD"/>
    <w:rsid w:val="00F14D0D"/>
    <w:rsid w:val="00F15334"/>
    <w:rsid w:val="00F17850"/>
    <w:rsid w:val="00F17DAF"/>
    <w:rsid w:val="00F20411"/>
    <w:rsid w:val="00F20955"/>
    <w:rsid w:val="00F21369"/>
    <w:rsid w:val="00F213F5"/>
    <w:rsid w:val="00F21631"/>
    <w:rsid w:val="00F21C73"/>
    <w:rsid w:val="00F21E47"/>
    <w:rsid w:val="00F22639"/>
    <w:rsid w:val="00F22AE4"/>
    <w:rsid w:val="00F231E2"/>
    <w:rsid w:val="00F2475D"/>
    <w:rsid w:val="00F24ED9"/>
    <w:rsid w:val="00F25747"/>
    <w:rsid w:val="00F25A9A"/>
    <w:rsid w:val="00F26A54"/>
    <w:rsid w:val="00F30C59"/>
    <w:rsid w:val="00F32493"/>
    <w:rsid w:val="00F32972"/>
    <w:rsid w:val="00F33760"/>
    <w:rsid w:val="00F3522E"/>
    <w:rsid w:val="00F352E0"/>
    <w:rsid w:val="00F35BCD"/>
    <w:rsid w:val="00F36607"/>
    <w:rsid w:val="00F3695C"/>
    <w:rsid w:val="00F37842"/>
    <w:rsid w:val="00F410FC"/>
    <w:rsid w:val="00F412B1"/>
    <w:rsid w:val="00F41417"/>
    <w:rsid w:val="00F42AA4"/>
    <w:rsid w:val="00F42C66"/>
    <w:rsid w:val="00F437ED"/>
    <w:rsid w:val="00F45574"/>
    <w:rsid w:val="00F45E01"/>
    <w:rsid w:val="00F46967"/>
    <w:rsid w:val="00F46A08"/>
    <w:rsid w:val="00F47B05"/>
    <w:rsid w:val="00F51079"/>
    <w:rsid w:val="00F52BD8"/>
    <w:rsid w:val="00F53201"/>
    <w:rsid w:val="00F533CD"/>
    <w:rsid w:val="00F53539"/>
    <w:rsid w:val="00F53653"/>
    <w:rsid w:val="00F5398D"/>
    <w:rsid w:val="00F53D08"/>
    <w:rsid w:val="00F54E47"/>
    <w:rsid w:val="00F56AB8"/>
    <w:rsid w:val="00F57933"/>
    <w:rsid w:val="00F5796A"/>
    <w:rsid w:val="00F603BB"/>
    <w:rsid w:val="00F604AB"/>
    <w:rsid w:val="00F608FD"/>
    <w:rsid w:val="00F609C0"/>
    <w:rsid w:val="00F60BB1"/>
    <w:rsid w:val="00F61DD0"/>
    <w:rsid w:val="00F62521"/>
    <w:rsid w:val="00F63FFE"/>
    <w:rsid w:val="00F64112"/>
    <w:rsid w:val="00F64508"/>
    <w:rsid w:val="00F65059"/>
    <w:rsid w:val="00F65D00"/>
    <w:rsid w:val="00F6647D"/>
    <w:rsid w:val="00F66BE9"/>
    <w:rsid w:val="00F67017"/>
    <w:rsid w:val="00F700FF"/>
    <w:rsid w:val="00F70DD3"/>
    <w:rsid w:val="00F7154C"/>
    <w:rsid w:val="00F715FC"/>
    <w:rsid w:val="00F71E46"/>
    <w:rsid w:val="00F727DC"/>
    <w:rsid w:val="00F72A1E"/>
    <w:rsid w:val="00F73681"/>
    <w:rsid w:val="00F73750"/>
    <w:rsid w:val="00F7607E"/>
    <w:rsid w:val="00F76891"/>
    <w:rsid w:val="00F80049"/>
    <w:rsid w:val="00F80386"/>
    <w:rsid w:val="00F81A1A"/>
    <w:rsid w:val="00F829F4"/>
    <w:rsid w:val="00F84243"/>
    <w:rsid w:val="00F85078"/>
    <w:rsid w:val="00F858E3"/>
    <w:rsid w:val="00F868A3"/>
    <w:rsid w:val="00F86DC6"/>
    <w:rsid w:val="00F874C6"/>
    <w:rsid w:val="00F87C20"/>
    <w:rsid w:val="00F90BBC"/>
    <w:rsid w:val="00F910B9"/>
    <w:rsid w:val="00F913E4"/>
    <w:rsid w:val="00F919A6"/>
    <w:rsid w:val="00F92394"/>
    <w:rsid w:val="00F9280E"/>
    <w:rsid w:val="00F92E83"/>
    <w:rsid w:val="00F93299"/>
    <w:rsid w:val="00F93E77"/>
    <w:rsid w:val="00F93E9C"/>
    <w:rsid w:val="00F946A3"/>
    <w:rsid w:val="00F95B05"/>
    <w:rsid w:val="00F95BFA"/>
    <w:rsid w:val="00F96060"/>
    <w:rsid w:val="00F96353"/>
    <w:rsid w:val="00F9692F"/>
    <w:rsid w:val="00F97824"/>
    <w:rsid w:val="00F97FB8"/>
    <w:rsid w:val="00FA08B5"/>
    <w:rsid w:val="00FA0DE5"/>
    <w:rsid w:val="00FA0E30"/>
    <w:rsid w:val="00FA0E76"/>
    <w:rsid w:val="00FA1A3D"/>
    <w:rsid w:val="00FA1D4E"/>
    <w:rsid w:val="00FA2B77"/>
    <w:rsid w:val="00FA37E2"/>
    <w:rsid w:val="00FA4730"/>
    <w:rsid w:val="00FA48A0"/>
    <w:rsid w:val="00FA51C7"/>
    <w:rsid w:val="00FA5774"/>
    <w:rsid w:val="00FA79EA"/>
    <w:rsid w:val="00FA7CBB"/>
    <w:rsid w:val="00FB07D0"/>
    <w:rsid w:val="00FB2953"/>
    <w:rsid w:val="00FB2CA4"/>
    <w:rsid w:val="00FB2ED8"/>
    <w:rsid w:val="00FB3271"/>
    <w:rsid w:val="00FB3ED4"/>
    <w:rsid w:val="00FB4BC7"/>
    <w:rsid w:val="00FB5F2C"/>
    <w:rsid w:val="00FB6A5F"/>
    <w:rsid w:val="00FB6ABD"/>
    <w:rsid w:val="00FB725C"/>
    <w:rsid w:val="00FB741D"/>
    <w:rsid w:val="00FC14C8"/>
    <w:rsid w:val="00FC2BD5"/>
    <w:rsid w:val="00FC2FBE"/>
    <w:rsid w:val="00FC37A5"/>
    <w:rsid w:val="00FC4C5C"/>
    <w:rsid w:val="00FC58AA"/>
    <w:rsid w:val="00FC5A44"/>
    <w:rsid w:val="00FC64CC"/>
    <w:rsid w:val="00FC6EDC"/>
    <w:rsid w:val="00FC7AC7"/>
    <w:rsid w:val="00FC7D41"/>
    <w:rsid w:val="00FD1135"/>
    <w:rsid w:val="00FD3007"/>
    <w:rsid w:val="00FD315F"/>
    <w:rsid w:val="00FD4BD3"/>
    <w:rsid w:val="00FD56E7"/>
    <w:rsid w:val="00FD5EF9"/>
    <w:rsid w:val="00FD62C4"/>
    <w:rsid w:val="00FE10BB"/>
    <w:rsid w:val="00FE1255"/>
    <w:rsid w:val="00FE125A"/>
    <w:rsid w:val="00FE2A51"/>
    <w:rsid w:val="00FE2F0B"/>
    <w:rsid w:val="00FE2F3D"/>
    <w:rsid w:val="00FE30A0"/>
    <w:rsid w:val="00FE44D6"/>
    <w:rsid w:val="00FE4B1B"/>
    <w:rsid w:val="00FE4BE2"/>
    <w:rsid w:val="00FE4CE6"/>
    <w:rsid w:val="00FE51D4"/>
    <w:rsid w:val="00FE570F"/>
    <w:rsid w:val="00FE6168"/>
    <w:rsid w:val="00FE6A6C"/>
    <w:rsid w:val="00FE6C6E"/>
    <w:rsid w:val="00FF0C2E"/>
    <w:rsid w:val="00FF26CD"/>
    <w:rsid w:val="00FF3302"/>
    <w:rsid w:val="00FF331C"/>
    <w:rsid w:val="00FF33F5"/>
    <w:rsid w:val="00FF368C"/>
    <w:rsid w:val="00FF4664"/>
    <w:rsid w:val="00FF4A5B"/>
    <w:rsid w:val="00FF4ACD"/>
    <w:rsid w:val="00FF4D8B"/>
    <w:rsid w:val="00FF4F92"/>
    <w:rsid w:val="00FF4F94"/>
    <w:rsid w:val="00FF71A7"/>
    <w:rsid w:val="00FF72C4"/>
    <w:rsid w:val="00FF7D1E"/>
    <w:rsid w:val="00FF7D75"/>
    <w:rsid w:val="00FF7ED4"/>
  </w:rsids>
  <m:mathPr>
    <m:mathFont m:val="Cambria Math"/>
    <m:brkBin m:val="before"/>
    <m:brkBinSub m:val="--"/>
    <m:smallFrac m:val="0"/>
    <m:dispDef/>
    <m:lMargin m:val="0"/>
    <m:rMargin m:val="0"/>
    <m:defJc m:val="centerGroup"/>
    <m:wrapIndent m:val="1440"/>
    <m:intLim m:val="subSup"/>
    <m:naryLim m:val="undOvr"/>
  </m:mathPr>
  <w:themeFontLang w:val="sq-AL"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D9B4D1F"/>
  <w15:chartTrackingRefBased/>
  <w15:docId w15:val="{151F4D8B-927C-478B-A4C8-0ADB71F8A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6BFB"/>
  </w:style>
  <w:style w:type="paragraph" w:styleId="Heading1">
    <w:name w:val="heading 1"/>
    <w:basedOn w:val="Normal"/>
    <w:next w:val="Normal"/>
    <w:link w:val="Heading1Char"/>
    <w:uiPriority w:val="9"/>
    <w:qFormat/>
    <w:rsid w:val="00E234FA"/>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Char Char,Char"/>
    <w:basedOn w:val="Normal"/>
    <w:link w:val="FootnoteTextChar"/>
    <w:unhideWhenUsed/>
    <w:qFormat/>
    <w:rsid w:val="008960DF"/>
    <w:rPr>
      <w:sz w:val="20"/>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odyTextIndent3">
    <w:name w:val="Body Text Indent 3"/>
    <w:basedOn w:val="Normal"/>
    <w:link w:val="BodyTextIndent3Char"/>
    <w:uiPriority w:val="99"/>
    <w:unhideWhenUsed/>
    <w:rsid w:val="009D6BFB"/>
    <w:pPr>
      <w:ind w:left="2880"/>
      <w:jc w:val="both"/>
    </w:pPr>
    <w:rPr>
      <w:b/>
    </w:rPr>
  </w:style>
  <w:style w:type="character" w:customStyle="1" w:styleId="BodyTextIndent3Char">
    <w:name w:val="Body Text Indent 3 Char"/>
    <w:basedOn w:val="DefaultParagraphFont"/>
    <w:link w:val="BodyTextIndent3"/>
    <w:uiPriority w:val="99"/>
    <w:rsid w:val="009D6BFB"/>
    <w:rPr>
      <w:b/>
    </w:rPr>
  </w:style>
  <w:style w:type="paragraph" w:styleId="BalloonText">
    <w:name w:val="Balloon Text"/>
    <w:basedOn w:val="Normal"/>
    <w:link w:val="BalloonTextChar"/>
    <w:uiPriority w:val="99"/>
    <w:semiHidden/>
    <w:unhideWhenUsed/>
    <w:rsid w:val="00B14A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A32"/>
    <w:rPr>
      <w:rFonts w:ascii="Segoe UI" w:hAnsi="Segoe UI" w:cs="Segoe UI"/>
      <w:sz w:val="18"/>
      <w:szCs w:val="18"/>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A3A5B"/>
    <w:pPr>
      <w:spacing w:after="160" w:line="240" w:lineRule="exact"/>
    </w:pPr>
    <w:rPr>
      <w:sz w:val="20"/>
      <w:vertAlign w:val="superscript"/>
    </w:rPr>
  </w:style>
  <w:style w:type="character" w:styleId="Hyperlink">
    <w:name w:val="Hyperlink"/>
    <w:basedOn w:val="DefaultParagraphFont"/>
    <w:uiPriority w:val="99"/>
    <w:unhideWhenUsed/>
    <w:rsid w:val="00E937A1"/>
    <w:rPr>
      <w:color w:val="0563C1" w:themeColor="hyperlink"/>
      <w:u w:val="single"/>
    </w:rPr>
  </w:style>
  <w:style w:type="character" w:customStyle="1" w:styleId="UnresolvedMention1">
    <w:name w:val="Unresolved Mention1"/>
    <w:basedOn w:val="DefaultParagraphFont"/>
    <w:uiPriority w:val="99"/>
    <w:semiHidden/>
    <w:unhideWhenUsed/>
    <w:rsid w:val="00E937A1"/>
    <w:rPr>
      <w:color w:val="605E5C"/>
      <w:shd w:val="clear" w:color="auto" w:fill="E1DFDD"/>
    </w:rPr>
  </w:style>
  <w:style w:type="paragraph" w:styleId="BodyText">
    <w:name w:val="Body Text"/>
    <w:basedOn w:val="Normal"/>
    <w:link w:val="BodyTextChar"/>
    <w:uiPriority w:val="99"/>
    <w:unhideWhenUsed/>
    <w:rsid w:val="00594099"/>
    <w:pPr>
      <w:spacing w:after="120" w:line="240" w:lineRule="auto"/>
    </w:pPr>
    <w:rPr>
      <w:rFonts w:eastAsia="Times New Roman"/>
      <w:lang w:eastAsia="x-none"/>
    </w:rPr>
  </w:style>
  <w:style w:type="character" w:customStyle="1" w:styleId="BodyTextChar">
    <w:name w:val="Body Text Char"/>
    <w:basedOn w:val="DefaultParagraphFont"/>
    <w:link w:val="BodyText"/>
    <w:uiPriority w:val="99"/>
    <w:rsid w:val="00594099"/>
    <w:rPr>
      <w:rFonts w:eastAsia="Times New Roman"/>
      <w:lang w:eastAsia="x-none"/>
    </w:rPr>
  </w:style>
  <w:style w:type="character" w:styleId="CommentReference">
    <w:name w:val="annotation reference"/>
    <w:basedOn w:val="DefaultParagraphFont"/>
    <w:uiPriority w:val="99"/>
    <w:semiHidden/>
    <w:unhideWhenUsed/>
    <w:rsid w:val="009F09AA"/>
    <w:rPr>
      <w:sz w:val="16"/>
      <w:szCs w:val="16"/>
    </w:rPr>
  </w:style>
  <w:style w:type="paragraph" w:styleId="CommentText">
    <w:name w:val="annotation text"/>
    <w:basedOn w:val="Normal"/>
    <w:link w:val="CommentTextChar"/>
    <w:uiPriority w:val="99"/>
    <w:semiHidden/>
    <w:unhideWhenUsed/>
    <w:rsid w:val="009F09AA"/>
    <w:pPr>
      <w:spacing w:line="240" w:lineRule="auto"/>
    </w:pPr>
    <w:rPr>
      <w:sz w:val="20"/>
      <w:szCs w:val="20"/>
    </w:rPr>
  </w:style>
  <w:style w:type="character" w:customStyle="1" w:styleId="CommentTextChar">
    <w:name w:val="Comment Text Char"/>
    <w:basedOn w:val="DefaultParagraphFont"/>
    <w:link w:val="CommentText"/>
    <w:uiPriority w:val="99"/>
    <w:semiHidden/>
    <w:rsid w:val="009F09AA"/>
    <w:rPr>
      <w:sz w:val="20"/>
      <w:szCs w:val="20"/>
    </w:rPr>
  </w:style>
  <w:style w:type="paragraph" w:styleId="CommentSubject">
    <w:name w:val="annotation subject"/>
    <w:basedOn w:val="CommentText"/>
    <w:next w:val="CommentText"/>
    <w:link w:val="CommentSubjectChar"/>
    <w:uiPriority w:val="99"/>
    <w:semiHidden/>
    <w:unhideWhenUsed/>
    <w:rsid w:val="009F09AA"/>
    <w:rPr>
      <w:b/>
      <w:bCs/>
    </w:rPr>
  </w:style>
  <w:style w:type="character" w:customStyle="1" w:styleId="CommentSubjectChar">
    <w:name w:val="Comment Subject Char"/>
    <w:basedOn w:val="CommentTextChar"/>
    <w:link w:val="CommentSubject"/>
    <w:uiPriority w:val="99"/>
    <w:semiHidden/>
    <w:rsid w:val="009F09AA"/>
    <w:rPr>
      <w:b/>
      <w:bCs/>
      <w:sz w:val="20"/>
      <w:szCs w:val="20"/>
    </w:rPr>
  </w:style>
  <w:style w:type="paragraph" w:styleId="NoSpacing">
    <w:name w:val="No Spacing"/>
    <w:aliases w:val="B"/>
    <w:basedOn w:val="Normal"/>
    <w:uiPriority w:val="1"/>
    <w:qFormat/>
    <w:rsid w:val="00053CE2"/>
    <w:pPr>
      <w:spacing w:line="240" w:lineRule="auto"/>
    </w:pPr>
    <w:rPr>
      <w:rFonts w:ascii="Calibri" w:hAnsi="Calibri" w:cs="Calibri"/>
    </w:rPr>
  </w:style>
  <w:style w:type="paragraph" w:styleId="Revision">
    <w:name w:val="Revision"/>
    <w:hidden/>
    <w:uiPriority w:val="99"/>
    <w:semiHidden/>
    <w:rsid w:val="003B2B0B"/>
    <w:pPr>
      <w:spacing w:line="240" w:lineRule="auto"/>
    </w:pPr>
  </w:style>
  <w:style w:type="table" w:styleId="TableGrid">
    <w:name w:val="Table Grid"/>
    <w:basedOn w:val="TableNormal"/>
    <w:uiPriority w:val="39"/>
    <w:rsid w:val="004F3E9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743476">
      <w:bodyDiv w:val="1"/>
      <w:marLeft w:val="0"/>
      <w:marRight w:val="0"/>
      <w:marTop w:val="0"/>
      <w:marBottom w:val="0"/>
      <w:divBdr>
        <w:top w:val="none" w:sz="0" w:space="0" w:color="auto"/>
        <w:left w:val="none" w:sz="0" w:space="0" w:color="auto"/>
        <w:bottom w:val="none" w:sz="0" w:space="0" w:color="auto"/>
        <w:right w:val="none" w:sz="0" w:space="0" w:color="auto"/>
      </w:divBdr>
    </w:div>
    <w:div w:id="317923561">
      <w:bodyDiv w:val="1"/>
      <w:marLeft w:val="0"/>
      <w:marRight w:val="0"/>
      <w:marTop w:val="0"/>
      <w:marBottom w:val="0"/>
      <w:divBdr>
        <w:top w:val="none" w:sz="0" w:space="0" w:color="auto"/>
        <w:left w:val="none" w:sz="0" w:space="0" w:color="auto"/>
        <w:bottom w:val="none" w:sz="0" w:space="0" w:color="auto"/>
        <w:right w:val="none" w:sz="0" w:space="0" w:color="auto"/>
      </w:divBdr>
      <w:divsChild>
        <w:div w:id="1387534701">
          <w:marLeft w:val="0"/>
          <w:marRight w:val="0"/>
          <w:marTop w:val="0"/>
          <w:marBottom w:val="0"/>
          <w:divBdr>
            <w:top w:val="none" w:sz="0" w:space="0" w:color="auto"/>
            <w:left w:val="none" w:sz="0" w:space="0" w:color="auto"/>
            <w:bottom w:val="none" w:sz="0" w:space="0" w:color="auto"/>
            <w:right w:val="none" w:sz="0" w:space="0" w:color="auto"/>
          </w:divBdr>
        </w:div>
        <w:div w:id="1926113581">
          <w:marLeft w:val="0"/>
          <w:marRight w:val="0"/>
          <w:marTop w:val="0"/>
          <w:marBottom w:val="0"/>
          <w:divBdr>
            <w:top w:val="none" w:sz="0" w:space="0" w:color="auto"/>
            <w:left w:val="none" w:sz="0" w:space="0" w:color="auto"/>
            <w:bottom w:val="none" w:sz="0" w:space="0" w:color="auto"/>
            <w:right w:val="none" w:sz="0" w:space="0" w:color="auto"/>
          </w:divBdr>
        </w:div>
        <w:div w:id="851800870">
          <w:marLeft w:val="0"/>
          <w:marRight w:val="0"/>
          <w:marTop w:val="0"/>
          <w:marBottom w:val="0"/>
          <w:divBdr>
            <w:top w:val="none" w:sz="0" w:space="0" w:color="auto"/>
            <w:left w:val="none" w:sz="0" w:space="0" w:color="auto"/>
            <w:bottom w:val="none" w:sz="0" w:space="0" w:color="auto"/>
            <w:right w:val="none" w:sz="0" w:space="0" w:color="auto"/>
          </w:divBdr>
        </w:div>
        <w:div w:id="704674887">
          <w:marLeft w:val="0"/>
          <w:marRight w:val="0"/>
          <w:marTop w:val="0"/>
          <w:marBottom w:val="0"/>
          <w:divBdr>
            <w:top w:val="none" w:sz="0" w:space="0" w:color="auto"/>
            <w:left w:val="none" w:sz="0" w:space="0" w:color="auto"/>
            <w:bottom w:val="none" w:sz="0" w:space="0" w:color="auto"/>
            <w:right w:val="none" w:sz="0" w:space="0" w:color="auto"/>
          </w:divBdr>
        </w:div>
        <w:div w:id="1764494700">
          <w:marLeft w:val="0"/>
          <w:marRight w:val="0"/>
          <w:marTop w:val="0"/>
          <w:marBottom w:val="0"/>
          <w:divBdr>
            <w:top w:val="none" w:sz="0" w:space="0" w:color="auto"/>
            <w:left w:val="none" w:sz="0" w:space="0" w:color="auto"/>
            <w:bottom w:val="none" w:sz="0" w:space="0" w:color="auto"/>
            <w:right w:val="none" w:sz="0" w:space="0" w:color="auto"/>
          </w:divBdr>
        </w:div>
        <w:div w:id="28268607">
          <w:marLeft w:val="0"/>
          <w:marRight w:val="0"/>
          <w:marTop w:val="0"/>
          <w:marBottom w:val="0"/>
          <w:divBdr>
            <w:top w:val="none" w:sz="0" w:space="0" w:color="auto"/>
            <w:left w:val="none" w:sz="0" w:space="0" w:color="auto"/>
            <w:bottom w:val="none" w:sz="0" w:space="0" w:color="auto"/>
            <w:right w:val="none" w:sz="0" w:space="0" w:color="auto"/>
          </w:divBdr>
        </w:div>
        <w:div w:id="489714842">
          <w:marLeft w:val="0"/>
          <w:marRight w:val="0"/>
          <w:marTop w:val="0"/>
          <w:marBottom w:val="0"/>
          <w:divBdr>
            <w:top w:val="none" w:sz="0" w:space="0" w:color="auto"/>
            <w:left w:val="none" w:sz="0" w:space="0" w:color="auto"/>
            <w:bottom w:val="none" w:sz="0" w:space="0" w:color="auto"/>
            <w:right w:val="none" w:sz="0" w:space="0" w:color="auto"/>
          </w:divBdr>
        </w:div>
        <w:div w:id="1613898516">
          <w:marLeft w:val="0"/>
          <w:marRight w:val="0"/>
          <w:marTop w:val="0"/>
          <w:marBottom w:val="0"/>
          <w:divBdr>
            <w:top w:val="none" w:sz="0" w:space="0" w:color="auto"/>
            <w:left w:val="none" w:sz="0" w:space="0" w:color="auto"/>
            <w:bottom w:val="none" w:sz="0" w:space="0" w:color="auto"/>
            <w:right w:val="none" w:sz="0" w:space="0" w:color="auto"/>
          </w:divBdr>
        </w:div>
        <w:div w:id="940525047">
          <w:marLeft w:val="0"/>
          <w:marRight w:val="0"/>
          <w:marTop w:val="0"/>
          <w:marBottom w:val="0"/>
          <w:divBdr>
            <w:top w:val="none" w:sz="0" w:space="0" w:color="auto"/>
            <w:left w:val="none" w:sz="0" w:space="0" w:color="auto"/>
            <w:bottom w:val="none" w:sz="0" w:space="0" w:color="auto"/>
            <w:right w:val="none" w:sz="0" w:space="0" w:color="auto"/>
          </w:divBdr>
        </w:div>
        <w:div w:id="735862339">
          <w:marLeft w:val="0"/>
          <w:marRight w:val="0"/>
          <w:marTop w:val="0"/>
          <w:marBottom w:val="0"/>
          <w:divBdr>
            <w:top w:val="none" w:sz="0" w:space="0" w:color="auto"/>
            <w:left w:val="none" w:sz="0" w:space="0" w:color="auto"/>
            <w:bottom w:val="none" w:sz="0" w:space="0" w:color="auto"/>
            <w:right w:val="none" w:sz="0" w:space="0" w:color="auto"/>
          </w:divBdr>
        </w:div>
        <w:div w:id="1357846974">
          <w:marLeft w:val="0"/>
          <w:marRight w:val="0"/>
          <w:marTop w:val="0"/>
          <w:marBottom w:val="0"/>
          <w:divBdr>
            <w:top w:val="none" w:sz="0" w:space="0" w:color="auto"/>
            <w:left w:val="none" w:sz="0" w:space="0" w:color="auto"/>
            <w:bottom w:val="none" w:sz="0" w:space="0" w:color="auto"/>
            <w:right w:val="none" w:sz="0" w:space="0" w:color="auto"/>
          </w:divBdr>
        </w:div>
        <w:div w:id="339478187">
          <w:marLeft w:val="0"/>
          <w:marRight w:val="0"/>
          <w:marTop w:val="0"/>
          <w:marBottom w:val="0"/>
          <w:divBdr>
            <w:top w:val="none" w:sz="0" w:space="0" w:color="auto"/>
            <w:left w:val="none" w:sz="0" w:space="0" w:color="auto"/>
            <w:bottom w:val="none" w:sz="0" w:space="0" w:color="auto"/>
            <w:right w:val="none" w:sz="0" w:space="0" w:color="auto"/>
          </w:divBdr>
        </w:div>
        <w:div w:id="1791048316">
          <w:marLeft w:val="0"/>
          <w:marRight w:val="0"/>
          <w:marTop w:val="0"/>
          <w:marBottom w:val="0"/>
          <w:divBdr>
            <w:top w:val="none" w:sz="0" w:space="0" w:color="auto"/>
            <w:left w:val="none" w:sz="0" w:space="0" w:color="auto"/>
            <w:bottom w:val="none" w:sz="0" w:space="0" w:color="auto"/>
            <w:right w:val="none" w:sz="0" w:space="0" w:color="auto"/>
          </w:divBdr>
        </w:div>
        <w:div w:id="1263875295">
          <w:marLeft w:val="0"/>
          <w:marRight w:val="0"/>
          <w:marTop w:val="0"/>
          <w:marBottom w:val="0"/>
          <w:divBdr>
            <w:top w:val="none" w:sz="0" w:space="0" w:color="auto"/>
            <w:left w:val="none" w:sz="0" w:space="0" w:color="auto"/>
            <w:bottom w:val="none" w:sz="0" w:space="0" w:color="auto"/>
            <w:right w:val="none" w:sz="0" w:space="0" w:color="auto"/>
          </w:divBdr>
        </w:div>
        <w:div w:id="1546332160">
          <w:marLeft w:val="0"/>
          <w:marRight w:val="0"/>
          <w:marTop w:val="0"/>
          <w:marBottom w:val="0"/>
          <w:divBdr>
            <w:top w:val="none" w:sz="0" w:space="0" w:color="auto"/>
            <w:left w:val="none" w:sz="0" w:space="0" w:color="auto"/>
            <w:bottom w:val="none" w:sz="0" w:space="0" w:color="auto"/>
            <w:right w:val="none" w:sz="0" w:space="0" w:color="auto"/>
          </w:divBdr>
        </w:div>
        <w:div w:id="732118279">
          <w:marLeft w:val="0"/>
          <w:marRight w:val="0"/>
          <w:marTop w:val="0"/>
          <w:marBottom w:val="0"/>
          <w:divBdr>
            <w:top w:val="none" w:sz="0" w:space="0" w:color="auto"/>
            <w:left w:val="none" w:sz="0" w:space="0" w:color="auto"/>
            <w:bottom w:val="none" w:sz="0" w:space="0" w:color="auto"/>
            <w:right w:val="none" w:sz="0" w:space="0" w:color="auto"/>
          </w:divBdr>
        </w:div>
        <w:div w:id="1365639995">
          <w:marLeft w:val="0"/>
          <w:marRight w:val="0"/>
          <w:marTop w:val="0"/>
          <w:marBottom w:val="0"/>
          <w:divBdr>
            <w:top w:val="none" w:sz="0" w:space="0" w:color="auto"/>
            <w:left w:val="none" w:sz="0" w:space="0" w:color="auto"/>
            <w:bottom w:val="none" w:sz="0" w:space="0" w:color="auto"/>
            <w:right w:val="none" w:sz="0" w:space="0" w:color="auto"/>
          </w:divBdr>
        </w:div>
        <w:div w:id="2099130593">
          <w:marLeft w:val="0"/>
          <w:marRight w:val="0"/>
          <w:marTop w:val="0"/>
          <w:marBottom w:val="0"/>
          <w:divBdr>
            <w:top w:val="none" w:sz="0" w:space="0" w:color="auto"/>
            <w:left w:val="none" w:sz="0" w:space="0" w:color="auto"/>
            <w:bottom w:val="none" w:sz="0" w:space="0" w:color="auto"/>
            <w:right w:val="none" w:sz="0" w:space="0" w:color="auto"/>
          </w:divBdr>
        </w:div>
        <w:div w:id="909848019">
          <w:marLeft w:val="0"/>
          <w:marRight w:val="0"/>
          <w:marTop w:val="0"/>
          <w:marBottom w:val="0"/>
          <w:divBdr>
            <w:top w:val="none" w:sz="0" w:space="0" w:color="auto"/>
            <w:left w:val="none" w:sz="0" w:space="0" w:color="auto"/>
            <w:bottom w:val="none" w:sz="0" w:space="0" w:color="auto"/>
            <w:right w:val="none" w:sz="0" w:space="0" w:color="auto"/>
          </w:divBdr>
        </w:div>
        <w:div w:id="2054380977">
          <w:marLeft w:val="0"/>
          <w:marRight w:val="0"/>
          <w:marTop w:val="0"/>
          <w:marBottom w:val="0"/>
          <w:divBdr>
            <w:top w:val="none" w:sz="0" w:space="0" w:color="auto"/>
            <w:left w:val="none" w:sz="0" w:space="0" w:color="auto"/>
            <w:bottom w:val="none" w:sz="0" w:space="0" w:color="auto"/>
            <w:right w:val="none" w:sz="0" w:space="0" w:color="auto"/>
          </w:divBdr>
        </w:div>
        <w:div w:id="80420214">
          <w:marLeft w:val="0"/>
          <w:marRight w:val="0"/>
          <w:marTop w:val="0"/>
          <w:marBottom w:val="0"/>
          <w:divBdr>
            <w:top w:val="none" w:sz="0" w:space="0" w:color="auto"/>
            <w:left w:val="none" w:sz="0" w:space="0" w:color="auto"/>
            <w:bottom w:val="none" w:sz="0" w:space="0" w:color="auto"/>
            <w:right w:val="none" w:sz="0" w:space="0" w:color="auto"/>
          </w:divBdr>
        </w:div>
        <w:div w:id="934896033">
          <w:marLeft w:val="0"/>
          <w:marRight w:val="0"/>
          <w:marTop w:val="0"/>
          <w:marBottom w:val="0"/>
          <w:divBdr>
            <w:top w:val="none" w:sz="0" w:space="0" w:color="auto"/>
            <w:left w:val="none" w:sz="0" w:space="0" w:color="auto"/>
            <w:bottom w:val="none" w:sz="0" w:space="0" w:color="auto"/>
            <w:right w:val="none" w:sz="0" w:space="0" w:color="auto"/>
          </w:divBdr>
        </w:div>
        <w:div w:id="142354432">
          <w:marLeft w:val="0"/>
          <w:marRight w:val="0"/>
          <w:marTop w:val="0"/>
          <w:marBottom w:val="0"/>
          <w:divBdr>
            <w:top w:val="none" w:sz="0" w:space="0" w:color="auto"/>
            <w:left w:val="none" w:sz="0" w:space="0" w:color="auto"/>
            <w:bottom w:val="none" w:sz="0" w:space="0" w:color="auto"/>
            <w:right w:val="none" w:sz="0" w:space="0" w:color="auto"/>
          </w:divBdr>
        </w:div>
        <w:div w:id="191964866">
          <w:marLeft w:val="0"/>
          <w:marRight w:val="0"/>
          <w:marTop w:val="0"/>
          <w:marBottom w:val="0"/>
          <w:divBdr>
            <w:top w:val="none" w:sz="0" w:space="0" w:color="auto"/>
            <w:left w:val="none" w:sz="0" w:space="0" w:color="auto"/>
            <w:bottom w:val="none" w:sz="0" w:space="0" w:color="auto"/>
            <w:right w:val="none" w:sz="0" w:space="0" w:color="auto"/>
          </w:divBdr>
        </w:div>
        <w:div w:id="2036537586">
          <w:marLeft w:val="0"/>
          <w:marRight w:val="0"/>
          <w:marTop w:val="0"/>
          <w:marBottom w:val="0"/>
          <w:divBdr>
            <w:top w:val="none" w:sz="0" w:space="0" w:color="auto"/>
            <w:left w:val="none" w:sz="0" w:space="0" w:color="auto"/>
            <w:bottom w:val="none" w:sz="0" w:space="0" w:color="auto"/>
            <w:right w:val="none" w:sz="0" w:space="0" w:color="auto"/>
          </w:divBdr>
        </w:div>
        <w:div w:id="170921127">
          <w:marLeft w:val="0"/>
          <w:marRight w:val="0"/>
          <w:marTop w:val="0"/>
          <w:marBottom w:val="0"/>
          <w:divBdr>
            <w:top w:val="none" w:sz="0" w:space="0" w:color="auto"/>
            <w:left w:val="none" w:sz="0" w:space="0" w:color="auto"/>
            <w:bottom w:val="none" w:sz="0" w:space="0" w:color="auto"/>
            <w:right w:val="none" w:sz="0" w:space="0" w:color="auto"/>
          </w:divBdr>
        </w:div>
        <w:div w:id="2100440420">
          <w:marLeft w:val="0"/>
          <w:marRight w:val="0"/>
          <w:marTop w:val="0"/>
          <w:marBottom w:val="0"/>
          <w:divBdr>
            <w:top w:val="none" w:sz="0" w:space="0" w:color="auto"/>
            <w:left w:val="none" w:sz="0" w:space="0" w:color="auto"/>
            <w:bottom w:val="none" w:sz="0" w:space="0" w:color="auto"/>
            <w:right w:val="none" w:sz="0" w:space="0" w:color="auto"/>
          </w:divBdr>
        </w:div>
        <w:div w:id="1694722125">
          <w:marLeft w:val="0"/>
          <w:marRight w:val="0"/>
          <w:marTop w:val="0"/>
          <w:marBottom w:val="0"/>
          <w:divBdr>
            <w:top w:val="none" w:sz="0" w:space="0" w:color="auto"/>
            <w:left w:val="none" w:sz="0" w:space="0" w:color="auto"/>
            <w:bottom w:val="none" w:sz="0" w:space="0" w:color="auto"/>
            <w:right w:val="none" w:sz="0" w:space="0" w:color="auto"/>
          </w:divBdr>
        </w:div>
        <w:div w:id="1769497924">
          <w:marLeft w:val="0"/>
          <w:marRight w:val="0"/>
          <w:marTop w:val="0"/>
          <w:marBottom w:val="0"/>
          <w:divBdr>
            <w:top w:val="none" w:sz="0" w:space="0" w:color="auto"/>
            <w:left w:val="none" w:sz="0" w:space="0" w:color="auto"/>
            <w:bottom w:val="none" w:sz="0" w:space="0" w:color="auto"/>
            <w:right w:val="none" w:sz="0" w:space="0" w:color="auto"/>
          </w:divBdr>
        </w:div>
        <w:div w:id="361250742">
          <w:marLeft w:val="0"/>
          <w:marRight w:val="0"/>
          <w:marTop w:val="0"/>
          <w:marBottom w:val="0"/>
          <w:divBdr>
            <w:top w:val="none" w:sz="0" w:space="0" w:color="auto"/>
            <w:left w:val="none" w:sz="0" w:space="0" w:color="auto"/>
            <w:bottom w:val="none" w:sz="0" w:space="0" w:color="auto"/>
            <w:right w:val="none" w:sz="0" w:space="0" w:color="auto"/>
          </w:divBdr>
        </w:div>
        <w:div w:id="1197350006">
          <w:marLeft w:val="0"/>
          <w:marRight w:val="0"/>
          <w:marTop w:val="0"/>
          <w:marBottom w:val="0"/>
          <w:divBdr>
            <w:top w:val="none" w:sz="0" w:space="0" w:color="auto"/>
            <w:left w:val="none" w:sz="0" w:space="0" w:color="auto"/>
            <w:bottom w:val="none" w:sz="0" w:space="0" w:color="auto"/>
            <w:right w:val="none" w:sz="0" w:space="0" w:color="auto"/>
          </w:divBdr>
        </w:div>
        <w:div w:id="1541475953">
          <w:marLeft w:val="0"/>
          <w:marRight w:val="0"/>
          <w:marTop w:val="0"/>
          <w:marBottom w:val="0"/>
          <w:divBdr>
            <w:top w:val="none" w:sz="0" w:space="0" w:color="auto"/>
            <w:left w:val="none" w:sz="0" w:space="0" w:color="auto"/>
            <w:bottom w:val="none" w:sz="0" w:space="0" w:color="auto"/>
            <w:right w:val="none" w:sz="0" w:space="0" w:color="auto"/>
          </w:divBdr>
        </w:div>
        <w:div w:id="273904137">
          <w:marLeft w:val="0"/>
          <w:marRight w:val="0"/>
          <w:marTop w:val="0"/>
          <w:marBottom w:val="0"/>
          <w:divBdr>
            <w:top w:val="none" w:sz="0" w:space="0" w:color="auto"/>
            <w:left w:val="none" w:sz="0" w:space="0" w:color="auto"/>
            <w:bottom w:val="none" w:sz="0" w:space="0" w:color="auto"/>
            <w:right w:val="none" w:sz="0" w:space="0" w:color="auto"/>
          </w:divBdr>
        </w:div>
        <w:div w:id="1666543199">
          <w:marLeft w:val="0"/>
          <w:marRight w:val="0"/>
          <w:marTop w:val="0"/>
          <w:marBottom w:val="0"/>
          <w:divBdr>
            <w:top w:val="none" w:sz="0" w:space="0" w:color="auto"/>
            <w:left w:val="none" w:sz="0" w:space="0" w:color="auto"/>
            <w:bottom w:val="none" w:sz="0" w:space="0" w:color="auto"/>
            <w:right w:val="none" w:sz="0" w:space="0" w:color="auto"/>
          </w:divBdr>
        </w:div>
        <w:div w:id="1781681314">
          <w:marLeft w:val="0"/>
          <w:marRight w:val="0"/>
          <w:marTop w:val="0"/>
          <w:marBottom w:val="0"/>
          <w:divBdr>
            <w:top w:val="none" w:sz="0" w:space="0" w:color="auto"/>
            <w:left w:val="none" w:sz="0" w:space="0" w:color="auto"/>
            <w:bottom w:val="none" w:sz="0" w:space="0" w:color="auto"/>
            <w:right w:val="none" w:sz="0" w:space="0" w:color="auto"/>
          </w:divBdr>
        </w:div>
        <w:div w:id="2092576967">
          <w:marLeft w:val="0"/>
          <w:marRight w:val="0"/>
          <w:marTop w:val="0"/>
          <w:marBottom w:val="0"/>
          <w:divBdr>
            <w:top w:val="none" w:sz="0" w:space="0" w:color="auto"/>
            <w:left w:val="none" w:sz="0" w:space="0" w:color="auto"/>
            <w:bottom w:val="none" w:sz="0" w:space="0" w:color="auto"/>
            <w:right w:val="none" w:sz="0" w:space="0" w:color="auto"/>
          </w:divBdr>
        </w:div>
        <w:div w:id="1479617095">
          <w:marLeft w:val="0"/>
          <w:marRight w:val="0"/>
          <w:marTop w:val="0"/>
          <w:marBottom w:val="0"/>
          <w:divBdr>
            <w:top w:val="none" w:sz="0" w:space="0" w:color="auto"/>
            <w:left w:val="none" w:sz="0" w:space="0" w:color="auto"/>
            <w:bottom w:val="none" w:sz="0" w:space="0" w:color="auto"/>
            <w:right w:val="none" w:sz="0" w:space="0" w:color="auto"/>
          </w:divBdr>
        </w:div>
        <w:div w:id="1902324721">
          <w:marLeft w:val="0"/>
          <w:marRight w:val="0"/>
          <w:marTop w:val="0"/>
          <w:marBottom w:val="0"/>
          <w:divBdr>
            <w:top w:val="none" w:sz="0" w:space="0" w:color="auto"/>
            <w:left w:val="none" w:sz="0" w:space="0" w:color="auto"/>
            <w:bottom w:val="none" w:sz="0" w:space="0" w:color="auto"/>
            <w:right w:val="none" w:sz="0" w:space="0" w:color="auto"/>
          </w:divBdr>
        </w:div>
        <w:div w:id="1669210356">
          <w:marLeft w:val="0"/>
          <w:marRight w:val="0"/>
          <w:marTop w:val="0"/>
          <w:marBottom w:val="0"/>
          <w:divBdr>
            <w:top w:val="none" w:sz="0" w:space="0" w:color="auto"/>
            <w:left w:val="none" w:sz="0" w:space="0" w:color="auto"/>
            <w:bottom w:val="none" w:sz="0" w:space="0" w:color="auto"/>
            <w:right w:val="none" w:sz="0" w:space="0" w:color="auto"/>
          </w:divBdr>
        </w:div>
        <w:div w:id="1368140597">
          <w:marLeft w:val="0"/>
          <w:marRight w:val="0"/>
          <w:marTop w:val="0"/>
          <w:marBottom w:val="0"/>
          <w:divBdr>
            <w:top w:val="none" w:sz="0" w:space="0" w:color="auto"/>
            <w:left w:val="none" w:sz="0" w:space="0" w:color="auto"/>
            <w:bottom w:val="none" w:sz="0" w:space="0" w:color="auto"/>
            <w:right w:val="none" w:sz="0" w:space="0" w:color="auto"/>
          </w:divBdr>
        </w:div>
        <w:div w:id="586841818">
          <w:marLeft w:val="0"/>
          <w:marRight w:val="0"/>
          <w:marTop w:val="0"/>
          <w:marBottom w:val="0"/>
          <w:divBdr>
            <w:top w:val="none" w:sz="0" w:space="0" w:color="auto"/>
            <w:left w:val="none" w:sz="0" w:space="0" w:color="auto"/>
            <w:bottom w:val="none" w:sz="0" w:space="0" w:color="auto"/>
            <w:right w:val="none" w:sz="0" w:space="0" w:color="auto"/>
          </w:divBdr>
        </w:div>
        <w:div w:id="579291145">
          <w:marLeft w:val="0"/>
          <w:marRight w:val="0"/>
          <w:marTop w:val="0"/>
          <w:marBottom w:val="0"/>
          <w:divBdr>
            <w:top w:val="none" w:sz="0" w:space="0" w:color="auto"/>
            <w:left w:val="none" w:sz="0" w:space="0" w:color="auto"/>
            <w:bottom w:val="none" w:sz="0" w:space="0" w:color="auto"/>
            <w:right w:val="none" w:sz="0" w:space="0" w:color="auto"/>
          </w:divBdr>
        </w:div>
        <w:div w:id="609435868">
          <w:marLeft w:val="0"/>
          <w:marRight w:val="0"/>
          <w:marTop w:val="0"/>
          <w:marBottom w:val="0"/>
          <w:divBdr>
            <w:top w:val="none" w:sz="0" w:space="0" w:color="auto"/>
            <w:left w:val="none" w:sz="0" w:space="0" w:color="auto"/>
            <w:bottom w:val="none" w:sz="0" w:space="0" w:color="auto"/>
            <w:right w:val="none" w:sz="0" w:space="0" w:color="auto"/>
          </w:divBdr>
        </w:div>
        <w:div w:id="1655337271">
          <w:marLeft w:val="0"/>
          <w:marRight w:val="0"/>
          <w:marTop w:val="0"/>
          <w:marBottom w:val="0"/>
          <w:divBdr>
            <w:top w:val="none" w:sz="0" w:space="0" w:color="auto"/>
            <w:left w:val="none" w:sz="0" w:space="0" w:color="auto"/>
            <w:bottom w:val="none" w:sz="0" w:space="0" w:color="auto"/>
            <w:right w:val="none" w:sz="0" w:space="0" w:color="auto"/>
          </w:divBdr>
        </w:div>
        <w:div w:id="1664778058">
          <w:marLeft w:val="0"/>
          <w:marRight w:val="0"/>
          <w:marTop w:val="0"/>
          <w:marBottom w:val="0"/>
          <w:divBdr>
            <w:top w:val="none" w:sz="0" w:space="0" w:color="auto"/>
            <w:left w:val="none" w:sz="0" w:space="0" w:color="auto"/>
            <w:bottom w:val="none" w:sz="0" w:space="0" w:color="auto"/>
            <w:right w:val="none" w:sz="0" w:space="0" w:color="auto"/>
          </w:divBdr>
        </w:div>
        <w:div w:id="1775905573">
          <w:marLeft w:val="0"/>
          <w:marRight w:val="0"/>
          <w:marTop w:val="0"/>
          <w:marBottom w:val="0"/>
          <w:divBdr>
            <w:top w:val="none" w:sz="0" w:space="0" w:color="auto"/>
            <w:left w:val="none" w:sz="0" w:space="0" w:color="auto"/>
            <w:bottom w:val="none" w:sz="0" w:space="0" w:color="auto"/>
            <w:right w:val="none" w:sz="0" w:space="0" w:color="auto"/>
          </w:divBdr>
        </w:div>
        <w:div w:id="1267931979">
          <w:marLeft w:val="0"/>
          <w:marRight w:val="0"/>
          <w:marTop w:val="0"/>
          <w:marBottom w:val="0"/>
          <w:divBdr>
            <w:top w:val="none" w:sz="0" w:space="0" w:color="auto"/>
            <w:left w:val="none" w:sz="0" w:space="0" w:color="auto"/>
            <w:bottom w:val="none" w:sz="0" w:space="0" w:color="auto"/>
            <w:right w:val="none" w:sz="0" w:space="0" w:color="auto"/>
          </w:divBdr>
        </w:div>
        <w:div w:id="183640228">
          <w:marLeft w:val="0"/>
          <w:marRight w:val="0"/>
          <w:marTop w:val="0"/>
          <w:marBottom w:val="0"/>
          <w:divBdr>
            <w:top w:val="none" w:sz="0" w:space="0" w:color="auto"/>
            <w:left w:val="none" w:sz="0" w:space="0" w:color="auto"/>
            <w:bottom w:val="none" w:sz="0" w:space="0" w:color="auto"/>
            <w:right w:val="none" w:sz="0" w:space="0" w:color="auto"/>
          </w:divBdr>
        </w:div>
        <w:div w:id="1214080167">
          <w:marLeft w:val="0"/>
          <w:marRight w:val="0"/>
          <w:marTop w:val="0"/>
          <w:marBottom w:val="0"/>
          <w:divBdr>
            <w:top w:val="none" w:sz="0" w:space="0" w:color="auto"/>
            <w:left w:val="none" w:sz="0" w:space="0" w:color="auto"/>
            <w:bottom w:val="none" w:sz="0" w:space="0" w:color="auto"/>
            <w:right w:val="none" w:sz="0" w:space="0" w:color="auto"/>
          </w:divBdr>
        </w:div>
        <w:div w:id="1970472969">
          <w:marLeft w:val="0"/>
          <w:marRight w:val="0"/>
          <w:marTop w:val="0"/>
          <w:marBottom w:val="0"/>
          <w:divBdr>
            <w:top w:val="none" w:sz="0" w:space="0" w:color="auto"/>
            <w:left w:val="none" w:sz="0" w:space="0" w:color="auto"/>
            <w:bottom w:val="none" w:sz="0" w:space="0" w:color="auto"/>
            <w:right w:val="none" w:sz="0" w:space="0" w:color="auto"/>
          </w:divBdr>
        </w:div>
        <w:div w:id="1170873432">
          <w:marLeft w:val="0"/>
          <w:marRight w:val="0"/>
          <w:marTop w:val="0"/>
          <w:marBottom w:val="0"/>
          <w:divBdr>
            <w:top w:val="none" w:sz="0" w:space="0" w:color="auto"/>
            <w:left w:val="none" w:sz="0" w:space="0" w:color="auto"/>
            <w:bottom w:val="none" w:sz="0" w:space="0" w:color="auto"/>
            <w:right w:val="none" w:sz="0" w:space="0" w:color="auto"/>
          </w:divBdr>
        </w:div>
        <w:div w:id="1818718937">
          <w:marLeft w:val="0"/>
          <w:marRight w:val="0"/>
          <w:marTop w:val="0"/>
          <w:marBottom w:val="0"/>
          <w:divBdr>
            <w:top w:val="none" w:sz="0" w:space="0" w:color="auto"/>
            <w:left w:val="none" w:sz="0" w:space="0" w:color="auto"/>
            <w:bottom w:val="none" w:sz="0" w:space="0" w:color="auto"/>
            <w:right w:val="none" w:sz="0" w:space="0" w:color="auto"/>
          </w:divBdr>
        </w:div>
        <w:div w:id="243994358">
          <w:marLeft w:val="0"/>
          <w:marRight w:val="0"/>
          <w:marTop w:val="0"/>
          <w:marBottom w:val="0"/>
          <w:divBdr>
            <w:top w:val="none" w:sz="0" w:space="0" w:color="auto"/>
            <w:left w:val="none" w:sz="0" w:space="0" w:color="auto"/>
            <w:bottom w:val="none" w:sz="0" w:space="0" w:color="auto"/>
            <w:right w:val="none" w:sz="0" w:space="0" w:color="auto"/>
          </w:divBdr>
        </w:div>
        <w:div w:id="291593724">
          <w:marLeft w:val="0"/>
          <w:marRight w:val="0"/>
          <w:marTop w:val="0"/>
          <w:marBottom w:val="0"/>
          <w:divBdr>
            <w:top w:val="none" w:sz="0" w:space="0" w:color="auto"/>
            <w:left w:val="none" w:sz="0" w:space="0" w:color="auto"/>
            <w:bottom w:val="none" w:sz="0" w:space="0" w:color="auto"/>
            <w:right w:val="none" w:sz="0" w:space="0" w:color="auto"/>
          </w:divBdr>
        </w:div>
        <w:div w:id="575670717">
          <w:marLeft w:val="0"/>
          <w:marRight w:val="0"/>
          <w:marTop w:val="0"/>
          <w:marBottom w:val="0"/>
          <w:divBdr>
            <w:top w:val="none" w:sz="0" w:space="0" w:color="auto"/>
            <w:left w:val="none" w:sz="0" w:space="0" w:color="auto"/>
            <w:bottom w:val="none" w:sz="0" w:space="0" w:color="auto"/>
            <w:right w:val="none" w:sz="0" w:space="0" w:color="auto"/>
          </w:divBdr>
        </w:div>
        <w:div w:id="655567643">
          <w:marLeft w:val="0"/>
          <w:marRight w:val="0"/>
          <w:marTop w:val="0"/>
          <w:marBottom w:val="0"/>
          <w:divBdr>
            <w:top w:val="none" w:sz="0" w:space="0" w:color="auto"/>
            <w:left w:val="none" w:sz="0" w:space="0" w:color="auto"/>
            <w:bottom w:val="none" w:sz="0" w:space="0" w:color="auto"/>
            <w:right w:val="none" w:sz="0" w:space="0" w:color="auto"/>
          </w:divBdr>
        </w:div>
        <w:div w:id="805972055">
          <w:marLeft w:val="0"/>
          <w:marRight w:val="0"/>
          <w:marTop w:val="0"/>
          <w:marBottom w:val="0"/>
          <w:divBdr>
            <w:top w:val="none" w:sz="0" w:space="0" w:color="auto"/>
            <w:left w:val="none" w:sz="0" w:space="0" w:color="auto"/>
            <w:bottom w:val="none" w:sz="0" w:space="0" w:color="auto"/>
            <w:right w:val="none" w:sz="0" w:space="0" w:color="auto"/>
          </w:divBdr>
        </w:div>
        <w:div w:id="789981665">
          <w:marLeft w:val="0"/>
          <w:marRight w:val="0"/>
          <w:marTop w:val="0"/>
          <w:marBottom w:val="0"/>
          <w:divBdr>
            <w:top w:val="none" w:sz="0" w:space="0" w:color="auto"/>
            <w:left w:val="none" w:sz="0" w:space="0" w:color="auto"/>
            <w:bottom w:val="none" w:sz="0" w:space="0" w:color="auto"/>
            <w:right w:val="none" w:sz="0" w:space="0" w:color="auto"/>
          </w:divBdr>
        </w:div>
        <w:div w:id="946623484">
          <w:marLeft w:val="0"/>
          <w:marRight w:val="0"/>
          <w:marTop w:val="0"/>
          <w:marBottom w:val="0"/>
          <w:divBdr>
            <w:top w:val="none" w:sz="0" w:space="0" w:color="auto"/>
            <w:left w:val="none" w:sz="0" w:space="0" w:color="auto"/>
            <w:bottom w:val="none" w:sz="0" w:space="0" w:color="auto"/>
            <w:right w:val="none" w:sz="0" w:space="0" w:color="auto"/>
          </w:divBdr>
        </w:div>
        <w:div w:id="506137686">
          <w:marLeft w:val="0"/>
          <w:marRight w:val="0"/>
          <w:marTop w:val="0"/>
          <w:marBottom w:val="0"/>
          <w:divBdr>
            <w:top w:val="none" w:sz="0" w:space="0" w:color="auto"/>
            <w:left w:val="none" w:sz="0" w:space="0" w:color="auto"/>
            <w:bottom w:val="none" w:sz="0" w:space="0" w:color="auto"/>
            <w:right w:val="none" w:sz="0" w:space="0" w:color="auto"/>
          </w:divBdr>
        </w:div>
        <w:div w:id="1239828967">
          <w:marLeft w:val="0"/>
          <w:marRight w:val="0"/>
          <w:marTop w:val="0"/>
          <w:marBottom w:val="0"/>
          <w:divBdr>
            <w:top w:val="none" w:sz="0" w:space="0" w:color="auto"/>
            <w:left w:val="none" w:sz="0" w:space="0" w:color="auto"/>
            <w:bottom w:val="none" w:sz="0" w:space="0" w:color="auto"/>
            <w:right w:val="none" w:sz="0" w:space="0" w:color="auto"/>
          </w:divBdr>
        </w:div>
        <w:div w:id="864171749">
          <w:marLeft w:val="0"/>
          <w:marRight w:val="0"/>
          <w:marTop w:val="0"/>
          <w:marBottom w:val="0"/>
          <w:divBdr>
            <w:top w:val="none" w:sz="0" w:space="0" w:color="auto"/>
            <w:left w:val="none" w:sz="0" w:space="0" w:color="auto"/>
            <w:bottom w:val="none" w:sz="0" w:space="0" w:color="auto"/>
            <w:right w:val="none" w:sz="0" w:space="0" w:color="auto"/>
          </w:divBdr>
        </w:div>
        <w:div w:id="43675125">
          <w:marLeft w:val="0"/>
          <w:marRight w:val="0"/>
          <w:marTop w:val="0"/>
          <w:marBottom w:val="0"/>
          <w:divBdr>
            <w:top w:val="none" w:sz="0" w:space="0" w:color="auto"/>
            <w:left w:val="none" w:sz="0" w:space="0" w:color="auto"/>
            <w:bottom w:val="none" w:sz="0" w:space="0" w:color="auto"/>
            <w:right w:val="none" w:sz="0" w:space="0" w:color="auto"/>
          </w:divBdr>
        </w:div>
        <w:div w:id="1996521155">
          <w:marLeft w:val="0"/>
          <w:marRight w:val="0"/>
          <w:marTop w:val="0"/>
          <w:marBottom w:val="0"/>
          <w:divBdr>
            <w:top w:val="none" w:sz="0" w:space="0" w:color="auto"/>
            <w:left w:val="none" w:sz="0" w:space="0" w:color="auto"/>
            <w:bottom w:val="none" w:sz="0" w:space="0" w:color="auto"/>
            <w:right w:val="none" w:sz="0" w:space="0" w:color="auto"/>
          </w:divBdr>
        </w:div>
        <w:div w:id="693502902">
          <w:marLeft w:val="0"/>
          <w:marRight w:val="0"/>
          <w:marTop w:val="0"/>
          <w:marBottom w:val="0"/>
          <w:divBdr>
            <w:top w:val="none" w:sz="0" w:space="0" w:color="auto"/>
            <w:left w:val="none" w:sz="0" w:space="0" w:color="auto"/>
            <w:bottom w:val="none" w:sz="0" w:space="0" w:color="auto"/>
            <w:right w:val="none" w:sz="0" w:space="0" w:color="auto"/>
          </w:divBdr>
        </w:div>
        <w:div w:id="1577933373">
          <w:marLeft w:val="0"/>
          <w:marRight w:val="0"/>
          <w:marTop w:val="0"/>
          <w:marBottom w:val="0"/>
          <w:divBdr>
            <w:top w:val="none" w:sz="0" w:space="0" w:color="auto"/>
            <w:left w:val="none" w:sz="0" w:space="0" w:color="auto"/>
            <w:bottom w:val="none" w:sz="0" w:space="0" w:color="auto"/>
            <w:right w:val="none" w:sz="0" w:space="0" w:color="auto"/>
          </w:divBdr>
        </w:div>
        <w:div w:id="1746144857">
          <w:marLeft w:val="0"/>
          <w:marRight w:val="0"/>
          <w:marTop w:val="0"/>
          <w:marBottom w:val="0"/>
          <w:divBdr>
            <w:top w:val="none" w:sz="0" w:space="0" w:color="auto"/>
            <w:left w:val="none" w:sz="0" w:space="0" w:color="auto"/>
            <w:bottom w:val="none" w:sz="0" w:space="0" w:color="auto"/>
            <w:right w:val="none" w:sz="0" w:space="0" w:color="auto"/>
          </w:divBdr>
        </w:div>
        <w:div w:id="2035691451">
          <w:marLeft w:val="0"/>
          <w:marRight w:val="0"/>
          <w:marTop w:val="0"/>
          <w:marBottom w:val="0"/>
          <w:divBdr>
            <w:top w:val="none" w:sz="0" w:space="0" w:color="auto"/>
            <w:left w:val="none" w:sz="0" w:space="0" w:color="auto"/>
            <w:bottom w:val="none" w:sz="0" w:space="0" w:color="auto"/>
            <w:right w:val="none" w:sz="0" w:space="0" w:color="auto"/>
          </w:divBdr>
        </w:div>
        <w:div w:id="838615744">
          <w:marLeft w:val="0"/>
          <w:marRight w:val="0"/>
          <w:marTop w:val="0"/>
          <w:marBottom w:val="0"/>
          <w:divBdr>
            <w:top w:val="none" w:sz="0" w:space="0" w:color="auto"/>
            <w:left w:val="none" w:sz="0" w:space="0" w:color="auto"/>
            <w:bottom w:val="none" w:sz="0" w:space="0" w:color="auto"/>
            <w:right w:val="none" w:sz="0" w:space="0" w:color="auto"/>
          </w:divBdr>
        </w:div>
        <w:div w:id="1704020729">
          <w:marLeft w:val="0"/>
          <w:marRight w:val="0"/>
          <w:marTop w:val="0"/>
          <w:marBottom w:val="0"/>
          <w:divBdr>
            <w:top w:val="none" w:sz="0" w:space="0" w:color="auto"/>
            <w:left w:val="none" w:sz="0" w:space="0" w:color="auto"/>
            <w:bottom w:val="none" w:sz="0" w:space="0" w:color="auto"/>
            <w:right w:val="none" w:sz="0" w:space="0" w:color="auto"/>
          </w:divBdr>
        </w:div>
        <w:div w:id="1589462895">
          <w:marLeft w:val="0"/>
          <w:marRight w:val="0"/>
          <w:marTop w:val="0"/>
          <w:marBottom w:val="0"/>
          <w:divBdr>
            <w:top w:val="none" w:sz="0" w:space="0" w:color="auto"/>
            <w:left w:val="none" w:sz="0" w:space="0" w:color="auto"/>
            <w:bottom w:val="none" w:sz="0" w:space="0" w:color="auto"/>
            <w:right w:val="none" w:sz="0" w:space="0" w:color="auto"/>
          </w:divBdr>
        </w:div>
        <w:div w:id="411053073">
          <w:marLeft w:val="0"/>
          <w:marRight w:val="0"/>
          <w:marTop w:val="0"/>
          <w:marBottom w:val="0"/>
          <w:divBdr>
            <w:top w:val="none" w:sz="0" w:space="0" w:color="auto"/>
            <w:left w:val="none" w:sz="0" w:space="0" w:color="auto"/>
            <w:bottom w:val="none" w:sz="0" w:space="0" w:color="auto"/>
            <w:right w:val="none" w:sz="0" w:space="0" w:color="auto"/>
          </w:divBdr>
        </w:div>
        <w:div w:id="617641172">
          <w:marLeft w:val="0"/>
          <w:marRight w:val="0"/>
          <w:marTop w:val="0"/>
          <w:marBottom w:val="0"/>
          <w:divBdr>
            <w:top w:val="none" w:sz="0" w:space="0" w:color="auto"/>
            <w:left w:val="none" w:sz="0" w:space="0" w:color="auto"/>
            <w:bottom w:val="none" w:sz="0" w:space="0" w:color="auto"/>
            <w:right w:val="none" w:sz="0" w:space="0" w:color="auto"/>
          </w:divBdr>
        </w:div>
        <w:div w:id="505366850">
          <w:marLeft w:val="0"/>
          <w:marRight w:val="0"/>
          <w:marTop w:val="0"/>
          <w:marBottom w:val="0"/>
          <w:divBdr>
            <w:top w:val="none" w:sz="0" w:space="0" w:color="auto"/>
            <w:left w:val="none" w:sz="0" w:space="0" w:color="auto"/>
            <w:bottom w:val="none" w:sz="0" w:space="0" w:color="auto"/>
            <w:right w:val="none" w:sz="0" w:space="0" w:color="auto"/>
          </w:divBdr>
        </w:div>
        <w:div w:id="326399001">
          <w:marLeft w:val="0"/>
          <w:marRight w:val="0"/>
          <w:marTop w:val="0"/>
          <w:marBottom w:val="0"/>
          <w:divBdr>
            <w:top w:val="none" w:sz="0" w:space="0" w:color="auto"/>
            <w:left w:val="none" w:sz="0" w:space="0" w:color="auto"/>
            <w:bottom w:val="none" w:sz="0" w:space="0" w:color="auto"/>
            <w:right w:val="none" w:sz="0" w:space="0" w:color="auto"/>
          </w:divBdr>
        </w:div>
        <w:div w:id="494227717">
          <w:marLeft w:val="0"/>
          <w:marRight w:val="0"/>
          <w:marTop w:val="0"/>
          <w:marBottom w:val="0"/>
          <w:divBdr>
            <w:top w:val="none" w:sz="0" w:space="0" w:color="auto"/>
            <w:left w:val="none" w:sz="0" w:space="0" w:color="auto"/>
            <w:bottom w:val="none" w:sz="0" w:space="0" w:color="auto"/>
            <w:right w:val="none" w:sz="0" w:space="0" w:color="auto"/>
          </w:divBdr>
        </w:div>
        <w:div w:id="1103650692">
          <w:marLeft w:val="0"/>
          <w:marRight w:val="0"/>
          <w:marTop w:val="0"/>
          <w:marBottom w:val="0"/>
          <w:divBdr>
            <w:top w:val="none" w:sz="0" w:space="0" w:color="auto"/>
            <w:left w:val="none" w:sz="0" w:space="0" w:color="auto"/>
            <w:bottom w:val="none" w:sz="0" w:space="0" w:color="auto"/>
            <w:right w:val="none" w:sz="0" w:space="0" w:color="auto"/>
          </w:divBdr>
        </w:div>
        <w:div w:id="35283131">
          <w:marLeft w:val="0"/>
          <w:marRight w:val="0"/>
          <w:marTop w:val="0"/>
          <w:marBottom w:val="0"/>
          <w:divBdr>
            <w:top w:val="none" w:sz="0" w:space="0" w:color="auto"/>
            <w:left w:val="none" w:sz="0" w:space="0" w:color="auto"/>
            <w:bottom w:val="none" w:sz="0" w:space="0" w:color="auto"/>
            <w:right w:val="none" w:sz="0" w:space="0" w:color="auto"/>
          </w:divBdr>
        </w:div>
        <w:div w:id="456292155">
          <w:marLeft w:val="0"/>
          <w:marRight w:val="0"/>
          <w:marTop w:val="0"/>
          <w:marBottom w:val="0"/>
          <w:divBdr>
            <w:top w:val="none" w:sz="0" w:space="0" w:color="auto"/>
            <w:left w:val="none" w:sz="0" w:space="0" w:color="auto"/>
            <w:bottom w:val="none" w:sz="0" w:space="0" w:color="auto"/>
            <w:right w:val="none" w:sz="0" w:space="0" w:color="auto"/>
          </w:divBdr>
        </w:div>
        <w:div w:id="906959387">
          <w:marLeft w:val="0"/>
          <w:marRight w:val="0"/>
          <w:marTop w:val="0"/>
          <w:marBottom w:val="0"/>
          <w:divBdr>
            <w:top w:val="none" w:sz="0" w:space="0" w:color="auto"/>
            <w:left w:val="none" w:sz="0" w:space="0" w:color="auto"/>
            <w:bottom w:val="none" w:sz="0" w:space="0" w:color="auto"/>
            <w:right w:val="none" w:sz="0" w:space="0" w:color="auto"/>
          </w:divBdr>
        </w:div>
        <w:div w:id="443770791">
          <w:marLeft w:val="0"/>
          <w:marRight w:val="0"/>
          <w:marTop w:val="0"/>
          <w:marBottom w:val="0"/>
          <w:divBdr>
            <w:top w:val="none" w:sz="0" w:space="0" w:color="auto"/>
            <w:left w:val="none" w:sz="0" w:space="0" w:color="auto"/>
            <w:bottom w:val="none" w:sz="0" w:space="0" w:color="auto"/>
            <w:right w:val="none" w:sz="0" w:space="0" w:color="auto"/>
          </w:divBdr>
        </w:div>
        <w:div w:id="452096831">
          <w:marLeft w:val="0"/>
          <w:marRight w:val="0"/>
          <w:marTop w:val="0"/>
          <w:marBottom w:val="0"/>
          <w:divBdr>
            <w:top w:val="none" w:sz="0" w:space="0" w:color="auto"/>
            <w:left w:val="none" w:sz="0" w:space="0" w:color="auto"/>
            <w:bottom w:val="none" w:sz="0" w:space="0" w:color="auto"/>
            <w:right w:val="none" w:sz="0" w:space="0" w:color="auto"/>
          </w:divBdr>
        </w:div>
        <w:div w:id="1629894024">
          <w:marLeft w:val="0"/>
          <w:marRight w:val="0"/>
          <w:marTop w:val="0"/>
          <w:marBottom w:val="0"/>
          <w:divBdr>
            <w:top w:val="none" w:sz="0" w:space="0" w:color="auto"/>
            <w:left w:val="none" w:sz="0" w:space="0" w:color="auto"/>
            <w:bottom w:val="none" w:sz="0" w:space="0" w:color="auto"/>
            <w:right w:val="none" w:sz="0" w:space="0" w:color="auto"/>
          </w:divBdr>
        </w:div>
        <w:div w:id="775251601">
          <w:marLeft w:val="0"/>
          <w:marRight w:val="0"/>
          <w:marTop w:val="0"/>
          <w:marBottom w:val="0"/>
          <w:divBdr>
            <w:top w:val="none" w:sz="0" w:space="0" w:color="auto"/>
            <w:left w:val="none" w:sz="0" w:space="0" w:color="auto"/>
            <w:bottom w:val="none" w:sz="0" w:space="0" w:color="auto"/>
            <w:right w:val="none" w:sz="0" w:space="0" w:color="auto"/>
          </w:divBdr>
        </w:div>
        <w:div w:id="1603683345">
          <w:marLeft w:val="0"/>
          <w:marRight w:val="0"/>
          <w:marTop w:val="0"/>
          <w:marBottom w:val="0"/>
          <w:divBdr>
            <w:top w:val="none" w:sz="0" w:space="0" w:color="auto"/>
            <w:left w:val="none" w:sz="0" w:space="0" w:color="auto"/>
            <w:bottom w:val="none" w:sz="0" w:space="0" w:color="auto"/>
            <w:right w:val="none" w:sz="0" w:space="0" w:color="auto"/>
          </w:divBdr>
        </w:div>
        <w:div w:id="1263295476">
          <w:marLeft w:val="0"/>
          <w:marRight w:val="0"/>
          <w:marTop w:val="0"/>
          <w:marBottom w:val="0"/>
          <w:divBdr>
            <w:top w:val="none" w:sz="0" w:space="0" w:color="auto"/>
            <w:left w:val="none" w:sz="0" w:space="0" w:color="auto"/>
            <w:bottom w:val="none" w:sz="0" w:space="0" w:color="auto"/>
            <w:right w:val="none" w:sz="0" w:space="0" w:color="auto"/>
          </w:divBdr>
        </w:div>
        <w:div w:id="974290474">
          <w:marLeft w:val="0"/>
          <w:marRight w:val="0"/>
          <w:marTop w:val="0"/>
          <w:marBottom w:val="0"/>
          <w:divBdr>
            <w:top w:val="none" w:sz="0" w:space="0" w:color="auto"/>
            <w:left w:val="none" w:sz="0" w:space="0" w:color="auto"/>
            <w:bottom w:val="none" w:sz="0" w:space="0" w:color="auto"/>
            <w:right w:val="none" w:sz="0" w:space="0" w:color="auto"/>
          </w:divBdr>
        </w:div>
        <w:div w:id="1094402455">
          <w:marLeft w:val="0"/>
          <w:marRight w:val="0"/>
          <w:marTop w:val="0"/>
          <w:marBottom w:val="0"/>
          <w:divBdr>
            <w:top w:val="none" w:sz="0" w:space="0" w:color="auto"/>
            <w:left w:val="none" w:sz="0" w:space="0" w:color="auto"/>
            <w:bottom w:val="none" w:sz="0" w:space="0" w:color="auto"/>
            <w:right w:val="none" w:sz="0" w:space="0" w:color="auto"/>
          </w:divBdr>
        </w:div>
        <w:div w:id="1204027496">
          <w:marLeft w:val="0"/>
          <w:marRight w:val="0"/>
          <w:marTop w:val="0"/>
          <w:marBottom w:val="0"/>
          <w:divBdr>
            <w:top w:val="none" w:sz="0" w:space="0" w:color="auto"/>
            <w:left w:val="none" w:sz="0" w:space="0" w:color="auto"/>
            <w:bottom w:val="none" w:sz="0" w:space="0" w:color="auto"/>
            <w:right w:val="none" w:sz="0" w:space="0" w:color="auto"/>
          </w:divBdr>
        </w:div>
        <w:div w:id="654528136">
          <w:marLeft w:val="0"/>
          <w:marRight w:val="0"/>
          <w:marTop w:val="0"/>
          <w:marBottom w:val="0"/>
          <w:divBdr>
            <w:top w:val="none" w:sz="0" w:space="0" w:color="auto"/>
            <w:left w:val="none" w:sz="0" w:space="0" w:color="auto"/>
            <w:bottom w:val="none" w:sz="0" w:space="0" w:color="auto"/>
            <w:right w:val="none" w:sz="0" w:space="0" w:color="auto"/>
          </w:divBdr>
        </w:div>
        <w:div w:id="1175993257">
          <w:marLeft w:val="0"/>
          <w:marRight w:val="0"/>
          <w:marTop w:val="0"/>
          <w:marBottom w:val="0"/>
          <w:divBdr>
            <w:top w:val="none" w:sz="0" w:space="0" w:color="auto"/>
            <w:left w:val="none" w:sz="0" w:space="0" w:color="auto"/>
            <w:bottom w:val="none" w:sz="0" w:space="0" w:color="auto"/>
            <w:right w:val="none" w:sz="0" w:space="0" w:color="auto"/>
          </w:divBdr>
        </w:div>
        <w:div w:id="1470047676">
          <w:marLeft w:val="0"/>
          <w:marRight w:val="0"/>
          <w:marTop w:val="0"/>
          <w:marBottom w:val="0"/>
          <w:divBdr>
            <w:top w:val="none" w:sz="0" w:space="0" w:color="auto"/>
            <w:left w:val="none" w:sz="0" w:space="0" w:color="auto"/>
            <w:bottom w:val="none" w:sz="0" w:space="0" w:color="auto"/>
            <w:right w:val="none" w:sz="0" w:space="0" w:color="auto"/>
          </w:divBdr>
        </w:div>
        <w:div w:id="1067999133">
          <w:marLeft w:val="0"/>
          <w:marRight w:val="0"/>
          <w:marTop w:val="0"/>
          <w:marBottom w:val="0"/>
          <w:divBdr>
            <w:top w:val="none" w:sz="0" w:space="0" w:color="auto"/>
            <w:left w:val="none" w:sz="0" w:space="0" w:color="auto"/>
            <w:bottom w:val="none" w:sz="0" w:space="0" w:color="auto"/>
            <w:right w:val="none" w:sz="0" w:space="0" w:color="auto"/>
          </w:divBdr>
        </w:div>
        <w:div w:id="646128175">
          <w:marLeft w:val="0"/>
          <w:marRight w:val="0"/>
          <w:marTop w:val="0"/>
          <w:marBottom w:val="0"/>
          <w:divBdr>
            <w:top w:val="none" w:sz="0" w:space="0" w:color="auto"/>
            <w:left w:val="none" w:sz="0" w:space="0" w:color="auto"/>
            <w:bottom w:val="none" w:sz="0" w:space="0" w:color="auto"/>
            <w:right w:val="none" w:sz="0" w:space="0" w:color="auto"/>
          </w:divBdr>
        </w:div>
        <w:div w:id="1789423777">
          <w:marLeft w:val="0"/>
          <w:marRight w:val="0"/>
          <w:marTop w:val="0"/>
          <w:marBottom w:val="0"/>
          <w:divBdr>
            <w:top w:val="none" w:sz="0" w:space="0" w:color="auto"/>
            <w:left w:val="none" w:sz="0" w:space="0" w:color="auto"/>
            <w:bottom w:val="none" w:sz="0" w:space="0" w:color="auto"/>
            <w:right w:val="none" w:sz="0" w:space="0" w:color="auto"/>
          </w:divBdr>
        </w:div>
        <w:div w:id="26026725">
          <w:marLeft w:val="0"/>
          <w:marRight w:val="0"/>
          <w:marTop w:val="0"/>
          <w:marBottom w:val="0"/>
          <w:divBdr>
            <w:top w:val="none" w:sz="0" w:space="0" w:color="auto"/>
            <w:left w:val="none" w:sz="0" w:space="0" w:color="auto"/>
            <w:bottom w:val="none" w:sz="0" w:space="0" w:color="auto"/>
            <w:right w:val="none" w:sz="0" w:space="0" w:color="auto"/>
          </w:divBdr>
        </w:div>
        <w:div w:id="902639712">
          <w:marLeft w:val="0"/>
          <w:marRight w:val="0"/>
          <w:marTop w:val="0"/>
          <w:marBottom w:val="0"/>
          <w:divBdr>
            <w:top w:val="none" w:sz="0" w:space="0" w:color="auto"/>
            <w:left w:val="none" w:sz="0" w:space="0" w:color="auto"/>
            <w:bottom w:val="none" w:sz="0" w:space="0" w:color="auto"/>
            <w:right w:val="none" w:sz="0" w:space="0" w:color="auto"/>
          </w:divBdr>
        </w:div>
        <w:div w:id="2001229367">
          <w:marLeft w:val="0"/>
          <w:marRight w:val="0"/>
          <w:marTop w:val="0"/>
          <w:marBottom w:val="0"/>
          <w:divBdr>
            <w:top w:val="none" w:sz="0" w:space="0" w:color="auto"/>
            <w:left w:val="none" w:sz="0" w:space="0" w:color="auto"/>
            <w:bottom w:val="none" w:sz="0" w:space="0" w:color="auto"/>
            <w:right w:val="none" w:sz="0" w:space="0" w:color="auto"/>
          </w:divBdr>
        </w:div>
        <w:div w:id="257180957">
          <w:marLeft w:val="0"/>
          <w:marRight w:val="0"/>
          <w:marTop w:val="0"/>
          <w:marBottom w:val="0"/>
          <w:divBdr>
            <w:top w:val="none" w:sz="0" w:space="0" w:color="auto"/>
            <w:left w:val="none" w:sz="0" w:space="0" w:color="auto"/>
            <w:bottom w:val="none" w:sz="0" w:space="0" w:color="auto"/>
            <w:right w:val="none" w:sz="0" w:space="0" w:color="auto"/>
          </w:divBdr>
        </w:div>
        <w:div w:id="2102947908">
          <w:marLeft w:val="0"/>
          <w:marRight w:val="0"/>
          <w:marTop w:val="0"/>
          <w:marBottom w:val="0"/>
          <w:divBdr>
            <w:top w:val="none" w:sz="0" w:space="0" w:color="auto"/>
            <w:left w:val="none" w:sz="0" w:space="0" w:color="auto"/>
            <w:bottom w:val="none" w:sz="0" w:space="0" w:color="auto"/>
            <w:right w:val="none" w:sz="0" w:space="0" w:color="auto"/>
          </w:divBdr>
        </w:div>
        <w:div w:id="345523882">
          <w:marLeft w:val="0"/>
          <w:marRight w:val="0"/>
          <w:marTop w:val="0"/>
          <w:marBottom w:val="0"/>
          <w:divBdr>
            <w:top w:val="none" w:sz="0" w:space="0" w:color="auto"/>
            <w:left w:val="none" w:sz="0" w:space="0" w:color="auto"/>
            <w:bottom w:val="none" w:sz="0" w:space="0" w:color="auto"/>
            <w:right w:val="none" w:sz="0" w:space="0" w:color="auto"/>
          </w:divBdr>
        </w:div>
        <w:div w:id="80226334">
          <w:marLeft w:val="0"/>
          <w:marRight w:val="0"/>
          <w:marTop w:val="0"/>
          <w:marBottom w:val="0"/>
          <w:divBdr>
            <w:top w:val="none" w:sz="0" w:space="0" w:color="auto"/>
            <w:left w:val="none" w:sz="0" w:space="0" w:color="auto"/>
            <w:bottom w:val="none" w:sz="0" w:space="0" w:color="auto"/>
            <w:right w:val="none" w:sz="0" w:space="0" w:color="auto"/>
          </w:divBdr>
        </w:div>
        <w:div w:id="667439757">
          <w:marLeft w:val="0"/>
          <w:marRight w:val="0"/>
          <w:marTop w:val="0"/>
          <w:marBottom w:val="0"/>
          <w:divBdr>
            <w:top w:val="none" w:sz="0" w:space="0" w:color="auto"/>
            <w:left w:val="none" w:sz="0" w:space="0" w:color="auto"/>
            <w:bottom w:val="none" w:sz="0" w:space="0" w:color="auto"/>
            <w:right w:val="none" w:sz="0" w:space="0" w:color="auto"/>
          </w:divBdr>
        </w:div>
        <w:div w:id="223685960">
          <w:marLeft w:val="0"/>
          <w:marRight w:val="0"/>
          <w:marTop w:val="0"/>
          <w:marBottom w:val="0"/>
          <w:divBdr>
            <w:top w:val="none" w:sz="0" w:space="0" w:color="auto"/>
            <w:left w:val="none" w:sz="0" w:space="0" w:color="auto"/>
            <w:bottom w:val="none" w:sz="0" w:space="0" w:color="auto"/>
            <w:right w:val="none" w:sz="0" w:space="0" w:color="auto"/>
          </w:divBdr>
        </w:div>
        <w:div w:id="778993363">
          <w:marLeft w:val="0"/>
          <w:marRight w:val="0"/>
          <w:marTop w:val="0"/>
          <w:marBottom w:val="0"/>
          <w:divBdr>
            <w:top w:val="none" w:sz="0" w:space="0" w:color="auto"/>
            <w:left w:val="none" w:sz="0" w:space="0" w:color="auto"/>
            <w:bottom w:val="none" w:sz="0" w:space="0" w:color="auto"/>
            <w:right w:val="none" w:sz="0" w:space="0" w:color="auto"/>
          </w:divBdr>
        </w:div>
        <w:div w:id="343675452">
          <w:marLeft w:val="0"/>
          <w:marRight w:val="0"/>
          <w:marTop w:val="0"/>
          <w:marBottom w:val="0"/>
          <w:divBdr>
            <w:top w:val="none" w:sz="0" w:space="0" w:color="auto"/>
            <w:left w:val="none" w:sz="0" w:space="0" w:color="auto"/>
            <w:bottom w:val="none" w:sz="0" w:space="0" w:color="auto"/>
            <w:right w:val="none" w:sz="0" w:space="0" w:color="auto"/>
          </w:divBdr>
        </w:div>
        <w:div w:id="319161806">
          <w:marLeft w:val="0"/>
          <w:marRight w:val="0"/>
          <w:marTop w:val="0"/>
          <w:marBottom w:val="0"/>
          <w:divBdr>
            <w:top w:val="none" w:sz="0" w:space="0" w:color="auto"/>
            <w:left w:val="none" w:sz="0" w:space="0" w:color="auto"/>
            <w:bottom w:val="none" w:sz="0" w:space="0" w:color="auto"/>
            <w:right w:val="none" w:sz="0" w:space="0" w:color="auto"/>
          </w:divBdr>
        </w:div>
        <w:div w:id="879442998">
          <w:marLeft w:val="0"/>
          <w:marRight w:val="0"/>
          <w:marTop w:val="0"/>
          <w:marBottom w:val="0"/>
          <w:divBdr>
            <w:top w:val="none" w:sz="0" w:space="0" w:color="auto"/>
            <w:left w:val="none" w:sz="0" w:space="0" w:color="auto"/>
            <w:bottom w:val="none" w:sz="0" w:space="0" w:color="auto"/>
            <w:right w:val="none" w:sz="0" w:space="0" w:color="auto"/>
          </w:divBdr>
        </w:div>
        <w:div w:id="16542582">
          <w:marLeft w:val="0"/>
          <w:marRight w:val="0"/>
          <w:marTop w:val="0"/>
          <w:marBottom w:val="0"/>
          <w:divBdr>
            <w:top w:val="none" w:sz="0" w:space="0" w:color="auto"/>
            <w:left w:val="none" w:sz="0" w:space="0" w:color="auto"/>
            <w:bottom w:val="none" w:sz="0" w:space="0" w:color="auto"/>
            <w:right w:val="none" w:sz="0" w:space="0" w:color="auto"/>
          </w:divBdr>
        </w:div>
        <w:div w:id="779102603">
          <w:marLeft w:val="0"/>
          <w:marRight w:val="0"/>
          <w:marTop w:val="0"/>
          <w:marBottom w:val="0"/>
          <w:divBdr>
            <w:top w:val="none" w:sz="0" w:space="0" w:color="auto"/>
            <w:left w:val="none" w:sz="0" w:space="0" w:color="auto"/>
            <w:bottom w:val="none" w:sz="0" w:space="0" w:color="auto"/>
            <w:right w:val="none" w:sz="0" w:space="0" w:color="auto"/>
          </w:divBdr>
        </w:div>
        <w:div w:id="1090546795">
          <w:marLeft w:val="0"/>
          <w:marRight w:val="0"/>
          <w:marTop w:val="0"/>
          <w:marBottom w:val="0"/>
          <w:divBdr>
            <w:top w:val="none" w:sz="0" w:space="0" w:color="auto"/>
            <w:left w:val="none" w:sz="0" w:space="0" w:color="auto"/>
            <w:bottom w:val="none" w:sz="0" w:space="0" w:color="auto"/>
            <w:right w:val="none" w:sz="0" w:space="0" w:color="auto"/>
          </w:divBdr>
        </w:div>
        <w:div w:id="1617248308">
          <w:marLeft w:val="0"/>
          <w:marRight w:val="0"/>
          <w:marTop w:val="0"/>
          <w:marBottom w:val="0"/>
          <w:divBdr>
            <w:top w:val="none" w:sz="0" w:space="0" w:color="auto"/>
            <w:left w:val="none" w:sz="0" w:space="0" w:color="auto"/>
            <w:bottom w:val="none" w:sz="0" w:space="0" w:color="auto"/>
            <w:right w:val="none" w:sz="0" w:space="0" w:color="auto"/>
          </w:divBdr>
        </w:div>
        <w:div w:id="535237901">
          <w:marLeft w:val="0"/>
          <w:marRight w:val="0"/>
          <w:marTop w:val="0"/>
          <w:marBottom w:val="0"/>
          <w:divBdr>
            <w:top w:val="none" w:sz="0" w:space="0" w:color="auto"/>
            <w:left w:val="none" w:sz="0" w:space="0" w:color="auto"/>
            <w:bottom w:val="none" w:sz="0" w:space="0" w:color="auto"/>
            <w:right w:val="none" w:sz="0" w:space="0" w:color="auto"/>
          </w:divBdr>
        </w:div>
        <w:div w:id="783504393">
          <w:marLeft w:val="0"/>
          <w:marRight w:val="0"/>
          <w:marTop w:val="0"/>
          <w:marBottom w:val="0"/>
          <w:divBdr>
            <w:top w:val="none" w:sz="0" w:space="0" w:color="auto"/>
            <w:left w:val="none" w:sz="0" w:space="0" w:color="auto"/>
            <w:bottom w:val="none" w:sz="0" w:space="0" w:color="auto"/>
            <w:right w:val="none" w:sz="0" w:space="0" w:color="auto"/>
          </w:divBdr>
        </w:div>
        <w:div w:id="2098476868">
          <w:marLeft w:val="0"/>
          <w:marRight w:val="0"/>
          <w:marTop w:val="0"/>
          <w:marBottom w:val="0"/>
          <w:divBdr>
            <w:top w:val="none" w:sz="0" w:space="0" w:color="auto"/>
            <w:left w:val="none" w:sz="0" w:space="0" w:color="auto"/>
            <w:bottom w:val="none" w:sz="0" w:space="0" w:color="auto"/>
            <w:right w:val="none" w:sz="0" w:space="0" w:color="auto"/>
          </w:divBdr>
        </w:div>
        <w:div w:id="954290231">
          <w:marLeft w:val="0"/>
          <w:marRight w:val="0"/>
          <w:marTop w:val="0"/>
          <w:marBottom w:val="0"/>
          <w:divBdr>
            <w:top w:val="none" w:sz="0" w:space="0" w:color="auto"/>
            <w:left w:val="none" w:sz="0" w:space="0" w:color="auto"/>
            <w:bottom w:val="none" w:sz="0" w:space="0" w:color="auto"/>
            <w:right w:val="none" w:sz="0" w:space="0" w:color="auto"/>
          </w:divBdr>
        </w:div>
        <w:div w:id="1707019516">
          <w:marLeft w:val="0"/>
          <w:marRight w:val="0"/>
          <w:marTop w:val="0"/>
          <w:marBottom w:val="0"/>
          <w:divBdr>
            <w:top w:val="none" w:sz="0" w:space="0" w:color="auto"/>
            <w:left w:val="none" w:sz="0" w:space="0" w:color="auto"/>
            <w:bottom w:val="none" w:sz="0" w:space="0" w:color="auto"/>
            <w:right w:val="none" w:sz="0" w:space="0" w:color="auto"/>
          </w:divBdr>
        </w:div>
        <w:div w:id="767893176">
          <w:marLeft w:val="0"/>
          <w:marRight w:val="0"/>
          <w:marTop w:val="0"/>
          <w:marBottom w:val="0"/>
          <w:divBdr>
            <w:top w:val="none" w:sz="0" w:space="0" w:color="auto"/>
            <w:left w:val="none" w:sz="0" w:space="0" w:color="auto"/>
            <w:bottom w:val="none" w:sz="0" w:space="0" w:color="auto"/>
            <w:right w:val="none" w:sz="0" w:space="0" w:color="auto"/>
          </w:divBdr>
        </w:div>
        <w:div w:id="245116268">
          <w:marLeft w:val="0"/>
          <w:marRight w:val="0"/>
          <w:marTop w:val="0"/>
          <w:marBottom w:val="0"/>
          <w:divBdr>
            <w:top w:val="none" w:sz="0" w:space="0" w:color="auto"/>
            <w:left w:val="none" w:sz="0" w:space="0" w:color="auto"/>
            <w:bottom w:val="none" w:sz="0" w:space="0" w:color="auto"/>
            <w:right w:val="none" w:sz="0" w:space="0" w:color="auto"/>
          </w:divBdr>
        </w:div>
        <w:div w:id="681006540">
          <w:marLeft w:val="0"/>
          <w:marRight w:val="0"/>
          <w:marTop w:val="0"/>
          <w:marBottom w:val="0"/>
          <w:divBdr>
            <w:top w:val="none" w:sz="0" w:space="0" w:color="auto"/>
            <w:left w:val="none" w:sz="0" w:space="0" w:color="auto"/>
            <w:bottom w:val="none" w:sz="0" w:space="0" w:color="auto"/>
            <w:right w:val="none" w:sz="0" w:space="0" w:color="auto"/>
          </w:divBdr>
        </w:div>
        <w:div w:id="338191284">
          <w:marLeft w:val="0"/>
          <w:marRight w:val="0"/>
          <w:marTop w:val="0"/>
          <w:marBottom w:val="0"/>
          <w:divBdr>
            <w:top w:val="none" w:sz="0" w:space="0" w:color="auto"/>
            <w:left w:val="none" w:sz="0" w:space="0" w:color="auto"/>
            <w:bottom w:val="none" w:sz="0" w:space="0" w:color="auto"/>
            <w:right w:val="none" w:sz="0" w:space="0" w:color="auto"/>
          </w:divBdr>
        </w:div>
        <w:div w:id="149909335">
          <w:marLeft w:val="0"/>
          <w:marRight w:val="0"/>
          <w:marTop w:val="0"/>
          <w:marBottom w:val="0"/>
          <w:divBdr>
            <w:top w:val="none" w:sz="0" w:space="0" w:color="auto"/>
            <w:left w:val="none" w:sz="0" w:space="0" w:color="auto"/>
            <w:bottom w:val="none" w:sz="0" w:space="0" w:color="auto"/>
            <w:right w:val="none" w:sz="0" w:space="0" w:color="auto"/>
          </w:divBdr>
        </w:div>
        <w:div w:id="2146577860">
          <w:marLeft w:val="0"/>
          <w:marRight w:val="0"/>
          <w:marTop w:val="0"/>
          <w:marBottom w:val="0"/>
          <w:divBdr>
            <w:top w:val="none" w:sz="0" w:space="0" w:color="auto"/>
            <w:left w:val="none" w:sz="0" w:space="0" w:color="auto"/>
            <w:bottom w:val="none" w:sz="0" w:space="0" w:color="auto"/>
            <w:right w:val="none" w:sz="0" w:space="0" w:color="auto"/>
          </w:divBdr>
        </w:div>
        <w:div w:id="1126773704">
          <w:marLeft w:val="0"/>
          <w:marRight w:val="0"/>
          <w:marTop w:val="0"/>
          <w:marBottom w:val="0"/>
          <w:divBdr>
            <w:top w:val="none" w:sz="0" w:space="0" w:color="auto"/>
            <w:left w:val="none" w:sz="0" w:space="0" w:color="auto"/>
            <w:bottom w:val="none" w:sz="0" w:space="0" w:color="auto"/>
            <w:right w:val="none" w:sz="0" w:space="0" w:color="auto"/>
          </w:divBdr>
        </w:div>
        <w:div w:id="394161732">
          <w:marLeft w:val="0"/>
          <w:marRight w:val="0"/>
          <w:marTop w:val="0"/>
          <w:marBottom w:val="0"/>
          <w:divBdr>
            <w:top w:val="none" w:sz="0" w:space="0" w:color="auto"/>
            <w:left w:val="none" w:sz="0" w:space="0" w:color="auto"/>
            <w:bottom w:val="none" w:sz="0" w:space="0" w:color="auto"/>
            <w:right w:val="none" w:sz="0" w:space="0" w:color="auto"/>
          </w:divBdr>
        </w:div>
        <w:div w:id="1326665486">
          <w:marLeft w:val="0"/>
          <w:marRight w:val="0"/>
          <w:marTop w:val="0"/>
          <w:marBottom w:val="0"/>
          <w:divBdr>
            <w:top w:val="none" w:sz="0" w:space="0" w:color="auto"/>
            <w:left w:val="none" w:sz="0" w:space="0" w:color="auto"/>
            <w:bottom w:val="none" w:sz="0" w:space="0" w:color="auto"/>
            <w:right w:val="none" w:sz="0" w:space="0" w:color="auto"/>
          </w:divBdr>
        </w:div>
        <w:div w:id="1836384279">
          <w:marLeft w:val="0"/>
          <w:marRight w:val="0"/>
          <w:marTop w:val="0"/>
          <w:marBottom w:val="0"/>
          <w:divBdr>
            <w:top w:val="none" w:sz="0" w:space="0" w:color="auto"/>
            <w:left w:val="none" w:sz="0" w:space="0" w:color="auto"/>
            <w:bottom w:val="none" w:sz="0" w:space="0" w:color="auto"/>
            <w:right w:val="none" w:sz="0" w:space="0" w:color="auto"/>
          </w:divBdr>
        </w:div>
        <w:div w:id="1753896396">
          <w:marLeft w:val="0"/>
          <w:marRight w:val="0"/>
          <w:marTop w:val="0"/>
          <w:marBottom w:val="0"/>
          <w:divBdr>
            <w:top w:val="none" w:sz="0" w:space="0" w:color="auto"/>
            <w:left w:val="none" w:sz="0" w:space="0" w:color="auto"/>
            <w:bottom w:val="none" w:sz="0" w:space="0" w:color="auto"/>
            <w:right w:val="none" w:sz="0" w:space="0" w:color="auto"/>
          </w:divBdr>
        </w:div>
        <w:div w:id="378939599">
          <w:marLeft w:val="0"/>
          <w:marRight w:val="0"/>
          <w:marTop w:val="0"/>
          <w:marBottom w:val="0"/>
          <w:divBdr>
            <w:top w:val="none" w:sz="0" w:space="0" w:color="auto"/>
            <w:left w:val="none" w:sz="0" w:space="0" w:color="auto"/>
            <w:bottom w:val="none" w:sz="0" w:space="0" w:color="auto"/>
            <w:right w:val="none" w:sz="0" w:space="0" w:color="auto"/>
          </w:divBdr>
        </w:div>
        <w:div w:id="311179439">
          <w:marLeft w:val="0"/>
          <w:marRight w:val="0"/>
          <w:marTop w:val="0"/>
          <w:marBottom w:val="0"/>
          <w:divBdr>
            <w:top w:val="none" w:sz="0" w:space="0" w:color="auto"/>
            <w:left w:val="none" w:sz="0" w:space="0" w:color="auto"/>
            <w:bottom w:val="none" w:sz="0" w:space="0" w:color="auto"/>
            <w:right w:val="none" w:sz="0" w:space="0" w:color="auto"/>
          </w:divBdr>
        </w:div>
        <w:div w:id="509418417">
          <w:marLeft w:val="0"/>
          <w:marRight w:val="0"/>
          <w:marTop w:val="0"/>
          <w:marBottom w:val="0"/>
          <w:divBdr>
            <w:top w:val="none" w:sz="0" w:space="0" w:color="auto"/>
            <w:left w:val="none" w:sz="0" w:space="0" w:color="auto"/>
            <w:bottom w:val="none" w:sz="0" w:space="0" w:color="auto"/>
            <w:right w:val="none" w:sz="0" w:space="0" w:color="auto"/>
          </w:divBdr>
        </w:div>
        <w:div w:id="1591235709">
          <w:marLeft w:val="0"/>
          <w:marRight w:val="0"/>
          <w:marTop w:val="0"/>
          <w:marBottom w:val="0"/>
          <w:divBdr>
            <w:top w:val="none" w:sz="0" w:space="0" w:color="auto"/>
            <w:left w:val="none" w:sz="0" w:space="0" w:color="auto"/>
            <w:bottom w:val="none" w:sz="0" w:space="0" w:color="auto"/>
            <w:right w:val="none" w:sz="0" w:space="0" w:color="auto"/>
          </w:divBdr>
        </w:div>
        <w:div w:id="1608198424">
          <w:marLeft w:val="0"/>
          <w:marRight w:val="0"/>
          <w:marTop w:val="0"/>
          <w:marBottom w:val="0"/>
          <w:divBdr>
            <w:top w:val="none" w:sz="0" w:space="0" w:color="auto"/>
            <w:left w:val="none" w:sz="0" w:space="0" w:color="auto"/>
            <w:bottom w:val="none" w:sz="0" w:space="0" w:color="auto"/>
            <w:right w:val="none" w:sz="0" w:space="0" w:color="auto"/>
          </w:divBdr>
        </w:div>
        <w:div w:id="529493984">
          <w:marLeft w:val="0"/>
          <w:marRight w:val="0"/>
          <w:marTop w:val="0"/>
          <w:marBottom w:val="0"/>
          <w:divBdr>
            <w:top w:val="none" w:sz="0" w:space="0" w:color="auto"/>
            <w:left w:val="none" w:sz="0" w:space="0" w:color="auto"/>
            <w:bottom w:val="none" w:sz="0" w:space="0" w:color="auto"/>
            <w:right w:val="none" w:sz="0" w:space="0" w:color="auto"/>
          </w:divBdr>
        </w:div>
        <w:div w:id="452988604">
          <w:marLeft w:val="0"/>
          <w:marRight w:val="0"/>
          <w:marTop w:val="0"/>
          <w:marBottom w:val="0"/>
          <w:divBdr>
            <w:top w:val="none" w:sz="0" w:space="0" w:color="auto"/>
            <w:left w:val="none" w:sz="0" w:space="0" w:color="auto"/>
            <w:bottom w:val="none" w:sz="0" w:space="0" w:color="auto"/>
            <w:right w:val="none" w:sz="0" w:space="0" w:color="auto"/>
          </w:divBdr>
        </w:div>
        <w:div w:id="1187593573">
          <w:marLeft w:val="0"/>
          <w:marRight w:val="0"/>
          <w:marTop w:val="0"/>
          <w:marBottom w:val="0"/>
          <w:divBdr>
            <w:top w:val="none" w:sz="0" w:space="0" w:color="auto"/>
            <w:left w:val="none" w:sz="0" w:space="0" w:color="auto"/>
            <w:bottom w:val="none" w:sz="0" w:space="0" w:color="auto"/>
            <w:right w:val="none" w:sz="0" w:space="0" w:color="auto"/>
          </w:divBdr>
        </w:div>
        <w:div w:id="1966541339">
          <w:marLeft w:val="0"/>
          <w:marRight w:val="0"/>
          <w:marTop w:val="0"/>
          <w:marBottom w:val="0"/>
          <w:divBdr>
            <w:top w:val="none" w:sz="0" w:space="0" w:color="auto"/>
            <w:left w:val="none" w:sz="0" w:space="0" w:color="auto"/>
            <w:bottom w:val="none" w:sz="0" w:space="0" w:color="auto"/>
            <w:right w:val="none" w:sz="0" w:space="0" w:color="auto"/>
          </w:divBdr>
        </w:div>
        <w:div w:id="1069353036">
          <w:marLeft w:val="0"/>
          <w:marRight w:val="0"/>
          <w:marTop w:val="0"/>
          <w:marBottom w:val="0"/>
          <w:divBdr>
            <w:top w:val="none" w:sz="0" w:space="0" w:color="auto"/>
            <w:left w:val="none" w:sz="0" w:space="0" w:color="auto"/>
            <w:bottom w:val="none" w:sz="0" w:space="0" w:color="auto"/>
            <w:right w:val="none" w:sz="0" w:space="0" w:color="auto"/>
          </w:divBdr>
        </w:div>
        <w:div w:id="1761633594">
          <w:marLeft w:val="0"/>
          <w:marRight w:val="0"/>
          <w:marTop w:val="0"/>
          <w:marBottom w:val="0"/>
          <w:divBdr>
            <w:top w:val="none" w:sz="0" w:space="0" w:color="auto"/>
            <w:left w:val="none" w:sz="0" w:space="0" w:color="auto"/>
            <w:bottom w:val="none" w:sz="0" w:space="0" w:color="auto"/>
            <w:right w:val="none" w:sz="0" w:space="0" w:color="auto"/>
          </w:divBdr>
        </w:div>
      </w:divsChild>
    </w:div>
    <w:div w:id="654644707">
      <w:bodyDiv w:val="1"/>
      <w:marLeft w:val="0"/>
      <w:marRight w:val="0"/>
      <w:marTop w:val="0"/>
      <w:marBottom w:val="0"/>
      <w:divBdr>
        <w:top w:val="none" w:sz="0" w:space="0" w:color="auto"/>
        <w:left w:val="none" w:sz="0" w:space="0" w:color="auto"/>
        <w:bottom w:val="none" w:sz="0" w:space="0" w:color="auto"/>
        <w:right w:val="none" w:sz="0" w:space="0" w:color="auto"/>
      </w:divBdr>
      <w:divsChild>
        <w:div w:id="376247558">
          <w:marLeft w:val="0"/>
          <w:marRight w:val="0"/>
          <w:marTop w:val="0"/>
          <w:marBottom w:val="0"/>
          <w:divBdr>
            <w:top w:val="none" w:sz="0" w:space="0" w:color="auto"/>
            <w:left w:val="none" w:sz="0" w:space="0" w:color="auto"/>
            <w:bottom w:val="none" w:sz="0" w:space="0" w:color="auto"/>
            <w:right w:val="none" w:sz="0" w:space="0" w:color="auto"/>
          </w:divBdr>
        </w:div>
        <w:div w:id="374162303">
          <w:marLeft w:val="0"/>
          <w:marRight w:val="0"/>
          <w:marTop w:val="0"/>
          <w:marBottom w:val="0"/>
          <w:divBdr>
            <w:top w:val="none" w:sz="0" w:space="0" w:color="auto"/>
            <w:left w:val="none" w:sz="0" w:space="0" w:color="auto"/>
            <w:bottom w:val="none" w:sz="0" w:space="0" w:color="auto"/>
            <w:right w:val="none" w:sz="0" w:space="0" w:color="auto"/>
          </w:divBdr>
        </w:div>
        <w:div w:id="122310187">
          <w:marLeft w:val="0"/>
          <w:marRight w:val="0"/>
          <w:marTop w:val="0"/>
          <w:marBottom w:val="0"/>
          <w:divBdr>
            <w:top w:val="none" w:sz="0" w:space="0" w:color="auto"/>
            <w:left w:val="none" w:sz="0" w:space="0" w:color="auto"/>
            <w:bottom w:val="none" w:sz="0" w:space="0" w:color="auto"/>
            <w:right w:val="none" w:sz="0" w:space="0" w:color="auto"/>
          </w:divBdr>
        </w:div>
        <w:div w:id="2040936399">
          <w:marLeft w:val="0"/>
          <w:marRight w:val="0"/>
          <w:marTop w:val="0"/>
          <w:marBottom w:val="0"/>
          <w:divBdr>
            <w:top w:val="none" w:sz="0" w:space="0" w:color="auto"/>
            <w:left w:val="none" w:sz="0" w:space="0" w:color="auto"/>
            <w:bottom w:val="none" w:sz="0" w:space="0" w:color="auto"/>
            <w:right w:val="none" w:sz="0" w:space="0" w:color="auto"/>
          </w:divBdr>
        </w:div>
        <w:div w:id="195700805">
          <w:marLeft w:val="0"/>
          <w:marRight w:val="0"/>
          <w:marTop w:val="0"/>
          <w:marBottom w:val="0"/>
          <w:divBdr>
            <w:top w:val="none" w:sz="0" w:space="0" w:color="auto"/>
            <w:left w:val="none" w:sz="0" w:space="0" w:color="auto"/>
            <w:bottom w:val="none" w:sz="0" w:space="0" w:color="auto"/>
            <w:right w:val="none" w:sz="0" w:space="0" w:color="auto"/>
          </w:divBdr>
        </w:div>
        <w:div w:id="1671372501">
          <w:marLeft w:val="0"/>
          <w:marRight w:val="0"/>
          <w:marTop w:val="0"/>
          <w:marBottom w:val="0"/>
          <w:divBdr>
            <w:top w:val="none" w:sz="0" w:space="0" w:color="auto"/>
            <w:left w:val="none" w:sz="0" w:space="0" w:color="auto"/>
            <w:bottom w:val="none" w:sz="0" w:space="0" w:color="auto"/>
            <w:right w:val="none" w:sz="0" w:space="0" w:color="auto"/>
          </w:divBdr>
        </w:div>
        <w:div w:id="1693335240">
          <w:marLeft w:val="0"/>
          <w:marRight w:val="0"/>
          <w:marTop w:val="0"/>
          <w:marBottom w:val="0"/>
          <w:divBdr>
            <w:top w:val="none" w:sz="0" w:space="0" w:color="auto"/>
            <w:left w:val="none" w:sz="0" w:space="0" w:color="auto"/>
            <w:bottom w:val="none" w:sz="0" w:space="0" w:color="auto"/>
            <w:right w:val="none" w:sz="0" w:space="0" w:color="auto"/>
          </w:divBdr>
        </w:div>
      </w:divsChild>
    </w:div>
    <w:div w:id="752897085">
      <w:bodyDiv w:val="1"/>
      <w:marLeft w:val="0"/>
      <w:marRight w:val="0"/>
      <w:marTop w:val="0"/>
      <w:marBottom w:val="0"/>
      <w:divBdr>
        <w:top w:val="none" w:sz="0" w:space="0" w:color="auto"/>
        <w:left w:val="none" w:sz="0" w:space="0" w:color="auto"/>
        <w:bottom w:val="none" w:sz="0" w:space="0" w:color="auto"/>
        <w:right w:val="none" w:sz="0" w:space="0" w:color="auto"/>
      </w:divBdr>
      <w:divsChild>
        <w:div w:id="1200431531">
          <w:marLeft w:val="0"/>
          <w:marRight w:val="0"/>
          <w:marTop w:val="0"/>
          <w:marBottom w:val="0"/>
          <w:divBdr>
            <w:top w:val="none" w:sz="0" w:space="0" w:color="auto"/>
            <w:left w:val="none" w:sz="0" w:space="0" w:color="auto"/>
            <w:bottom w:val="none" w:sz="0" w:space="0" w:color="auto"/>
            <w:right w:val="none" w:sz="0" w:space="0" w:color="auto"/>
          </w:divBdr>
        </w:div>
        <w:div w:id="604969063">
          <w:marLeft w:val="0"/>
          <w:marRight w:val="0"/>
          <w:marTop w:val="0"/>
          <w:marBottom w:val="0"/>
          <w:divBdr>
            <w:top w:val="none" w:sz="0" w:space="0" w:color="auto"/>
            <w:left w:val="none" w:sz="0" w:space="0" w:color="auto"/>
            <w:bottom w:val="none" w:sz="0" w:space="0" w:color="auto"/>
            <w:right w:val="none" w:sz="0" w:space="0" w:color="auto"/>
          </w:divBdr>
        </w:div>
        <w:div w:id="1197163333">
          <w:marLeft w:val="0"/>
          <w:marRight w:val="0"/>
          <w:marTop w:val="0"/>
          <w:marBottom w:val="0"/>
          <w:divBdr>
            <w:top w:val="none" w:sz="0" w:space="0" w:color="auto"/>
            <w:left w:val="none" w:sz="0" w:space="0" w:color="auto"/>
            <w:bottom w:val="none" w:sz="0" w:space="0" w:color="auto"/>
            <w:right w:val="none" w:sz="0" w:space="0" w:color="auto"/>
          </w:divBdr>
        </w:div>
        <w:div w:id="1082532055">
          <w:marLeft w:val="0"/>
          <w:marRight w:val="0"/>
          <w:marTop w:val="0"/>
          <w:marBottom w:val="0"/>
          <w:divBdr>
            <w:top w:val="none" w:sz="0" w:space="0" w:color="auto"/>
            <w:left w:val="none" w:sz="0" w:space="0" w:color="auto"/>
            <w:bottom w:val="none" w:sz="0" w:space="0" w:color="auto"/>
            <w:right w:val="none" w:sz="0" w:space="0" w:color="auto"/>
          </w:divBdr>
        </w:div>
        <w:div w:id="1509247463">
          <w:marLeft w:val="0"/>
          <w:marRight w:val="0"/>
          <w:marTop w:val="0"/>
          <w:marBottom w:val="0"/>
          <w:divBdr>
            <w:top w:val="none" w:sz="0" w:space="0" w:color="auto"/>
            <w:left w:val="none" w:sz="0" w:space="0" w:color="auto"/>
            <w:bottom w:val="none" w:sz="0" w:space="0" w:color="auto"/>
            <w:right w:val="none" w:sz="0" w:space="0" w:color="auto"/>
          </w:divBdr>
        </w:div>
        <w:div w:id="1001547295">
          <w:marLeft w:val="0"/>
          <w:marRight w:val="0"/>
          <w:marTop w:val="0"/>
          <w:marBottom w:val="0"/>
          <w:divBdr>
            <w:top w:val="none" w:sz="0" w:space="0" w:color="auto"/>
            <w:left w:val="none" w:sz="0" w:space="0" w:color="auto"/>
            <w:bottom w:val="none" w:sz="0" w:space="0" w:color="auto"/>
            <w:right w:val="none" w:sz="0" w:space="0" w:color="auto"/>
          </w:divBdr>
        </w:div>
        <w:div w:id="1480656099">
          <w:marLeft w:val="0"/>
          <w:marRight w:val="0"/>
          <w:marTop w:val="0"/>
          <w:marBottom w:val="0"/>
          <w:divBdr>
            <w:top w:val="none" w:sz="0" w:space="0" w:color="auto"/>
            <w:left w:val="none" w:sz="0" w:space="0" w:color="auto"/>
            <w:bottom w:val="none" w:sz="0" w:space="0" w:color="auto"/>
            <w:right w:val="none" w:sz="0" w:space="0" w:color="auto"/>
          </w:divBdr>
        </w:div>
        <w:div w:id="73430346">
          <w:marLeft w:val="0"/>
          <w:marRight w:val="0"/>
          <w:marTop w:val="0"/>
          <w:marBottom w:val="0"/>
          <w:divBdr>
            <w:top w:val="none" w:sz="0" w:space="0" w:color="auto"/>
            <w:left w:val="none" w:sz="0" w:space="0" w:color="auto"/>
            <w:bottom w:val="none" w:sz="0" w:space="0" w:color="auto"/>
            <w:right w:val="none" w:sz="0" w:space="0" w:color="auto"/>
          </w:divBdr>
        </w:div>
        <w:div w:id="963535756">
          <w:marLeft w:val="0"/>
          <w:marRight w:val="0"/>
          <w:marTop w:val="0"/>
          <w:marBottom w:val="0"/>
          <w:divBdr>
            <w:top w:val="none" w:sz="0" w:space="0" w:color="auto"/>
            <w:left w:val="none" w:sz="0" w:space="0" w:color="auto"/>
            <w:bottom w:val="none" w:sz="0" w:space="0" w:color="auto"/>
            <w:right w:val="none" w:sz="0" w:space="0" w:color="auto"/>
          </w:divBdr>
        </w:div>
        <w:div w:id="682517988">
          <w:marLeft w:val="0"/>
          <w:marRight w:val="0"/>
          <w:marTop w:val="0"/>
          <w:marBottom w:val="0"/>
          <w:divBdr>
            <w:top w:val="none" w:sz="0" w:space="0" w:color="auto"/>
            <w:left w:val="none" w:sz="0" w:space="0" w:color="auto"/>
            <w:bottom w:val="none" w:sz="0" w:space="0" w:color="auto"/>
            <w:right w:val="none" w:sz="0" w:space="0" w:color="auto"/>
          </w:divBdr>
        </w:div>
        <w:div w:id="1990744168">
          <w:marLeft w:val="0"/>
          <w:marRight w:val="0"/>
          <w:marTop w:val="0"/>
          <w:marBottom w:val="0"/>
          <w:divBdr>
            <w:top w:val="none" w:sz="0" w:space="0" w:color="auto"/>
            <w:left w:val="none" w:sz="0" w:space="0" w:color="auto"/>
            <w:bottom w:val="none" w:sz="0" w:space="0" w:color="auto"/>
            <w:right w:val="none" w:sz="0" w:space="0" w:color="auto"/>
          </w:divBdr>
        </w:div>
      </w:divsChild>
    </w:div>
    <w:div w:id="792528329">
      <w:bodyDiv w:val="1"/>
      <w:marLeft w:val="0"/>
      <w:marRight w:val="0"/>
      <w:marTop w:val="0"/>
      <w:marBottom w:val="0"/>
      <w:divBdr>
        <w:top w:val="none" w:sz="0" w:space="0" w:color="auto"/>
        <w:left w:val="none" w:sz="0" w:space="0" w:color="auto"/>
        <w:bottom w:val="none" w:sz="0" w:space="0" w:color="auto"/>
        <w:right w:val="none" w:sz="0" w:space="0" w:color="auto"/>
      </w:divBdr>
      <w:divsChild>
        <w:div w:id="1704345">
          <w:marLeft w:val="0"/>
          <w:marRight w:val="0"/>
          <w:marTop w:val="0"/>
          <w:marBottom w:val="0"/>
          <w:divBdr>
            <w:top w:val="none" w:sz="0" w:space="0" w:color="auto"/>
            <w:left w:val="none" w:sz="0" w:space="0" w:color="auto"/>
            <w:bottom w:val="none" w:sz="0" w:space="0" w:color="auto"/>
            <w:right w:val="none" w:sz="0" w:space="0" w:color="auto"/>
          </w:divBdr>
        </w:div>
        <w:div w:id="1183862391">
          <w:marLeft w:val="0"/>
          <w:marRight w:val="0"/>
          <w:marTop w:val="0"/>
          <w:marBottom w:val="0"/>
          <w:divBdr>
            <w:top w:val="none" w:sz="0" w:space="0" w:color="auto"/>
            <w:left w:val="none" w:sz="0" w:space="0" w:color="auto"/>
            <w:bottom w:val="none" w:sz="0" w:space="0" w:color="auto"/>
            <w:right w:val="none" w:sz="0" w:space="0" w:color="auto"/>
          </w:divBdr>
        </w:div>
        <w:div w:id="954942876">
          <w:marLeft w:val="0"/>
          <w:marRight w:val="0"/>
          <w:marTop w:val="0"/>
          <w:marBottom w:val="0"/>
          <w:divBdr>
            <w:top w:val="none" w:sz="0" w:space="0" w:color="auto"/>
            <w:left w:val="none" w:sz="0" w:space="0" w:color="auto"/>
            <w:bottom w:val="none" w:sz="0" w:space="0" w:color="auto"/>
            <w:right w:val="none" w:sz="0" w:space="0" w:color="auto"/>
          </w:divBdr>
        </w:div>
        <w:div w:id="467432786">
          <w:marLeft w:val="0"/>
          <w:marRight w:val="0"/>
          <w:marTop w:val="0"/>
          <w:marBottom w:val="0"/>
          <w:divBdr>
            <w:top w:val="none" w:sz="0" w:space="0" w:color="auto"/>
            <w:left w:val="none" w:sz="0" w:space="0" w:color="auto"/>
            <w:bottom w:val="none" w:sz="0" w:space="0" w:color="auto"/>
            <w:right w:val="none" w:sz="0" w:space="0" w:color="auto"/>
          </w:divBdr>
        </w:div>
        <w:div w:id="2117485054">
          <w:marLeft w:val="0"/>
          <w:marRight w:val="0"/>
          <w:marTop w:val="0"/>
          <w:marBottom w:val="0"/>
          <w:divBdr>
            <w:top w:val="none" w:sz="0" w:space="0" w:color="auto"/>
            <w:left w:val="none" w:sz="0" w:space="0" w:color="auto"/>
            <w:bottom w:val="none" w:sz="0" w:space="0" w:color="auto"/>
            <w:right w:val="none" w:sz="0" w:space="0" w:color="auto"/>
          </w:divBdr>
        </w:div>
        <w:div w:id="1022980027">
          <w:marLeft w:val="0"/>
          <w:marRight w:val="0"/>
          <w:marTop w:val="0"/>
          <w:marBottom w:val="0"/>
          <w:divBdr>
            <w:top w:val="none" w:sz="0" w:space="0" w:color="auto"/>
            <w:left w:val="none" w:sz="0" w:space="0" w:color="auto"/>
            <w:bottom w:val="none" w:sz="0" w:space="0" w:color="auto"/>
            <w:right w:val="none" w:sz="0" w:space="0" w:color="auto"/>
          </w:divBdr>
        </w:div>
        <w:div w:id="7997149">
          <w:marLeft w:val="0"/>
          <w:marRight w:val="0"/>
          <w:marTop w:val="0"/>
          <w:marBottom w:val="0"/>
          <w:divBdr>
            <w:top w:val="none" w:sz="0" w:space="0" w:color="auto"/>
            <w:left w:val="none" w:sz="0" w:space="0" w:color="auto"/>
            <w:bottom w:val="none" w:sz="0" w:space="0" w:color="auto"/>
            <w:right w:val="none" w:sz="0" w:space="0" w:color="auto"/>
          </w:divBdr>
        </w:div>
        <w:div w:id="1433353241">
          <w:marLeft w:val="0"/>
          <w:marRight w:val="0"/>
          <w:marTop w:val="0"/>
          <w:marBottom w:val="0"/>
          <w:divBdr>
            <w:top w:val="none" w:sz="0" w:space="0" w:color="auto"/>
            <w:left w:val="none" w:sz="0" w:space="0" w:color="auto"/>
            <w:bottom w:val="none" w:sz="0" w:space="0" w:color="auto"/>
            <w:right w:val="none" w:sz="0" w:space="0" w:color="auto"/>
          </w:divBdr>
        </w:div>
        <w:div w:id="596057636">
          <w:marLeft w:val="0"/>
          <w:marRight w:val="0"/>
          <w:marTop w:val="0"/>
          <w:marBottom w:val="0"/>
          <w:divBdr>
            <w:top w:val="none" w:sz="0" w:space="0" w:color="auto"/>
            <w:left w:val="none" w:sz="0" w:space="0" w:color="auto"/>
            <w:bottom w:val="none" w:sz="0" w:space="0" w:color="auto"/>
            <w:right w:val="none" w:sz="0" w:space="0" w:color="auto"/>
          </w:divBdr>
        </w:div>
        <w:div w:id="1526602618">
          <w:marLeft w:val="0"/>
          <w:marRight w:val="0"/>
          <w:marTop w:val="0"/>
          <w:marBottom w:val="0"/>
          <w:divBdr>
            <w:top w:val="none" w:sz="0" w:space="0" w:color="auto"/>
            <w:left w:val="none" w:sz="0" w:space="0" w:color="auto"/>
            <w:bottom w:val="none" w:sz="0" w:space="0" w:color="auto"/>
            <w:right w:val="none" w:sz="0" w:space="0" w:color="auto"/>
          </w:divBdr>
        </w:div>
        <w:div w:id="847791340">
          <w:marLeft w:val="0"/>
          <w:marRight w:val="0"/>
          <w:marTop w:val="0"/>
          <w:marBottom w:val="0"/>
          <w:divBdr>
            <w:top w:val="none" w:sz="0" w:space="0" w:color="auto"/>
            <w:left w:val="none" w:sz="0" w:space="0" w:color="auto"/>
            <w:bottom w:val="none" w:sz="0" w:space="0" w:color="auto"/>
            <w:right w:val="none" w:sz="0" w:space="0" w:color="auto"/>
          </w:divBdr>
        </w:div>
        <w:div w:id="494878688">
          <w:marLeft w:val="0"/>
          <w:marRight w:val="0"/>
          <w:marTop w:val="0"/>
          <w:marBottom w:val="0"/>
          <w:divBdr>
            <w:top w:val="none" w:sz="0" w:space="0" w:color="auto"/>
            <w:left w:val="none" w:sz="0" w:space="0" w:color="auto"/>
            <w:bottom w:val="none" w:sz="0" w:space="0" w:color="auto"/>
            <w:right w:val="none" w:sz="0" w:space="0" w:color="auto"/>
          </w:divBdr>
        </w:div>
        <w:div w:id="353919454">
          <w:marLeft w:val="0"/>
          <w:marRight w:val="0"/>
          <w:marTop w:val="0"/>
          <w:marBottom w:val="0"/>
          <w:divBdr>
            <w:top w:val="none" w:sz="0" w:space="0" w:color="auto"/>
            <w:left w:val="none" w:sz="0" w:space="0" w:color="auto"/>
            <w:bottom w:val="none" w:sz="0" w:space="0" w:color="auto"/>
            <w:right w:val="none" w:sz="0" w:space="0" w:color="auto"/>
          </w:divBdr>
        </w:div>
        <w:div w:id="629092153">
          <w:marLeft w:val="0"/>
          <w:marRight w:val="0"/>
          <w:marTop w:val="0"/>
          <w:marBottom w:val="0"/>
          <w:divBdr>
            <w:top w:val="none" w:sz="0" w:space="0" w:color="auto"/>
            <w:left w:val="none" w:sz="0" w:space="0" w:color="auto"/>
            <w:bottom w:val="none" w:sz="0" w:space="0" w:color="auto"/>
            <w:right w:val="none" w:sz="0" w:space="0" w:color="auto"/>
          </w:divBdr>
        </w:div>
        <w:div w:id="842860445">
          <w:marLeft w:val="0"/>
          <w:marRight w:val="0"/>
          <w:marTop w:val="0"/>
          <w:marBottom w:val="0"/>
          <w:divBdr>
            <w:top w:val="none" w:sz="0" w:space="0" w:color="auto"/>
            <w:left w:val="none" w:sz="0" w:space="0" w:color="auto"/>
            <w:bottom w:val="none" w:sz="0" w:space="0" w:color="auto"/>
            <w:right w:val="none" w:sz="0" w:space="0" w:color="auto"/>
          </w:divBdr>
        </w:div>
      </w:divsChild>
    </w:div>
    <w:div w:id="891966482">
      <w:bodyDiv w:val="1"/>
      <w:marLeft w:val="0"/>
      <w:marRight w:val="0"/>
      <w:marTop w:val="0"/>
      <w:marBottom w:val="0"/>
      <w:divBdr>
        <w:top w:val="none" w:sz="0" w:space="0" w:color="auto"/>
        <w:left w:val="none" w:sz="0" w:space="0" w:color="auto"/>
        <w:bottom w:val="none" w:sz="0" w:space="0" w:color="auto"/>
        <w:right w:val="none" w:sz="0" w:space="0" w:color="auto"/>
      </w:divBdr>
      <w:divsChild>
        <w:div w:id="466777335">
          <w:marLeft w:val="0"/>
          <w:marRight w:val="0"/>
          <w:marTop w:val="0"/>
          <w:marBottom w:val="0"/>
          <w:divBdr>
            <w:top w:val="none" w:sz="0" w:space="0" w:color="auto"/>
            <w:left w:val="none" w:sz="0" w:space="0" w:color="auto"/>
            <w:bottom w:val="none" w:sz="0" w:space="0" w:color="auto"/>
            <w:right w:val="none" w:sz="0" w:space="0" w:color="auto"/>
          </w:divBdr>
        </w:div>
        <w:div w:id="1260603518">
          <w:marLeft w:val="0"/>
          <w:marRight w:val="0"/>
          <w:marTop w:val="0"/>
          <w:marBottom w:val="0"/>
          <w:divBdr>
            <w:top w:val="none" w:sz="0" w:space="0" w:color="auto"/>
            <w:left w:val="none" w:sz="0" w:space="0" w:color="auto"/>
            <w:bottom w:val="none" w:sz="0" w:space="0" w:color="auto"/>
            <w:right w:val="none" w:sz="0" w:space="0" w:color="auto"/>
          </w:divBdr>
        </w:div>
        <w:div w:id="1279752176">
          <w:marLeft w:val="0"/>
          <w:marRight w:val="0"/>
          <w:marTop w:val="0"/>
          <w:marBottom w:val="0"/>
          <w:divBdr>
            <w:top w:val="none" w:sz="0" w:space="0" w:color="auto"/>
            <w:left w:val="none" w:sz="0" w:space="0" w:color="auto"/>
            <w:bottom w:val="none" w:sz="0" w:space="0" w:color="auto"/>
            <w:right w:val="none" w:sz="0" w:space="0" w:color="auto"/>
          </w:divBdr>
        </w:div>
        <w:div w:id="1393507915">
          <w:marLeft w:val="0"/>
          <w:marRight w:val="0"/>
          <w:marTop w:val="0"/>
          <w:marBottom w:val="0"/>
          <w:divBdr>
            <w:top w:val="none" w:sz="0" w:space="0" w:color="auto"/>
            <w:left w:val="none" w:sz="0" w:space="0" w:color="auto"/>
            <w:bottom w:val="none" w:sz="0" w:space="0" w:color="auto"/>
            <w:right w:val="none" w:sz="0" w:space="0" w:color="auto"/>
          </w:divBdr>
        </w:div>
      </w:divsChild>
    </w:div>
    <w:div w:id="1000894102">
      <w:bodyDiv w:val="1"/>
      <w:marLeft w:val="0"/>
      <w:marRight w:val="0"/>
      <w:marTop w:val="0"/>
      <w:marBottom w:val="0"/>
      <w:divBdr>
        <w:top w:val="none" w:sz="0" w:space="0" w:color="auto"/>
        <w:left w:val="none" w:sz="0" w:space="0" w:color="auto"/>
        <w:bottom w:val="none" w:sz="0" w:space="0" w:color="auto"/>
        <w:right w:val="none" w:sz="0" w:space="0" w:color="auto"/>
      </w:divBdr>
      <w:divsChild>
        <w:div w:id="1854763261">
          <w:marLeft w:val="0"/>
          <w:marRight w:val="0"/>
          <w:marTop w:val="0"/>
          <w:marBottom w:val="0"/>
          <w:divBdr>
            <w:top w:val="none" w:sz="0" w:space="0" w:color="auto"/>
            <w:left w:val="none" w:sz="0" w:space="0" w:color="auto"/>
            <w:bottom w:val="none" w:sz="0" w:space="0" w:color="auto"/>
            <w:right w:val="none" w:sz="0" w:space="0" w:color="auto"/>
          </w:divBdr>
          <w:divsChild>
            <w:div w:id="1764758949">
              <w:marLeft w:val="0"/>
              <w:marRight w:val="0"/>
              <w:marTop w:val="0"/>
              <w:marBottom w:val="0"/>
              <w:divBdr>
                <w:top w:val="none" w:sz="0" w:space="0" w:color="auto"/>
                <w:left w:val="none" w:sz="0" w:space="0" w:color="auto"/>
                <w:bottom w:val="none" w:sz="0" w:space="0" w:color="auto"/>
                <w:right w:val="none" w:sz="0" w:space="0" w:color="auto"/>
              </w:divBdr>
              <w:divsChild>
                <w:div w:id="2118014061">
                  <w:marLeft w:val="0"/>
                  <w:marRight w:val="0"/>
                  <w:marTop w:val="0"/>
                  <w:marBottom w:val="0"/>
                  <w:divBdr>
                    <w:top w:val="none" w:sz="0" w:space="0" w:color="auto"/>
                    <w:left w:val="none" w:sz="0" w:space="0" w:color="auto"/>
                    <w:bottom w:val="none" w:sz="0" w:space="0" w:color="auto"/>
                    <w:right w:val="none" w:sz="0" w:space="0" w:color="auto"/>
                  </w:divBdr>
                </w:div>
                <w:div w:id="4903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181112">
          <w:marLeft w:val="0"/>
          <w:marRight w:val="0"/>
          <w:marTop w:val="0"/>
          <w:marBottom w:val="0"/>
          <w:divBdr>
            <w:top w:val="none" w:sz="0" w:space="0" w:color="auto"/>
            <w:left w:val="none" w:sz="0" w:space="0" w:color="auto"/>
            <w:bottom w:val="none" w:sz="0" w:space="0" w:color="auto"/>
            <w:right w:val="none" w:sz="0" w:space="0" w:color="auto"/>
          </w:divBdr>
        </w:div>
        <w:div w:id="70280230">
          <w:marLeft w:val="0"/>
          <w:marRight w:val="0"/>
          <w:marTop w:val="0"/>
          <w:marBottom w:val="0"/>
          <w:divBdr>
            <w:top w:val="none" w:sz="0" w:space="0" w:color="auto"/>
            <w:left w:val="none" w:sz="0" w:space="0" w:color="auto"/>
            <w:bottom w:val="none" w:sz="0" w:space="0" w:color="auto"/>
            <w:right w:val="none" w:sz="0" w:space="0" w:color="auto"/>
          </w:divBdr>
        </w:div>
        <w:div w:id="510879590">
          <w:marLeft w:val="0"/>
          <w:marRight w:val="0"/>
          <w:marTop w:val="0"/>
          <w:marBottom w:val="0"/>
          <w:divBdr>
            <w:top w:val="none" w:sz="0" w:space="0" w:color="auto"/>
            <w:left w:val="none" w:sz="0" w:space="0" w:color="auto"/>
            <w:bottom w:val="none" w:sz="0" w:space="0" w:color="auto"/>
            <w:right w:val="none" w:sz="0" w:space="0" w:color="auto"/>
          </w:divBdr>
        </w:div>
        <w:div w:id="1671835005">
          <w:marLeft w:val="0"/>
          <w:marRight w:val="0"/>
          <w:marTop w:val="0"/>
          <w:marBottom w:val="0"/>
          <w:divBdr>
            <w:top w:val="none" w:sz="0" w:space="0" w:color="auto"/>
            <w:left w:val="none" w:sz="0" w:space="0" w:color="auto"/>
            <w:bottom w:val="none" w:sz="0" w:space="0" w:color="auto"/>
            <w:right w:val="none" w:sz="0" w:space="0" w:color="auto"/>
          </w:divBdr>
        </w:div>
      </w:divsChild>
    </w:div>
    <w:div w:id="1065639882">
      <w:bodyDiv w:val="1"/>
      <w:marLeft w:val="0"/>
      <w:marRight w:val="0"/>
      <w:marTop w:val="0"/>
      <w:marBottom w:val="0"/>
      <w:divBdr>
        <w:top w:val="none" w:sz="0" w:space="0" w:color="auto"/>
        <w:left w:val="none" w:sz="0" w:space="0" w:color="auto"/>
        <w:bottom w:val="none" w:sz="0" w:space="0" w:color="auto"/>
        <w:right w:val="none" w:sz="0" w:space="0" w:color="auto"/>
      </w:divBdr>
      <w:divsChild>
        <w:div w:id="2131387575">
          <w:marLeft w:val="0"/>
          <w:marRight w:val="0"/>
          <w:marTop w:val="0"/>
          <w:marBottom w:val="0"/>
          <w:divBdr>
            <w:top w:val="none" w:sz="0" w:space="0" w:color="auto"/>
            <w:left w:val="none" w:sz="0" w:space="0" w:color="auto"/>
            <w:bottom w:val="none" w:sz="0" w:space="0" w:color="auto"/>
            <w:right w:val="none" w:sz="0" w:space="0" w:color="auto"/>
          </w:divBdr>
        </w:div>
        <w:div w:id="1582133293">
          <w:marLeft w:val="0"/>
          <w:marRight w:val="0"/>
          <w:marTop w:val="0"/>
          <w:marBottom w:val="0"/>
          <w:divBdr>
            <w:top w:val="none" w:sz="0" w:space="0" w:color="auto"/>
            <w:left w:val="none" w:sz="0" w:space="0" w:color="auto"/>
            <w:bottom w:val="none" w:sz="0" w:space="0" w:color="auto"/>
            <w:right w:val="none" w:sz="0" w:space="0" w:color="auto"/>
          </w:divBdr>
        </w:div>
        <w:div w:id="615018994">
          <w:marLeft w:val="0"/>
          <w:marRight w:val="0"/>
          <w:marTop w:val="0"/>
          <w:marBottom w:val="0"/>
          <w:divBdr>
            <w:top w:val="none" w:sz="0" w:space="0" w:color="auto"/>
            <w:left w:val="none" w:sz="0" w:space="0" w:color="auto"/>
            <w:bottom w:val="none" w:sz="0" w:space="0" w:color="auto"/>
            <w:right w:val="none" w:sz="0" w:space="0" w:color="auto"/>
          </w:divBdr>
        </w:div>
        <w:div w:id="232856759">
          <w:marLeft w:val="0"/>
          <w:marRight w:val="0"/>
          <w:marTop w:val="0"/>
          <w:marBottom w:val="0"/>
          <w:divBdr>
            <w:top w:val="none" w:sz="0" w:space="0" w:color="auto"/>
            <w:left w:val="none" w:sz="0" w:space="0" w:color="auto"/>
            <w:bottom w:val="none" w:sz="0" w:space="0" w:color="auto"/>
            <w:right w:val="none" w:sz="0" w:space="0" w:color="auto"/>
          </w:divBdr>
        </w:div>
        <w:div w:id="951402143">
          <w:marLeft w:val="0"/>
          <w:marRight w:val="0"/>
          <w:marTop w:val="0"/>
          <w:marBottom w:val="0"/>
          <w:divBdr>
            <w:top w:val="none" w:sz="0" w:space="0" w:color="auto"/>
            <w:left w:val="none" w:sz="0" w:space="0" w:color="auto"/>
            <w:bottom w:val="none" w:sz="0" w:space="0" w:color="auto"/>
            <w:right w:val="none" w:sz="0" w:space="0" w:color="auto"/>
          </w:divBdr>
        </w:div>
        <w:div w:id="1845632564">
          <w:marLeft w:val="0"/>
          <w:marRight w:val="0"/>
          <w:marTop w:val="0"/>
          <w:marBottom w:val="0"/>
          <w:divBdr>
            <w:top w:val="none" w:sz="0" w:space="0" w:color="auto"/>
            <w:left w:val="none" w:sz="0" w:space="0" w:color="auto"/>
            <w:bottom w:val="none" w:sz="0" w:space="0" w:color="auto"/>
            <w:right w:val="none" w:sz="0" w:space="0" w:color="auto"/>
          </w:divBdr>
        </w:div>
        <w:div w:id="806318563">
          <w:marLeft w:val="0"/>
          <w:marRight w:val="0"/>
          <w:marTop w:val="0"/>
          <w:marBottom w:val="0"/>
          <w:divBdr>
            <w:top w:val="none" w:sz="0" w:space="0" w:color="auto"/>
            <w:left w:val="none" w:sz="0" w:space="0" w:color="auto"/>
            <w:bottom w:val="none" w:sz="0" w:space="0" w:color="auto"/>
            <w:right w:val="none" w:sz="0" w:space="0" w:color="auto"/>
          </w:divBdr>
        </w:div>
      </w:divsChild>
    </w:div>
    <w:div w:id="1105227951">
      <w:bodyDiv w:val="1"/>
      <w:marLeft w:val="0"/>
      <w:marRight w:val="0"/>
      <w:marTop w:val="0"/>
      <w:marBottom w:val="0"/>
      <w:divBdr>
        <w:top w:val="none" w:sz="0" w:space="0" w:color="auto"/>
        <w:left w:val="none" w:sz="0" w:space="0" w:color="auto"/>
        <w:bottom w:val="none" w:sz="0" w:space="0" w:color="auto"/>
        <w:right w:val="none" w:sz="0" w:space="0" w:color="auto"/>
      </w:divBdr>
      <w:divsChild>
        <w:div w:id="1146778323">
          <w:marLeft w:val="0"/>
          <w:marRight w:val="0"/>
          <w:marTop w:val="0"/>
          <w:marBottom w:val="0"/>
          <w:divBdr>
            <w:top w:val="none" w:sz="0" w:space="0" w:color="auto"/>
            <w:left w:val="none" w:sz="0" w:space="0" w:color="auto"/>
            <w:bottom w:val="none" w:sz="0" w:space="0" w:color="auto"/>
            <w:right w:val="none" w:sz="0" w:space="0" w:color="auto"/>
          </w:divBdr>
        </w:div>
        <w:div w:id="639263812">
          <w:marLeft w:val="0"/>
          <w:marRight w:val="0"/>
          <w:marTop w:val="0"/>
          <w:marBottom w:val="0"/>
          <w:divBdr>
            <w:top w:val="none" w:sz="0" w:space="0" w:color="auto"/>
            <w:left w:val="none" w:sz="0" w:space="0" w:color="auto"/>
            <w:bottom w:val="none" w:sz="0" w:space="0" w:color="auto"/>
            <w:right w:val="none" w:sz="0" w:space="0" w:color="auto"/>
          </w:divBdr>
        </w:div>
        <w:div w:id="1013611878">
          <w:marLeft w:val="0"/>
          <w:marRight w:val="0"/>
          <w:marTop w:val="0"/>
          <w:marBottom w:val="0"/>
          <w:divBdr>
            <w:top w:val="none" w:sz="0" w:space="0" w:color="auto"/>
            <w:left w:val="none" w:sz="0" w:space="0" w:color="auto"/>
            <w:bottom w:val="none" w:sz="0" w:space="0" w:color="auto"/>
            <w:right w:val="none" w:sz="0" w:space="0" w:color="auto"/>
          </w:divBdr>
        </w:div>
        <w:div w:id="1472404712">
          <w:marLeft w:val="0"/>
          <w:marRight w:val="0"/>
          <w:marTop w:val="0"/>
          <w:marBottom w:val="0"/>
          <w:divBdr>
            <w:top w:val="none" w:sz="0" w:space="0" w:color="auto"/>
            <w:left w:val="none" w:sz="0" w:space="0" w:color="auto"/>
            <w:bottom w:val="none" w:sz="0" w:space="0" w:color="auto"/>
            <w:right w:val="none" w:sz="0" w:space="0" w:color="auto"/>
          </w:divBdr>
        </w:div>
        <w:div w:id="1953003546">
          <w:marLeft w:val="0"/>
          <w:marRight w:val="0"/>
          <w:marTop w:val="0"/>
          <w:marBottom w:val="0"/>
          <w:divBdr>
            <w:top w:val="none" w:sz="0" w:space="0" w:color="auto"/>
            <w:left w:val="none" w:sz="0" w:space="0" w:color="auto"/>
            <w:bottom w:val="none" w:sz="0" w:space="0" w:color="auto"/>
            <w:right w:val="none" w:sz="0" w:space="0" w:color="auto"/>
          </w:divBdr>
        </w:div>
        <w:div w:id="422265132">
          <w:marLeft w:val="0"/>
          <w:marRight w:val="0"/>
          <w:marTop w:val="0"/>
          <w:marBottom w:val="0"/>
          <w:divBdr>
            <w:top w:val="none" w:sz="0" w:space="0" w:color="auto"/>
            <w:left w:val="none" w:sz="0" w:space="0" w:color="auto"/>
            <w:bottom w:val="none" w:sz="0" w:space="0" w:color="auto"/>
            <w:right w:val="none" w:sz="0" w:space="0" w:color="auto"/>
          </w:divBdr>
        </w:div>
        <w:div w:id="1390808773">
          <w:marLeft w:val="0"/>
          <w:marRight w:val="0"/>
          <w:marTop w:val="0"/>
          <w:marBottom w:val="0"/>
          <w:divBdr>
            <w:top w:val="none" w:sz="0" w:space="0" w:color="auto"/>
            <w:left w:val="none" w:sz="0" w:space="0" w:color="auto"/>
            <w:bottom w:val="none" w:sz="0" w:space="0" w:color="auto"/>
            <w:right w:val="none" w:sz="0" w:space="0" w:color="auto"/>
          </w:divBdr>
        </w:div>
        <w:div w:id="965432440">
          <w:marLeft w:val="0"/>
          <w:marRight w:val="0"/>
          <w:marTop w:val="0"/>
          <w:marBottom w:val="0"/>
          <w:divBdr>
            <w:top w:val="none" w:sz="0" w:space="0" w:color="auto"/>
            <w:left w:val="none" w:sz="0" w:space="0" w:color="auto"/>
            <w:bottom w:val="none" w:sz="0" w:space="0" w:color="auto"/>
            <w:right w:val="none" w:sz="0" w:space="0" w:color="auto"/>
          </w:divBdr>
        </w:div>
        <w:div w:id="647393185">
          <w:marLeft w:val="0"/>
          <w:marRight w:val="0"/>
          <w:marTop w:val="0"/>
          <w:marBottom w:val="0"/>
          <w:divBdr>
            <w:top w:val="none" w:sz="0" w:space="0" w:color="auto"/>
            <w:left w:val="none" w:sz="0" w:space="0" w:color="auto"/>
            <w:bottom w:val="none" w:sz="0" w:space="0" w:color="auto"/>
            <w:right w:val="none" w:sz="0" w:space="0" w:color="auto"/>
          </w:divBdr>
        </w:div>
        <w:div w:id="293101689">
          <w:marLeft w:val="0"/>
          <w:marRight w:val="0"/>
          <w:marTop w:val="0"/>
          <w:marBottom w:val="0"/>
          <w:divBdr>
            <w:top w:val="none" w:sz="0" w:space="0" w:color="auto"/>
            <w:left w:val="none" w:sz="0" w:space="0" w:color="auto"/>
            <w:bottom w:val="none" w:sz="0" w:space="0" w:color="auto"/>
            <w:right w:val="none" w:sz="0" w:space="0" w:color="auto"/>
          </w:divBdr>
        </w:div>
        <w:div w:id="451247955">
          <w:marLeft w:val="0"/>
          <w:marRight w:val="0"/>
          <w:marTop w:val="0"/>
          <w:marBottom w:val="0"/>
          <w:divBdr>
            <w:top w:val="none" w:sz="0" w:space="0" w:color="auto"/>
            <w:left w:val="none" w:sz="0" w:space="0" w:color="auto"/>
            <w:bottom w:val="none" w:sz="0" w:space="0" w:color="auto"/>
            <w:right w:val="none" w:sz="0" w:space="0" w:color="auto"/>
          </w:divBdr>
        </w:div>
      </w:divsChild>
    </w:div>
    <w:div w:id="1129206788">
      <w:bodyDiv w:val="1"/>
      <w:marLeft w:val="0"/>
      <w:marRight w:val="0"/>
      <w:marTop w:val="0"/>
      <w:marBottom w:val="0"/>
      <w:divBdr>
        <w:top w:val="none" w:sz="0" w:space="0" w:color="auto"/>
        <w:left w:val="none" w:sz="0" w:space="0" w:color="auto"/>
        <w:bottom w:val="none" w:sz="0" w:space="0" w:color="auto"/>
        <w:right w:val="none" w:sz="0" w:space="0" w:color="auto"/>
      </w:divBdr>
    </w:div>
    <w:div w:id="1196190811">
      <w:bodyDiv w:val="1"/>
      <w:marLeft w:val="0"/>
      <w:marRight w:val="0"/>
      <w:marTop w:val="0"/>
      <w:marBottom w:val="0"/>
      <w:divBdr>
        <w:top w:val="none" w:sz="0" w:space="0" w:color="auto"/>
        <w:left w:val="none" w:sz="0" w:space="0" w:color="auto"/>
        <w:bottom w:val="none" w:sz="0" w:space="0" w:color="auto"/>
        <w:right w:val="none" w:sz="0" w:space="0" w:color="auto"/>
      </w:divBdr>
      <w:divsChild>
        <w:div w:id="1353145449">
          <w:marLeft w:val="0"/>
          <w:marRight w:val="0"/>
          <w:marTop w:val="0"/>
          <w:marBottom w:val="0"/>
          <w:divBdr>
            <w:top w:val="none" w:sz="0" w:space="0" w:color="auto"/>
            <w:left w:val="none" w:sz="0" w:space="0" w:color="auto"/>
            <w:bottom w:val="none" w:sz="0" w:space="0" w:color="auto"/>
            <w:right w:val="none" w:sz="0" w:space="0" w:color="auto"/>
          </w:divBdr>
        </w:div>
        <w:div w:id="1480994227">
          <w:marLeft w:val="0"/>
          <w:marRight w:val="0"/>
          <w:marTop w:val="0"/>
          <w:marBottom w:val="0"/>
          <w:divBdr>
            <w:top w:val="none" w:sz="0" w:space="0" w:color="auto"/>
            <w:left w:val="none" w:sz="0" w:space="0" w:color="auto"/>
            <w:bottom w:val="none" w:sz="0" w:space="0" w:color="auto"/>
            <w:right w:val="none" w:sz="0" w:space="0" w:color="auto"/>
          </w:divBdr>
        </w:div>
        <w:div w:id="1161896755">
          <w:marLeft w:val="0"/>
          <w:marRight w:val="0"/>
          <w:marTop w:val="0"/>
          <w:marBottom w:val="0"/>
          <w:divBdr>
            <w:top w:val="none" w:sz="0" w:space="0" w:color="auto"/>
            <w:left w:val="none" w:sz="0" w:space="0" w:color="auto"/>
            <w:bottom w:val="none" w:sz="0" w:space="0" w:color="auto"/>
            <w:right w:val="none" w:sz="0" w:space="0" w:color="auto"/>
          </w:divBdr>
        </w:div>
        <w:div w:id="1950162437">
          <w:marLeft w:val="0"/>
          <w:marRight w:val="0"/>
          <w:marTop w:val="0"/>
          <w:marBottom w:val="0"/>
          <w:divBdr>
            <w:top w:val="none" w:sz="0" w:space="0" w:color="auto"/>
            <w:left w:val="none" w:sz="0" w:space="0" w:color="auto"/>
            <w:bottom w:val="none" w:sz="0" w:space="0" w:color="auto"/>
            <w:right w:val="none" w:sz="0" w:space="0" w:color="auto"/>
          </w:divBdr>
        </w:div>
        <w:div w:id="742869847">
          <w:marLeft w:val="0"/>
          <w:marRight w:val="0"/>
          <w:marTop w:val="0"/>
          <w:marBottom w:val="0"/>
          <w:divBdr>
            <w:top w:val="none" w:sz="0" w:space="0" w:color="auto"/>
            <w:left w:val="none" w:sz="0" w:space="0" w:color="auto"/>
            <w:bottom w:val="none" w:sz="0" w:space="0" w:color="auto"/>
            <w:right w:val="none" w:sz="0" w:space="0" w:color="auto"/>
          </w:divBdr>
        </w:div>
        <w:div w:id="1570262302">
          <w:marLeft w:val="0"/>
          <w:marRight w:val="0"/>
          <w:marTop w:val="0"/>
          <w:marBottom w:val="0"/>
          <w:divBdr>
            <w:top w:val="none" w:sz="0" w:space="0" w:color="auto"/>
            <w:left w:val="none" w:sz="0" w:space="0" w:color="auto"/>
            <w:bottom w:val="none" w:sz="0" w:space="0" w:color="auto"/>
            <w:right w:val="none" w:sz="0" w:space="0" w:color="auto"/>
          </w:divBdr>
        </w:div>
        <w:div w:id="211580262">
          <w:marLeft w:val="0"/>
          <w:marRight w:val="0"/>
          <w:marTop w:val="0"/>
          <w:marBottom w:val="0"/>
          <w:divBdr>
            <w:top w:val="none" w:sz="0" w:space="0" w:color="auto"/>
            <w:left w:val="none" w:sz="0" w:space="0" w:color="auto"/>
            <w:bottom w:val="none" w:sz="0" w:space="0" w:color="auto"/>
            <w:right w:val="none" w:sz="0" w:space="0" w:color="auto"/>
          </w:divBdr>
        </w:div>
        <w:div w:id="1900937412">
          <w:marLeft w:val="0"/>
          <w:marRight w:val="0"/>
          <w:marTop w:val="0"/>
          <w:marBottom w:val="0"/>
          <w:divBdr>
            <w:top w:val="none" w:sz="0" w:space="0" w:color="auto"/>
            <w:left w:val="none" w:sz="0" w:space="0" w:color="auto"/>
            <w:bottom w:val="none" w:sz="0" w:space="0" w:color="auto"/>
            <w:right w:val="none" w:sz="0" w:space="0" w:color="auto"/>
          </w:divBdr>
        </w:div>
        <w:div w:id="1415971600">
          <w:marLeft w:val="0"/>
          <w:marRight w:val="0"/>
          <w:marTop w:val="0"/>
          <w:marBottom w:val="0"/>
          <w:divBdr>
            <w:top w:val="none" w:sz="0" w:space="0" w:color="auto"/>
            <w:left w:val="none" w:sz="0" w:space="0" w:color="auto"/>
            <w:bottom w:val="none" w:sz="0" w:space="0" w:color="auto"/>
            <w:right w:val="none" w:sz="0" w:space="0" w:color="auto"/>
          </w:divBdr>
        </w:div>
        <w:div w:id="91899948">
          <w:marLeft w:val="0"/>
          <w:marRight w:val="0"/>
          <w:marTop w:val="0"/>
          <w:marBottom w:val="0"/>
          <w:divBdr>
            <w:top w:val="none" w:sz="0" w:space="0" w:color="auto"/>
            <w:left w:val="none" w:sz="0" w:space="0" w:color="auto"/>
            <w:bottom w:val="none" w:sz="0" w:space="0" w:color="auto"/>
            <w:right w:val="none" w:sz="0" w:space="0" w:color="auto"/>
          </w:divBdr>
        </w:div>
        <w:div w:id="1596094345">
          <w:marLeft w:val="0"/>
          <w:marRight w:val="0"/>
          <w:marTop w:val="0"/>
          <w:marBottom w:val="0"/>
          <w:divBdr>
            <w:top w:val="none" w:sz="0" w:space="0" w:color="auto"/>
            <w:left w:val="none" w:sz="0" w:space="0" w:color="auto"/>
            <w:bottom w:val="none" w:sz="0" w:space="0" w:color="auto"/>
            <w:right w:val="none" w:sz="0" w:space="0" w:color="auto"/>
          </w:divBdr>
        </w:div>
        <w:div w:id="1737361727">
          <w:marLeft w:val="0"/>
          <w:marRight w:val="0"/>
          <w:marTop w:val="0"/>
          <w:marBottom w:val="0"/>
          <w:divBdr>
            <w:top w:val="none" w:sz="0" w:space="0" w:color="auto"/>
            <w:left w:val="none" w:sz="0" w:space="0" w:color="auto"/>
            <w:bottom w:val="none" w:sz="0" w:space="0" w:color="auto"/>
            <w:right w:val="none" w:sz="0" w:space="0" w:color="auto"/>
          </w:divBdr>
        </w:div>
        <w:div w:id="1036736390">
          <w:marLeft w:val="0"/>
          <w:marRight w:val="0"/>
          <w:marTop w:val="0"/>
          <w:marBottom w:val="0"/>
          <w:divBdr>
            <w:top w:val="none" w:sz="0" w:space="0" w:color="auto"/>
            <w:left w:val="none" w:sz="0" w:space="0" w:color="auto"/>
            <w:bottom w:val="none" w:sz="0" w:space="0" w:color="auto"/>
            <w:right w:val="none" w:sz="0" w:space="0" w:color="auto"/>
          </w:divBdr>
        </w:div>
        <w:div w:id="1127351922">
          <w:marLeft w:val="0"/>
          <w:marRight w:val="0"/>
          <w:marTop w:val="0"/>
          <w:marBottom w:val="0"/>
          <w:divBdr>
            <w:top w:val="none" w:sz="0" w:space="0" w:color="auto"/>
            <w:left w:val="none" w:sz="0" w:space="0" w:color="auto"/>
            <w:bottom w:val="none" w:sz="0" w:space="0" w:color="auto"/>
            <w:right w:val="none" w:sz="0" w:space="0" w:color="auto"/>
          </w:divBdr>
        </w:div>
        <w:div w:id="1380592819">
          <w:marLeft w:val="0"/>
          <w:marRight w:val="0"/>
          <w:marTop w:val="0"/>
          <w:marBottom w:val="0"/>
          <w:divBdr>
            <w:top w:val="none" w:sz="0" w:space="0" w:color="auto"/>
            <w:left w:val="none" w:sz="0" w:space="0" w:color="auto"/>
            <w:bottom w:val="none" w:sz="0" w:space="0" w:color="auto"/>
            <w:right w:val="none" w:sz="0" w:space="0" w:color="auto"/>
          </w:divBdr>
        </w:div>
        <w:div w:id="1600290383">
          <w:marLeft w:val="0"/>
          <w:marRight w:val="0"/>
          <w:marTop w:val="0"/>
          <w:marBottom w:val="0"/>
          <w:divBdr>
            <w:top w:val="none" w:sz="0" w:space="0" w:color="auto"/>
            <w:left w:val="none" w:sz="0" w:space="0" w:color="auto"/>
            <w:bottom w:val="none" w:sz="0" w:space="0" w:color="auto"/>
            <w:right w:val="none" w:sz="0" w:space="0" w:color="auto"/>
          </w:divBdr>
        </w:div>
        <w:div w:id="1143740709">
          <w:marLeft w:val="0"/>
          <w:marRight w:val="0"/>
          <w:marTop w:val="0"/>
          <w:marBottom w:val="0"/>
          <w:divBdr>
            <w:top w:val="none" w:sz="0" w:space="0" w:color="auto"/>
            <w:left w:val="none" w:sz="0" w:space="0" w:color="auto"/>
            <w:bottom w:val="none" w:sz="0" w:space="0" w:color="auto"/>
            <w:right w:val="none" w:sz="0" w:space="0" w:color="auto"/>
          </w:divBdr>
        </w:div>
        <w:div w:id="720255231">
          <w:marLeft w:val="0"/>
          <w:marRight w:val="0"/>
          <w:marTop w:val="0"/>
          <w:marBottom w:val="0"/>
          <w:divBdr>
            <w:top w:val="none" w:sz="0" w:space="0" w:color="auto"/>
            <w:left w:val="none" w:sz="0" w:space="0" w:color="auto"/>
            <w:bottom w:val="none" w:sz="0" w:space="0" w:color="auto"/>
            <w:right w:val="none" w:sz="0" w:space="0" w:color="auto"/>
          </w:divBdr>
        </w:div>
        <w:div w:id="848449162">
          <w:marLeft w:val="0"/>
          <w:marRight w:val="0"/>
          <w:marTop w:val="0"/>
          <w:marBottom w:val="0"/>
          <w:divBdr>
            <w:top w:val="none" w:sz="0" w:space="0" w:color="auto"/>
            <w:left w:val="none" w:sz="0" w:space="0" w:color="auto"/>
            <w:bottom w:val="none" w:sz="0" w:space="0" w:color="auto"/>
            <w:right w:val="none" w:sz="0" w:space="0" w:color="auto"/>
          </w:divBdr>
        </w:div>
        <w:div w:id="687027041">
          <w:marLeft w:val="0"/>
          <w:marRight w:val="0"/>
          <w:marTop w:val="0"/>
          <w:marBottom w:val="0"/>
          <w:divBdr>
            <w:top w:val="none" w:sz="0" w:space="0" w:color="auto"/>
            <w:left w:val="none" w:sz="0" w:space="0" w:color="auto"/>
            <w:bottom w:val="none" w:sz="0" w:space="0" w:color="auto"/>
            <w:right w:val="none" w:sz="0" w:space="0" w:color="auto"/>
          </w:divBdr>
        </w:div>
        <w:div w:id="750468774">
          <w:marLeft w:val="0"/>
          <w:marRight w:val="0"/>
          <w:marTop w:val="0"/>
          <w:marBottom w:val="0"/>
          <w:divBdr>
            <w:top w:val="none" w:sz="0" w:space="0" w:color="auto"/>
            <w:left w:val="none" w:sz="0" w:space="0" w:color="auto"/>
            <w:bottom w:val="none" w:sz="0" w:space="0" w:color="auto"/>
            <w:right w:val="none" w:sz="0" w:space="0" w:color="auto"/>
          </w:divBdr>
        </w:div>
        <w:div w:id="74866265">
          <w:marLeft w:val="0"/>
          <w:marRight w:val="0"/>
          <w:marTop w:val="0"/>
          <w:marBottom w:val="0"/>
          <w:divBdr>
            <w:top w:val="none" w:sz="0" w:space="0" w:color="auto"/>
            <w:left w:val="none" w:sz="0" w:space="0" w:color="auto"/>
            <w:bottom w:val="none" w:sz="0" w:space="0" w:color="auto"/>
            <w:right w:val="none" w:sz="0" w:space="0" w:color="auto"/>
          </w:divBdr>
        </w:div>
        <w:div w:id="786435160">
          <w:marLeft w:val="0"/>
          <w:marRight w:val="0"/>
          <w:marTop w:val="0"/>
          <w:marBottom w:val="0"/>
          <w:divBdr>
            <w:top w:val="none" w:sz="0" w:space="0" w:color="auto"/>
            <w:left w:val="none" w:sz="0" w:space="0" w:color="auto"/>
            <w:bottom w:val="none" w:sz="0" w:space="0" w:color="auto"/>
            <w:right w:val="none" w:sz="0" w:space="0" w:color="auto"/>
          </w:divBdr>
        </w:div>
        <w:div w:id="632828589">
          <w:marLeft w:val="0"/>
          <w:marRight w:val="0"/>
          <w:marTop w:val="0"/>
          <w:marBottom w:val="0"/>
          <w:divBdr>
            <w:top w:val="none" w:sz="0" w:space="0" w:color="auto"/>
            <w:left w:val="none" w:sz="0" w:space="0" w:color="auto"/>
            <w:bottom w:val="none" w:sz="0" w:space="0" w:color="auto"/>
            <w:right w:val="none" w:sz="0" w:space="0" w:color="auto"/>
          </w:divBdr>
        </w:div>
        <w:div w:id="582496845">
          <w:marLeft w:val="0"/>
          <w:marRight w:val="0"/>
          <w:marTop w:val="0"/>
          <w:marBottom w:val="0"/>
          <w:divBdr>
            <w:top w:val="none" w:sz="0" w:space="0" w:color="auto"/>
            <w:left w:val="none" w:sz="0" w:space="0" w:color="auto"/>
            <w:bottom w:val="none" w:sz="0" w:space="0" w:color="auto"/>
            <w:right w:val="none" w:sz="0" w:space="0" w:color="auto"/>
          </w:divBdr>
        </w:div>
        <w:div w:id="1195584540">
          <w:marLeft w:val="0"/>
          <w:marRight w:val="0"/>
          <w:marTop w:val="0"/>
          <w:marBottom w:val="0"/>
          <w:divBdr>
            <w:top w:val="none" w:sz="0" w:space="0" w:color="auto"/>
            <w:left w:val="none" w:sz="0" w:space="0" w:color="auto"/>
            <w:bottom w:val="none" w:sz="0" w:space="0" w:color="auto"/>
            <w:right w:val="none" w:sz="0" w:space="0" w:color="auto"/>
          </w:divBdr>
        </w:div>
        <w:div w:id="1295213917">
          <w:marLeft w:val="0"/>
          <w:marRight w:val="0"/>
          <w:marTop w:val="0"/>
          <w:marBottom w:val="0"/>
          <w:divBdr>
            <w:top w:val="none" w:sz="0" w:space="0" w:color="auto"/>
            <w:left w:val="none" w:sz="0" w:space="0" w:color="auto"/>
            <w:bottom w:val="none" w:sz="0" w:space="0" w:color="auto"/>
            <w:right w:val="none" w:sz="0" w:space="0" w:color="auto"/>
          </w:divBdr>
        </w:div>
        <w:div w:id="945769384">
          <w:marLeft w:val="0"/>
          <w:marRight w:val="0"/>
          <w:marTop w:val="0"/>
          <w:marBottom w:val="0"/>
          <w:divBdr>
            <w:top w:val="none" w:sz="0" w:space="0" w:color="auto"/>
            <w:left w:val="none" w:sz="0" w:space="0" w:color="auto"/>
            <w:bottom w:val="none" w:sz="0" w:space="0" w:color="auto"/>
            <w:right w:val="none" w:sz="0" w:space="0" w:color="auto"/>
          </w:divBdr>
        </w:div>
        <w:div w:id="396633796">
          <w:marLeft w:val="0"/>
          <w:marRight w:val="0"/>
          <w:marTop w:val="0"/>
          <w:marBottom w:val="0"/>
          <w:divBdr>
            <w:top w:val="none" w:sz="0" w:space="0" w:color="auto"/>
            <w:left w:val="none" w:sz="0" w:space="0" w:color="auto"/>
            <w:bottom w:val="none" w:sz="0" w:space="0" w:color="auto"/>
            <w:right w:val="none" w:sz="0" w:space="0" w:color="auto"/>
          </w:divBdr>
        </w:div>
        <w:div w:id="1008097258">
          <w:marLeft w:val="0"/>
          <w:marRight w:val="0"/>
          <w:marTop w:val="0"/>
          <w:marBottom w:val="0"/>
          <w:divBdr>
            <w:top w:val="none" w:sz="0" w:space="0" w:color="auto"/>
            <w:left w:val="none" w:sz="0" w:space="0" w:color="auto"/>
            <w:bottom w:val="none" w:sz="0" w:space="0" w:color="auto"/>
            <w:right w:val="none" w:sz="0" w:space="0" w:color="auto"/>
          </w:divBdr>
        </w:div>
        <w:div w:id="1227178618">
          <w:marLeft w:val="0"/>
          <w:marRight w:val="0"/>
          <w:marTop w:val="0"/>
          <w:marBottom w:val="0"/>
          <w:divBdr>
            <w:top w:val="none" w:sz="0" w:space="0" w:color="auto"/>
            <w:left w:val="none" w:sz="0" w:space="0" w:color="auto"/>
            <w:bottom w:val="none" w:sz="0" w:space="0" w:color="auto"/>
            <w:right w:val="none" w:sz="0" w:space="0" w:color="auto"/>
          </w:divBdr>
        </w:div>
        <w:div w:id="1741706143">
          <w:marLeft w:val="0"/>
          <w:marRight w:val="0"/>
          <w:marTop w:val="0"/>
          <w:marBottom w:val="0"/>
          <w:divBdr>
            <w:top w:val="none" w:sz="0" w:space="0" w:color="auto"/>
            <w:left w:val="none" w:sz="0" w:space="0" w:color="auto"/>
            <w:bottom w:val="none" w:sz="0" w:space="0" w:color="auto"/>
            <w:right w:val="none" w:sz="0" w:space="0" w:color="auto"/>
          </w:divBdr>
        </w:div>
        <w:div w:id="766392352">
          <w:marLeft w:val="0"/>
          <w:marRight w:val="0"/>
          <w:marTop w:val="0"/>
          <w:marBottom w:val="0"/>
          <w:divBdr>
            <w:top w:val="none" w:sz="0" w:space="0" w:color="auto"/>
            <w:left w:val="none" w:sz="0" w:space="0" w:color="auto"/>
            <w:bottom w:val="none" w:sz="0" w:space="0" w:color="auto"/>
            <w:right w:val="none" w:sz="0" w:space="0" w:color="auto"/>
          </w:divBdr>
        </w:div>
        <w:div w:id="702754218">
          <w:marLeft w:val="0"/>
          <w:marRight w:val="0"/>
          <w:marTop w:val="0"/>
          <w:marBottom w:val="0"/>
          <w:divBdr>
            <w:top w:val="none" w:sz="0" w:space="0" w:color="auto"/>
            <w:left w:val="none" w:sz="0" w:space="0" w:color="auto"/>
            <w:bottom w:val="none" w:sz="0" w:space="0" w:color="auto"/>
            <w:right w:val="none" w:sz="0" w:space="0" w:color="auto"/>
          </w:divBdr>
        </w:div>
        <w:div w:id="1928227062">
          <w:marLeft w:val="0"/>
          <w:marRight w:val="0"/>
          <w:marTop w:val="0"/>
          <w:marBottom w:val="0"/>
          <w:divBdr>
            <w:top w:val="none" w:sz="0" w:space="0" w:color="auto"/>
            <w:left w:val="none" w:sz="0" w:space="0" w:color="auto"/>
            <w:bottom w:val="none" w:sz="0" w:space="0" w:color="auto"/>
            <w:right w:val="none" w:sz="0" w:space="0" w:color="auto"/>
          </w:divBdr>
        </w:div>
        <w:div w:id="1481843412">
          <w:marLeft w:val="0"/>
          <w:marRight w:val="0"/>
          <w:marTop w:val="0"/>
          <w:marBottom w:val="0"/>
          <w:divBdr>
            <w:top w:val="none" w:sz="0" w:space="0" w:color="auto"/>
            <w:left w:val="none" w:sz="0" w:space="0" w:color="auto"/>
            <w:bottom w:val="none" w:sz="0" w:space="0" w:color="auto"/>
            <w:right w:val="none" w:sz="0" w:space="0" w:color="auto"/>
          </w:divBdr>
        </w:div>
        <w:div w:id="1037663988">
          <w:marLeft w:val="0"/>
          <w:marRight w:val="0"/>
          <w:marTop w:val="0"/>
          <w:marBottom w:val="0"/>
          <w:divBdr>
            <w:top w:val="none" w:sz="0" w:space="0" w:color="auto"/>
            <w:left w:val="none" w:sz="0" w:space="0" w:color="auto"/>
            <w:bottom w:val="none" w:sz="0" w:space="0" w:color="auto"/>
            <w:right w:val="none" w:sz="0" w:space="0" w:color="auto"/>
          </w:divBdr>
        </w:div>
        <w:div w:id="2014646576">
          <w:marLeft w:val="0"/>
          <w:marRight w:val="0"/>
          <w:marTop w:val="0"/>
          <w:marBottom w:val="0"/>
          <w:divBdr>
            <w:top w:val="none" w:sz="0" w:space="0" w:color="auto"/>
            <w:left w:val="none" w:sz="0" w:space="0" w:color="auto"/>
            <w:bottom w:val="none" w:sz="0" w:space="0" w:color="auto"/>
            <w:right w:val="none" w:sz="0" w:space="0" w:color="auto"/>
          </w:divBdr>
        </w:div>
        <w:div w:id="1936789477">
          <w:marLeft w:val="0"/>
          <w:marRight w:val="0"/>
          <w:marTop w:val="0"/>
          <w:marBottom w:val="0"/>
          <w:divBdr>
            <w:top w:val="none" w:sz="0" w:space="0" w:color="auto"/>
            <w:left w:val="none" w:sz="0" w:space="0" w:color="auto"/>
            <w:bottom w:val="none" w:sz="0" w:space="0" w:color="auto"/>
            <w:right w:val="none" w:sz="0" w:space="0" w:color="auto"/>
          </w:divBdr>
        </w:div>
        <w:div w:id="1037045991">
          <w:marLeft w:val="0"/>
          <w:marRight w:val="0"/>
          <w:marTop w:val="0"/>
          <w:marBottom w:val="0"/>
          <w:divBdr>
            <w:top w:val="none" w:sz="0" w:space="0" w:color="auto"/>
            <w:left w:val="none" w:sz="0" w:space="0" w:color="auto"/>
            <w:bottom w:val="none" w:sz="0" w:space="0" w:color="auto"/>
            <w:right w:val="none" w:sz="0" w:space="0" w:color="auto"/>
          </w:divBdr>
        </w:div>
        <w:div w:id="1772167770">
          <w:marLeft w:val="0"/>
          <w:marRight w:val="0"/>
          <w:marTop w:val="0"/>
          <w:marBottom w:val="0"/>
          <w:divBdr>
            <w:top w:val="none" w:sz="0" w:space="0" w:color="auto"/>
            <w:left w:val="none" w:sz="0" w:space="0" w:color="auto"/>
            <w:bottom w:val="none" w:sz="0" w:space="0" w:color="auto"/>
            <w:right w:val="none" w:sz="0" w:space="0" w:color="auto"/>
          </w:divBdr>
        </w:div>
        <w:div w:id="1948387765">
          <w:marLeft w:val="0"/>
          <w:marRight w:val="0"/>
          <w:marTop w:val="0"/>
          <w:marBottom w:val="0"/>
          <w:divBdr>
            <w:top w:val="none" w:sz="0" w:space="0" w:color="auto"/>
            <w:left w:val="none" w:sz="0" w:space="0" w:color="auto"/>
            <w:bottom w:val="none" w:sz="0" w:space="0" w:color="auto"/>
            <w:right w:val="none" w:sz="0" w:space="0" w:color="auto"/>
          </w:divBdr>
        </w:div>
        <w:div w:id="1672104600">
          <w:marLeft w:val="0"/>
          <w:marRight w:val="0"/>
          <w:marTop w:val="0"/>
          <w:marBottom w:val="0"/>
          <w:divBdr>
            <w:top w:val="none" w:sz="0" w:space="0" w:color="auto"/>
            <w:left w:val="none" w:sz="0" w:space="0" w:color="auto"/>
            <w:bottom w:val="none" w:sz="0" w:space="0" w:color="auto"/>
            <w:right w:val="none" w:sz="0" w:space="0" w:color="auto"/>
          </w:divBdr>
        </w:div>
        <w:div w:id="1054230594">
          <w:marLeft w:val="0"/>
          <w:marRight w:val="0"/>
          <w:marTop w:val="0"/>
          <w:marBottom w:val="0"/>
          <w:divBdr>
            <w:top w:val="none" w:sz="0" w:space="0" w:color="auto"/>
            <w:left w:val="none" w:sz="0" w:space="0" w:color="auto"/>
            <w:bottom w:val="none" w:sz="0" w:space="0" w:color="auto"/>
            <w:right w:val="none" w:sz="0" w:space="0" w:color="auto"/>
          </w:divBdr>
        </w:div>
        <w:div w:id="819887555">
          <w:marLeft w:val="0"/>
          <w:marRight w:val="0"/>
          <w:marTop w:val="0"/>
          <w:marBottom w:val="0"/>
          <w:divBdr>
            <w:top w:val="none" w:sz="0" w:space="0" w:color="auto"/>
            <w:left w:val="none" w:sz="0" w:space="0" w:color="auto"/>
            <w:bottom w:val="none" w:sz="0" w:space="0" w:color="auto"/>
            <w:right w:val="none" w:sz="0" w:space="0" w:color="auto"/>
          </w:divBdr>
        </w:div>
        <w:div w:id="1187719371">
          <w:marLeft w:val="0"/>
          <w:marRight w:val="0"/>
          <w:marTop w:val="0"/>
          <w:marBottom w:val="0"/>
          <w:divBdr>
            <w:top w:val="none" w:sz="0" w:space="0" w:color="auto"/>
            <w:left w:val="none" w:sz="0" w:space="0" w:color="auto"/>
            <w:bottom w:val="none" w:sz="0" w:space="0" w:color="auto"/>
            <w:right w:val="none" w:sz="0" w:space="0" w:color="auto"/>
          </w:divBdr>
        </w:div>
        <w:div w:id="329138086">
          <w:marLeft w:val="0"/>
          <w:marRight w:val="0"/>
          <w:marTop w:val="0"/>
          <w:marBottom w:val="0"/>
          <w:divBdr>
            <w:top w:val="none" w:sz="0" w:space="0" w:color="auto"/>
            <w:left w:val="none" w:sz="0" w:space="0" w:color="auto"/>
            <w:bottom w:val="none" w:sz="0" w:space="0" w:color="auto"/>
            <w:right w:val="none" w:sz="0" w:space="0" w:color="auto"/>
          </w:divBdr>
        </w:div>
        <w:div w:id="1828016463">
          <w:marLeft w:val="0"/>
          <w:marRight w:val="0"/>
          <w:marTop w:val="0"/>
          <w:marBottom w:val="0"/>
          <w:divBdr>
            <w:top w:val="none" w:sz="0" w:space="0" w:color="auto"/>
            <w:left w:val="none" w:sz="0" w:space="0" w:color="auto"/>
            <w:bottom w:val="none" w:sz="0" w:space="0" w:color="auto"/>
            <w:right w:val="none" w:sz="0" w:space="0" w:color="auto"/>
          </w:divBdr>
        </w:div>
        <w:div w:id="1551963536">
          <w:marLeft w:val="0"/>
          <w:marRight w:val="0"/>
          <w:marTop w:val="0"/>
          <w:marBottom w:val="0"/>
          <w:divBdr>
            <w:top w:val="none" w:sz="0" w:space="0" w:color="auto"/>
            <w:left w:val="none" w:sz="0" w:space="0" w:color="auto"/>
            <w:bottom w:val="none" w:sz="0" w:space="0" w:color="auto"/>
            <w:right w:val="none" w:sz="0" w:space="0" w:color="auto"/>
          </w:divBdr>
        </w:div>
        <w:div w:id="844056061">
          <w:marLeft w:val="0"/>
          <w:marRight w:val="0"/>
          <w:marTop w:val="0"/>
          <w:marBottom w:val="0"/>
          <w:divBdr>
            <w:top w:val="none" w:sz="0" w:space="0" w:color="auto"/>
            <w:left w:val="none" w:sz="0" w:space="0" w:color="auto"/>
            <w:bottom w:val="none" w:sz="0" w:space="0" w:color="auto"/>
            <w:right w:val="none" w:sz="0" w:space="0" w:color="auto"/>
          </w:divBdr>
        </w:div>
        <w:div w:id="381635635">
          <w:marLeft w:val="0"/>
          <w:marRight w:val="0"/>
          <w:marTop w:val="0"/>
          <w:marBottom w:val="0"/>
          <w:divBdr>
            <w:top w:val="none" w:sz="0" w:space="0" w:color="auto"/>
            <w:left w:val="none" w:sz="0" w:space="0" w:color="auto"/>
            <w:bottom w:val="none" w:sz="0" w:space="0" w:color="auto"/>
            <w:right w:val="none" w:sz="0" w:space="0" w:color="auto"/>
          </w:divBdr>
        </w:div>
        <w:div w:id="1567690812">
          <w:marLeft w:val="0"/>
          <w:marRight w:val="0"/>
          <w:marTop w:val="0"/>
          <w:marBottom w:val="0"/>
          <w:divBdr>
            <w:top w:val="none" w:sz="0" w:space="0" w:color="auto"/>
            <w:left w:val="none" w:sz="0" w:space="0" w:color="auto"/>
            <w:bottom w:val="none" w:sz="0" w:space="0" w:color="auto"/>
            <w:right w:val="none" w:sz="0" w:space="0" w:color="auto"/>
          </w:divBdr>
        </w:div>
        <w:div w:id="1477603920">
          <w:marLeft w:val="0"/>
          <w:marRight w:val="0"/>
          <w:marTop w:val="0"/>
          <w:marBottom w:val="0"/>
          <w:divBdr>
            <w:top w:val="none" w:sz="0" w:space="0" w:color="auto"/>
            <w:left w:val="none" w:sz="0" w:space="0" w:color="auto"/>
            <w:bottom w:val="none" w:sz="0" w:space="0" w:color="auto"/>
            <w:right w:val="none" w:sz="0" w:space="0" w:color="auto"/>
          </w:divBdr>
        </w:div>
        <w:div w:id="357656392">
          <w:marLeft w:val="0"/>
          <w:marRight w:val="0"/>
          <w:marTop w:val="0"/>
          <w:marBottom w:val="0"/>
          <w:divBdr>
            <w:top w:val="none" w:sz="0" w:space="0" w:color="auto"/>
            <w:left w:val="none" w:sz="0" w:space="0" w:color="auto"/>
            <w:bottom w:val="none" w:sz="0" w:space="0" w:color="auto"/>
            <w:right w:val="none" w:sz="0" w:space="0" w:color="auto"/>
          </w:divBdr>
        </w:div>
        <w:div w:id="1840466458">
          <w:marLeft w:val="0"/>
          <w:marRight w:val="0"/>
          <w:marTop w:val="0"/>
          <w:marBottom w:val="0"/>
          <w:divBdr>
            <w:top w:val="none" w:sz="0" w:space="0" w:color="auto"/>
            <w:left w:val="none" w:sz="0" w:space="0" w:color="auto"/>
            <w:bottom w:val="none" w:sz="0" w:space="0" w:color="auto"/>
            <w:right w:val="none" w:sz="0" w:space="0" w:color="auto"/>
          </w:divBdr>
        </w:div>
        <w:div w:id="1625303920">
          <w:marLeft w:val="0"/>
          <w:marRight w:val="0"/>
          <w:marTop w:val="0"/>
          <w:marBottom w:val="0"/>
          <w:divBdr>
            <w:top w:val="none" w:sz="0" w:space="0" w:color="auto"/>
            <w:left w:val="none" w:sz="0" w:space="0" w:color="auto"/>
            <w:bottom w:val="none" w:sz="0" w:space="0" w:color="auto"/>
            <w:right w:val="none" w:sz="0" w:space="0" w:color="auto"/>
          </w:divBdr>
        </w:div>
        <w:div w:id="2036150048">
          <w:marLeft w:val="0"/>
          <w:marRight w:val="0"/>
          <w:marTop w:val="0"/>
          <w:marBottom w:val="0"/>
          <w:divBdr>
            <w:top w:val="none" w:sz="0" w:space="0" w:color="auto"/>
            <w:left w:val="none" w:sz="0" w:space="0" w:color="auto"/>
            <w:bottom w:val="none" w:sz="0" w:space="0" w:color="auto"/>
            <w:right w:val="none" w:sz="0" w:space="0" w:color="auto"/>
          </w:divBdr>
        </w:div>
        <w:div w:id="1960260318">
          <w:marLeft w:val="0"/>
          <w:marRight w:val="0"/>
          <w:marTop w:val="0"/>
          <w:marBottom w:val="0"/>
          <w:divBdr>
            <w:top w:val="none" w:sz="0" w:space="0" w:color="auto"/>
            <w:left w:val="none" w:sz="0" w:space="0" w:color="auto"/>
            <w:bottom w:val="none" w:sz="0" w:space="0" w:color="auto"/>
            <w:right w:val="none" w:sz="0" w:space="0" w:color="auto"/>
          </w:divBdr>
        </w:div>
        <w:div w:id="296958542">
          <w:marLeft w:val="0"/>
          <w:marRight w:val="0"/>
          <w:marTop w:val="0"/>
          <w:marBottom w:val="0"/>
          <w:divBdr>
            <w:top w:val="none" w:sz="0" w:space="0" w:color="auto"/>
            <w:left w:val="none" w:sz="0" w:space="0" w:color="auto"/>
            <w:bottom w:val="none" w:sz="0" w:space="0" w:color="auto"/>
            <w:right w:val="none" w:sz="0" w:space="0" w:color="auto"/>
          </w:divBdr>
        </w:div>
        <w:div w:id="1804537374">
          <w:marLeft w:val="0"/>
          <w:marRight w:val="0"/>
          <w:marTop w:val="0"/>
          <w:marBottom w:val="0"/>
          <w:divBdr>
            <w:top w:val="none" w:sz="0" w:space="0" w:color="auto"/>
            <w:left w:val="none" w:sz="0" w:space="0" w:color="auto"/>
            <w:bottom w:val="none" w:sz="0" w:space="0" w:color="auto"/>
            <w:right w:val="none" w:sz="0" w:space="0" w:color="auto"/>
          </w:divBdr>
        </w:div>
        <w:div w:id="635112156">
          <w:marLeft w:val="0"/>
          <w:marRight w:val="0"/>
          <w:marTop w:val="0"/>
          <w:marBottom w:val="0"/>
          <w:divBdr>
            <w:top w:val="none" w:sz="0" w:space="0" w:color="auto"/>
            <w:left w:val="none" w:sz="0" w:space="0" w:color="auto"/>
            <w:bottom w:val="none" w:sz="0" w:space="0" w:color="auto"/>
            <w:right w:val="none" w:sz="0" w:space="0" w:color="auto"/>
          </w:divBdr>
        </w:div>
        <w:div w:id="920213925">
          <w:marLeft w:val="0"/>
          <w:marRight w:val="0"/>
          <w:marTop w:val="0"/>
          <w:marBottom w:val="0"/>
          <w:divBdr>
            <w:top w:val="none" w:sz="0" w:space="0" w:color="auto"/>
            <w:left w:val="none" w:sz="0" w:space="0" w:color="auto"/>
            <w:bottom w:val="none" w:sz="0" w:space="0" w:color="auto"/>
            <w:right w:val="none" w:sz="0" w:space="0" w:color="auto"/>
          </w:divBdr>
        </w:div>
        <w:div w:id="792091865">
          <w:marLeft w:val="0"/>
          <w:marRight w:val="0"/>
          <w:marTop w:val="0"/>
          <w:marBottom w:val="0"/>
          <w:divBdr>
            <w:top w:val="none" w:sz="0" w:space="0" w:color="auto"/>
            <w:left w:val="none" w:sz="0" w:space="0" w:color="auto"/>
            <w:bottom w:val="none" w:sz="0" w:space="0" w:color="auto"/>
            <w:right w:val="none" w:sz="0" w:space="0" w:color="auto"/>
          </w:divBdr>
        </w:div>
        <w:div w:id="611328268">
          <w:marLeft w:val="0"/>
          <w:marRight w:val="0"/>
          <w:marTop w:val="0"/>
          <w:marBottom w:val="0"/>
          <w:divBdr>
            <w:top w:val="none" w:sz="0" w:space="0" w:color="auto"/>
            <w:left w:val="none" w:sz="0" w:space="0" w:color="auto"/>
            <w:bottom w:val="none" w:sz="0" w:space="0" w:color="auto"/>
            <w:right w:val="none" w:sz="0" w:space="0" w:color="auto"/>
          </w:divBdr>
        </w:div>
        <w:div w:id="1618826179">
          <w:marLeft w:val="0"/>
          <w:marRight w:val="0"/>
          <w:marTop w:val="0"/>
          <w:marBottom w:val="0"/>
          <w:divBdr>
            <w:top w:val="none" w:sz="0" w:space="0" w:color="auto"/>
            <w:left w:val="none" w:sz="0" w:space="0" w:color="auto"/>
            <w:bottom w:val="none" w:sz="0" w:space="0" w:color="auto"/>
            <w:right w:val="none" w:sz="0" w:space="0" w:color="auto"/>
          </w:divBdr>
        </w:div>
        <w:div w:id="1864709612">
          <w:marLeft w:val="0"/>
          <w:marRight w:val="0"/>
          <w:marTop w:val="0"/>
          <w:marBottom w:val="0"/>
          <w:divBdr>
            <w:top w:val="none" w:sz="0" w:space="0" w:color="auto"/>
            <w:left w:val="none" w:sz="0" w:space="0" w:color="auto"/>
            <w:bottom w:val="none" w:sz="0" w:space="0" w:color="auto"/>
            <w:right w:val="none" w:sz="0" w:space="0" w:color="auto"/>
          </w:divBdr>
        </w:div>
        <w:div w:id="1105882737">
          <w:marLeft w:val="0"/>
          <w:marRight w:val="0"/>
          <w:marTop w:val="0"/>
          <w:marBottom w:val="0"/>
          <w:divBdr>
            <w:top w:val="none" w:sz="0" w:space="0" w:color="auto"/>
            <w:left w:val="none" w:sz="0" w:space="0" w:color="auto"/>
            <w:bottom w:val="none" w:sz="0" w:space="0" w:color="auto"/>
            <w:right w:val="none" w:sz="0" w:space="0" w:color="auto"/>
          </w:divBdr>
        </w:div>
        <w:div w:id="88427506">
          <w:marLeft w:val="0"/>
          <w:marRight w:val="0"/>
          <w:marTop w:val="0"/>
          <w:marBottom w:val="0"/>
          <w:divBdr>
            <w:top w:val="none" w:sz="0" w:space="0" w:color="auto"/>
            <w:left w:val="none" w:sz="0" w:space="0" w:color="auto"/>
            <w:bottom w:val="none" w:sz="0" w:space="0" w:color="auto"/>
            <w:right w:val="none" w:sz="0" w:space="0" w:color="auto"/>
          </w:divBdr>
        </w:div>
        <w:div w:id="807825034">
          <w:marLeft w:val="0"/>
          <w:marRight w:val="0"/>
          <w:marTop w:val="0"/>
          <w:marBottom w:val="0"/>
          <w:divBdr>
            <w:top w:val="none" w:sz="0" w:space="0" w:color="auto"/>
            <w:left w:val="none" w:sz="0" w:space="0" w:color="auto"/>
            <w:bottom w:val="none" w:sz="0" w:space="0" w:color="auto"/>
            <w:right w:val="none" w:sz="0" w:space="0" w:color="auto"/>
          </w:divBdr>
        </w:div>
        <w:div w:id="1539007861">
          <w:marLeft w:val="0"/>
          <w:marRight w:val="0"/>
          <w:marTop w:val="0"/>
          <w:marBottom w:val="0"/>
          <w:divBdr>
            <w:top w:val="none" w:sz="0" w:space="0" w:color="auto"/>
            <w:left w:val="none" w:sz="0" w:space="0" w:color="auto"/>
            <w:bottom w:val="none" w:sz="0" w:space="0" w:color="auto"/>
            <w:right w:val="none" w:sz="0" w:space="0" w:color="auto"/>
          </w:divBdr>
        </w:div>
        <w:div w:id="1585146342">
          <w:marLeft w:val="0"/>
          <w:marRight w:val="0"/>
          <w:marTop w:val="0"/>
          <w:marBottom w:val="0"/>
          <w:divBdr>
            <w:top w:val="none" w:sz="0" w:space="0" w:color="auto"/>
            <w:left w:val="none" w:sz="0" w:space="0" w:color="auto"/>
            <w:bottom w:val="none" w:sz="0" w:space="0" w:color="auto"/>
            <w:right w:val="none" w:sz="0" w:space="0" w:color="auto"/>
          </w:divBdr>
        </w:div>
        <w:div w:id="1168983392">
          <w:marLeft w:val="0"/>
          <w:marRight w:val="0"/>
          <w:marTop w:val="0"/>
          <w:marBottom w:val="0"/>
          <w:divBdr>
            <w:top w:val="none" w:sz="0" w:space="0" w:color="auto"/>
            <w:left w:val="none" w:sz="0" w:space="0" w:color="auto"/>
            <w:bottom w:val="none" w:sz="0" w:space="0" w:color="auto"/>
            <w:right w:val="none" w:sz="0" w:space="0" w:color="auto"/>
          </w:divBdr>
        </w:div>
        <w:div w:id="541092675">
          <w:marLeft w:val="0"/>
          <w:marRight w:val="0"/>
          <w:marTop w:val="0"/>
          <w:marBottom w:val="0"/>
          <w:divBdr>
            <w:top w:val="none" w:sz="0" w:space="0" w:color="auto"/>
            <w:left w:val="none" w:sz="0" w:space="0" w:color="auto"/>
            <w:bottom w:val="none" w:sz="0" w:space="0" w:color="auto"/>
            <w:right w:val="none" w:sz="0" w:space="0" w:color="auto"/>
          </w:divBdr>
        </w:div>
        <w:div w:id="283196747">
          <w:marLeft w:val="0"/>
          <w:marRight w:val="0"/>
          <w:marTop w:val="0"/>
          <w:marBottom w:val="0"/>
          <w:divBdr>
            <w:top w:val="none" w:sz="0" w:space="0" w:color="auto"/>
            <w:left w:val="none" w:sz="0" w:space="0" w:color="auto"/>
            <w:bottom w:val="none" w:sz="0" w:space="0" w:color="auto"/>
            <w:right w:val="none" w:sz="0" w:space="0" w:color="auto"/>
          </w:divBdr>
        </w:div>
        <w:div w:id="2032995270">
          <w:marLeft w:val="0"/>
          <w:marRight w:val="0"/>
          <w:marTop w:val="0"/>
          <w:marBottom w:val="0"/>
          <w:divBdr>
            <w:top w:val="none" w:sz="0" w:space="0" w:color="auto"/>
            <w:left w:val="none" w:sz="0" w:space="0" w:color="auto"/>
            <w:bottom w:val="none" w:sz="0" w:space="0" w:color="auto"/>
            <w:right w:val="none" w:sz="0" w:space="0" w:color="auto"/>
          </w:divBdr>
        </w:div>
        <w:div w:id="736979983">
          <w:marLeft w:val="0"/>
          <w:marRight w:val="0"/>
          <w:marTop w:val="0"/>
          <w:marBottom w:val="0"/>
          <w:divBdr>
            <w:top w:val="none" w:sz="0" w:space="0" w:color="auto"/>
            <w:left w:val="none" w:sz="0" w:space="0" w:color="auto"/>
            <w:bottom w:val="none" w:sz="0" w:space="0" w:color="auto"/>
            <w:right w:val="none" w:sz="0" w:space="0" w:color="auto"/>
          </w:divBdr>
        </w:div>
        <w:div w:id="818963434">
          <w:marLeft w:val="0"/>
          <w:marRight w:val="0"/>
          <w:marTop w:val="0"/>
          <w:marBottom w:val="0"/>
          <w:divBdr>
            <w:top w:val="none" w:sz="0" w:space="0" w:color="auto"/>
            <w:left w:val="none" w:sz="0" w:space="0" w:color="auto"/>
            <w:bottom w:val="none" w:sz="0" w:space="0" w:color="auto"/>
            <w:right w:val="none" w:sz="0" w:space="0" w:color="auto"/>
          </w:divBdr>
        </w:div>
        <w:div w:id="1084032308">
          <w:marLeft w:val="0"/>
          <w:marRight w:val="0"/>
          <w:marTop w:val="0"/>
          <w:marBottom w:val="0"/>
          <w:divBdr>
            <w:top w:val="none" w:sz="0" w:space="0" w:color="auto"/>
            <w:left w:val="none" w:sz="0" w:space="0" w:color="auto"/>
            <w:bottom w:val="none" w:sz="0" w:space="0" w:color="auto"/>
            <w:right w:val="none" w:sz="0" w:space="0" w:color="auto"/>
          </w:divBdr>
        </w:div>
        <w:div w:id="778453595">
          <w:marLeft w:val="0"/>
          <w:marRight w:val="0"/>
          <w:marTop w:val="0"/>
          <w:marBottom w:val="0"/>
          <w:divBdr>
            <w:top w:val="none" w:sz="0" w:space="0" w:color="auto"/>
            <w:left w:val="none" w:sz="0" w:space="0" w:color="auto"/>
            <w:bottom w:val="none" w:sz="0" w:space="0" w:color="auto"/>
            <w:right w:val="none" w:sz="0" w:space="0" w:color="auto"/>
          </w:divBdr>
        </w:div>
        <w:div w:id="895505710">
          <w:marLeft w:val="0"/>
          <w:marRight w:val="0"/>
          <w:marTop w:val="0"/>
          <w:marBottom w:val="0"/>
          <w:divBdr>
            <w:top w:val="none" w:sz="0" w:space="0" w:color="auto"/>
            <w:left w:val="none" w:sz="0" w:space="0" w:color="auto"/>
            <w:bottom w:val="none" w:sz="0" w:space="0" w:color="auto"/>
            <w:right w:val="none" w:sz="0" w:space="0" w:color="auto"/>
          </w:divBdr>
        </w:div>
        <w:div w:id="1580478882">
          <w:marLeft w:val="0"/>
          <w:marRight w:val="0"/>
          <w:marTop w:val="0"/>
          <w:marBottom w:val="0"/>
          <w:divBdr>
            <w:top w:val="none" w:sz="0" w:space="0" w:color="auto"/>
            <w:left w:val="none" w:sz="0" w:space="0" w:color="auto"/>
            <w:bottom w:val="none" w:sz="0" w:space="0" w:color="auto"/>
            <w:right w:val="none" w:sz="0" w:space="0" w:color="auto"/>
          </w:divBdr>
        </w:div>
        <w:div w:id="992177299">
          <w:marLeft w:val="0"/>
          <w:marRight w:val="0"/>
          <w:marTop w:val="0"/>
          <w:marBottom w:val="0"/>
          <w:divBdr>
            <w:top w:val="none" w:sz="0" w:space="0" w:color="auto"/>
            <w:left w:val="none" w:sz="0" w:space="0" w:color="auto"/>
            <w:bottom w:val="none" w:sz="0" w:space="0" w:color="auto"/>
            <w:right w:val="none" w:sz="0" w:space="0" w:color="auto"/>
          </w:divBdr>
        </w:div>
        <w:div w:id="2105495544">
          <w:marLeft w:val="0"/>
          <w:marRight w:val="0"/>
          <w:marTop w:val="0"/>
          <w:marBottom w:val="0"/>
          <w:divBdr>
            <w:top w:val="none" w:sz="0" w:space="0" w:color="auto"/>
            <w:left w:val="none" w:sz="0" w:space="0" w:color="auto"/>
            <w:bottom w:val="none" w:sz="0" w:space="0" w:color="auto"/>
            <w:right w:val="none" w:sz="0" w:space="0" w:color="auto"/>
          </w:divBdr>
        </w:div>
        <w:div w:id="160050986">
          <w:marLeft w:val="0"/>
          <w:marRight w:val="0"/>
          <w:marTop w:val="0"/>
          <w:marBottom w:val="0"/>
          <w:divBdr>
            <w:top w:val="none" w:sz="0" w:space="0" w:color="auto"/>
            <w:left w:val="none" w:sz="0" w:space="0" w:color="auto"/>
            <w:bottom w:val="none" w:sz="0" w:space="0" w:color="auto"/>
            <w:right w:val="none" w:sz="0" w:space="0" w:color="auto"/>
          </w:divBdr>
        </w:div>
        <w:div w:id="62721026">
          <w:marLeft w:val="0"/>
          <w:marRight w:val="0"/>
          <w:marTop w:val="0"/>
          <w:marBottom w:val="0"/>
          <w:divBdr>
            <w:top w:val="none" w:sz="0" w:space="0" w:color="auto"/>
            <w:left w:val="none" w:sz="0" w:space="0" w:color="auto"/>
            <w:bottom w:val="none" w:sz="0" w:space="0" w:color="auto"/>
            <w:right w:val="none" w:sz="0" w:space="0" w:color="auto"/>
          </w:divBdr>
        </w:div>
        <w:div w:id="897126431">
          <w:marLeft w:val="0"/>
          <w:marRight w:val="0"/>
          <w:marTop w:val="0"/>
          <w:marBottom w:val="0"/>
          <w:divBdr>
            <w:top w:val="none" w:sz="0" w:space="0" w:color="auto"/>
            <w:left w:val="none" w:sz="0" w:space="0" w:color="auto"/>
            <w:bottom w:val="none" w:sz="0" w:space="0" w:color="auto"/>
            <w:right w:val="none" w:sz="0" w:space="0" w:color="auto"/>
          </w:divBdr>
        </w:div>
        <w:div w:id="204680728">
          <w:marLeft w:val="0"/>
          <w:marRight w:val="0"/>
          <w:marTop w:val="0"/>
          <w:marBottom w:val="0"/>
          <w:divBdr>
            <w:top w:val="none" w:sz="0" w:space="0" w:color="auto"/>
            <w:left w:val="none" w:sz="0" w:space="0" w:color="auto"/>
            <w:bottom w:val="none" w:sz="0" w:space="0" w:color="auto"/>
            <w:right w:val="none" w:sz="0" w:space="0" w:color="auto"/>
          </w:divBdr>
        </w:div>
        <w:div w:id="1454593881">
          <w:marLeft w:val="0"/>
          <w:marRight w:val="0"/>
          <w:marTop w:val="0"/>
          <w:marBottom w:val="0"/>
          <w:divBdr>
            <w:top w:val="none" w:sz="0" w:space="0" w:color="auto"/>
            <w:left w:val="none" w:sz="0" w:space="0" w:color="auto"/>
            <w:bottom w:val="none" w:sz="0" w:space="0" w:color="auto"/>
            <w:right w:val="none" w:sz="0" w:space="0" w:color="auto"/>
          </w:divBdr>
        </w:div>
        <w:div w:id="191843555">
          <w:marLeft w:val="0"/>
          <w:marRight w:val="0"/>
          <w:marTop w:val="0"/>
          <w:marBottom w:val="0"/>
          <w:divBdr>
            <w:top w:val="none" w:sz="0" w:space="0" w:color="auto"/>
            <w:left w:val="none" w:sz="0" w:space="0" w:color="auto"/>
            <w:bottom w:val="none" w:sz="0" w:space="0" w:color="auto"/>
            <w:right w:val="none" w:sz="0" w:space="0" w:color="auto"/>
          </w:divBdr>
        </w:div>
        <w:div w:id="1022170870">
          <w:marLeft w:val="0"/>
          <w:marRight w:val="0"/>
          <w:marTop w:val="0"/>
          <w:marBottom w:val="0"/>
          <w:divBdr>
            <w:top w:val="none" w:sz="0" w:space="0" w:color="auto"/>
            <w:left w:val="none" w:sz="0" w:space="0" w:color="auto"/>
            <w:bottom w:val="none" w:sz="0" w:space="0" w:color="auto"/>
            <w:right w:val="none" w:sz="0" w:space="0" w:color="auto"/>
          </w:divBdr>
        </w:div>
        <w:div w:id="2023555592">
          <w:marLeft w:val="0"/>
          <w:marRight w:val="0"/>
          <w:marTop w:val="0"/>
          <w:marBottom w:val="0"/>
          <w:divBdr>
            <w:top w:val="none" w:sz="0" w:space="0" w:color="auto"/>
            <w:left w:val="none" w:sz="0" w:space="0" w:color="auto"/>
            <w:bottom w:val="none" w:sz="0" w:space="0" w:color="auto"/>
            <w:right w:val="none" w:sz="0" w:space="0" w:color="auto"/>
          </w:divBdr>
        </w:div>
        <w:div w:id="2034189505">
          <w:marLeft w:val="0"/>
          <w:marRight w:val="0"/>
          <w:marTop w:val="0"/>
          <w:marBottom w:val="0"/>
          <w:divBdr>
            <w:top w:val="none" w:sz="0" w:space="0" w:color="auto"/>
            <w:left w:val="none" w:sz="0" w:space="0" w:color="auto"/>
            <w:bottom w:val="none" w:sz="0" w:space="0" w:color="auto"/>
            <w:right w:val="none" w:sz="0" w:space="0" w:color="auto"/>
          </w:divBdr>
        </w:div>
        <w:div w:id="773865365">
          <w:marLeft w:val="0"/>
          <w:marRight w:val="0"/>
          <w:marTop w:val="0"/>
          <w:marBottom w:val="0"/>
          <w:divBdr>
            <w:top w:val="none" w:sz="0" w:space="0" w:color="auto"/>
            <w:left w:val="none" w:sz="0" w:space="0" w:color="auto"/>
            <w:bottom w:val="none" w:sz="0" w:space="0" w:color="auto"/>
            <w:right w:val="none" w:sz="0" w:space="0" w:color="auto"/>
          </w:divBdr>
        </w:div>
        <w:div w:id="1163004875">
          <w:marLeft w:val="0"/>
          <w:marRight w:val="0"/>
          <w:marTop w:val="0"/>
          <w:marBottom w:val="0"/>
          <w:divBdr>
            <w:top w:val="none" w:sz="0" w:space="0" w:color="auto"/>
            <w:left w:val="none" w:sz="0" w:space="0" w:color="auto"/>
            <w:bottom w:val="none" w:sz="0" w:space="0" w:color="auto"/>
            <w:right w:val="none" w:sz="0" w:space="0" w:color="auto"/>
          </w:divBdr>
        </w:div>
        <w:div w:id="1988364100">
          <w:marLeft w:val="0"/>
          <w:marRight w:val="0"/>
          <w:marTop w:val="0"/>
          <w:marBottom w:val="0"/>
          <w:divBdr>
            <w:top w:val="none" w:sz="0" w:space="0" w:color="auto"/>
            <w:left w:val="none" w:sz="0" w:space="0" w:color="auto"/>
            <w:bottom w:val="none" w:sz="0" w:space="0" w:color="auto"/>
            <w:right w:val="none" w:sz="0" w:space="0" w:color="auto"/>
          </w:divBdr>
        </w:div>
        <w:div w:id="1002046841">
          <w:marLeft w:val="0"/>
          <w:marRight w:val="0"/>
          <w:marTop w:val="0"/>
          <w:marBottom w:val="0"/>
          <w:divBdr>
            <w:top w:val="none" w:sz="0" w:space="0" w:color="auto"/>
            <w:left w:val="none" w:sz="0" w:space="0" w:color="auto"/>
            <w:bottom w:val="none" w:sz="0" w:space="0" w:color="auto"/>
            <w:right w:val="none" w:sz="0" w:space="0" w:color="auto"/>
          </w:divBdr>
        </w:div>
        <w:div w:id="248775593">
          <w:marLeft w:val="0"/>
          <w:marRight w:val="0"/>
          <w:marTop w:val="0"/>
          <w:marBottom w:val="0"/>
          <w:divBdr>
            <w:top w:val="none" w:sz="0" w:space="0" w:color="auto"/>
            <w:left w:val="none" w:sz="0" w:space="0" w:color="auto"/>
            <w:bottom w:val="none" w:sz="0" w:space="0" w:color="auto"/>
            <w:right w:val="none" w:sz="0" w:space="0" w:color="auto"/>
          </w:divBdr>
        </w:div>
        <w:div w:id="2105105165">
          <w:marLeft w:val="0"/>
          <w:marRight w:val="0"/>
          <w:marTop w:val="0"/>
          <w:marBottom w:val="0"/>
          <w:divBdr>
            <w:top w:val="none" w:sz="0" w:space="0" w:color="auto"/>
            <w:left w:val="none" w:sz="0" w:space="0" w:color="auto"/>
            <w:bottom w:val="none" w:sz="0" w:space="0" w:color="auto"/>
            <w:right w:val="none" w:sz="0" w:space="0" w:color="auto"/>
          </w:divBdr>
        </w:div>
        <w:div w:id="471680279">
          <w:marLeft w:val="0"/>
          <w:marRight w:val="0"/>
          <w:marTop w:val="0"/>
          <w:marBottom w:val="0"/>
          <w:divBdr>
            <w:top w:val="none" w:sz="0" w:space="0" w:color="auto"/>
            <w:left w:val="none" w:sz="0" w:space="0" w:color="auto"/>
            <w:bottom w:val="none" w:sz="0" w:space="0" w:color="auto"/>
            <w:right w:val="none" w:sz="0" w:space="0" w:color="auto"/>
          </w:divBdr>
        </w:div>
        <w:div w:id="586505237">
          <w:marLeft w:val="0"/>
          <w:marRight w:val="0"/>
          <w:marTop w:val="0"/>
          <w:marBottom w:val="0"/>
          <w:divBdr>
            <w:top w:val="none" w:sz="0" w:space="0" w:color="auto"/>
            <w:left w:val="none" w:sz="0" w:space="0" w:color="auto"/>
            <w:bottom w:val="none" w:sz="0" w:space="0" w:color="auto"/>
            <w:right w:val="none" w:sz="0" w:space="0" w:color="auto"/>
          </w:divBdr>
        </w:div>
        <w:div w:id="696540126">
          <w:marLeft w:val="0"/>
          <w:marRight w:val="0"/>
          <w:marTop w:val="0"/>
          <w:marBottom w:val="0"/>
          <w:divBdr>
            <w:top w:val="none" w:sz="0" w:space="0" w:color="auto"/>
            <w:left w:val="none" w:sz="0" w:space="0" w:color="auto"/>
            <w:bottom w:val="none" w:sz="0" w:space="0" w:color="auto"/>
            <w:right w:val="none" w:sz="0" w:space="0" w:color="auto"/>
          </w:divBdr>
        </w:div>
        <w:div w:id="1712681654">
          <w:marLeft w:val="0"/>
          <w:marRight w:val="0"/>
          <w:marTop w:val="0"/>
          <w:marBottom w:val="0"/>
          <w:divBdr>
            <w:top w:val="none" w:sz="0" w:space="0" w:color="auto"/>
            <w:left w:val="none" w:sz="0" w:space="0" w:color="auto"/>
            <w:bottom w:val="none" w:sz="0" w:space="0" w:color="auto"/>
            <w:right w:val="none" w:sz="0" w:space="0" w:color="auto"/>
          </w:divBdr>
        </w:div>
        <w:div w:id="1446073293">
          <w:marLeft w:val="0"/>
          <w:marRight w:val="0"/>
          <w:marTop w:val="0"/>
          <w:marBottom w:val="0"/>
          <w:divBdr>
            <w:top w:val="none" w:sz="0" w:space="0" w:color="auto"/>
            <w:left w:val="none" w:sz="0" w:space="0" w:color="auto"/>
            <w:bottom w:val="none" w:sz="0" w:space="0" w:color="auto"/>
            <w:right w:val="none" w:sz="0" w:space="0" w:color="auto"/>
          </w:divBdr>
        </w:div>
        <w:div w:id="1915239801">
          <w:marLeft w:val="0"/>
          <w:marRight w:val="0"/>
          <w:marTop w:val="0"/>
          <w:marBottom w:val="0"/>
          <w:divBdr>
            <w:top w:val="none" w:sz="0" w:space="0" w:color="auto"/>
            <w:left w:val="none" w:sz="0" w:space="0" w:color="auto"/>
            <w:bottom w:val="none" w:sz="0" w:space="0" w:color="auto"/>
            <w:right w:val="none" w:sz="0" w:space="0" w:color="auto"/>
          </w:divBdr>
        </w:div>
        <w:div w:id="1528106294">
          <w:marLeft w:val="0"/>
          <w:marRight w:val="0"/>
          <w:marTop w:val="0"/>
          <w:marBottom w:val="0"/>
          <w:divBdr>
            <w:top w:val="none" w:sz="0" w:space="0" w:color="auto"/>
            <w:left w:val="none" w:sz="0" w:space="0" w:color="auto"/>
            <w:bottom w:val="none" w:sz="0" w:space="0" w:color="auto"/>
            <w:right w:val="none" w:sz="0" w:space="0" w:color="auto"/>
          </w:divBdr>
        </w:div>
        <w:div w:id="1615478005">
          <w:marLeft w:val="0"/>
          <w:marRight w:val="0"/>
          <w:marTop w:val="0"/>
          <w:marBottom w:val="0"/>
          <w:divBdr>
            <w:top w:val="none" w:sz="0" w:space="0" w:color="auto"/>
            <w:left w:val="none" w:sz="0" w:space="0" w:color="auto"/>
            <w:bottom w:val="none" w:sz="0" w:space="0" w:color="auto"/>
            <w:right w:val="none" w:sz="0" w:space="0" w:color="auto"/>
          </w:divBdr>
        </w:div>
        <w:div w:id="183448496">
          <w:marLeft w:val="0"/>
          <w:marRight w:val="0"/>
          <w:marTop w:val="0"/>
          <w:marBottom w:val="0"/>
          <w:divBdr>
            <w:top w:val="none" w:sz="0" w:space="0" w:color="auto"/>
            <w:left w:val="none" w:sz="0" w:space="0" w:color="auto"/>
            <w:bottom w:val="none" w:sz="0" w:space="0" w:color="auto"/>
            <w:right w:val="none" w:sz="0" w:space="0" w:color="auto"/>
          </w:divBdr>
        </w:div>
        <w:div w:id="1800298260">
          <w:marLeft w:val="0"/>
          <w:marRight w:val="0"/>
          <w:marTop w:val="0"/>
          <w:marBottom w:val="0"/>
          <w:divBdr>
            <w:top w:val="none" w:sz="0" w:space="0" w:color="auto"/>
            <w:left w:val="none" w:sz="0" w:space="0" w:color="auto"/>
            <w:bottom w:val="none" w:sz="0" w:space="0" w:color="auto"/>
            <w:right w:val="none" w:sz="0" w:space="0" w:color="auto"/>
          </w:divBdr>
        </w:div>
        <w:div w:id="876042773">
          <w:marLeft w:val="0"/>
          <w:marRight w:val="0"/>
          <w:marTop w:val="0"/>
          <w:marBottom w:val="0"/>
          <w:divBdr>
            <w:top w:val="none" w:sz="0" w:space="0" w:color="auto"/>
            <w:left w:val="none" w:sz="0" w:space="0" w:color="auto"/>
            <w:bottom w:val="none" w:sz="0" w:space="0" w:color="auto"/>
            <w:right w:val="none" w:sz="0" w:space="0" w:color="auto"/>
          </w:divBdr>
        </w:div>
        <w:div w:id="112015913">
          <w:marLeft w:val="0"/>
          <w:marRight w:val="0"/>
          <w:marTop w:val="0"/>
          <w:marBottom w:val="0"/>
          <w:divBdr>
            <w:top w:val="none" w:sz="0" w:space="0" w:color="auto"/>
            <w:left w:val="none" w:sz="0" w:space="0" w:color="auto"/>
            <w:bottom w:val="none" w:sz="0" w:space="0" w:color="auto"/>
            <w:right w:val="none" w:sz="0" w:space="0" w:color="auto"/>
          </w:divBdr>
        </w:div>
        <w:div w:id="1246767832">
          <w:marLeft w:val="0"/>
          <w:marRight w:val="0"/>
          <w:marTop w:val="0"/>
          <w:marBottom w:val="0"/>
          <w:divBdr>
            <w:top w:val="none" w:sz="0" w:space="0" w:color="auto"/>
            <w:left w:val="none" w:sz="0" w:space="0" w:color="auto"/>
            <w:bottom w:val="none" w:sz="0" w:space="0" w:color="auto"/>
            <w:right w:val="none" w:sz="0" w:space="0" w:color="auto"/>
          </w:divBdr>
        </w:div>
        <w:div w:id="686638381">
          <w:marLeft w:val="0"/>
          <w:marRight w:val="0"/>
          <w:marTop w:val="0"/>
          <w:marBottom w:val="0"/>
          <w:divBdr>
            <w:top w:val="none" w:sz="0" w:space="0" w:color="auto"/>
            <w:left w:val="none" w:sz="0" w:space="0" w:color="auto"/>
            <w:bottom w:val="none" w:sz="0" w:space="0" w:color="auto"/>
            <w:right w:val="none" w:sz="0" w:space="0" w:color="auto"/>
          </w:divBdr>
        </w:div>
        <w:div w:id="1945648950">
          <w:marLeft w:val="0"/>
          <w:marRight w:val="0"/>
          <w:marTop w:val="0"/>
          <w:marBottom w:val="0"/>
          <w:divBdr>
            <w:top w:val="none" w:sz="0" w:space="0" w:color="auto"/>
            <w:left w:val="none" w:sz="0" w:space="0" w:color="auto"/>
            <w:bottom w:val="none" w:sz="0" w:space="0" w:color="auto"/>
            <w:right w:val="none" w:sz="0" w:space="0" w:color="auto"/>
          </w:divBdr>
        </w:div>
        <w:div w:id="123356934">
          <w:marLeft w:val="0"/>
          <w:marRight w:val="0"/>
          <w:marTop w:val="0"/>
          <w:marBottom w:val="0"/>
          <w:divBdr>
            <w:top w:val="none" w:sz="0" w:space="0" w:color="auto"/>
            <w:left w:val="none" w:sz="0" w:space="0" w:color="auto"/>
            <w:bottom w:val="none" w:sz="0" w:space="0" w:color="auto"/>
            <w:right w:val="none" w:sz="0" w:space="0" w:color="auto"/>
          </w:divBdr>
        </w:div>
        <w:div w:id="1442067035">
          <w:marLeft w:val="0"/>
          <w:marRight w:val="0"/>
          <w:marTop w:val="0"/>
          <w:marBottom w:val="0"/>
          <w:divBdr>
            <w:top w:val="none" w:sz="0" w:space="0" w:color="auto"/>
            <w:left w:val="none" w:sz="0" w:space="0" w:color="auto"/>
            <w:bottom w:val="none" w:sz="0" w:space="0" w:color="auto"/>
            <w:right w:val="none" w:sz="0" w:space="0" w:color="auto"/>
          </w:divBdr>
        </w:div>
        <w:div w:id="1853448013">
          <w:marLeft w:val="0"/>
          <w:marRight w:val="0"/>
          <w:marTop w:val="0"/>
          <w:marBottom w:val="0"/>
          <w:divBdr>
            <w:top w:val="none" w:sz="0" w:space="0" w:color="auto"/>
            <w:left w:val="none" w:sz="0" w:space="0" w:color="auto"/>
            <w:bottom w:val="none" w:sz="0" w:space="0" w:color="auto"/>
            <w:right w:val="none" w:sz="0" w:space="0" w:color="auto"/>
          </w:divBdr>
        </w:div>
        <w:div w:id="654534670">
          <w:marLeft w:val="0"/>
          <w:marRight w:val="0"/>
          <w:marTop w:val="0"/>
          <w:marBottom w:val="0"/>
          <w:divBdr>
            <w:top w:val="none" w:sz="0" w:space="0" w:color="auto"/>
            <w:left w:val="none" w:sz="0" w:space="0" w:color="auto"/>
            <w:bottom w:val="none" w:sz="0" w:space="0" w:color="auto"/>
            <w:right w:val="none" w:sz="0" w:space="0" w:color="auto"/>
          </w:divBdr>
        </w:div>
        <w:div w:id="2105106060">
          <w:marLeft w:val="0"/>
          <w:marRight w:val="0"/>
          <w:marTop w:val="0"/>
          <w:marBottom w:val="0"/>
          <w:divBdr>
            <w:top w:val="none" w:sz="0" w:space="0" w:color="auto"/>
            <w:left w:val="none" w:sz="0" w:space="0" w:color="auto"/>
            <w:bottom w:val="none" w:sz="0" w:space="0" w:color="auto"/>
            <w:right w:val="none" w:sz="0" w:space="0" w:color="auto"/>
          </w:divBdr>
        </w:div>
        <w:div w:id="1023559116">
          <w:marLeft w:val="0"/>
          <w:marRight w:val="0"/>
          <w:marTop w:val="0"/>
          <w:marBottom w:val="0"/>
          <w:divBdr>
            <w:top w:val="none" w:sz="0" w:space="0" w:color="auto"/>
            <w:left w:val="none" w:sz="0" w:space="0" w:color="auto"/>
            <w:bottom w:val="none" w:sz="0" w:space="0" w:color="auto"/>
            <w:right w:val="none" w:sz="0" w:space="0" w:color="auto"/>
          </w:divBdr>
        </w:div>
        <w:div w:id="1186211250">
          <w:marLeft w:val="0"/>
          <w:marRight w:val="0"/>
          <w:marTop w:val="0"/>
          <w:marBottom w:val="0"/>
          <w:divBdr>
            <w:top w:val="none" w:sz="0" w:space="0" w:color="auto"/>
            <w:left w:val="none" w:sz="0" w:space="0" w:color="auto"/>
            <w:bottom w:val="none" w:sz="0" w:space="0" w:color="auto"/>
            <w:right w:val="none" w:sz="0" w:space="0" w:color="auto"/>
          </w:divBdr>
        </w:div>
        <w:div w:id="967587493">
          <w:marLeft w:val="0"/>
          <w:marRight w:val="0"/>
          <w:marTop w:val="0"/>
          <w:marBottom w:val="0"/>
          <w:divBdr>
            <w:top w:val="none" w:sz="0" w:space="0" w:color="auto"/>
            <w:left w:val="none" w:sz="0" w:space="0" w:color="auto"/>
            <w:bottom w:val="none" w:sz="0" w:space="0" w:color="auto"/>
            <w:right w:val="none" w:sz="0" w:space="0" w:color="auto"/>
          </w:divBdr>
        </w:div>
        <w:div w:id="1800105242">
          <w:marLeft w:val="0"/>
          <w:marRight w:val="0"/>
          <w:marTop w:val="0"/>
          <w:marBottom w:val="0"/>
          <w:divBdr>
            <w:top w:val="none" w:sz="0" w:space="0" w:color="auto"/>
            <w:left w:val="none" w:sz="0" w:space="0" w:color="auto"/>
            <w:bottom w:val="none" w:sz="0" w:space="0" w:color="auto"/>
            <w:right w:val="none" w:sz="0" w:space="0" w:color="auto"/>
          </w:divBdr>
        </w:div>
        <w:div w:id="671569146">
          <w:marLeft w:val="0"/>
          <w:marRight w:val="0"/>
          <w:marTop w:val="0"/>
          <w:marBottom w:val="0"/>
          <w:divBdr>
            <w:top w:val="none" w:sz="0" w:space="0" w:color="auto"/>
            <w:left w:val="none" w:sz="0" w:space="0" w:color="auto"/>
            <w:bottom w:val="none" w:sz="0" w:space="0" w:color="auto"/>
            <w:right w:val="none" w:sz="0" w:space="0" w:color="auto"/>
          </w:divBdr>
        </w:div>
        <w:div w:id="514078926">
          <w:marLeft w:val="0"/>
          <w:marRight w:val="0"/>
          <w:marTop w:val="0"/>
          <w:marBottom w:val="0"/>
          <w:divBdr>
            <w:top w:val="none" w:sz="0" w:space="0" w:color="auto"/>
            <w:left w:val="none" w:sz="0" w:space="0" w:color="auto"/>
            <w:bottom w:val="none" w:sz="0" w:space="0" w:color="auto"/>
            <w:right w:val="none" w:sz="0" w:space="0" w:color="auto"/>
          </w:divBdr>
        </w:div>
        <w:div w:id="1535190220">
          <w:marLeft w:val="0"/>
          <w:marRight w:val="0"/>
          <w:marTop w:val="0"/>
          <w:marBottom w:val="0"/>
          <w:divBdr>
            <w:top w:val="none" w:sz="0" w:space="0" w:color="auto"/>
            <w:left w:val="none" w:sz="0" w:space="0" w:color="auto"/>
            <w:bottom w:val="none" w:sz="0" w:space="0" w:color="auto"/>
            <w:right w:val="none" w:sz="0" w:space="0" w:color="auto"/>
          </w:divBdr>
        </w:div>
        <w:div w:id="696125243">
          <w:marLeft w:val="0"/>
          <w:marRight w:val="0"/>
          <w:marTop w:val="0"/>
          <w:marBottom w:val="0"/>
          <w:divBdr>
            <w:top w:val="none" w:sz="0" w:space="0" w:color="auto"/>
            <w:left w:val="none" w:sz="0" w:space="0" w:color="auto"/>
            <w:bottom w:val="none" w:sz="0" w:space="0" w:color="auto"/>
            <w:right w:val="none" w:sz="0" w:space="0" w:color="auto"/>
          </w:divBdr>
        </w:div>
        <w:div w:id="1693725418">
          <w:marLeft w:val="0"/>
          <w:marRight w:val="0"/>
          <w:marTop w:val="0"/>
          <w:marBottom w:val="0"/>
          <w:divBdr>
            <w:top w:val="none" w:sz="0" w:space="0" w:color="auto"/>
            <w:left w:val="none" w:sz="0" w:space="0" w:color="auto"/>
            <w:bottom w:val="none" w:sz="0" w:space="0" w:color="auto"/>
            <w:right w:val="none" w:sz="0" w:space="0" w:color="auto"/>
          </w:divBdr>
        </w:div>
        <w:div w:id="1401249877">
          <w:marLeft w:val="0"/>
          <w:marRight w:val="0"/>
          <w:marTop w:val="0"/>
          <w:marBottom w:val="0"/>
          <w:divBdr>
            <w:top w:val="none" w:sz="0" w:space="0" w:color="auto"/>
            <w:left w:val="none" w:sz="0" w:space="0" w:color="auto"/>
            <w:bottom w:val="none" w:sz="0" w:space="0" w:color="auto"/>
            <w:right w:val="none" w:sz="0" w:space="0" w:color="auto"/>
          </w:divBdr>
        </w:div>
        <w:div w:id="1245148734">
          <w:marLeft w:val="0"/>
          <w:marRight w:val="0"/>
          <w:marTop w:val="0"/>
          <w:marBottom w:val="0"/>
          <w:divBdr>
            <w:top w:val="none" w:sz="0" w:space="0" w:color="auto"/>
            <w:left w:val="none" w:sz="0" w:space="0" w:color="auto"/>
            <w:bottom w:val="none" w:sz="0" w:space="0" w:color="auto"/>
            <w:right w:val="none" w:sz="0" w:space="0" w:color="auto"/>
          </w:divBdr>
        </w:div>
        <w:div w:id="1416707272">
          <w:marLeft w:val="0"/>
          <w:marRight w:val="0"/>
          <w:marTop w:val="0"/>
          <w:marBottom w:val="0"/>
          <w:divBdr>
            <w:top w:val="none" w:sz="0" w:space="0" w:color="auto"/>
            <w:left w:val="none" w:sz="0" w:space="0" w:color="auto"/>
            <w:bottom w:val="none" w:sz="0" w:space="0" w:color="auto"/>
            <w:right w:val="none" w:sz="0" w:space="0" w:color="auto"/>
          </w:divBdr>
        </w:div>
        <w:div w:id="1792624383">
          <w:marLeft w:val="0"/>
          <w:marRight w:val="0"/>
          <w:marTop w:val="0"/>
          <w:marBottom w:val="0"/>
          <w:divBdr>
            <w:top w:val="none" w:sz="0" w:space="0" w:color="auto"/>
            <w:left w:val="none" w:sz="0" w:space="0" w:color="auto"/>
            <w:bottom w:val="none" w:sz="0" w:space="0" w:color="auto"/>
            <w:right w:val="none" w:sz="0" w:space="0" w:color="auto"/>
          </w:divBdr>
        </w:div>
        <w:div w:id="1409155832">
          <w:marLeft w:val="0"/>
          <w:marRight w:val="0"/>
          <w:marTop w:val="0"/>
          <w:marBottom w:val="0"/>
          <w:divBdr>
            <w:top w:val="none" w:sz="0" w:space="0" w:color="auto"/>
            <w:left w:val="none" w:sz="0" w:space="0" w:color="auto"/>
            <w:bottom w:val="none" w:sz="0" w:space="0" w:color="auto"/>
            <w:right w:val="none" w:sz="0" w:space="0" w:color="auto"/>
          </w:divBdr>
        </w:div>
        <w:div w:id="1779595880">
          <w:marLeft w:val="0"/>
          <w:marRight w:val="0"/>
          <w:marTop w:val="0"/>
          <w:marBottom w:val="0"/>
          <w:divBdr>
            <w:top w:val="none" w:sz="0" w:space="0" w:color="auto"/>
            <w:left w:val="none" w:sz="0" w:space="0" w:color="auto"/>
            <w:bottom w:val="none" w:sz="0" w:space="0" w:color="auto"/>
            <w:right w:val="none" w:sz="0" w:space="0" w:color="auto"/>
          </w:divBdr>
        </w:div>
        <w:div w:id="646783169">
          <w:marLeft w:val="0"/>
          <w:marRight w:val="0"/>
          <w:marTop w:val="0"/>
          <w:marBottom w:val="0"/>
          <w:divBdr>
            <w:top w:val="none" w:sz="0" w:space="0" w:color="auto"/>
            <w:left w:val="none" w:sz="0" w:space="0" w:color="auto"/>
            <w:bottom w:val="none" w:sz="0" w:space="0" w:color="auto"/>
            <w:right w:val="none" w:sz="0" w:space="0" w:color="auto"/>
          </w:divBdr>
        </w:div>
        <w:div w:id="641154106">
          <w:marLeft w:val="0"/>
          <w:marRight w:val="0"/>
          <w:marTop w:val="0"/>
          <w:marBottom w:val="0"/>
          <w:divBdr>
            <w:top w:val="none" w:sz="0" w:space="0" w:color="auto"/>
            <w:left w:val="none" w:sz="0" w:space="0" w:color="auto"/>
            <w:bottom w:val="none" w:sz="0" w:space="0" w:color="auto"/>
            <w:right w:val="none" w:sz="0" w:space="0" w:color="auto"/>
          </w:divBdr>
        </w:div>
        <w:div w:id="212352045">
          <w:marLeft w:val="0"/>
          <w:marRight w:val="0"/>
          <w:marTop w:val="0"/>
          <w:marBottom w:val="0"/>
          <w:divBdr>
            <w:top w:val="none" w:sz="0" w:space="0" w:color="auto"/>
            <w:left w:val="none" w:sz="0" w:space="0" w:color="auto"/>
            <w:bottom w:val="none" w:sz="0" w:space="0" w:color="auto"/>
            <w:right w:val="none" w:sz="0" w:space="0" w:color="auto"/>
          </w:divBdr>
        </w:div>
        <w:div w:id="434445251">
          <w:marLeft w:val="0"/>
          <w:marRight w:val="0"/>
          <w:marTop w:val="0"/>
          <w:marBottom w:val="0"/>
          <w:divBdr>
            <w:top w:val="none" w:sz="0" w:space="0" w:color="auto"/>
            <w:left w:val="none" w:sz="0" w:space="0" w:color="auto"/>
            <w:bottom w:val="none" w:sz="0" w:space="0" w:color="auto"/>
            <w:right w:val="none" w:sz="0" w:space="0" w:color="auto"/>
          </w:divBdr>
        </w:div>
        <w:div w:id="328561585">
          <w:marLeft w:val="0"/>
          <w:marRight w:val="0"/>
          <w:marTop w:val="0"/>
          <w:marBottom w:val="0"/>
          <w:divBdr>
            <w:top w:val="none" w:sz="0" w:space="0" w:color="auto"/>
            <w:left w:val="none" w:sz="0" w:space="0" w:color="auto"/>
            <w:bottom w:val="none" w:sz="0" w:space="0" w:color="auto"/>
            <w:right w:val="none" w:sz="0" w:space="0" w:color="auto"/>
          </w:divBdr>
        </w:div>
        <w:div w:id="1966766287">
          <w:marLeft w:val="0"/>
          <w:marRight w:val="0"/>
          <w:marTop w:val="0"/>
          <w:marBottom w:val="0"/>
          <w:divBdr>
            <w:top w:val="none" w:sz="0" w:space="0" w:color="auto"/>
            <w:left w:val="none" w:sz="0" w:space="0" w:color="auto"/>
            <w:bottom w:val="none" w:sz="0" w:space="0" w:color="auto"/>
            <w:right w:val="none" w:sz="0" w:space="0" w:color="auto"/>
          </w:divBdr>
        </w:div>
      </w:divsChild>
    </w:div>
    <w:div w:id="1293560274">
      <w:bodyDiv w:val="1"/>
      <w:marLeft w:val="0"/>
      <w:marRight w:val="0"/>
      <w:marTop w:val="0"/>
      <w:marBottom w:val="0"/>
      <w:divBdr>
        <w:top w:val="none" w:sz="0" w:space="0" w:color="auto"/>
        <w:left w:val="none" w:sz="0" w:space="0" w:color="auto"/>
        <w:bottom w:val="none" w:sz="0" w:space="0" w:color="auto"/>
        <w:right w:val="none" w:sz="0" w:space="0" w:color="auto"/>
      </w:divBdr>
    </w:div>
    <w:div w:id="1359429864">
      <w:bodyDiv w:val="1"/>
      <w:marLeft w:val="0"/>
      <w:marRight w:val="0"/>
      <w:marTop w:val="0"/>
      <w:marBottom w:val="0"/>
      <w:divBdr>
        <w:top w:val="none" w:sz="0" w:space="0" w:color="auto"/>
        <w:left w:val="none" w:sz="0" w:space="0" w:color="auto"/>
        <w:bottom w:val="none" w:sz="0" w:space="0" w:color="auto"/>
        <w:right w:val="none" w:sz="0" w:space="0" w:color="auto"/>
      </w:divBdr>
      <w:divsChild>
        <w:div w:id="118686331">
          <w:marLeft w:val="360"/>
          <w:marRight w:val="0"/>
          <w:marTop w:val="0"/>
          <w:marBottom w:val="0"/>
          <w:divBdr>
            <w:top w:val="none" w:sz="0" w:space="0" w:color="auto"/>
            <w:left w:val="none" w:sz="0" w:space="0" w:color="auto"/>
            <w:bottom w:val="none" w:sz="0" w:space="0" w:color="auto"/>
            <w:right w:val="none" w:sz="0" w:space="0" w:color="auto"/>
          </w:divBdr>
        </w:div>
        <w:div w:id="479158942">
          <w:marLeft w:val="360"/>
          <w:marRight w:val="0"/>
          <w:marTop w:val="0"/>
          <w:marBottom w:val="0"/>
          <w:divBdr>
            <w:top w:val="none" w:sz="0" w:space="0" w:color="auto"/>
            <w:left w:val="none" w:sz="0" w:space="0" w:color="auto"/>
            <w:bottom w:val="none" w:sz="0" w:space="0" w:color="auto"/>
            <w:right w:val="none" w:sz="0" w:space="0" w:color="auto"/>
          </w:divBdr>
        </w:div>
        <w:div w:id="1184590270">
          <w:marLeft w:val="360"/>
          <w:marRight w:val="0"/>
          <w:marTop w:val="0"/>
          <w:marBottom w:val="0"/>
          <w:divBdr>
            <w:top w:val="none" w:sz="0" w:space="0" w:color="auto"/>
            <w:left w:val="none" w:sz="0" w:space="0" w:color="auto"/>
            <w:bottom w:val="none" w:sz="0" w:space="0" w:color="auto"/>
            <w:right w:val="none" w:sz="0" w:space="0" w:color="auto"/>
          </w:divBdr>
        </w:div>
      </w:divsChild>
    </w:div>
    <w:div w:id="1369720037">
      <w:bodyDiv w:val="1"/>
      <w:marLeft w:val="0"/>
      <w:marRight w:val="0"/>
      <w:marTop w:val="0"/>
      <w:marBottom w:val="0"/>
      <w:divBdr>
        <w:top w:val="none" w:sz="0" w:space="0" w:color="auto"/>
        <w:left w:val="none" w:sz="0" w:space="0" w:color="auto"/>
        <w:bottom w:val="none" w:sz="0" w:space="0" w:color="auto"/>
        <w:right w:val="none" w:sz="0" w:space="0" w:color="auto"/>
      </w:divBdr>
      <w:divsChild>
        <w:div w:id="1693072054">
          <w:marLeft w:val="0"/>
          <w:marRight w:val="0"/>
          <w:marTop w:val="0"/>
          <w:marBottom w:val="0"/>
          <w:divBdr>
            <w:top w:val="none" w:sz="0" w:space="0" w:color="auto"/>
            <w:left w:val="none" w:sz="0" w:space="0" w:color="auto"/>
            <w:bottom w:val="none" w:sz="0" w:space="0" w:color="auto"/>
            <w:right w:val="none" w:sz="0" w:space="0" w:color="auto"/>
          </w:divBdr>
        </w:div>
        <w:div w:id="1786804463">
          <w:marLeft w:val="0"/>
          <w:marRight w:val="0"/>
          <w:marTop w:val="0"/>
          <w:marBottom w:val="0"/>
          <w:divBdr>
            <w:top w:val="none" w:sz="0" w:space="0" w:color="auto"/>
            <w:left w:val="none" w:sz="0" w:space="0" w:color="auto"/>
            <w:bottom w:val="none" w:sz="0" w:space="0" w:color="auto"/>
            <w:right w:val="none" w:sz="0" w:space="0" w:color="auto"/>
          </w:divBdr>
        </w:div>
        <w:div w:id="180628763">
          <w:marLeft w:val="0"/>
          <w:marRight w:val="0"/>
          <w:marTop w:val="0"/>
          <w:marBottom w:val="0"/>
          <w:divBdr>
            <w:top w:val="none" w:sz="0" w:space="0" w:color="auto"/>
            <w:left w:val="none" w:sz="0" w:space="0" w:color="auto"/>
            <w:bottom w:val="none" w:sz="0" w:space="0" w:color="auto"/>
            <w:right w:val="none" w:sz="0" w:space="0" w:color="auto"/>
          </w:divBdr>
        </w:div>
        <w:div w:id="1870944434">
          <w:marLeft w:val="0"/>
          <w:marRight w:val="0"/>
          <w:marTop w:val="0"/>
          <w:marBottom w:val="0"/>
          <w:divBdr>
            <w:top w:val="none" w:sz="0" w:space="0" w:color="auto"/>
            <w:left w:val="none" w:sz="0" w:space="0" w:color="auto"/>
            <w:bottom w:val="none" w:sz="0" w:space="0" w:color="auto"/>
            <w:right w:val="none" w:sz="0" w:space="0" w:color="auto"/>
          </w:divBdr>
        </w:div>
        <w:div w:id="902564541">
          <w:marLeft w:val="0"/>
          <w:marRight w:val="0"/>
          <w:marTop w:val="0"/>
          <w:marBottom w:val="0"/>
          <w:divBdr>
            <w:top w:val="none" w:sz="0" w:space="0" w:color="auto"/>
            <w:left w:val="none" w:sz="0" w:space="0" w:color="auto"/>
            <w:bottom w:val="none" w:sz="0" w:space="0" w:color="auto"/>
            <w:right w:val="none" w:sz="0" w:space="0" w:color="auto"/>
          </w:divBdr>
        </w:div>
        <w:div w:id="2011522967">
          <w:marLeft w:val="0"/>
          <w:marRight w:val="0"/>
          <w:marTop w:val="0"/>
          <w:marBottom w:val="0"/>
          <w:divBdr>
            <w:top w:val="none" w:sz="0" w:space="0" w:color="auto"/>
            <w:left w:val="none" w:sz="0" w:space="0" w:color="auto"/>
            <w:bottom w:val="none" w:sz="0" w:space="0" w:color="auto"/>
            <w:right w:val="none" w:sz="0" w:space="0" w:color="auto"/>
          </w:divBdr>
        </w:div>
        <w:div w:id="1046031274">
          <w:marLeft w:val="0"/>
          <w:marRight w:val="0"/>
          <w:marTop w:val="0"/>
          <w:marBottom w:val="0"/>
          <w:divBdr>
            <w:top w:val="none" w:sz="0" w:space="0" w:color="auto"/>
            <w:left w:val="none" w:sz="0" w:space="0" w:color="auto"/>
            <w:bottom w:val="none" w:sz="0" w:space="0" w:color="auto"/>
            <w:right w:val="none" w:sz="0" w:space="0" w:color="auto"/>
          </w:divBdr>
        </w:div>
        <w:div w:id="587815956">
          <w:marLeft w:val="0"/>
          <w:marRight w:val="0"/>
          <w:marTop w:val="0"/>
          <w:marBottom w:val="0"/>
          <w:divBdr>
            <w:top w:val="none" w:sz="0" w:space="0" w:color="auto"/>
            <w:left w:val="none" w:sz="0" w:space="0" w:color="auto"/>
            <w:bottom w:val="none" w:sz="0" w:space="0" w:color="auto"/>
            <w:right w:val="none" w:sz="0" w:space="0" w:color="auto"/>
          </w:divBdr>
        </w:div>
        <w:div w:id="487601078">
          <w:marLeft w:val="0"/>
          <w:marRight w:val="0"/>
          <w:marTop w:val="0"/>
          <w:marBottom w:val="0"/>
          <w:divBdr>
            <w:top w:val="none" w:sz="0" w:space="0" w:color="auto"/>
            <w:left w:val="none" w:sz="0" w:space="0" w:color="auto"/>
            <w:bottom w:val="none" w:sz="0" w:space="0" w:color="auto"/>
            <w:right w:val="none" w:sz="0" w:space="0" w:color="auto"/>
          </w:divBdr>
        </w:div>
        <w:div w:id="1592741356">
          <w:marLeft w:val="0"/>
          <w:marRight w:val="0"/>
          <w:marTop w:val="0"/>
          <w:marBottom w:val="0"/>
          <w:divBdr>
            <w:top w:val="none" w:sz="0" w:space="0" w:color="auto"/>
            <w:left w:val="none" w:sz="0" w:space="0" w:color="auto"/>
            <w:bottom w:val="none" w:sz="0" w:space="0" w:color="auto"/>
            <w:right w:val="none" w:sz="0" w:space="0" w:color="auto"/>
          </w:divBdr>
        </w:div>
        <w:div w:id="28073008">
          <w:marLeft w:val="0"/>
          <w:marRight w:val="0"/>
          <w:marTop w:val="0"/>
          <w:marBottom w:val="0"/>
          <w:divBdr>
            <w:top w:val="none" w:sz="0" w:space="0" w:color="auto"/>
            <w:left w:val="none" w:sz="0" w:space="0" w:color="auto"/>
            <w:bottom w:val="none" w:sz="0" w:space="0" w:color="auto"/>
            <w:right w:val="none" w:sz="0" w:space="0" w:color="auto"/>
          </w:divBdr>
        </w:div>
      </w:divsChild>
    </w:div>
    <w:div w:id="1435782765">
      <w:bodyDiv w:val="1"/>
      <w:marLeft w:val="0"/>
      <w:marRight w:val="0"/>
      <w:marTop w:val="0"/>
      <w:marBottom w:val="0"/>
      <w:divBdr>
        <w:top w:val="none" w:sz="0" w:space="0" w:color="auto"/>
        <w:left w:val="none" w:sz="0" w:space="0" w:color="auto"/>
        <w:bottom w:val="none" w:sz="0" w:space="0" w:color="auto"/>
        <w:right w:val="none" w:sz="0" w:space="0" w:color="auto"/>
      </w:divBdr>
      <w:divsChild>
        <w:div w:id="1025711558">
          <w:marLeft w:val="0"/>
          <w:marRight w:val="0"/>
          <w:marTop w:val="0"/>
          <w:marBottom w:val="0"/>
          <w:divBdr>
            <w:top w:val="none" w:sz="0" w:space="0" w:color="auto"/>
            <w:left w:val="none" w:sz="0" w:space="0" w:color="auto"/>
            <w:bottom w:val="none" w:sz="0" w:space="0" w:color="auto"/>
            <w:right w:val="none" w:sz="0" w:space="0" w:color="auto"/>
          </w:divBdr>
        </w:div>
        <w:div w:id="1221671264">
          <w:marLeft w:val="0"/>
          <w:marRight w:val="0"/>
          <w:marTop w:val="0"/>
          <w:marBottom w:val="0"/>
          <w:divBdr>
            <w:top w:val="none" w:sz="0" w:space="0" w:color="auto"/>
            <w:left w:val="none" w:sz="0" w:space="0" w:color="auto"/>
            <w:bottom w:val="none" w:sz="0" w:space="0" w:color="auto"/>
            <w:right w:val="none" w:sz="0" w:space="0" w:color="auto"/>
          </w:divBdr>
        </w:div>
        <w:div w:id="1681154680">
          <w:marLeft w:val="0"/>
          <w:marRight w:val="0"/>
          <w:marTop w:val="0"/>
          <w:marBottom w:val="0"/>
          <w:divBdr>
            <w:top w:val="none" w:sz="0" w:space="0" w:color="auto"/>
            <w:left w:val="none" w:sz="0" w:space="0" w:color="auto"/>
            <w:bottom w:val="none" w:sz="0" w:space="0" w:color="auto"/>
            <w:right w:val="none" w:sz="0" w:space="0" w:color="auto"/>
          </w:divBdr>
        </w:div>
      </w:divsChild>
    </w:div>
    <w:div w:id="1478571808">
      <w:bodyDiv w:val="1"/>
      <w:marLeft w:val="0"/>
      <w:marRight w:val="0"/>
      <w:marTop w:val="0"/>
      <w:marBottom w:val="0"/>
      <w:divBdr>
        <w:top w:val="none" w:sz="0" w:space="0" w:color="auto"/>
        <w:left w:val="none" w:sz="0" w:space="0" w:color="auto"/>
        <w:bottom w:val="none" w:sz="0" w:space="0" w:color="auto"/>
        <w:right w:val="none" w:sz="0" w:space="0" w:color="auto"/>
      </w:divBdr>
      <w:divsChild>
        <w:div w:id="1543178017">
          <w:marLeft w:val="0"/>
          <w:marRight w:val="0"/>
          <w:marTop w:val="0"/>
          <w:marBottom w:val="0"/>
          <w:divBdr>
            <w:top w:val="none" w:sz="0" w:space="0" w:color="auto"/>
            <w:left w:val="none" w:sz="0" w:space="0" w:color="auto"/>
            <w:bottom w:val="none" w:sz="0" w:space="0" w:color="auto"/>
            <w:right w:val="none" w:sz="0" w:space="0" w:color="auto"/>
          </w:divBdr>
        </w:div>
        <w:div w:id="2067101423">
          <w:marLeft w:val="0"/>
          <w:marRight w:val="0"/>
          <w:marTop w:val="0"/>
          <w:marBottom w:val="0"/>
          <w:divBdr>
            <w:top w:val="none" w:sz="0" w:space="0" w:color="auto"/>
            <w:left w:val="none" w:sz="0" w:space="0" w:color="auto"/>
            <w:bottom w:val="none" w:sz="0" w:space="0" w:color="auto"/>
            <w:right w:val="none" w:sz="0" w:space="0" w:color="auto"/>
          </w:divBdr>
        </w:div>
        <w:div w:id="1803422978">
          <w:marLeft w:val="0"/>
          <w:marRight w:val="0"/>
          <w:marTop w:val="0"/>
          <w:marBottom w:val="0"/>
          <w:divBdr>
            <w:top w:val="none" w:sz="0" w:space="0" w:color="auto"/>
            <w:left w:val="none" w:sz="0" w:space="0" w:color="auto"/>
            <w:bottom w:val="none" w:sz="0" w:space="0" w:color="auto"/>
            <w:right w:val="none" w:sz="0" w:space="0" w:color="auto"/>
          </w:divBdr>
        </w:div>
        <w:div w:id="218253047">
          <w:marLeft w:val="0"/>
          <w:marRight w:val="0"/>
          <w:marTop w:val="0"/>
          <w:marBottom w:val="0"/>
          <w:divBdr>
            <w:top w:val="none" w:sz="0" w:space="0" w:color="auto"/>
            <w:left w:val="none" w:sz="0" w:space="0" w:color="auto"/>
            <w:bottom w:val="none" w:sz="0" w:space="0" w:color="auto"/>
            <w:right w:val="none" w:sz="0" w:space="0" w:color="auto"/>
          </w:divBdr>
        </w:div>
        <w:div w:id="315497551">
          <w:marLeft w:val="0"/>
          <w:marRight w:val="0"/>
          <w:marTop w:val="0"/>
          <w:marBottom w:val="0"/>
          <w:divBdr>
            <w:top w:val="none" w:sz="0" w:space="0" w:color="auto"/>
            <w:left w:val="none" w:sz="0" w:space="0" w:color="auto"/>
            <w:bottom w:val="none" w:sz="0" w:space="0" w:color="auto"/>
            <w:right w:val="none" w:sz="0" w:space="0" w:color="auto"/>
          </w:divBdr>
        </w:div>
        <w:div w:id="357121454">
          <w:marLeft w:val="0"/>
          <w:marRight w:val="0"/>
          <w:marTop w:val="0"/>
          <w:marBottom w:val="0"/>
          <w:divBdr>
            <w:top w:val="none" w:sz="0" w:space="0" w:color="auto"/>
            <w:left w:val="none" w:sz="0" w:space="0" w:color="auto"/>
            <w:bottom w:val="none" w:sz="0" w:space="0" w:color="auto"/>
            <w:right w:val="none" w:sz="0" w:space="0" w:color="auto"/>
          </w:divBdr>
        </w:div>
        <w:div w:id="1190483847">
          <w:marLeft w:val="0"/>
          <w:marRight w:val="0"/>
          <w:marTop w:val="0"/>
          <w:marBottom w:val="0"/>
          <w:divBdr>
            <w:top w:val="none" w:sz="0" w:space="0" w:color="auto"/>
            <w:left w:val="none" w:sz="0" w:space="0" w:color="auto"/>
            <w:bottom w:val="none" w:sz="0" w:space="0" w:color="auto"/>
            <w:right w:val="none" w:sz="0" w:space="0" w:color="auto"/>
          </w:divBdr>
        </w:div>
        <w:div w:id="1968899016">
          <w:marLeft w:val="0"/>
          <w:marRight w:val="0"/>
          <w:marTop w:val="0"/>
          <w:marBottom w:val="0"/>
          <w:divBdr>
            <w:top w:val="none" w:sz="0" w:space="0" w:color="auto"/>
            <w:left w:val="none" w:sz="0" w:space="0" w:color="auto"/>
            <w:bottom w:val="none" w:sz="0" w:space="0" w:color="auto"/>
            <w:right w:val="none" w:sz="0" w:space="0" w:color="auto"/>
          </w:divBdr>
        </w:div>
        <w:div w:id="370502530">
          <w:marLeft w:val="0"/>
          <w:marRight w:val="0"/>
          <w:marTop w:val="0"/>
          <w:marBottom w:val="0"/>
          <w:divBdr>
            <w:top w:val="none" w:sz="0" w:space="0" w:color="auto"/>
            <w:left w:val="none" w:sz="0" w:space="0" w:color="auto"/>
            <w:bottom w:val="none" w:sz="0" w:space="0" w:color="auto"/>
            <w:right w:val="none" w:sz="0" w:space="0" w:color="auto"/>
          </w:divBdr>
        </w:div>
        <w:div w:id="46150190">
          <w:marLeft w:val="0"/>
          <w:marRight w:val="0"/>
          <w:marTop w:val="0"/>
          <w:marBottom w:val="0"/>
          <w:divBdr>
            <w:top w:val="none" w:sz="0" w:space="0" w:color="auto"/>
            <w:left w:val="none" w:sz="0" w:space="0" w:color="auto"/>
            <w:bottom w:val="none" w:sz="0" w:space="0" w:color="auto"/>
            <w:right w:val="none" w:sz="0" w:space="0" w:color="auto"/>
          </w:divBdr>
        </w:div>
        <w:div w:id="606349467">
          <w:marLeft w:val="0"/>
          <w:marRight w:val="0"/>
          <w:marTop w:val="0"/>
          <w:marBottom w:val="0"/>
          <w:divBdr>
            <w:top w:val="none" w:sz="0" w:space="0" w:color="auto"/>
            <w:left w:val="none" w:sz="0" w:space="0" w:color="auto"/>
            <w:bottom w:val="none" w:sz="0" w:space="0" w:color="auto"/>
            <w:right w:val="none" w:sz="0" w:space="0" w:color="auto"/>
          </w:divBdr>
        </w:div>
      </w:divsChild>
    </w:div>
    <w:div w:id="1555118532">
      <w:bodyDiv w:val="1"/>
      <w:marLeft w:val="0"/>
      <w:marRight w:val="0"/>
      <w:marTop w:val="0"/>
      <w:marBottom w:val="0"/>
      <w:divBdr>
        <w:top w:val="none" w:sz="0" w:space="0" w:color="auto"/>
        <w:left w:val="none" w:sz="0" w:space="0" w:color="auto"/>
        <w:bottom w:val="none" w:sz="0" w:space="0" w:color="auto"/>
        <w:right w:val="none" w:sz="0" w:space="0" w:color="auto"/>
      </w:divBdr>
      <w:divsChild>
        <w:div w:id="535392671">
          <w:marLeft w:val="0"/>
          <w:marRight w:val="0"/>
          <w:marTop w:val="0"/>
          <w:marBottom w:val="0"/>
          <w:divBdr>
            <w:top w:val="none" w:sz="0" w:space="0" w:color="auto"/>
            <w:left w:val="none" w:sz="0" w:space="0" w:color="auto"/>
            <w:bottom w:val="none" w:sz="0" w:space="0" w:color="auto"/>
            <w:right w:val="none" w:sz="0" w:space="0" w:color="auto"/>
          </w:divBdr>
        </w:div>
        <w:div w:id="1068112193">
          <w:marLeft w:val="0"/>
          <w:marRight w:val="0"/>
          <w:marTop w:val="0"/>
          <w:marBottom w:val="0"/>
          <w:divBdr>
            <w:top w:val="none" w:sz="0" w:space="0" w:color="auto"/>
            <w:left w:val="none" w:sz="0" w:space="0" w:color="auto"/>
            <w:bottom w:val="none" w:sz="0" w:space="0" w:color="auto"/>
            <w:right w:val="none" w:sz="0" w:space="0" w:color="auto"/>
          </w:divBdr>
        </w:div>
        <w:div w:id="1420559077">
          <w:marLeft w:val="0"/>
          <w:marRight w:val="0"/>
          <w:marTop w:val="0"/>
          <w:marBottom w:val="0"/>
          <w:divBdr>
            <w:top w:val="none" w:sz="0" w:space="0" w:color="auto"/>
            <w:left w:val="none" w:sz="0" w:space="0" w:color="auto"/>
            <w:bottom w:val="none" w:sz="0" w:space="0" w:color="auto"/>
            <w:right w:val="none" w:sz="0" w:space="0" w:color="auto"/>
          </w:divBdr>
        </w:div>
        <w:div w:id="2067557703">
          <w:marLeft w:val="0"/>
          <w:marRight w:val="0"/>
          <w:marTop w:val="0"/>
          <w:marBottom w:val="0"/>
          <w:divBdr>
            <w:top w:val="none" w:sz="0" w:space="0" w:color="auto"/>
            <w:left w:val="none" w:sz="0" w:space="0" w:color="auto"/>
            <w:bottom w:val="none" w:sz="0" w:space="0" w:color="auto"/>
            <w:right w:val="none" w:sz="0" w:space="0" w:color="auto"/>
          </w:divBdr>
        </w:div>
      </w:divsChild>
    </w:div>
    <w:div w:id="1562864142">
      <w:bodyDiv w:val="1"/>
      <w:marLeft w:val="0"/>
      <w:marRight w:val="0"/>
      <w:marTop w:val="0"/>
      <w:marBottom w:val="0"/>
      <w:divBdr>
        <w:top w:val="none" w:sz="0" w:space="0" w:color="auto"/>
        <w:left w:val="none" w:sz="0" w:space="0" w:color="auto"/>
        <w:bottom w:val="none" w:sz="0" w:space="0" w:color="auto"/>
        <w:right w:val="none" w:sz="0" w:space="0" w:color="auto"/>
      </w:divBdr>
      <w:divsChild>
        <w:div w:id="748624115">
          <w:marLeft w:val="0"/>
          <w:marRight w:val="0"/>
          <w:marTop w:val="0"/>
          <w:marBottom w:val="0"/>
          <w:divBdr>
            <w:top w:val="none" w:sz="0" w:space="0" w:color="auto"/>
            <w:left w:val="none" w:sz="0" w:space="0" w:color="auto"/>
            <w:bottom w:val="none" w:sz="0" w:space="0" w:color="auto"/>
            <w:right w:val="none" w:sz="0" w:space="0" w:color="auto"/>
          </w:divBdr>
        </w:div>
        <w:div w:id="691108576">
          <w:marLeft w:val="0"/>
          <w:marRight w:val="0"/>
          <w:marTop w:val="0"/>
          <w:marBottom w:val="0"/>
          <w:divBdr>
            <w:top w:val="none" w:sz="0" w:space="0" w:color="auto"/>
            <w:left w:val="none" w:sz="0" w:space="0" w:color="auto"/>
            <w:bottom w:val="none" w:sz="0" w:space="0" w:color="auto"/>
            <w:right w:val="none" w:sz="0" w:space="0" w:color="auto"/>
          </w:divBdr>
        </w:div>
        <w:div w:id="483860375">
          <w:marLeft w:val="0"/>
          <w:marRight w:val="0"/>
          <w:marTop w:val="0"/>
          <w:marBottom w:val="0"/>
          <w:divBdr>
            <w:top w:val="none" w:sz="0" w:space="0" w:color="auto"/>
            <w:left w:val="none" w:sz="0" w:space="0" w:color="auto"/>
            <w:bottom w:val="none" w:sz="0" w:space="0" w:color="auto"/>
            <w:right w:val="none" w:sz="0" w:space="0" w:color="auto"/>
          </w:divBdr>
        </w:div>
        <w:div w:id="1842349000">
          <w:marLeft w:val="0"/>
          <w:marRight w:val="0"/>
          <w:marTop w:val="0"/>
          <w:marBottom w:val="0"/>
          <w:divBdr>
            <w:top w:val="none" w:sz="0" w:space="0" w:color="auto"/>
            <w:left w:val="none" w:sz="0" w:space="0" w:color="auto"/>
            <w:bottom w:val="none" w:sz="0" w:space="0" w:color="auto"/>
            <w:right w:val="none" w:sz="0" w:space="0" w:color="auto"/>
          </w:divBdr>
        </w:div>
        <w:div w:id="115564566">
          <w:marLeft w:val="0"/>
          <w:marRight w:val="0"/>
          <w:marTop w:val="0"/>
          <w:marBottom w:val="0"/>
          <w:divBdr>
            <w:top w:val="none" w:sz="0" w:space="0" w:color="auto"/>
            <w:left w:val="none" w:sz="0" w:space="0" w:color="auto"/>
            <w:bottom w:val="none" w:sz="0" w:space="0" w:color="auto"/>
            <w:right w:val="none" w:sz="0" w:space="0" w:color="auto"/>
          </w:divBdr>
        </w:div>
        <w:div w:id="1130394241">
          <w:marLeft w:val="0"/>
          <w:marRight w:val="0"/>
          <w:marTop w:val="0"/>
          <w:marBottom w:val="0"/>
          <w:divBdr>
            <w:top w:val="none" w:sz="0" w:space="0" w:color="auto"/>
            <w:left w:val="none" w:sz="0" w:space="0" w:color="auto"/>
            <w:bottom w:val="none" w:sz="0" w:space="0" w:color="auto"/>
            <w:right w:val="none" w:sz="0" w:space="0" w:color="auto"/>
          </w:divBdr>
        </w:div>
        <w:div w:id="1824857094">
          <w:marLeft w:val="0"/>
          <w:marRight w:val="0"/>
          <w:marTop w:val="0"/>
          <w:marBottom w:val="0"/>
          <w:divBdr>
            <w:top w:val="none" w:sz="0" w:space="0" w:color="auto"/>
            <w:left w:val="none" w:sz="0" w:space="0" w:color="auto"/>
            <w:bottom w:val="none" w:sz="0" w:space="0" w:color="auto"/>
            <w:right w:val="none" w:sz="0" w:space="0" w:color="auto"/>
          </w:divBdr>
        </w:div>
        <w:div w:id="521434628">
          <w:marLeft w:val="0"/>
          <w:marRight w:val="0"/>
          <w:marTop w:val="0"/>
          <w:marBottom w:val="0"/>
          <w:divBdr>
            <w:top w:val="none" w:sz="0" w:space="0" w:color="auto"/>
            <w:left w:val="none" w:sz="0" w:space="0" w:color="auto"/>
            <w:bottom w:val="none" w:sz="0" w:space="0" w:color="auto"/>
            <w:right w:val="none" w:sz="0" w:space="0" w:color="auto"/>
          </w:divBdr>
        </w:div>
        <w:div w:id="331420445">
          <w:marLeft w:val="0"/>
          <w:marRight w:val="0"/>
          <w:marTop w:val="0"/>
          <w:marBottom w:val="0"/>
          <w:divBdr>
            <w:top w:val="none" w:sz="0" w:space="0" w:color="auto"/>
            <w:left w:val="none" w:sz="0" w:space="0" w:color="auto"/>
            <w:bottom w:val="none" w:sz="0" w:space="0" w:color="auto"/>
            <w:right w:val="none" w:sz="0" w:space="0" w:color="auto"/>
          </w:divBdr>
        </w:div>
        <w:div w:id="1283078945">
          <w:marLeft w:val="0"/>
          <w:marRight w:val="0"/>
          <w:marTop w:val="0"/>
          <w:marBottom w:val="0"/>
          <w:divBdr>
            <w:top w:val="none" w:sz="0" w:space="0" w:color="auto"/>
            <w:left w:val="none" w:sz="0" w:space="0" w:color="auto"/>
            <w:bottom w:val="none" w:sz="0" w:space="0" w:color="auto"/>
            <w:right w:val="none" w:sz="0" w:space="0" w:color="auto"/>
          </w:divBdr>
        </w:div>
        <w:div w:id="155154176">
          <w:marLeft w:val="0"/>
          <w:marRight w:val="0"/>
          <w:marTop w:val="0"/>
          <w:marBottom w:val="0"/>
          <w:divBdr>
            <w:top w:val="none" w:sz="0" w:space="0" w:color="auto"/>
            <w:left w:val="none" w:sz="0" w:space="0" w:color="auto"/>
            <w:bottom w:val="none" w:sz="0" w:space="0" w:color="auto"/>
            <w:right w:val="none" w:sz="0" w:space="0" w:color="auto"/>
          </w:divBdr>
        </w:div>
      </w:divsChild>
    </w:div>
    <w:div w:id="1688673608">
      <w:bodyDiv w:val="1"/>
      <w:marLeft w:val="0"/>
      <w:marRight w:val="0"/>
      <w:marTop w:val="0"/>
      <w:marBottom w:val="0"/>
      <w:divBdr>
        <w:top w:val="none" w:sz="0" w:space="0" w:color="auto"/>
        <w:left w:val="none" w:sz="0" w:space="0" w:color="auto"/>
        <w:bottom w:val="none" w:sz="0" w:space="0" w:color="auto"/>
        <w:right w:val="none" w:sz="0" w:space="0" w:color="auto"/>
      </w:divBdr>
      <w:divsChild>
        <w:div w:id="2121993488">
          <w:marLeft w:val="0"/>
          <w:marRight w:val="0"/>
          <w:marTop w:val="0"/>
          <w:marBottom w:val="0"/>
          <w:divBdr>
            <w:top w:val="none" w:sz="0" w:space="0" w:color="auto"/>
            <w:left w:val="none" w:sz="0" w:space="0" w:color="auto"/>
            <w:bottom w:val="none" w:sz="0" w:space="0" w:color="auto"/>
            <w:right w:val="none" w:sz="0" w:space="0" w:color="auto"/>
          </w:divBdr>
          <w:divsChild>
            <w:div w:id="1359039910">
              <w:marLeft w:val="0"/>
              <w:marRight w:val="0"/>
              <w:marTop w:val="0"/>
              <w:marBottom w:val="0"/>
              <w:divBdr>
                <w:top w:val="none" w:sz="0" w:space="0" w:color="auto"/>
                <w:left w:val="none" w:sz="0" w:space="0" w:color="auto"/>
                <w:bottom w:val="none" w:sz="0" w:space="0" w:color="auto"/>
                <w:right w:val="none" w:sz="0" w:space="0" w:color="auto"/>
              </w:divBdr>
              <w:divsChild>
                <w:div w:id="734623646">
                  <w:marLeft w:val="0"/>
                  <w:marRight w:val="0"/>
                  <w:marTop w:val="0"/>
                  <w:marBottom w:val="0"/>
                  <w:divBdr>
                    <w:top w:val="none" w:sz="0" w:space="0" w:color="auto"/>
                    <w:left w:val="none" w:sz="0" w:space="0" w:color="auto"/>
                    <w:bottom w:val="none" w:sz="0" w:space="0" w:color="auto"/>
                    <w:right w:val="none" w:sz="0" w:space="0" w:color="auto"/>
                  </w:divBdr>
                </w:div>
                <w:div w:id="19237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49307">
          <w:marLeft w:val="0"/>
          <w:marRight w:val="0"/>
          <w:marTop w:val="0"/>
          <w:marBottom w:val="0"/>
          <w:divBdr>
            <w:top w:val="none" w:sz="0" w:space="0" w:color="auto"/>
            <w:left w:val="none" w:sz="0" w:space="0" w:color="auto"/>
            <w:bottom w:val="none" w:sz="0" w:space="0" w:color="auto"/>
            <w:right w:val="none" w:sz="0" w:space="0" w:color="auto"/>
          </w:divBdr>
        </w:div>
        <w:div w:id="1433354246">
          <w:marLeft w:val="0"/>
          <w:marRight w:val="0"/>
          <w:marTop w:val="0"/>
          <w:marBottom w:val="0"/>
          <w:divBdr>
            <w:top w:val="none" w:sz="0" w:space="0" w:color="auto"/>
            <w:left w:val="none" w:sz="0" w:space="0" w:color="auto"/>
            <w:bottom w:val="none" w:sz="0" w:space="0" w:color="auto"/>
            <w:right w:val="none" w:sz="0" w:space="0" w:color="auto"/>
          </w:divBdr>
        </w:div>
        <w:div w:id="1161847620">
          <w:marLeft w:val="0"/>
          <w:marRight w:val="0"/>
          <w:marTop w:val="0"/>
          <w:marBottom w:val="0"/>
          <w:divBdr>
            <w:top w:val="none" w:sz="0" w:space="0" w:color="auto"/>
            <w:left w:val="none" w:sz="0" w:space="0" w:color="auto"/>
            <w:bottom w:val="none" w:sz="0" w:space="0" w:color="auto"/>
            <w:right w:val="none" w:sz="0" w:space="0" w:color="auto"/>
          </w:divBdr>
        </w:div>
        <w:div w:id="1361587639">
          <w:marLeft w:val="0"/>
          <w:marRight w:val="0"/>
          <w:marTop w:val="0"/>
          <w:marBottom w:val="0"/>
          <w:divBdr>
            <w:top w:val="none" w:sz="0" w:space="0" w:color="auto"/>
            <w:left w:val="none" w:sz="0" w:space="0" w:color="auto"/>
            <w:bottom w:val="none" w:sz="0" w:space="0" w:color="auto"/>
            <w:right w:val="none" w:sz="0" w:space="0" w:color="auto"/>
          </w:divBdr>
        </w:div>
      </w:divsChild>
    </w:div>
    <w:div w:id="1704086618">
      <w:bodyDiv w:val="1"/>
      <w:marLeft w:val="0"/>
      <w:marRight w:val="0"/>
      <w:marTop w:val="0"/>
      <w:marBottom w:val="0"/>
      <w:divBdr>
        <w:top w:val="none" w:sz="0" w:space="0" w:color="auto"/>
        <w:left w:val="none" w:sz="0" w:space="0" w:color="auto"/>
        <w:bottom w:val="none" w:sz="0" w:space="0" w:color="auto"/>
        <w:right w:val="none" w:sz="0" w:space="0" w:color="auto"/>
      </w:divBdr>
    </w:div>
    <w:div w:id="1720860305">
      <w:bodyDiv w:val="1"/>
      <w:marLeft w:val="0"/>
      <w:marRight w:val="0"/>
      <w:marTop w:val="0"/>
      <w:marBottom w:val="0"/>
      <w:divBdr>
        <w:top w:val="none" w:sz="0" w:space="0" w:color="auto"/>
        <w:left w:val="none" w:sz="0" w:space="0" w:color="auto"/>
        <w:bottom w:val="none" w:sz="0" w:space="0" w:color="auto"/>
        <w:right w:val="none" w:sz="0" w:space="0" w:color="auto"/>
      </w:divBdr>
      <w:divsChild>
        <w:div w:id="138151792">
          <w:marLeft w:val="0"/>
          <w:marRight w:val="0"/>
          <w:marTop w:val="0"/>
          <w:marBottom w:val="0"/>
          <w:divBdr>
            <w:top w:val="none" w:sz="0" w:space="0" w:color="auto"/>
            <w:left w:val="none" w:sz="0" w:space="0" w:color="auto"/>
            <w:bottom w:val="none" w:sz="0" w:space="0" w:color="auto"/>
            <w:right w:val="none" w:sz="0" w:space="0" w:color="auto"/>
          </w:divBdr>
        </w:div>
        <w:div w:id="270860744">
          <w:marLeft w:val="0"/>
          <w:marRight w:val="0"/>
          <w:marTop w:val="0"/>
          <w:marBottom w:val="0"/>
          <w:divBdr>
            <w:top w:val="none" w:sz="0" w:space="0" w:color="auto"/>
            <w:left w:val="none" w:sz="0" w:space="0" w:color="auto"/>
            <w:bottom w:val="none" w:sz="0" w:space="0" w:color="auto"/>
            <w:right w:val="none" w:sz="0" w:space="0" w:color="auto"/>
          </w:divBdr>
        </w:div>
        <w:div w:id="271323247">
          <w:marLeft w:val="0"/>
          <w:marRight w:val="0"/>
          <w:marTop w:val="0"/>
          <w:marBottom w:val="0"/>
          <w:divBdr>
            <w:top w:val="none" w:sz="0" w:space="0" w:color="auto"/>
            <w:left w:val="none" w:sz="0" w:space="0" w:color="auto"/>
            <w:bottom w:val="none" w:sz="0" w:space="0" w:color="auto"/>
            <w:right w:val="none" w:sz="0" w:space="0" w:color="auto"/>
          </w:divBdr>
        </w:div>
        <w:div w:id="479813320">
          <w:marLeft w:val="0"/>
          <w:marRight w:val="0"/>
          <w:marTop w:val="0"/>
          <w:marBottom w:val="0"/>
          <w:divBdr>
            <w:top w:val="none" w:sz="0" w:space="0" w:color="auto"/>
            <w:left w:val="none" w:sz="0" w:space="0" w:color="auto"/>
            <w:bottom w:val="none" w:sz="0" w:space="0" w:color="auto"/>
            <w:right w:val="none" w:sz="0" w:space="0" w:color="auto"/>
          </w:divBdr>
        </w:div>
        <w:div w:id="876964103">
          <w:marLeft w:val="0"/>
          <w:marRight w:val="0"/>
          <w:marTop w:val="0"/>
          <w:marBottom w:val="0"/>
          <w:divBdr>
            <w:top w:val="none" w:sz="0" w:space="0" w:color="auto"/>
            <w:left w:val="none" w:sz="0" w:space="0" w:color="auto"/>
            <w:bottom w:val="none" w:sz="0" w:space="0" w:color="auto"/>
            <w:right w:val="none" w:sz="0" w:space="0" w:color="auto"/>
          </w:divBdr>
        </w:div>
        <w:div w:id="1305886691">
          <w:marLeft w:val="0"/>
          <w:marRight w:val="0"/>
          <w:marTop w:val="0"/>
          <w:marBottom w:val="0"/>
          <w:divBdr>
            <w:top w:val="none" w:sz="0" w:space="0" w:color="auto"/>
            <w:left w:val="none" w:sz="0" w:space="0" w:color="auto"/>
            <w:bottom w:val="none" w:sz="0" w:space="0" w:color="auto"/>
            <w:right w:val="none" w:sz="0" w:space="0" w:color="auto"/>
          </w:divBdr>
        </w:div>
        <w:div w:id="1572934107">
          <w:marLeft w:val="0"/>
          <w:marRight w:val="0"/>
          <w:marTop w:val="0"/>
          <w:marBottom w:val="0"/>
          <w:divBdr>
            <w:top w:val="none" w:sz="0" w:space="0" w:color="auto"/>
            <w:left w:val="none" w:sz="0" w:space="0" w:color="auto"/>
            <w:bottom w:val="none" w:sz="0" w:space="0" w:color="auto"/>
            <w:right w:val="none" w:sz="0" w:space="0" w:color="auto"/>
          </w:divBdr>
        </w:div>
        <w:div w:id="1590306338">
          <w:marLeft w:val="0"/>
          <w:marRight w:val="0"/>
          <w:marTop w:val="0"/>
          <w:marBottom w:val="0"/>
          <w:divBdr>
            <w:top w:val="none" w:sz="0" w:space="0" w:color="auto"/>
            <w:left w:val="none" w:sz="0" w:space="0" w:color="auto"/>
            <w:bottom w:val="none" w:sz="0" w:space="0" w:color="auto"/>
            <w:right w:val="none" w:sz="0" w:space="0" w:color="auto"/>
          </w:divBdr>
        </w:div>
        <w:div w:id="1669551789">
          <w:marLeft w:val="0"/>
          <w:marRight w:val="0"/>
          <w:marTop w:val="0"/>
          <w:marBottom w:val="0"/>
          <w:divBdr>
            <w:top w:val="none" w:sz="0" w:space="0" w:color="auto"/>
            <w:left w:val="none" w:sz="0" w:space="0" w:color="auto"/>
            <w:bottom w:val="none" w:sz="0" w:space="0" w:color="auto"/>
            <w:right w:val="none" w:sz="0" w:space="0" w:color="auto"/>
          </w:divBdr>
        </w:div>
        <w:div w:id="2059548076">
          <w:marLeft w:val="0"/>
          <w:marRight w:val="0"/>
          <w:marTop w:val="0"/>
          <w:marBottom w:val="0"/>
          <w:divBdr>
            <w:top w:val="none" w:sz="0" w:space="0" w:color="auto"/>
            <w:left w:val="none" w:sz="0" w:space="0" w:color="auto"/>
            <w:bottom w:val="none" w:sz="0" w:space="0" w:color="auto"/>
            <w:right w:val="none" w:sz="0" w:space="0" w:color="auto"/>
          </w:divBdr>
        </w:div>
      </w:divsChild>
    </w:div>
    <w:div w:id="1723401455">
      <w:bodyDiv w:val="1"/>
      <w:marLeft w:val="0"/>
      <w:marRight w:val="0"/>
      <w:marTop w:val="0"/>
      <w:marBottom w:val="0"/>
      <w:divBdr>
        <w:top w:val="none" w:sz="0" w:space="0" w:color="auto"/>
        <w:left w:val="none" w:sz="0" w:space="0" w:color="auto"/>
        <w:bottom w:val="none" w:sz="0" w:space="0" w:color="auto"/>
        <w:right w:val="none" w:sz="0" w:space="0" w:color="auto"/>
      </w:divBdr>
      <w:divsChild>
        <w:div w:id="209196019">
          <w:marLeft w:val="0"/>
          <w:marRight w:val="0"/>
          <w:marTop w:val="0"/>
          <w:marBottom w:val="0"/>
          <w:divBdr>
            <w:top w:val="none" w:sz="0" w:space="0" w:color="auto"/>
            <w:left w:val="none" w:sz="0" w:space="0" w:color="auto"/>
            <w:bottom w:val="none" w:sz="0" w:space="0" w:color="auto"/>
            <w:right w:val="none" w:sz="0" w:space="0" w:color="auto"/>
          </w:divBdr>
        </w:div>
        <w:div w:id="350377757">
          <w:marLeft w:val="0"/>
          <w:marRight w:val="0"/>
          <w:marTop w:val="0"/>
          <w:marBottom w:val="0"/>
          <w:divBdr>
            <w:top w:val="none" w:sz="0" w:space="0" w:color="auto"/>
            <w:left w:val="none" w:sz="0" w:space="0" w:color="auto"/>
            <w:bottom w:val="none" w:sz="0" w:space="0" w:color="auto"/>
            <w:right w:val="none" w:sz="0" w:space="0" w:color="auto"/>
          </w:divBdr>
        </w:div>
        <w:div w:id="1607882869">
          <w:marLeft w:val="0"/>
          <w:marRight w:val="0"/>
          <w:marTop w:val="0"/>
          <w:marBottom w:val="0"/>
          <w:divBdr>
            <w:top w:val="none" w:sz="0" w:space="0" w:color="auto"/>
            <w:left w:val="none" w:sz="0" w:space="0" w:color="auto"/>
            <w:bottom w:val="none" w:sz="0" w:space="0" w:color="auto"/>
            <w:right w:val="none" w:sz="0" w:space="0" w:color="auto"/>
          </w:divBdr>
        </w:div>
      </w:divsChild>
    </w:div>
    <w:div w:id="1902248732">
      <w:bodyDiv w:val="1"/>
      <w:marLeft w:val="0"/>
      <w:marRight w:val="0"/>
      <w:marTop w:val="0"/>
      <w:marBottom w:val="0"/>
      <w:divBdr>
        <w:top w:val="none" w:sz="0" w:space="0" w:color="auto"/>
        <w:left w:val="none" w:sz="0" w:space="0" w:color="auto"/>
        <w:bottom w:val="none" w:sz="0" w:space="0" w:color="auto"/>
        <w:right w:val="none" w:sz="0" w:space="0" w:color="auto"/>
      </w:divBdr>
      <w:divsChild>
        <w:div w:id="201986854">
          <w:marLeft w:val="0"/>
          <w:marRight w:val="0"/>
          <w:marTop w:val="0"/>
          <w:marBottom w:val="0"/>
          <w:divBdr>
            <w:top w:val="none" w:sz="0" w:space="0" w:color="auto"/>
            <w:left w:val="none" w:sz="0" w:space="0" w:color="auto"/>
            <w:bottom w:val="none" w:sz="0" w:space="0" w:color="auto"/>
            <w:right w:val="none" w:sz="0" w:space="0" w:color="auto"/>
          </w:divBdr>
        </w:div>
        <w:div w:id="774248355">
          <w:marLeft w:val="0"/>
          <w:marRight w:val="0"/>
          <w:marTop w:val="0"/>
          <w:marBottom w:val="0"/>
          <w:divBdr>
            <w:top w:val="none" w:sz="0" w:space="0" w:color="auto"/>
            <w:left w:val="none" w:sz="0" w:space="0" w:color="auto"/>
            <w:bottom w:val="none" w:sz="0" w:space="0" w:color="auto"/>
            <w:right w:val="none" w:sz="0" w:space="0" w:color="auto"/>
          </w:divBdr>
        </w:div>
        <w:div w:id="1653827226">
          <w:marLeft w:val="0"/>
          <w:marRight w:val="0"/>
          <w:marTop w:val="0"/>
          <w:marBottom w:val="0"/>
          <w:divBdr>
            <w:top w:val="none" w:sz="0" w:space="0" w:color="auto"/>
            <w:left w:val="none" w:sz="0" w:space="0" w:color="auto"/>
            <w:bottom w:val="none" w:sz="0" w:space="0" w:color="auto"/>
            <w:right w:val="none" w:sz="0" w:space="0" w:color="auto"/>
          </w:divBdr>
        </w:div>
        <w:div w:id="1404722949">
          <w:marLeft w:val="0"/>
          <w:marRight w:val="0"/>
          <w:marTop w:val="0"/>
          <w:marBottom w:val="0"/>
          <w:divBdr>
            <w:top w:val="none" w:sz="0" w:space="0" w:color="auto"/>
            <w:left w:val="none" w:sz="0" w:space="0" w:color="auto"/>
            <w:bottom w:val="none" w:sz="0" w:space="0" w:color="auto"/>
            <w:right w:val="none" w:sz="0" w:space="0" w:color="auto"/>
          </w:divBdr>
        </w:div>
        <w:div w:id="1837837695">
          <w:marLeft w:val="0"/>
          <w:marRight w:val="0"/>
          <w:marTop w:val="0"/>
          <w:marBottom w:val="0"/>
          <w:divBdr>
            <w:top w:val="none" w:sz="0" w:space="0" w:color="auto"/>
            <w:left w:val="none" w:sz="0" w:space="0" w:color="auto"/>
            <w:bottom w:val="none" w:sz="0" w:space="0" w:color="auto"/>
            <w:right w:val="none" w:sz="0" w:space="0" w:color="auto"/>
          </w:divBdr>
        </w:div>
        <w:div w:id="1701396415">
          <w:marLeft w:val="0"/>
          <w:marRight w:val="0"/>
          <w:marTop w:val="0"/>
          <w:marBottom w:val="0"/>
          <w:divBdr>
            <w:top w:val="none" w:sz="0" w:space="0" w:color="auto"/>
            <w:left w:val="none" w:sz="0" w:space="0" w:color="auto"/>
            <w:bottom w:val="none" w:sz="0" w:space="0" w:color="auto"/>
            <w:right w:val="none" w:sz="0" w:space="0" w:color="auto"/>
          </w:divBdr>
        </w:div>
        <w:div w:id="424572229">
          <w:marLeft w:val="0"/>
          <w:marRight w:val="0"/>
          <w:marTop w:val="0"/>
          <w:marBottom w:val="0"/>
          <w:divBdr>
            <w:top w:val="none" w:sz="0" w:space="0" w:color="auto"/>
            <w:left w:val="none" w:sz="0" w:space="0" w:color="auto"/>
            <w:bottom w:val="none" w:sz="0" w:space="0" w:color="auto"/>
            <w:right w:val="none" w:sz="0" w:space="0" w:color="auto"/>
          </w:divBdr>
        </w:div>
        <w:div w:id="1948269427">
          <w:marLeft w:val="0"/>
          <w:marRight w:val="0"/>
          <w:marTop w:val="0"/>
          <w:marBottom w:val="0"/>
          <w:divBdr>
            <w:top w:val="none" w:sz="0" w:space="0" w:color="auto"/>
            <w:left w:val="none" w:sz="0" w:space="0" w:color="auto"/>
            <w:bottom w:val="none" w:sz="0" w:space="0" w:color="auto"/>
            <w:right w:val="none" w:sz="0" w:space="0" w:color="auto"/>
          </w:divBdr>
        </w:div>
        <w:div w:id="1243565603">
          <w:marLeft w:val="0"/>
          <w:marRight w:val="0"/>
          <w:marTop w:val="0"/>
          <w:marBottom w:val="0"/>
          <w:divBdr>
            <w:top w:val="none" w:sz="0" w:space="0" w:color="auto"/>
            <w:left w:val="none" w:sz="0" w:space="0" w:color="auto"/>
            <w:bottom w:val="none" w:sz="0" w:space="0" w:color="auto"/>
            <w:right w:val="none" w:sz="0" w:space="0" w:color="auto"/>
          </w:divBdr>
        </w:div>
        <w:div w:id="654840679">
          <w:marLeft w:val="0"/>
          <w:marRight w:val="0"/>
          <w:marTop w:val="0"/>
          <w:marBottom w:val="0"/>
          <w:divBdr>
            <w:top w:val="none" w:sz="0" w:space="0" w:color="auto"/>
            <w:left w:val="none" w:sz="0" w:space="0" w:color="auto"/>
            <w:bottom w:val="none" w:sz="0" w:space="0" w:color="auto"/>
            <w:right w:val="none" w:sz="0" w:space="0" w:color="auto"/>
          </w:divBdr>
        </w:div>
        <w:div w:id="1581015046">
          <w:marLeft w:val="0"/>
          <w:marRight w:val="0"/>
          <w:marTop w:val="0"/>
          <w:marBottom w:val="0"/>
          <w:divBdr>
            <w:top w:val="none" w:sz="0" w:space="0" w:color="auto"/>
            <w:left w:val="none" w:sz="0" w:space="0" w:color="auto"/>
            <w:bottom w:val="none" w:sz="0" w:space="0" w:color="auto"/>
            <w:right w:val="none" w:sz="0" w:space="0" w:color="auto"/>
          </w:divBdr>
        </w:div>
      </w:divsChild>
    </w:div>
    <w:div w:id="1977758430">
      <w:bodyDiv w:val="1"/>
      <w:marLeft w:val="0"/>
      <w:marRight w:val="0"/>
      <w:marTop w:val="0"/>
      <w:marBottom w:val="0"/>
      <w:divBdr>
        <w:top w:val="none" w:sz="0" w:space="0" w:color="auto"/>
        <w:left w:val="none" w:sz="0" w:space="0" w:color="auto"/>
        <w:bottom w:val="none" w:sz="0" w:space="0" w:color="auto"/>
        <w:right w:val="none" w:sz="0" w:space="0" w:color="auto"/>
      </w:divBdr>
      <w:divsChild>
        <w:div w:id="550383449">
          <w:marLeft w:val="0"/>
          <w:marRight w:val="0"/>
          <w:marTop w:val="0"/>
          <w:marBottom w:val="0"/>
          <w:divBdr>
            <w:top w:val="none" w:sz="0" w:space="0" w:color="auto"/>
            <w:left w:val="none" w:sz="0" w:space="0" w:color="auto"/>
            <w:bottom w:val="none" w:sz="0" w:space="0" w:color="auto"/>
            <w:right w:val="none" w:sz="0" w:space="0" w:color="auto"/>
          </w:divBdr>
        </w:div>
        <w:div w:id="2006593483">
          <w:marLeft w:val="0"/>
          <w:marRight w:val="0"/>
          <w:marTop w:val="0"/>
          <w:marBottom w:val="0"/>
          <w:divBdr>
            <w:top w:val="none" w:sz="0" w:space="0" w:color="auto"/>
            <w:left w:val="none" w:sz="0" w:space="0" w:color="auto"/>
            <w:bottom w:val="none" w:sz="0" w:space="0" w:color="auto"/>
            <w:right w:val="none" w:sz="0" w:space="0" w:color="auto"/>
          </w:divBdr>
        </w:div>
        <w:div w:id="306863405">
          <w:marLeft w:val="0"/>
          <w:marRight w:val="0"/>
          <w:marTop w:val="0"/>
          <w:marBottom w:val="0"/>
          <w:divBdr>
            <w:top w:val="none" w:sz="0" w:space="0" w:color="auto"/>
            <w:left w:val="none" w:sz="0" w:space="0" w:color="auto"/>
            <w:bottom w:val="none" w:sz="0" w:space="0" w:color="auto"/>
            <w:right w:val="none" w:sz="0" w:space="0" w:color="auto"/>
          </w:divBdr>
        </w:div>
        <w:div w:id="564412620">
          <w:marLeft w:val="0"/>
          <w:marRight w:val="0"/>
          <w:marTop w:val="0"/>
          <w:marBottom w:val="0"/>
          <w:divBdr>
            <w:top w:val="none" w:sz="0" w:space="0" w:color="auto"/>
            <w:left w:val="none" w:sz="0" w:space="0" w:color="auto"/>
            <w:bottom w:val="none" w:sz="0" w:space="0" w:color="auto"/>
            <w:right w:val="none" w:sz="0" w:space="0" w:color="auto"/>
          </w:divBdr>
        </w:div>
        <w:div w:id="1672760925">
          <w:marLeft w:val="0"/>
          <w:marRight w:val="0"/>
          <w:marTop w:val="0"/>
          <w:marBottom w:val="0"/>
          <w:divBdr>
            <w:top w:val="none" w:sz="0" w:space="0" w:color="auto"/>
            <w:left w:val="none" w:sz="0" w:space="0" w:color="auto"/>
            <w:bottom w:val="none" w:sz="0" w:space="0" w:color="auto"/>
            <w:right w:val="none" w:sz="0" w:space="0" w:color="auto"/>
          </w:divBdr>
        </w:div>
        <w:div w:id="1776899082">
          <w:marLeft w:val="0"/>
          <w:marRight w:val="0"/>
          <w:marTop w:val="0"/>
          <w:marBottom w:val="0"/>
          <w:divBdr>
            <w:top w:val="none" w:sz="0" w:space="0" w:color="auto"/>
            <w:left w:val="none" w:sz="0" w:space="0" w:color="auto"/>
            <w:bottom w:val="none" w:sz="0" w:space="0" w:color="auto"/>
            <w:right w:val="none" w:sz="0" w:space="0" w:color="auto"/>
          </w:divBdr>
        </w:div>
        <w:div w:id="524832661">
          <w:marLeft w:val="0"/>
          <w:marRight w:val="0"/>
          <w:marTop w:val="0"/>
          <w:marBottom w:val="0"/>
          <w:divBdr>
            <w:top w:val="none" w:sz="0" w:space="0" w:color="auto"/>
            <w:left w:val="none" w:sz="0" w:space="0" w:color="auto"/>
            <w:bottom w:val="none" w:sz="0" w:space="0" w:color="auto"/>
            <w:right w:val="none" w:sz="0" w:space="0" w:color="auto"/>
          </w:divBdr>
        </w:div>
        <w:div w:id="743339856">
          <w:marLeft w:val="0"/>
          <w:marRight w:val="0"/>
          <w:marTop w:val="0"/>
          <w:marBottom w:val="0"/>
          <w:divBdr>
            <w:top w:val="none" w:sz="0" w:space="0" w:color="auto"/>
            <w:left w:val="none" w:sz="0" w:space="0" w:color="auto"/>
            <w:bottom w:val="none" w:sz="0" w:space="0" w:color="auto"/>
            <w:right w:val="none" w:sz="0" w:space="0" w:color="auto"/>
          </w:divBdr>
        </w:div>
        <w:div w:id="1990747509">
          <w:marLeft w:val="0"/>
          <w:marRight w:val="0"/>
          <w:marTop w:val="0"/>
          <w:marBottom w:val="0"/>
          <w:divBdr>
            <w:top w:val="none" w:sz="0" w:space="0" w:color="auto"/>
            <w:left w:val="none" w:sz="0" w:space="0" w:color="auto"/>
            <w:bottom w:val="none" w:sz="0" w:space="0" w:color="auto"/>
            <w:right w:val="none" w:sz="0" w:space="0" w:color="auto"/>
          </w:divBdr>
        </w:div>
        <w:div w:id="1373841100">
          <w:marLeft w:val="0"/>
          <w:marRight w:val="0"/>
          <w:marTop w:val="0"/>
          <w:marBottom w:val="0"/>
          <w:divBdr>
            <w:top w:val="none" w:sz="0" w:space="0" w:color="auto"/>
            <w:left w:val="none" w:sz="0" w:space="0" w:color="auto"/>
            <w:bottom w:val="none" w:sz="0" w:space="0" w:color="auto"/>
            <w:right w:val="none" w:sz="0" w:space="0" w:color="auto"/>
          </w:divBdr>
        </w:div>
        <w:div w:id="102381581">
          <w:marLeft w:val="0"/>
          <w:marRight w:val="0"/>
          <w:marTop w:val="0"/>
          <w:marBottom w:val="0"/>
          <w:divBdr>
            <w:top w:val="none" w:sz="0" w:space="0" w:color="auto"/>
            <w:left w:val="none" w:sz="0" w:space="0" w:color="auto"/>
            <w:bottom w:val="none" w:sz="0" w:space="0" w:color="auto"/>
            <w:right w:val="none" w:sz="0" w:space="0" w:color="auto"/>
          </w:divBdr>
        </w:div>
      </w:divsChild>
    </w:div>
    <w:div w:id="2038852520">
      <w:bodyDiv w:val="1"/>
      <w:marLeft w:val="0"/>
      <w:marRight w:val="0"/>
      <w:marTop w:val="0"/>
      <w:marBottom w:val="0"/>
      <w:divBdr>
        <w:top w:val="none" w:sz="0" w:space="0" w:color="auto"/>
        <w:left w:val="none" w:sz="0" w:space="0" w:color="auto"/>
        <w:bottom w:val="none" w:sz="0" w:space="0" w:color="auto"/>
        <w:right w:val="none" w:sz="0" w:space="0" w:color="auto"/>
      </w:divBdr>
    </w:div>
    <w:div w:id="2090349399">
      <w:bodyDiv w:val="1"/>
      <w:marLeft w:val="0"/>
      <w:marRight w:val="0"/>
      <w:marTop w:val="0"/>
      <w:marBottom w:val="0"/>
      <w:divBdr>
        <w:top w:val="none" w:sz="0" w:space="0" w:color="auto"/>
        <w:left w:val="none" w:sz="0" w:space="0" w:color="auto"/>
        <w:bottom w:val="none" w:sz="0" w:space="0" w:color="auto"/>
        <w:right w:val="none" w:sz="0" w:space="0" w:color="auto"/>
      </w:divBdr>
      <w:divsChild>
        <w:div w:id="46028054">
          <w:marLeft w:val="0"/>
          <w:marRight w:val="0"/>
          <w:marTop w:val="0"/>
          <w:marBottom w:val="0"/>
          <w:divBdr>
            <w:top w:val="none" w:sz="0" w:space="0" w:color="auto"/>
            <w:left w:val="none" w:sz="0" w:space="0" w:color="auto"/>
            <w:bottom w:val="none" w:sz="0" w:space="0" w:color="auto"/>
            <w:right w:val="none" w:sz="0" w:space="0" w:color="auto"/>
          </w:divBdr>
        </w:div>
        <w:div w:id="487551704">
          <w:marLeft w:val="0"/>
          <w:marRight w:val="0"/>
          <w:marTop w:val="0"/>
          <w:marBottom w:val="0"/>
          <w:divBdr>
            <w:top w:val="none" w:sz="0" w:space="0" w:color="auto"/>
            <w:left w:val="none" w:sz="0" w:space="0" w:color="auto"/>
            <w:bottom w:val="none" w:sz="0" w:space="0" w:color="auto"/>
            <w:right w:val="none" w:sz="0" w:space="0" w:color="auto"/>
          </w:divBdr>
        </w:div>
        <w:div w:id="535047811">
          <w:marLeft w:val="0"/>
          <w:marRight w:val="0"/>
          <w:marTop w:val="0"/>
          <w:marBottom w:val="0"/>
          <w:divBdr>
            <w:top w:val="none" w:sz="0" w:space="0" w:color="auto"/>
            <w:left w:val="none" w:sz="0" w:space="0" w:color="auto"/>
            <w:bottom w:val="none" w:sz="0" w:space="0" w:color="auto"/>
            <w:right w:val="none" w:sz="0" w:space="0" w:color="auto"/>
          </w:divBdr>
        </w:div>
        <w:div w:id="1314068632">
          <w:marLeft w:val="0"/>
          <w:marRight w:val="0"/>
          <w:marTop w:val="0"/>
          <w:marBottom w:val="0"/>
          <w:divBdr>
            <w:top w:val="none" w:sz="0" w:space="0" w:color="auto"/>
            <w:left w:val="none" w:sz="0" w:space="0" w:color="auto"/>
            <w:bottom w:val="none" w:sz="0" w:space="0" w:color="auto"/>
            <w:right w:val="none" w:sz="0" w:space="0" w:color="auto"/>
          </w:divBdr>
        </w:div>
        <w:div w:id="1348406289">
          <w:marLeft w:val="0"/>
          <w:marRight w:val="0"/>
          <w:marTop w:val="0"/>
          <w:marBottom w:val="0"/>
          <w:divBdr>
            <w:top w:val="none" w:sz="0" w:space="0" w:color="auto"/>
            <w:left w:val="none" w:sz="0" w:space="0" w:color="auto"/>
            <w:bottom w:val="none" w:sz="0" w:space="0" w:color="auto"/>
            <w:right w:val="none" w:sz="0" w:space="0" w:color="auto"/>
          </w:divBdr>
        </w:div>
        <w:div w:id="1371884182">
          <w:marLeft w:val="0"/>
          <w:marRight w:val="0"/>
          <w:marTop w:val="0"/>
          <w:marBottom w:val="0"/>
          <w:divBdr>
            <w:top w:val="none" w:sz="0" w:space="0" w:color="auto"/>
            <w:left w:val="none" w:sz="0" w:space="0" w:color="auto"/>
            <w:bottom w:val="none" w:sz="0" w:space="0" w:color="auto"/>
            <w:right w:val="none" w:sz="0" w:space="0" w:color="auto"/>
          </w:divBdr>
        </w:div>
        <w:div w:id="1508254496">
          <w:marLeft w:val="0"/>
          <w:marRight w:val="0"/>
          <w:marTop w:val="0"/>
          <w:marBottom w:val="0"/>
          <w:divBdr>
            <w:top w:val="none" w:sz="0" w:space="0" w:color="auto"/>
            <w:left w:val="none" w:sz="0" w:space="0" w:color="auto"/>
            <w:bottom w:val="none" w:sz="0" w:space="0" w:color="auto"/>
            <w:right w:val="none" w:sz="0" w:space="0" w:color="auto"/>
          </w:divBdr>
        </w:div>
        <w:div w:id="1672682136">
          <w:marLeft w:val="0"/>
          <w:marRight w:val="0"/>
          <w:marTop w:val="0"/>
          <w:marBottom w:val="0"/>
          <w:divBdr>
            <w:top w:val="none" w:sz="0" w:space="0" w:color="auto"/>
            <w:left w:val="none" w:sz="0" w:space="0" w:color="auto"/>
            <w:bottom w:val="none" w:sz="0" w:space="0" w:color="auto"/>
            <w:right w:val="none" w:sz="0" w:space="0" w:color="auto"/>
          </w:divBdr>
        </w:div>
        <w:div w:id="1711421683">
          <w:marLeft w:val="0"/>
          <w:marRight w:val="0"/>
          <w:marTop w:val="0"/>
          <w:marBottom w:val="0"/>
          <w:divBdr>
            <w:top w:val="none" w:sz="0" w:space="0" w:color="auto"/>
            <w:left w:val="none" w:sz="0" w:space="0" w:color="auto"/>
            <w:bottom w:val="none" w:sz="0" w:space="0" w:color="auto"/>
            <w:right w:val="none" w:sz="0" w:space="0" w:color="auto"/>
          </w:divBdr>
        </w:div>
        <w:div w:id="1969555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Nr_x002e__x0020_akti>
    <Data_x0020_e_x0020_Krijimit xmlns="0e656187-b300-4fb0-8bf4-3a50f872073c">2026-04-10T12:38:03Z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17.03.2025</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2026-04-10T00:00:00Z</Date_x0020_protokolli>
    <Titulli xmlns="0e656187-b300-4fb0-8bf4-3a50f872073c">Me objekt shfuqizimin e vendimeve nr. 11950, datë 15.12.2014 të Gjykatës së Rrethit Gjyqësor Tiranë; nr. 1624, datë 1.7.2016 të Gjykatës së Apelit Tiranë; nr. 00-2024-4563, datë 13.11.2024 të Kolegjit Civil të Gjykatës së Lartë, si të papajtueshme me Kushtetutën e Republikës së Shqipërisë.</Titulli>
    <Modifikuesi xmlns="0e656187-b300-4fb0-8bf4-3a50f872073c">ermira.bukaci</Modifikuesi>
    <Nr_x002e__x0020_prot_x0020_QBZ xmlns="0e656187-b300-4fb0-8bf4-3a50f872073c">760/1</Nr_x002e__x0020_prot_x0020_QBZ>
    <Data_x0020_e_x0020_Modifikimit xmlns="0e656187-b300-4fb0-8bf4-3a50f872073c">2026-04-14T10:33:46Z</Data_x0020_e_x0020_Modifikimit>
    <Dekretuar xmlns="0e656187-b300-4fb0-8bf4-3a50f872073c">false</Dekretuar>
    <Data xmlns="0e656187-b300-4fb0-8bf4-3a50f872073c">2026-03-04T00:00:00Z</Data>
    <Nr_x002e__x0020_protokolli_x0020_i_x0020_aktit xmlns="0e656187-b300-4fb0-8bf4-3a50f872073c">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3A5AFBC2A3B4D50B815061F1259D01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3A5AFBC2A3B4D50B815061F1259D01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AB233-0CAF-4062-8424-E20BC28D2BB6}">
  <ds:schemaRefs>
    <ds:schemaRef ds:uri="http://purl.org/dc/terms/"/>
    <ds:schemaRef ds:uri="http://purl.org/dc/dcmitype/"/>
    <ds:schemaRef ds:uri="http://schemas.microsoft.com/office/2006/metadata/properties"/>
    <ds:schemaRef ds:uri="http://schemas.microsoft.com/office/2006/documentManagement/types"/>
    <ds:schemaRef ds:uri="http://purl.org/dc/elements/1.1/"/>
    <ds:schemaRef ds:uri="0e656187-b300-4fb0-8bf4-3a50f872073c"/>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3103206D-D364-4609-AF9F-5F117E7DCED1}">
  <ds:schemaRefs>
    <ds:schemaRef ds:uri="http://schemas.microsoft.com/sharepoint/v3/contenttype/forms"/>
  </ds:schemaRefs>
</ds:datastoreItem>
</file>

<file path=customXml/itemProps3.xml><?xml version="1.0" encoding="utf-8"?>
<ds:datastoreItem xmlns:ds="http://schemas.openxmlformats.org/officeDocument/2006/customXml" ds:itemID="{C5ECCD9B-1295-416B-B0A4-9EA568C855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2A00681-278B-40E2-A3F8-697C99B7ADCA}">
  <ds:schemaRefs>
    <ds:schemaRef ds:uri="http://schemas.microsoft.com/sharepoint/v3/contenttype/forms"/>
  </ds:schemaRefs>
</ds:datastoreItem>
</file>

<file path=customXml/itemProps5.xml><?xml version="1.0" encoding="utf-8"?>
<ds:datastoreItem xmlns:ds="http://schemas.openxmlformats.org/officeDocument/2006/customXml" ds:itemID="{7392C87A-7C42-448C-9DD1-0766C00B0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89F086D-DDD8-4648-AEA3-DAD5F9C57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7</Pages>
  <Words>3955</Words>
  <Characters>22550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Me objekt shfuqizimin e vendimeve nr. 11950, datë 15.12.2014 të Gjykatës së Rrethit Gjyqësor Tiranë; nr. 1624, datë 1.7.2016 të Gjykatës së Apelit Tiranë; nr. 00-2024-4563, datë 13.11.2024 të Kolegjit Civil të Gjykatës së Lartë, si të papajtueshme me Kush</vt:lpstr>
    </vt:vector>
  </TitlesOfParts>
  <Company>User</Company>
  <LinksUpToDate>false</LinksUpToDate>
  <CharactersWithSpaces>26453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11950, datë 15.12.2014 të Gjykatës së Rrethit Gjyqësor Tiranë; nr. 1624, datë 1.7.2016 të Gjykatës së Apelit Tiranë; nr. 00-2024-4563, datë 13.11.2024 të Kolegjit Civil të Gjykatës së Lartë, si të papajtueshme me Kushtetutën e Republikës së Shqipërisë.</dc:title>
  <dc:subject>Dt. 17.03.2025</dc:subject>
  <dc:creator>Marsida XHAFERLLARI</dc:creator>
  <cp:keywords>Brunilda BARA</cp:keywords>
  <cp:lastModifiedBy>Alma Lisaku</cp:lastModifiedBy>
  <cp:revision>7</cp:revision>
  <cp:lastPrinted>2024-10-04T13:38:00Z</cp:lastPrinted>
  <dcterms:created xsi:type="dcterms:W3CDTF">2026-04-10T11:40:00Z</dcterms:created>
  <dcterms:modified xsi:type="dcterms:W3CDTF">2026-04-14T11:50:00Z</dcterms:modified>
  <cp:category>Civile (kthim-kompensim prone)</cp:category>
</cp:coreProperties>
</file>