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DCF5F" w14:textId="77777777" w:rsidR="00DC2EF9" w:rsidRPr="00D26B4E" w:rsidRDefault="00DC2EF9" w:rsidP="00DC2EF9">
      <w:pPr>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VENDIM</w:t>
      </w:r>
    </w:p>
    <w:p w14:paraId="02C966BA" w14:textId="77777777" w:rsidR="00DC2EF9" w:rsidRPr="00D26B4E" w:rsidRDefault="00DC2EF9" w:rsidP="00DC2EF9">
      <w:pPr>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Nr. 26, datë 9.3.2026</w:t>
      </w:r>
    </w:p>
    <w:p w14:paraId="7AF240D1" w14:textId="77777777" w:rsidR="00DC2EF9" w:rsidRPr="00D26B4E" w:rsidRDefault="00DC2EF9" w:rsidP="00DC2EF9">
      <w:pPr>
        <w:autoSpaceDE w:val="0"/>
        <w:autoSpaceDN w:val="0"/>
        <w:adjustRightInd w:val="0"/>
        <w:spacing w:line="240" w:lineRule="auto"/>
        <w:ind w:firstLine="284"/>
        <w:jc w:val="center"/>
        <w:rPr>
          <w:rFonts w:ascii="Garamond" w:hAnsi="Garamond"/>
          <w:b/>
          <w:bCs/>
          <w:color w:val="000000"/>
        </w:rPr>
      </w:pPr>
    </w:p>
    <w:p w14:paraId="0376A0C0" w14:textId="7876E7F0" w:rsidR="00DC2EF9" w:rsidRPr="00D26B4E" w:rsidRDefault="00DC2EF9" w:rsidP="00DC2EF9">
      <w:pPr>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NË E</w:t>
      </w:r>
      <w:r w:rsidR="00D35ED3" w:rsidRPr="00D26B4E">
        <w:rPr>
          <w:rFonts w:ascii="Garamond" w:hAnsi="Garamond"/>
          <w:b/>
          <w:bCs/>
          <w:color w:val="000000"/>
        </w:rPr>
        <w:t>MËR TË REPUBLIKËS SË SHQIPËRISË</w:t>
      </w:r>
    </w:p>
    <w:p w14:paraId="79019B8C" w14:textId="77777777" w:rsidR="00DC2EF9" w:rsidRPr="00D26B4E" w:rsidRDefault="00DC2EF9" w:rsidP="00DC2EF9">
      <w:pPr>
        <w:tabs>
          <w:tab w:val="left" w:pos="0"/>
          <w:tab w:val="left" w:pos="720"/>
        </w:tabs>
        <w:autoSpaceDE w:val="0"/>
        <w:autoSpaceDN w:val="0"/>
        <w:adjustRightInd w:val="0"/>
        <w:spacing w:line="240" w:lineRule="auto"/>
        <w:ind w:firstLine="284"/>
        <w:rPr>
          <w:rFonts w:ascii="Garamond" w:hAnsi="Garamond"/>
          <w:color w:val="000000"/>
        </w:rPr>
      </w:pPr>
    </w:p>
    <w:p w14:paraId="4DB94ABA" w14:textId="77777777" w:rsidR="00DC2EF9" w:rsidRPr="00D26B4E" w:rsidRDefault="00DC2EF9" w:rsidP="00DC2EF9">
      <w:pPr>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tblGrid>
      <w:tr w:rsidR="00DB264B" w:rsidRPr="00D26B4E" w14:paraId="75B1B119" w14:textId="77777777" w:rsidTr="00D26B4E">
        <w:tc>
          <w:tcPr>
            <w:tcW w:w="2263" w:type="dxa"/>
          </w:tcPr>
          <w:p w14:paraId="6395F2B9" w14:textId="4B8D4D75" w:rsidR="00DB264B" w:rsidRPr="00D26B4E" w:rsidRDefault="00DB264B" w:rsidP="00D5678D">
            <w:pPr>
              <w:autoSpaceDE w:val="0"/>
              <w:autoSpaceDN w:val="0"/>
              <w:adjustRightInd w:val="0"/>
              <w:jc w:val="both"/>
              <w:rPr>
                <w:rFonts w:ascii="Garamond" w:hAnsi="Garamond"/>
                <w:color w:val="000000"/>
              </w:rPr>
            </w:pPr>
            <w:proofErr w:type="spellStart"/>
            <w:r w:rsidRPr="00D26B4E">
              <w:rPr>
                <w:rFonts w:ascii="Garamond" w:hAnsi="Garamond"/>
                <w:color w:val="000000"/>
              </w:rPr>
              <w:t>Fiona</w:t>
            </w:r>
            <w:proofErr w:type="spellEnd"/>
            <w:r w:rsidRPr="00D26B4E">
              <w:rPr>
                <w:rFonts w:ascii="Garamond" w:hAnsi="Garamond"/>
                <w:color w:val="000000"/>
              </w:rPr>
              <w:t xml:space="preserve"> </w:t>
            </w:r>
            <w:proofErr w:type="spellStart"/>
            <w:r w:rsidRPr="00D26B4E">
              <w:rPr>
                <w:rFonts w:ascii="Garamond" w:hAnsi="Garamond"/>
                <w:color w:val="000000"/>
              </w:rPr>
              <w:t>Papajorgji</w:t>
            </w:r>
            <w:proofErr w:type="spellEnd"/>
            <w:r w:rsidR="00D26B4E" w:rsidRPr="00D26B4E">
              <w:rPr>
                <w:rFonts w:ascii="Garamond" w:hAnsi="Garamond"/>
                <w:color w:val="000000"/>
              </w:rPr>
              <w:t>,</w:t>
            </w:r>
          </w:p>
        </w:tc>
        <w:tc>
          <w:tcPr>
            <w:tcW w:w="1134" w:type="dxa"/>
            <w:vAlign w:val="center"/>
          </w:tcPr>
          <w:p w14:paraId="0A8D9C4B" w14:textId="4ACD13C4" w:rsidR="00DB264B" w:rsidRPr="00D26B4E" w:rsidRDefault="00D26B4E" w:rsidP="00D26B4E">
            <w:pPr>
              <w:autoSpaceDE w:val="0"/>
              <w:autoSpaceDN w:val="0"/>
              <w:adjustRightInd w:val="0"/>
              <w:rPr>
                <w:rFonts w:ascii="Garamond" w:hAnsi="Garamond"/>
                <w:color w:val="000000"/>
              </w:rPr>
            </w:pPr>
            <w:r w:rsidRPr="00D26B4E">
              <w:rPr>
                <w:rFonts w:ascii="Garamond" w:hAnsi="Garamond"/>
                <w:color w:val="000000"/>
              </w:rPr>
              <w:t>kryetare;</w:t>
            </w:r>
          </w:p>
        </w:tc>
      </w:tr>
      <w:tr w:rsidR="00DB264B" w:rsidRPr="00D26B4E" w14:paraId="3EABCA1C" w14:textId="77777777" w:rsidTr="00D26B4E">
        <w:tc>
          <w:tcPr>
            <w:tcW w:w="2263" w:type="dxa"/>
          </w:tcPr>
          <w:p w14:paraId="3CE413B4" w14:textId="06E1640A" w:rsidR="00DB264B" w:rsidRPr="00D26B4E" w:rsidRDefault="00DB264B" w:rsidP="00D5678D">
            <w:pPr>
              <w:autoSpaceDE w:val="0"/>
              <w:autoSpaceDN w:val="0"/>
              <w:adjustRightInd w:val="0"/>
              <w:jc w:val="both"/>
              <w:rPr>
                <w:rFonts w:ascii="Garamond" w:hAnsi="Garamond"/>
                <w:color w:val="000000"/>
              </w:rPr>
            </w:pPr>
            <w:proofErr w:type="spellStart"/>
            <w:r w:rsidRPr="00D26B4E">
              <w:rPr>
                <w:rFonts w:ascii="Garamond" w:hAnsi="Garamond"/>
                <w:color w:val="000000"/>
              </w:rPr>
              <w:t>Marsida</w:t>
            </w:r>
            <w:proofErr w:type="spellEnd"/>
            <w:r w:rsidRPr="00D26B4E">
              <w:rPr>
                <w:rFonts w:ascii="Garamond" w:hAnsi="Garamond"/>
                <w:color w:val="000000"/>
              </w:rPr>
              <w:t xml:space="preserve"> </w:t>
            </w:r>
            <w:proofErr w:type="spellStart"/>
            <w:r w:rsidRPr="00D26B4E">
              <w:rPr>
                <w:rFonts w:ascii="Garamond" w:hAnsi="Garamond"/>
                <w:color w:val="000000"/>
              </w:rPr>
              <w:t>Xhaferllari</w:t>
            </w:r>
            <w:proofErr w:type="spellEnd"/>
            <w:r w:rsidR="00D26B4E" w:rsidRPr="00D26B4E">
              <w:rPr>
                <w:rFonts w:ascii="Garamond" w:hAnsi="Garamond"/>
                <w:color w:val="000000"/>
              </w:rPr>
              <w:t>,</w:t>
            </w:r>
          </w:p>
        </w:tc>
        <w:tc>
          <w:tcPr>
            <w:tcW w:w="1134" w:type="dxa"/>
            <w:vAlign w:val="center"/>
          </w:tcPr>
          <w:p w14:paraId="14D4B18A" w14:textId="249189FE" w:rsidR="00DB264B" w:rsidRPr="00D26B4E" w:rsidRDefault="00D26B4E" w:rsidP="00D26B4E">
            <w:pPr>
              <w:autoSpaceDE w:val="0"/>
              <w:autoSpaceDN w:val="0"/>
              <w:adjustRightInd w:val="0"/>
              <w:rPr>
                <w:rFonts w:ascii="Garamond" w:hAnsi="Garamond"/>
                <w:color w:val="000000"/>
              </w:rPr>
            </w:pPr>
            <w:r w:rsidRPr="00D26B4E">
              <w:rPr>
                <w:rFonts w:ascii="Garamond" w:hAnsi="Garamond"/>
                <w:color w:val="000000"/>
              </w:rPr>
              <w:t>anëtare;</w:t>
            </w:r>
          </w:p>
        </w:tc>
      </w:tr>
      <w:tr w:rsidR="00DB264B" w:rsidRPr="00D26B4E" w14:paraId="24EC7F10" w14:textId="77777777" w:rsidTr="00D26B4E">
        <w:tc>
          <w:tcPr>
            <w:tcW w:w="2263" w:type="dxa"/>
          </w:tcPr>
          <w:p w14:paraId="5F7558E1" w14:textId="0FC781A4" w:rsidR="00DB264B" w:rsidRPr="00D26B4E" w:rsidRDefault="00DB264B" w:rsidP="00D5678D">
            <w:pPr>
              <w:autoSpaceDE w:val="0"/>
              <w:autoSpaceDN w:val="0"/>
              <w:adjustRightInd w:val="0"/>
              <w:rPr>
                <w:rFonts w:ascii="Garamond" w:hAnsi="Garamond"/>
                <w:color w:val="000000"/>
              </w:rPr>
            </w:pPr>
            <w:proofErr w:type="spellStart"/>
            <w:r w:rsidRPr="00D26B4E">
              <w:rPr>
                <w:rFonts w:ascii="Garamond" w:hAnsi="Garamond"/>
                <w:color w:val="000000"/>
              </w:rPr>
              <w:t>Sonila</w:t>
            </w:r>
            <w:proofErr w:type="spellEnd"/>
            <w:r w:rsidRPr="00D26B4E">
              <w:rPr>
                <w:rFonts w:ascii="Garamond" w:hAnsi="Garamond"/>
                <w:color w:val="000000"/>
              </w:rPr>
              <w:t xml:space="preserve"> Bejtja</w:t>
            </w:r>
            <w:r w:rsidR="00D26B4E" w:rsidRPr="00D26B4E">
              <w:rPr>
                <w:rFonts w:ascii="Garamond" w:hAnsi="Garamond"/>
                <w:color w:val="000000"/>
              </w:rPr>
              <w:t>,</w:t>
            </w:r>
          </w:p>
        </w:tc>
        <w:tc>
          <w:tcPr>
            <w:tcW w:w="1134" w:type="dxa"/>
            <w:vAlign w:val="center"/>
          </w:tcPr>
          <w:p w14:paraId="33DF9F3C" w14:textId="7E679901" w:rsidR="00DB264B" w:rsidRPr="00D26B4E" w:rsidRDefault="00D26B4E" w:rsidP="00D26B4E">
            <w:pPr>
              <w:autoSpaceDE w:val="0"/>
              <w:autoSpaceDN w:val="0"/>
              <w:adjustRightInd w:val="0"/>
              <w:rPr>
                <w:rFonts w:ascii="Garamond" w:hAnsi="Garamond"/>
                <w:color w:val="000000"/>
              </w:rPr>
            </w:pPr>
            <w:r w:rsidRPr="00D26B4E">
              <w:rPr>
                <w:rFonts w:ascii="Garamond" w:hAnsi="Garamond"/>
                <w:color w:val="000000"/>
              </w:rPr>
              <w:t>anëtare;</w:t>
            </w:r>
          </w:p>
        </w:tc>
      </w:tr>
      <w:tr w:rsidR="00DB264B" w:rsidRPr="00D26B4E" w14:paraId="42414E2A" w14:textId="77777777" w:rsidTr="00D26B4E">
        <w:tc>
          <w:tcPr>
            <w:tcW w:w="2263" w:type="dxa"/>
          </w:tcPr>
          <w:p w14:paraId="1FD3607B" w14:textId="73C53848" w:rsidR="00DB264B" w:rsidRPr="00D26B4E" w:rsidRDefault="00DB264B" w:rsidP="00D5678D">
            <w:pPr>
              <w:autoSpaceDE w:val="0"/>
              <w:autoSpaceDN w:val="0"/>
              <w:adjustRightInd w:val="0"/>
              <w:rPr>
                <w:rFonts w:ascii="Garamond" w:hAnsi="Garamond"/>
                <w:color w:val="000000"/>
              </w:rPr>
            </w:pPr>
            <w:proofErr w:type="spellStart"/>
            <w:r w:rsidRPr="00D26B4E">
              <w:rPr>
                <w:rFonts w:ascii="Garamond" w:hAnsi="Garamond"/>
                <w:color w:val="000000"/>
              </w:rPr>
              <w:t>Sandër</w:t>
            </w:r>
            <w:proofErr w:type="spellEnd"/>
            <w:r w:rsidRPr="00D26B4E">
              <w:rPr>
                <w:rFonts w:ascii="Garamond" w:hAnsi="Garamond"/>
                <w:color w:val="000000"/>
              </w:rPr>
              <w:t xml:space="preserve"> Beci</w:t>
            </w:r>
            <w:r w:rsidR="00D26B4E" w:rsidRPr="00D26B4E">
              <w:rPr>
                <w:rFonts w:ascii="Garamond" w:hAnsi="Garamond"/>
                <w:color w:val="000000"/>
              </w:rPr>
              <w:t>,</w:t>
            </w:r>
          </w:p>
        </w:tc>
        <w:tc>
          <w:tcPr>
            <w:tcW w:w="1134" w:type="dxa"/>
            <w:vAlign w:val="center"/>
          </w:tcPr>
          <w:p w14:paraId="0B291618" w14:textId="6765C35B" w:rsidR="00DB264B" w:rsidRPr="00D26B4E" w:rsidRDefault="00D26B4E" w:rsidP="00D26B4E">
            <w:pPr>
              <w:autoSpaceDE w:val="0"/>
              <w:autoSpaceDN w:val="0"/>
              <w:adjustRightInd w:val="0"/>
              <w:rPr>
                <w:rFonts w:ascii="Garamond" w:hAnsi="Garamond"/>
                <w:color w:val="000000"/>
              </w:rPr>
            </w:pPr>
            <w:r w:rsidRPr="00D26B4E">
              <w:rPr>
                <w:rFonts w:ascii="Garamond" w:hAnsi="Garamond"/>
                <w:color w:val="000000"/>
              </w:rPr>
              <w:t xml:space="preserve">anëtar; </w:t>
            </w:r>
          </w:p>
        </w:tc>
      </w:tr>
      <w:tr w:rsidR="00DB264B" w:rsidRPr="00D26B4E" w14:paraId="516D5953" w14:textId="77777777" w:rsidTr="00D26B4E">
        <w:tc>
          <w:tcPr>
            <w:tcW w:w="2263" w:type="dxa"/>
          </w:tcPr>
          <w:p w14:paraId="5E608AFB" w14:textId="700D1BD6" w:rsidR="00DB264B" w:rsidRPr="00D26B4E" w:rsidRDefault="00DB264B" w:rsidP="00D5678D">
            <w:pPr>
              <w:autoSpaceDE w:val="0"/>
              <w:autoSpaceDN w:val="0"/>
              <w:adjustRightInd w:val="0"/>
              <w:rPr>
                <w:rFonts w:ascii="Garamond" w:hAnsi="Garamond"/>
                <w:color w:val="000000"/>
              </w:rPr>
            </w:pPr>
            <w:r w:rsidRPr="00D26B4E">
              <w:rPr>
                <w:rFonts w:ascii="Garamond" w:hAnsi="Garamond"/>
                <w:color w:val="000000"/>
              </w:rPr>
              <w:t>Ilir Toska</w:t>
            </w:r>
            <w:r w:rsidR="00D26B4E" w:rsidRPr="00D26B4E">
              <w:rPr>
                <w:rFonts w:ascii="Garamond" w:hAnsi="Garamond"/>
                <w:color w:val="000000"/>
              </w:rPr>
              <w:t>,</w:t>
            </w:r>
          </w:p>
        </w:tc>
        <w:tc>
          <w:tcPr>
            <w:tcW w:w="1134" w:type="dxa"/>
            <w:vAlign w:val="center"/>
          </w:tcPr>
          <w:p w14:paraId="38C0A456" w14:textId="46046DF9" w:rsidR="00DB264B" w:rsidRPr="00D26B4E" w:rsidRDefault="00D26B4E" w:rsidP="00D26B4E">
            <w:pPr>
              <w:autoSpaceDE w:val="0"/>
              <w:autoSpaceDN w:val="0"/>
              <w:adjustRightInd w:val="0"/>
              <w:rPr>
                <w:rFonts w:ascii="Garamond" w:hAnsi="Garamond"/>
                <w:color w:val="000000"/>
              </w:rPr>
            </w:pPr>
            <w:r w:rsidRPr="00D26B4E">
              <w:rPr>
                <w:rFonts w:ascii="Garamond" w:hAnsi="Garamond"/>
                <w:color w:val="000000"/>
              </w:rPr>
              <w:t xml:space="preserve">anëtar; </w:t>
            </w:r>
          </w:p>
        </w:tc>
      </w:tr>
      <w:tr w:rsidR="00DB264B" w:rsidRPr="00D26B4E" w14:paraId="0FC1AF65" w14:textId="77777777" w:rsidTr="00D26B4E">
        <w:tc>
          <w:tcPr>
            <w:tcW w:w="2263" w:type="dxa"/>
          </w:tcPr>
          <w:p w14:paraId="6B089613" w14:textId="41F1E058" w:rsidR="00DB264B" w:rsidRPr="00D26B4E" w:rsidRDefault="00DB264B" w:rsidP="00D5678D">
            <w:pPr>
              <w:autoSpaceDE w:val="0"/>
              <w:autoSpaceDN w:val="0"/>
              <w:adjustRightInd w:val="0"/>
              <w:rPr>
                <w:rFonts w:ascii="Garamond" w:hAnsi="Garamond"/>
                <w:color w:val="000000"/>
              </w:rPr>
            </w:pPr>
            <w:proofErr w:type="spellStart"/>
            <w:r w:rsidRPr="00D26B4E">
              <w:rPr>
                <w:rFonts w:ascii="Garamond" w:hAnsi="Garamond"/>
                <w:color w:val="000000"/>
              </w:rPr>
              <w:t>Marjana</w:t>
            </w:r>
            <w:proofErr w:type="spellEnd"/>
            <w:r w:rsidRPr="00D26B4E">
              <w:rPr>
                <w:rFonts w:ascii="Garamond" w:hAnsi="Garamond"/>
                <w:color w:val="000000"/>
              </w:rPr>
              <w:t xml:space="preserve"> </w:t>
            </w:r>
            <w:proofErr w:type="spellStart"/>
            <w:r w:rsidRPr="00D26B4E">
              <w:rPr>
                <w:rFonts w:ascii="Garamond" w:hAnsi="Garamond"/>
                <w:color w:val="000000"/>
              </w:rPr>
              <w:t>Semini</w:t>
            </w:r>
            <w:proofErr w:type="spellEnd"/>
            <w:r w:rsidR="00D26B4E" w:rsidRPr="00D26B4E">
              <w:rPr>
                <w:rFonts w:ascii="Garamond" w:hAnsi="Garamond"/>
                <w:color w:val="000000"/>
              </w:rPr>
              <w:t>,</w:t>
            </w:r>
          </w:p>
        </w:tc>
        <w:tc>
          <w:tcPr>
            <w:tcW w:w="1134" w:type="dxa"/>
            <w:vAlign w:val="center"/>
          </w:tcPr>
          <w:p w14:paraId="43723756" w14:textId="32FBC339" w:rsidR="00DB264B" w:rsidRPr="00D26B4E" w:rsidRDefault="00D26B4E" w:rsidP="00D26B4E">
            <w:pPr>
              <w:autoSpaceDE w:val="0"/>
              <w:autoSpaceDN w:val="0"/>
              <w:adjustRightInd w:val="0"/>
              <w:rPr>
                <w:rFonts w:ascii="Garamond" w:hAnsi="Garamond"/>
                <w:color w:val="000000"/>
              </w:rPr>
            </w:pPr>
            <w:r w:rsidRPr="00D26B4E">
              <w:rPr>
                <w:rFonts w:ascii="Garamond" w:hAnsi="Garamond"/>
                <w:color w:val="000000"/>
              </w:rPr>
              <w:t>anëtare;</w:t>
            </w:r>
          </w:p>
        </w:tc>
      </w:tr>
      <w:tr w:rsidR="00DB264B" w:rsidRPr="00D26B4E" w14:paraId="3380E47E" w14:textId="77777777" w:rsidTr="00D26B4E">
        <w:tc>
          <w:tcPr>
            <w:tcW w:w="2263" w:type="dxa"/>
          </w:tcPr>
          <w:p w14:paraId="14725E4E" w14:textId="773876B1" w:rsidR="00DB264B" w:rsidRPr="00D26B4E" w:rsidRDefault="00DB264B" w:rsidP="00D5678D">
            <w:pPr>
              <w:autoSpaceDE w:val="0"/>
              <w:autoSpaceDN w:val="0"/>
              <w:adjustRightInd w:val="0"/>
              <w:rPr>
                <w:rFonts w:ascii="Garamond" w:hAnsi="Garamond"/>
                <w:color w:val="000000"/>
              </w:rPr>
            </w:pPr>
            <w:proofErr w:type="spellStart"/>
            <w:r w:rsidRPr="00D26B4E">
              <w:rPr>
                <w:rFonts w:ascii="Garamond" w:hAnsi="Garamond"/>
                <w:color w:val="000000"/>
              </w:rPr>
              <w:t>Asim</w:t>
            </w:r>
            <w:proofErr w:type="spellEnd"/>
            <w:r w:rsidRPr="00D26B4E">
              <w:rPr>
                <w:rFonts w:ascii="Garamond" w:hAnsi="Garamond"/>
                <w:color w:val="000000"/>
              </w:rPr>
              <w:t xml:space="preserve"> </w:t>
            </w:r>
            <w:proofErr w:type="spellStart"/>
            <w:r w:rsidRPr="00D26B4E">
              <w:rPr>
                <w:rFonts w:ascii="Garamond" w:hAnsi="Garamond"/>
                <w:color w:val="000000"/>
              </w:rPr>
              <w:t>Vokshi</w:t>
            </w:r>
            <w:proofErr w:type="spellEnd"/>
            <w:r w:rsidR="00D26B4E" w:rsidRPr="00D26B4E">
              <w:rPr>
                <w:rFonts w:ascii="Garamond" w:hAnsi="Garamond"/>
                <w:color w:val="000000"/>
              </w:rPr>
              <w:t>,</w:t>
            </w:r>
          </w:p>
        </w:tc>
        <w:tc>
          <w:tcPr>
            <w:tcW w:w="1134" w:type="dxa"/>
            <w:vAlign w:val="center"/>
          </w:tcPr>
          <w:p w14:paraId="02989B0D" w14:textId="7F7D2C68" w:rsidR="00DB264B" w:rsidRPr="00D26B4E" w:rsidRDefault="00D26B4E" w:rsidP="00D26B4E">
            <w:pPr>
              <w:autoSpaceDE w:val="0"/>
              <w:autoSpaceDN w:val="0"/>
              <w:adjustRightInd w:val="0"/>
              <w:rPr>
                <w:rFonts w:ascii="Garamond" w:hAnsi="Garamond"/>
                <w:color w:val="000000"/>
              </w:rPr>
            </w:pPr>
            <w:r w:rsidRPr="00D26B4E">
              <w:rPr>
                <w:rFonts w:ascii="Garamond" w:hAnsi="Garamond"/>
                <w:color w:val="000000"/>
              </w:rPr>
              <w:t>anëtar;</w:t>
            </w:r>
          </w:p>
        </w:tc>
      </w:tr>
      <w:tr w:rsidR="00DB264B" w:rsidRPr="00D26B4E" w14:paraId="384378C1" w14:textId="77777777" w:rsidTr="00D26B4E">
        <w:tc>
          <w:tcPr>
            <w:tcW w:w="2263" w:type="dxa"/>
          </w:tcPr>
          <w:p w14:paraId="72CA740A" w14:textId="4C2E65A0" w:rsidR="00DB264B" w:rsidRPr="00D26B4E" w:rsidRDefault="00DB264B" w:rsidP="00D5678D">
            <w:pPr>
              <w:autoSpaceDE w:val="0"/>
              <w:autoSpaceDN w:val="0"/>
              <w:adjustRightInd w:val="0"/>
              <w:rPr>
                <w:rFonts w:ascii="Garamond" w:hAnsi="Garamond"/>
                <w:color w:val="000000"/>
              </w:rPr>
            </w:pPr>
            <w:r w:rsidRPr="00D26B4E">
              <w:rPr>
                <w:rFonts w:ascii="Garamond" w:hAnsi="Garamond"/>
                <w:color w:val="000000"/>
              </w:rPr>
              <w:t>Genti Ibrahimi</w:t>
            </w:r>
            <w:r w:rsidR="00D26B4E" w:rsidRPr="00D26B4E">
              <w:rPr>
                <w:rFonts w:ascii="Garamond" w:hAnsi="Garamond"/>
                <w:color w:val="000000"/>
              </w:rPr>
              <w:t>,</w:t>
            </w:r>
          </w:p>
        </w:tc>
        <w:tc>
          <w:tcPr>
            <w:tcW w:w="1134" w:type="dxa"/>
            <w:vAlign w:val="center"/>
          </w:tcPr>
          <w:p w14:paraId="5BD2924D" w14:textId="001D95A9" w:rsidR="00DB264B" w:rsidRPr="00D26B4E" w:rsidRDefault="00D26B4E" w:rsidP="00D26B4E">
            <w:pPr>
              <w:autoSpaceDE w:val="0"/>
              <w:autoSpaceDN w:val="0"/>
              <w:adjustRightInd w:val="0"/>
              <w:rPr>
                <w:rFonts w:ascii="Garamond" w:hAnsi="Garamond"/>
                <w:color w:val="000000"/>
              </w:rPr>
            </w:pPr>
            <w:r w:rsidRPr="00D26B4E">
              <w:rPr>
                <w:rFonts w:ascii="Garamond" w:hAnsi="Garamond"/>
                <w:color w:val="000000"/>
              </w:rPr>
              <w:t xml:space="preserve">anëtar, </w:t>
            </w:r>
          </w:p>
        </w:tc>
      </w:tr>
    </w:tbl>
    <w:p w14:paraId="4E2291FD" w14:textId="351D5DD6" w:rsidR="00DC2EF9" w:rsidRPr="00D26B4E" w:rsidRDefault="00DC2EF9" w:rsidP="00DC2EF9">
      <w:pPr>
        <w:tabs>
          <w:tab w:val="left" w:pos="72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me sekretar</w:t>
      </w:r>
      <w:r w:rsidR="00D26B4E" w:rsidRPr="00D26B4E">
        <w:rPr>
          <w:rFonts w:ascii="Garamond" w:hAnsi="Garamond"/>
          <w:color w:val="000000"/>
        </w:rPr>
        <w:t xml:space="preserve">e </w:t>
      </w:r>
      <w:proofErr w:type="spellStart"/>
      <w:r w:rsidR="00D26B4E" w:rsidRPr="00D26B4E">
        <w:rPr>
          <w:rFonts w:ascii="Garamond" w:hAnsi="Garamond"/>
          <w:color w:val="000000"/>
        </w:rPr>
        <w:t>Farisja</w:t>
      </w:r>
      <w:proofErr w:type="spellEnd"/>
      <w:r w:rsidR="00D26B4E" w:rsidRPr="00D26B4E">
        <w:rPr>
          <w:rFonts w:ascii="Garamond" w:hAnsi="Garamond"/>
          <w:color w:val="000000"/>
        </w:rPr>
        <w:t xml:space="preserve"> </w:t>
      </w:r>
      <w:proofErr w:type="spellStart"/>
      <w:r w:rsidR="00D26B4E" w:rsidRPr="00D26B4E">
        <w:rPr>
          <w:rFonts w:ascii="Garamond" w:hAnsi="Garamond"/>
          <w:color w:val="000000"/>
        </w:rPr>
        <w:t>Idrizaj</w:t>
      </w:r>
      <w:proofErr w:type="spellEnd"/>
      <w:r w:rsidR="00D26B4E" w:rsidRPr="00D26B4E">
        <w:rPr>
          <w:rFonts w:ascii="Garamond" w:hAnsi="Garamond"/>
          <w:color w:val="000000"/>
        </w:rPr>
        <w:t>, në datën 24.</w:t>
      </w:r>
      <w:r w:rsidRPr="00D26B4E">
        <w:rPr>
          <w:rFonts w:ascii="Garamond" w:hAnsi="Garamond"/>
          <w:color w:val="000000"/>
        </w:rPr>
        <w:t>2.2026</w:t>
      </w:r>
      <w:r w:rsidR="00D26B4E" w:rsidRPr="00D26B4E">
        <w:rPr>
          <w:rFonts w:ascii="Garamond" w:hAnsi="Garamond"/>
          <w:color w:val="000000"/>
        </w:rPr>
        <w:t>,</w:t>
      </w:r>
      <w:r w:rsidRPr="00D26B4E">
        <w:rPr>
          <w:rFonts w:ascii="Garamond" w:hAnsi="Garamond"/>
          <w:color w:val="000000"/>
        </w:rPr>
        <w:t xml:space="preserve"> mori në shqyrtim në seancë plenare mbi bazë të dokumenteve çështjen nr. 9 (E) 2025 të Regjistrit Themeltar, që u përket:</w:t>
      </w:r>
    </w:p>
    <w:p w14:paraId="13ABDCB1" w14:textId="67D2F378" w:rsidR="00DC2EF9" w:rsidRPr="00D26B4E" w:rsidRDefault="00DC2EF9" w:rsidP="00DC2EF9">
      <w:pPr>
        <w:autoSpaceDE w:val="0"/>
        <w:autoSpaceDN w:val="0"/>
        <w:adjustRightInd w:val="0"/>
        <w:spacing w:line="240" w:lineRule="auto"/>
        <w:ind w:firstLine="284"/>
        <w:jc w:val="both"/>
        <w:rPr>
          <w:rFonts w:ascii="Garamond" w:hAnsi="Garamond"/>
          <w:color w:val="000000"/>
        </w:rPr>
      </w:pPr>
      <w:r w:rsidRPr="00D26B4E">
        <w:rPr>
          <w:rFonts w:ascii="Garamond" w:hAnsi="Garamond"/>
          <w:bCs/>
          <w:color w:val="000000"/>
        </w:rPr>
        <w:t xml:space="preserve">KËRKUES: </w:t>
      </w:r>
      <w:proofErr w:type="spellStart"/>
      <w:r w:rsidR="00D26B4E" w:rsidRPr="00D26B4E">
        <w:rPr>
          <w:rFonts w:ascii="Garamond" w:hAnsi="Garamond"/>
          <w:bCs/>
          <w:color w:val="000000"/>
        </w:rPr>
        <w:t>Edmond</w:t>
      </w:r>
      <w:proofErr w:type="spellEnd"/>
      <w:r w:rsidR="00D26B4E" w:rsidRPr="00D26B4E">
        <w:rPr>
          <w:rFonts w:ascii="Garamond" w:hAnsi="Garamond"/>
          <w:bCs/>
          <w:color w:val="000000"/>
        </w:rPr>
        <w:t xml:space="preserve"> </w:t>
      </w:r>
      <w:proofErr w:type="spellStart"/>
      <w:r w:rsidR="00D26B4E" w:rsidRPr="00D26B4E">
        <w:rPr>
          <w:rFonts w:ascii="Garamond" w:hAnsi="Garamond"/>
          <w:bCs/>
          <w:color w:val="000000"/>
        </w:rPr>
        <w:t>Hysenaj</w:t>
      </w:r>
      <w:proofErr w:type="spellEnd"/>
      <w:r w:rsidRPr="00D26B4E">
        <w:rPr>
          <w:rFonts w:ascii="Garamond" w:hAnsi="Garamond"/>
          <w:bCs/>
          <w:color w:val="000000"/>
        </w:rPr>
        <w:t xml:space="preserve">, </w:t>
      </w:r>
      <w:r w:rsidRPr="00D26B4E">
        <w:rPr>
          <w:rFonts w:ascii="Garamond" w:hAnsi="Garamond"/>
          <w:color w:val="000000"/>
        </w:rPr>
        <w:t xml:space="preserve">përfaqësuar nga avokati </w:t>
      </w:r>
      <w:proofErr w:type="spellStart"/>
      <w:r w:rsidRPr="00D26B4E">
        <w:rPr>
          <w:rFonts w:ascii="Garamond" w:hAnsi="Garamond"/>
          <w:color w:val="000000"/>
        </w:rPr>
        <w:t>Ariton</w:t>
      </w:r>
      <w:proofErr w:type="spellEnd"/>
      <w:r w:rsidRPr="00D26B4E">
        <w:rPr>
          <w:rFonts w:ascii="Garamond" w:hAnsi="Garamond"/>
          <w:color w:val="000000"/>
        </w:rPr>
        <w:t xml:space="preserve"> </w:t>
      </w:r>
      <w:proofErr w:type="spellStart"/>
      <w:r w:rsidRPr="00D26B4E">
        <w:rPr>
          <w:rFonts w:ascii="Garamond" w:hAnsi="Garamond"/>
          <w:color w:val="000000"/>
        </w:rPr>
        <w:t>Kasaj</w:t>
      </w:r>
      <w:proofErr w:type="spellEnd"/>
      <w:r w:rsidRPr="00D26B4E">
        <w:rPr>
          <w:rFonts w:ascii="Garamond" w:hAnsi="Garamond"/>
          <w:color w:val="000000"/>
        </w:rPr>
        <w:t>, me prokurë të përgjithshme.</w:t>
      </w:r>
    </w:p>
    <w:p w14:paraId="062A6F14" w14:textId="3BDBDEA1" w:rsidR="00DC2EF9" w:rsidRPr="00D26B4E" w:rsidRDefault="00DC2EF9" w:rsidP="00D26B4E">
      <w:pPr>
        <w:autoSpaceDE w:val="0"/>
        <w:autoSpaceDN w:val="0"/>
        <w:adjustRightInd w:val="0"/>
        <w:spacing w:line="240" w:lineRule="auto"/>
        <w:ind w:firstLine="284"/>
        <w:jc w:val="both"/>
        <w:rPr>
          <w:rFonts w:ascii="Garamond" w:hAnsi="Garamond"/>
          <w:bCs/>
          <w:color w:val="000000"/>
        </w:rPr>
      </w:pPr>
      <w:r w:rsidRPr="00D26B4E">
        <w:rPr>
          <w:rFonts w:ascii="Garamond" w:hAnsi="Garamond"/>
          <w:bCs/>
          <w:color w:val="000000"/>
        </w:rPr>
        <w:t>SUBJEKTE TË INTERESUARA:</w:t>
      </w:r>
      <w:r w:rsidR="00D26B4E">
        <w:rPr>
          <w:rFonts w:ascii="Garamond" w:hAnsi="Garamond"/>
          <w:bCs/>
          <w:color w:val="000000"/>
        </w:rPr>
        <w:t xml:space="preserve"> </w:t>
      </w:r>
      <w:r w:rsidR="00D26B4E" w:rsidRPr="00D26B4E">
        <w:rPr>
          <w:rFonts w:ascii="Garamond" w:hAnsi="Garamond"/>
          <w:bCs/>
          <w:color w:val="000000"/>
        </w:rPr>
        <w:t xml:space="preserve">Prokuroria </w:t>
      </w:r>
      <w:r w:rsidR="00D26B4E">
        <w:rPr>
          <w:rFonts w:ascii="Garamond" w:hAnsi="Garamond"/>
          <w:bCs/>
          <w:color w:val="000000"/>
        </w:rPr>
        <w:t>e</w:t>
      </w:r>
      <w:r w:rsidR="00D26B4E" w:rsidRPr="00D26B4E">
        <w:rPr>
          <w:rFonts w:ascii="Garamond" w:hAnsi="Garamond"/>
          <w:bCs/>
          <w:color w:val="000000"/>
        </w:rPr>
        <w:t xml:space="preserve"> Përgjithshme</w:t>
      </w:r>
      <w:r w:rsidRPr="00D26B4E">
        <w:rPr>
          <w:rFonts w:ascii="Garamond" w:hAnsi="Garamond"/>
          <w:bCs/>
          <w:color w:val="000000"/>
        </w:rPr>
        <w:t xml:space="preserve">, </w:t>
      </w:r>
      <w:r w:rsidRPr="00D26B4E">
        <w:rPr>
          <w:rFonts w:ascii="Garamond" w:hAnsi="Garamond"/>
          <w:color w:val="000000"/>
        </w:rPr>
        <w:t xml:space="preserve">përfaqësuar nga prokurori Isa </w:t>
      </w:r>
      <w:proofErr w:type="spellStart"/>
      <w:r w:rsidRPr="00D26B4E">
        <w:rPr>
          <w:rFonts w:ascii="Garamond" w:hAnsi="Garamond"/>
          <w:color w:val="000000"/>
        </w:rPr>
        <w:t>Jata</w:t>
      </w:r>
      <w:proofErr w:type="spellEnd"/>
      <w:r w:rsidRPr="00D26B4E">
        <w:rPr>
          <w:rFonts w:ascii="Garamond" w:hAnsi="Garamond"/>
          <w:color w:val="000000"/>
        </w:rPr>
        <w:t>.</w:t>
      </w:r>
    </w:p>
    <w:p w14:paraId="24F407FE" w14:textId="67C9F818" w:rsidR="00DC2EF9" w:rsidRPr="00D26B4E" w:rsidRDefault="00DC2EF9" w:rsidP="00DC2EF9">
      <w:pPr>
        <w:autoSpaceDE w:val="0"/>
        <w:autoSpaceDN w:val="0"/>
        <w:adjustRightInd w:val="0"/>
        <w:spacing w:line="240" w:lineRule="auto"/>
        <w:ind w:firstLine="284"/>
        <w:jc w:val="both"/>
        <w:rPr>
          <w:rFonts w:ascii="Garamond" w:hAnsi="Garamond"/>
          <w:bCs/>
          <w:color w:val="000000"/>
        </w:rPr>
      </w:pPr>
      <w:r w:rsidRPr="00D26B4E">
        <w:rPr>
          <w:rFonts w:ascii="Garamond" w:hAnsi="Garamond"/>
          <w:bCs/>
          <w:color w:val="000000"/>
        </w:rPr>
        <w:t xml:space="preserve"> </w:t>
      </w:r>
      <w:proofErr w:type="spellStart"/>
      <w:r w:rsidR="00D26B4E" w:rsidRPr="00D26B4E">
        <w:rPr>
          <w:rFonts w:ascii="Garamond" w:hAnsi="Garamond"/>
          <w:bCs/>
          <w:color w:val="000000"/>
        </w:rPr>
        <w:t>Hamlet</w:t>
      </w:r>
      <w:proofErr w:type="spellEnd"/>
      <w:r w:rsidR="00D26B4E" w:rsidRPr="00D26B4E">
        <w:rPr>
          <w:rFonts w:ascii="Garamond" w:hAnsi="Garamond"/>
          <w:bCs/>
          <w:color w:val="000000"/>
        </w:rPr>
        <w:t xml:space="preserve"> </w:t>
      </w:r>
      <w:proofErr w:type="spellStart"/>
      <w:r w:rsidR="00D26B4E" w:rsidRPr="00D26B4E">
        <w:rPr>
          <w:rFonts w:ascii="Garamond" w:hAnsi="Garamond"/>
          <w:bCs/>
          <w:color w:val="000000"/>
        </w:rPr>
        <w:t>Hysenaj</w:t>
      </w:r>
      <w:proofErr w:type="spellEnd"/>
      <w:r w:rsidRPr="00D26B4E">
        <w:rPr>
          <w:rFonts w:ascii="Garamond" w:hAnsi="Garamond"/>
          <w:bCs/>
          <w:color w:val="000000"/>
        </w:rPr>
        <w:t xml:space="preserve">, </w:t>
      </w:r>
      <w:r w:rsidRPr="00D26B4E">
        <w:rPr>
          <w:rFonts w:ascii="Garamond" w:hAnsi="Garamond"/>
          <w:color w:val="000000"/>
        </w:rPr>
        <w:t>në mungesë.</w:t>
      </w:r>
    </w:p>
    <w:p w14:paraId="39F92E65" w14:textId="4A3F925A" w:rsidR="00DC2EF9" w:rsidRPr="00D26B4E" w:rsidRDefault="00DC2EF9" w:rsidP="00DC2EF9">
      <w:pPr>
        <w:autoSpaceDE w:val="0"/>
        <w:autoSpaceDN w:val="0"/>
        <w:adjustRightInd w:val="0"/>
        <w:spacing w:line="240" w:lineRule="auto"/>
        <w:ind w:firstLine="284"/>
        <w:jc w:val="both"/>
        <w:rPr>
          <w:rFonts w:ascii="Garamond" w:hAnsi="Garamond"/>
          <w:bCs/>
          <w:color w:val="000000"/>
        </w:rPr>
      </w:pPr>
      <w:r w:rsidRPr="00D26B4E">
        <w:rPr>
          <w:rFonts w:ascii="Garamond" w:hAnsi="Garamond"/>
          <w:bCs/>
          <w:color w:val="000000"/>
        </w:rPr>
        <w:t>OBJEKTI: Shfuqizimi i vendimit nr. 00-2024-1923 (290), datë 21.11.2024</w:t>
      </w:r>
      <w:r w:rsidR="00D26B4E">
        <w:rPr>
          <w:rFonts w:ascii="Garamond" w:hAnsi="Garamond"/>
          <w:bCs/>
          <w:color w:val="000000"/>
        </w:rPr>
        <w:t>,</w:t>
      </w:r>
      <w:r w:rsidRPr="00D26B4E">
        <w:rPr>
          <w:rFonts w:ascii="Garamond" w:hAnsi="Garamond"/>
          <w:bCs/>
          <w:color w:val="000000"/>
        </w:rPr>
        <w:t xml:space="preserve"> të Kolegjit Penal të Gjykatës së Lartë, si i papajtueshëm me Kushtetutën e Republikës së Shqipërisë.</w:t>
      </w:r>
    </w:p>
    <w:p w14:paraId="68A264D6" w14:textId="20FFD99D" w:rsidR="00DC2EF9" w:rsidRPr="00D26B4E" w:rsidRDefault="00DC2EF9" w:rsidP="00DC2EF9">
      <w:pPr>
        <w:autoSpaceDE w:val="0"/>
        <w:autoSpaceDN w:val="0"/>
        <w:adjustRightInd w:val="0"/>
        <w:spacing w:line="240" w:lineRule="auto"/>
        <w:ind w:firstLine="284"/>
        <w:jc w:val="both"/>
        <w:rPr>
          <w:rFonts w:ascii="Garamond" w:hAnsi="Garamond"/>
          <w:bCs/>
          <w:color w:val="000000"/>
        </w:rPr>
      </w:pPr>
      <w:r w:rsidRPr="00D26B4E">
        <w:rPr>
          <w:rFonts w:ascii="Garamond" w:hAnsi="Garamond"/>
          <w:bCs/>
          <w:color w:val="000000"/>
        </w:rPr>
        <w:t>BAZA LIGJORE: Nenet</w:t>
      </w:r>
      <w:r w:rsidR="00D26B4E">
        <w:rPr>
          <w:rFonts w:ascii="Garamond" w:hAnsi="Garamond"/>
          <w:bCs/>
          <w:color w:val="000000"/>
        </w:rPr>
        <w:t xml:space="preserve"> </w:t>
      </w:r>
      <w:r w:rsidRPr="00D26B4E">
        <w:rPr>
          <w:rFonts w:ascii="Garamond" w:hAnsi="Garamond"/>
          <w:bCs/>
          <w:color w:val="000000"/>
        </w:rPr>
        <w:t>17, 41, 42, 131, pika 1, shkronja “f”, 134, pika 1, shkronja “i” dhe</w:t>
      </w:r>
      <w:r w:rsidR="00D26B4E">
        <w:rPr>
          <w:rFonts w:ascii="Garamond" w:hAnsi="Garamond"/>
          <w:bCs/>
          <w:color w:val="000000"/>
        </w:rPr>
        <w:t xml:space="preserve"> </w:t>
      </w:r>
      <w:r w:rsidRPr="00D26B4E">
        <w:rPr>
          <w:rFonts w:ascii="Garamond" w:hAnsi="Garamond"/>
          <w:bCs/>
          <w:color w:val="000000"/>
        </w:rPr>
        <w:t xml:space="preserve">142, pika 2, të Kushtetutës së Republikës së Shqipërisë </w:t>
      </w:r>
      <w:r w:rsidRPr="00D26B4E">
        <w:rPr>
          <w:rFonts w:ascii="Garamond" w:hAnsi="Garamond"/>
          <w:bCs/>
          <w:i/>
          <w:iCs/>
          <w:color w:val="000000"/>
        </w:rPr>
        <w:t>(Kushtetuta)</w:t>
      </w:r>
      <w:r w:rsidRPr="00D26B4E">
        <w:rPr>
          <w:rFonts w:ascii="Garamond" w:hAnsi="Garamond"/>
          <w:bCs/>
          <w:color w:val="000000"/>
        </w:rPr>
        <w:t>; nenet 6 dhe 1 të Protokollit nr. 1 të Konventës Evropiane për të Drejtat e Nj</w:t>
      </w:r>
      <w:r w:rsidR="00D26B4E">
        <w:rPr>
          <w:rFonts w:ascii="Garamond" w:hAnsi="Garamond"/>
          <w:bCs/>
          <w:color w:val="000000"/>
        </w:rPr>
        <w:t>eriut; ligji nr. 8577, datë 10.</w:t>
      </w:r>
      <w:r w:rsidRPr="00D26B4E">
        <w:rPr>
          <w:rFonts w:ascii="Garamond" w:hAnsi="Garamond"/>
          <w:bCs/>
          <w:color w:val="000000"/>
        </w:rPr>
        <w:t>2.2000</w:t>
      </w:r>
      <w:r w:rsidR="00D26B4E">
        <w:rPr>
          <w:rFonts w:ascii="Garamond" w:hAnsi="Garamond"/>
          <w:bCs/>
          <w:color w:val="000000"/>
        </w:rPr>
        <w:t>,</w:t>
      </w:r>
      <w:r w:rsidRPr="00D26B4E">
        <w:rPr>
          <w:rFonts w:ascii="Garamond" w:hAnsi="Garamond"/>
          <w:bCs/>
          <w:color w:val="000000"/>
        </w:rPr>
        <w:t xml:space="preserve"> “Për organizimin dhe funksionimin e Gjykatës Kushtetuese të Republikës së Shqipërisë”, i ndryshuar </w:t>
      </w:r>
      <w:r w:rsidRPr="00D26B4E">
        <w:rPr>
          <w:rFonts w:ascii="Garamond" w:hAnsi="Garamond"/>
          <w:bCs/>
          <w:i/>
          <w:iCs/>
          <w:color w:val="000000"/>
        </w:rPr>
        <w:t>(Ligji Organik i Gjykatës)</w:t>
      </w:r>
      <w:r w:rsidRPr="00D26B4E">
        <w:rPr>
          <w:rFonts w:ascii="Garamond" w:hAnsi="Garamond"/>
          <w:bCs/>
          <w:color w:val="000000"/>
        </w:rPr>
        <w:t>.</w:t>
      </w:r>
      <w:r w:rsidRPr="00D26B4E">
        <w:rPr>
          <w:rFonts w:ascii="Garamond" w:hAnsi="Garamond"/>
          <w:bCs/>
          <w:i/>
          <w:iCs/>
          <w:color w:val="000000"/>
        </w:rPr>
        <w:t xml:space="preserve"> </w:t>
      </w:r>
    </w:p>
    <w:p w14:paraId="39035037" w14:textId="77777777" w:rsidR="00DC2EF9" w:rsidRPr="00D26B4E" w:rsidRDefault="00DC2EF9" w:rsidP="00DC2EF9">
      <w:pPr>
        <w:autoSpaceDE w:val="0"/>
        <w:autoSpaceDN w:val="0"/>
        <w:adjustRightInd w:val="0"/>
        <w:spacing w:line="240" w:lineRule="auto"/>
        <w:ind w:firstLine="284"/>
        <w:jc w:val="both"/>
        <w:rPr>
          <w:rFonts w:ascii="Garamond" w:hAnsi="Garamond"/>
          <w:bCs/>
          <w:color w:val="000000"/>
        </w:rPr>
      </w:pPr>
    </w:p>
    <w:p w14:paraId="4F292C17" w14:textId="77777777" w:rsidR="00DC2EF9" w:rsidRPr="00D26B4E" w:rsidRDefault="00DC2EF9" w:rsidP="00C0053B">
      <w:pPr>
        <w:autoSpaceDE w:val="0"/>
        <w:autoSpaceDN w:val="0"/>
        <w:adjustRightInd w:val="0"/>
        <w:spacing w:line="240" w:lineRule="auto"/>
        <w:ind w:firstLine="284"/>
        <w:jc w:val="center"/>
        <w:rPr>
          <w:rFonts w:ascii="Garamond" w:hAnsi="Garamond"/>
          <w:bCs/>
          <w:color w:val="000000"/>
        </w:rPr>
      </w:pPr>
      <w:r w:rsidRPr="00D26B4E">
        <w:rPr>
          <w:rFonts w:ascii="Garamond" w:hAnsi="Garamond"/>
          <w:bCs/>
          <w:color w:val="000000"/>
        </w:rPr>
        <w:t>GJYKATA KUSHTETUESE,</w:t>
      </w:r>
    </w:p>
    <w:p w14:paraId="6D89099A" w14:textId="77777777" w:rsidR="00C0053B" w:rsidRPr="00D26B4E" w:rsidRDefault="00C0053B" w:rsidP="00DC2EF9">
      <w:pPr>
        <w:autoSpaceDE w:val="0"/>
        <w:autoSpaceDN w:val="0"/>
        <w:adjustRightInd w:val="0"/>
        <w:spacing w:line="240" w:lineRule="auto"/>
        <w:ind w:firstLine="284"/>
        <w:jc w:val="both"/>
        <w:rPr>
          <w:rFonts w:ascii="Garamond" w:hAnsi="Garamond"/>
          <w:color w:val="000000"/>
        </w:rPr>
      </w:pPr>
    </w:p>
    <w:p w14:paraId="798D4D96" w14:textId="603F0AAA" w:rsidR="00DC2EF9" w:rsidRPr="00D26B4E" w:rsidRDefault="00DC2EF9" w:rsidP="00DC2EF9">
      <w:pPr>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pasi dëgjoi relatorin e çështjes Genti Ibrahimi, mori në shqyrtim parashtrimet me shkrim të kërkuesit </w:t>
      </w:r>
      <w:proofErr w:type="spellStart"/>
      <w:r w:rsidRPr="00D26B4E">
        <w:rPr>
          <w:rFonts w:ascii="Garamond" w:hAnsi="Garamond"/>
          <w:color w:val="000000"/>
        </w:rPr>
        <w:t>Edmond</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w:t>
      </w:r>
      <w:r w:rsidRPr="00D26B4E">
        <w:rPr>
          <w:rFonts w:ascii="Garamond" w:hAnsi="Garamond"/>
          <w:i/>
          <w:iCs/>
          <w:color w:val="000000"/>
        </w:rPr>
        <w:t>kërkuesi</w:t>
      </w:r>
      <w:r w:rsidRPr="00D26B4E">
        <w:rPr>
          <w:rFonts w:ascii="Garamond" w:hAnsi="Garamond"/>
          <w:color w:val="000000"/>
        </w:rPr>
        <w:t xml:space="preserve">), i cili ka kërkuar pranimin e kërkesës, prapësimet me shkrim të subjektit të interesuar, Prokurorisë së Përgjithshme, që ka kërkuar rrëzimin e kërkesës, konstatoi mungesën e prapësimeve me shkrim të subjektit të interesuar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si dhe diskutoi çështjen në tërësi, </w:t>
      </w:r>
    </w:p>
    <w:p w14:paraId="3CE66E86" w14:textId="77777777" w:rsidR="00DC2EF9" w:rsidRPr="00D26B4E" w:rsidRDefault="00DC2EF9" w:rsidP="00DC2EF9">
      <w:pPr>
        <w:autoSpaceDE w:val="0"/>
        <w:autoSpaceDN w:val="0"/>
        <w:adjustRightInd w:val="0"/>
        <w:spacing w:line="240" w:lineRule="auto"/>
        <w:ind w:firstLine="284"/>
        <w:jc w:val="center"/>
        <w:rPr>
          <w:rFonts w:ascii="Garamond" w:hAnsi="Garamond"/>
          <w:b/>
          <w:bCs/>
          <w:color w:val="000000"/>
        </w:rPr>
      </w:pPr>
    </w:p>
    <w:p w14:paraId="6F2AEE68" w14:textId="0F8194CD" w:rsidR="00DC2EF9" w:rsidRPr="00D26B4E" w:rsidRDefault="00DC2EF9" w:rsidP="00DC2EF9">
      <w:pPr>
        <w:autoSpaceDE w:val="0"/>
        <w:autoSpaceDN w:val="0"/>
        <w:adjustRightInd w:val="0"/>
        <w:spacing w:line="240" w:lineRule="auto"/>
        <w:ind w:firstLine="284"/>
        <w:jc w:val="center"/>
        <w:rPr>
          <w:rFonts w:ascii="Garamond" w:hAnsi="Garamond"/>
          <w:bCs/>
          <w:color w:val="000000"/>
        </w:rPr>
      </w:pPr>
      <w:r w:rsidRPr="00D26B4E">
        <w:rPr>
          <w:rFonts w:ascii="Garamond" w:hAnsi="Garamond"/>
          <w:bCs/>
          <w:color w:val="000000"/>
        </w:rPr>
        <w:t>VËREN:</w:t>
      </w:r>
    </w:p>
    <w:p w14:paraId="3146C7E3" w14:textId="77777777" w:rsidR="00C0053B" w:rsidRPr="00D26B4E" w:rsidRDefault="00C0053B" w:rsidP="00DC2EF9">
      <w:pPr>
        <w:autoSpaceDE w:val="0"/>
        <w:autoSpaceDN w:val="0"/>
        <w:adjustRightInd w:val="0"/>
        <w:spacing w:line="240" w:lineRule="auto"/>
        <w:ind w:firstLine="284"/>
        <w:jc w:val="center"/>
        <w:rPr>
          <w:rFonts w:ascii="Garamond" w:hAnsi="Garamond"/>
          <w:b/>
          <w:bCs/>
          <w:color w:val="000000"/>
        </w:rPr>
      </w:pPr>
    </w:p>
    <w:p w14:paraId="5D0902EA" w14:textId="3D423DB9" w:rsidR="00DC2EF9" w:rsidRPr="00D26B4E" w:rsidRDefault="00DC2EF9" w:rsidP="00DC2EF9">
      <w:pPr>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I</w:t>
      </w:r>
    </w:p>
    <w:p w14:paraId="3DC1C404" w14:textId="77777777" w:rsidR="00DC2EF9" w:rsidRPr="00D26B4E" w:rsidRDefault="00DC2EF9" w:rsidP="00DC2EF9">
      <w:pPr>
        <w:tabs>
          <w:tab w:val="left" w:pos="1080"/>
        </w:tabs>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Rrethanat e çështjes</w:t>
      </w:r>
    </w:p>
    <w:p w14:paraId="2D8FBDD3" w14:textId="77777777" w:rsidR="00C0053B" w:rsidRPr="00D26B4E" w:rsidRDefault="00C0053B" w:rsidP="00DC2EF9">
      <w:pPr>
        <w:tabs>
          <w:tab w:val="left" w:pos="980"/>
        </w:tabs>
        <w:autoSpaceDE w:val="0"/>
        <w:autoSpaceDN w:val="0"/>
        <w:adjustRightInd w:val="0"/>
        <w:spacing w:line="240" w:lineRule="auto"/>
        <w:ind w:firstLine="284"/>
        <w:jc w:val="both"/>
        <w:rPr>
          <w:rFonts w:ascii="Garamond" w:hAnsi="Garamond"/>
          <w:color w:val="000000"/>
        </w:rPr>
      </w:pPr>
    </w:p>
    <w:p w14:paraId="4D89B4B4" w14:textId="23F1E192" w:rsidR="00DC2EF9" w:rsidRPr="00D26B4E" w:rsidRDefault="00DC2EF9" w:rsidP="00DC2EF9">
      <w:pPr>
        <w:tabs>
          <w:tab w:val="left" w:pos="980"/>
        </w:tabs>
        <w:autoSpaceDE w:val="0"/>
        <w:autoSpaceDN w:val="0"/>
        <w:adjustRightInd w:val="0"/>
        <w:spacing w:line="240" w:lineRule="auto"/>
        <w:ind w:firstLine="284"/>
        <w:jc w:val="both"/>
        <w:rPr>
          <w:rFonts w:ascii="Garamond" w:hAnsi="Garamond"/>
          <w:i/>
          <w:iCs/>
          <w:color w:val="000000"/>
        </w:rPr>
      </w:pPr>
      <w:r w:rsidRPr="00D26B4E">
        <w:rPr>
          <w:rFonts w:ascii="Garamond" w:hAnsi="Garamond"/>
          <w:color w:val="000000"/>
        </w:rPr>
        <w:t>1. Kërkuesi dhe dy vëllezërit e tij janë trashëgimtarë të shtetasit M.</w:t>
      </w:r>
      <w:r w:rsidR="00D26B4E">
        <w:rPr>
          <w:rFonts w:ascii="Garamond" w:hAnsi="Garamond"/>
          <w:color w:val="000000"/>
        </w:rPr>
        <w:t xml:space="preserve"> </w:t>
      </w:r>
      <w:r w:rsidRPr="00D26B4E">
        <w:rPr>
          <w:rFonts w:ascii="Garamond" w:hAnsi="Garamond"/>
          <w:color w:val="000000"/>
        </w:rPr>
        <w:t>H., të cili</w:t>
      </w:r>
      <w:r w:rsidR="00D26B4E">
        <w:rPr>
          <w:rFonts w:ascii="Garamond" w:hAnsi="Garamond"/>
          <w:color w:val="000000"/>
        </w:rPr>
        <w:t>t, me vendimin nr. 75, datë 21.</w:t>
      </w:r>
      <w:r w:rsidRPr="00D26B4E">
        <w:rPr>
          <w:rFonts w:ascii="Garamond" w:hAnsi="Garamond"/>
          <w:color w:val="000000"/>
        </w:rPr>
        <w:t>3.1995</w:t>
      </w:r>
      <w:r w:rsidR="00D26B4E">
        <w:rPr>
          <w:rFonts w:ascii="Garamond" w:hAnsi="Garamond"/>
          <w:color w:val="000000"/>
        </w:rPr>
        <w:t>,</w:t>
      </w:r>
      <w:r w:rsidRPr="00D26B4E">
        <w:rPr>
          <w:rFonts w:ascii="Garamond" w:hAnsi="Garamond"/>
          <w:color w:val="000000"/>
        </w:rPr>
        <w:t xml:space="preserve"> të Komisionit të Kthimit dhe Kompensimit të Pronave, Vlorë (</w:t>
      </w:r>
      <w:r w:rsidRPr="00D26B4E">
        <w:rPr>
          <w:rFonts w:ascii="Garamond" w:hAnsi="Garamond"/>
          <w:i/>
          <w:iCs/>
          <w:color w:val="000000"/>
        </w:rPr>
        <w:t>KKKP)</w:t>
      </w:r>
      <w:r w:rsidRPr="00D26B4E">
        <w:rPr>
          <w:rFonts w:ascii="Garamond" w:hAnsi="Garamond"/>
          <w:color w:val="000000"/>
        </w:rPr>
        <w:t xml:space="preserve"> (</w:t>
      </w:r>
      <w:r w:rsidRPr="00D26B4E">
        <w:rPr>
          <w:rFonts w:ascii="Garamond" w:hAnsi="Garamond"/>
          <w:i/>
          <w:iCs/>
          <w:color w:val="000000"/>
        </w:rPr>
        <w:t>vendimi nr. 75/1995</w:t>
      </w:r>
      <w:r w:rsidRPr="00D26B4E">
        <w:rPr>
          <w:rFonts w:ascii="Garamond" w:hAnsi="Garamond"/>
          <w:color w:val="000000"/>
        </w:rPr>
        <w:t>), i është njohur e drejta e pronësisë për nj</w:t>
      </w:r>
      <w:r w:rsidR="00D26B4E">
        <w:rPr>
          <w:rFonts w:ascii="Garamond" w:hAnsi="Garamond"/>
          <w:color w:val="000000"/>
        </w:rPr>
        <w:t>ë sipërfaqe trualli prej 3.600 m</w:t>
      </w:r>
      <w:r w:rsidR="00D26B4E" w:rsidRPr="00D26B4E">
        <w:rPr>
          <w:rFonts w:ascii="Garamond" w:hAnsi="Garamond"/>
          <w:color w:val="000000"/>
          <w:vertAlign w:val="superscript"/>
        </w:rPr>
        <w:t>2</w:t>
      </w:r>
      <w:r w:rsidRPr="00D26B4E">
        <w:rPr>
          <w:rFonts w:ascii="Garamond" w:hAnsi="Garamond"/>
          <w:color w:val="000000"/>
        </w:rPr>
        <w:t>, të ndodhur në zonën e “Ujit të Ftohtë”, Vlorë. Prona është regjistruar rregullisht në Zyrën e Regjistrimit të Pasurive të Paluajtshme, Vlorë (</w:t>
      </w:r>
      <w:r w:rsidRPr="00D26B4E">
        <w:rPr>
          <w:rFonts w:ascii="Garamond" w:hAnsi="Garamond"/>
          <w:i/>
          <w:iCs/>
          <w:color w:val="000000"/>
        </w:rPr>
        <w:t>ZRPP</w:t>
      </w:r>
      <w:r w:rsidRPr="00D26B4E">
        <w:rPr>
          <w:rFonts w:ascii="Garamond" w:hAnsi="Garamond"/>
          <w:color w:val="000000"/>
        </w:rPr>
        <w:t xml:space="preserve">) në emër të kërkuesit dhe vëllezërve të tij me 1/3-ën pjesë secili. </w:t>
      </w:r>
    </w:p>
    <w:p w14:paraId="36E642C5" w14:textId="394E921A" w:rsidR="00DC2EF9" w:rsidRPr="00D26B4E" w:rsidRDefault="00DC2EF9" w:rsidP="00DC2EF9">
      <w:pPr>
        <w:tabs>
          <w:tab w:val="left" w:pos="980"/>
        </w:tabs>
        <w:autoSpaceDE w:val="0"/>
        <w:autoSpaceDN w:val="0"/>
        <w:adjustRightInd w:val="0"/>
        <w:spacing w:line="240" w:lineRule="auto"/>
        <w:ind w:firstLine="284"/>
        <w:jc w:val="both"/>
        <w:rPr>
          <w:rFonts w:ascii="Garamond" w:hAnsi="Garamond"/>
          <w:i/>
          <w:iCs/>
          <w:color w:val="000000"/>
        </w:rPr>
      </w:pPr>
      <w:r w:rsidRPr="00D26B4E">
        <w:rPr>
          <w:rFonts w:ascii="Garamond" w:hAnsi="Garamond"/>
          <w:color w:val="000000"/>
        </w:rPr>
        <w:t xml:space="preserve">2. Si pronarë të pasurisë truall të sipërpërmendur kërkuesi dhe vëllezërit e tij kanë lidhur kontratë sipërmarrjeje me një shoqëri ndërtimi, mbi bazën e së cilës (kontratës së sipërmarrjes), Këshilli i Rregullimit të Territorit pranë Bashkisë së Vlorës, në nëntor të vitit 2010, ka miratuar në favor të shoqërisë lejen e ndërtimit për një objekt banimi. </w:t>
      </w:r>
    </w:p>
    <w:p w14:paraId="3A9C5031" w14:textId="2A943824" w:rsidR="00DC2EF9" w:rsidRPr="00D26B4E" w:rsidRDefault="00DC2EF9" w:rsidP="00DC2EF9">
      <w:pPr>
        <w:tabs>
          <w:tab w:val="left" w:pos="980"/>
        </w:tabs>
        <w:autoSpaceDE w:val="0"/>
        <w:autoSpaceDN w:val="0"/>
        <w:adjustRightInd w:val="0"/>
        <w:spacing w:line="240" w:lineRule="auto"/>
        <w:ind w:firstLine="284"/>
        <w:jc w:val="both"/>
        <w:rPr>
          <w:rFonts w:ascii="Garamond" w:hAnsi="Garamond"/>
          <w:i/>
          <w:iCs/>
          <w:color w:val="000000"/>
        </w:rPr>
      </w:pPr>
      <w:r w:rsidRPr="00D26B4E">
        <w:rPr>
          <w:rFonts w:ascii="Garamond" w:hAnsi="Garamond"/>
          <w:color w:val="000000"/>
        </w:rPr>
        <w:lastRenderedPageBreak/>
        <w:t>3. Në datën 14.11.2024</w:t>
      </w:r>
      <w:r w:rsidR="00D26B4E">
        <w:rPr>
          <w:rFonts w:ascii="Garamond" w:hAnsi="Garamond"/>
          <w:color w:val="000000"/>
        </w:rPr>
        <w:t>,</w:t>
      </w:r>
      <w:r w:rsidRPr="00D26B4E">
        <w:rPr>
          <w:rFonts w:ascii="Garamond" w:hAnsi="Garamond"/>
          <w:color w:val="000000"/>
        </w:rPr>
        <w:t xml:space="preserve"> shtetasi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w:t>
      </w:r>
      <w:r w:rsidRPr="00D26B4E">
        <w:rPr>
          <w:rFonts w:ascii="Garamond" w:hAnsi="Garamond"/>
          <w:i/>
          <w:iCs/>
          <w:color w:val="000000"/>
        </w:rPr>
        <w:t>kallëzuesi</w:t>
      </w:r>
      <w:r w:rsidRPr="00D26B4E">
        <w:rPr>
          <w:rFonts w:ascii="Garamond" w:hAnsi="Garamond"/>
          <w:color w:val="000000"/>
        </w:rPr>
        <w:t>) ka paraqitur kallëzim penal në Prokurorinë pranë Gjykatës së Rrethit Gjyqësor Vlorë (</w:t>
      </w:r>
      <w:r w:rsidRPr="00D26B4E">
        <w:rPr>
          <w:rFonts w:ascii="Garamond" w:hAnsi="Garamond"/>
          <w:i/>
          <w:iCs/>
          <w:color w:val="000000"/>
        </w:rPr>
        <w:t>Prokuroria e Vlorës</w:t>
      </w:r>
      <w:r w:rsidRPr="00D26B4E">
        <w:rPr>
          <w:rFonts w:ascii="Garamond" w:hAnsi="Garamond"/>
          <w:color w:val="000000"/>
        </w:rPr>
        <w:t>), me pretendimin se në përfitimin e kësaj prone shtetasi M.</w:t>
      </w:r>
      <w:r w:rsidR="00D26B4E">
        <w:rPr>
          <w:rFonts w:ascii="Garamond" w:hAnsi="Garamond"/>
          <w:color w:val="000000"/>
        </w:rPr>
        <w:t xml:space="preserve"> </w:t>
      </w:r>
      <w:r w:rsidRPr="00D26B4E">
        <w:rPr>
          <w:rFonts w:ascii="Garamond" w:hAnsi="Garamond"/>
          <w:color w:val="000000"/>
        </w:rPr>
        <w:t>H. ka përdorur dokumente të falsifikuara, pasi në regjistrat e pasurive të paluajtshme ajo ka qenë e regjistruar në emër të babait të tij, F.</w:t>
      </w:r>
      <w:r w:rsidR="00D26B4E">
        <w:rPr>
          <w:rFonts w:ascii="Garamond" w:hAnsi="Garamond"/>
          <w:color w:val="000000"/>
        </w:rPr>
        <w:t xml:space="preserve"> </w:t>
      </w:r>
      <w:r w:rsidRPr="00D26B4E">
        <w:rPr>
          <w:rFonts w:ascii="Garamond" w:hAnsi="Garamond"/>
          <w:color w:val="000000"/>
        </w:rPr>
        <w:t>H. dhe jo në emër të shtetasit M.</w:t>
      </w:r>
      <w:r w:rsidR="00D26B4E">
        <w:rPr>
          <w:rFonts w:ascii="Garamond" w:hAnsi="Garamond"/>
          <w:color w:val="000000"/>
        </w:rPr>
        <w:t xml:space="preserve"> </w:t>
      </w:r>
      <w:r w:rsidRPr="00D26B4E">
        <w:rPr>
          <w:rFonts w:ascii="Garamond" w:hAnsi="Garamond"/>
          <w:color w:val="000000"/>
        </w:rPr>
        <w:t>H., në lidhje gjinie me të.</w:t>
      </w:r>
    </w:p>
    <w:p w14:paraId="19BD2C5D" w14:textId="0AC268DA" w:rsidR="00DC2EF9" w:rsidRPr="00D26B4E" w:rsidRDefault="00DC2EF9" w:rsidP="00DC2EF9">
      <w:pPr>
        <w:tabs>
          <w:tab w:val="left" w:pos="90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4.</w:t>
      </w:r>
      <w:r w:rsidR="00D26B4E">
        <w:rPr>
          <w:rFonts w:ascii="Garamond" w:hAnsi="Garamond"/>
          <w:color w:val="000000"/>
        </w:rPr>
        <w:t xml:space="preserve"> </w:t>
      </w:r>
      <w:r w:rsidRPr="00D26B4E">
        <w:rPr>
          <w:rFonts w:ascii="Garamond" w:hAnsi="Garamond"/>
          <w:color w:val="000000"/>
        </w:rPr>
        <w:t>Mbi bazën e këtij kallëzimi, Prokuroria e Vlorës ka regjistruar procedimin penal për veprën penale “Falsifikimi i dokumenteve”, të parashikuar nga neni 186 i Kodit Penal (</w:t>
      </w:r>
      <w:r w:rsidRPr="00D26B4E">
        <w:rPr>
          <w:rFonts w:ascii="Garamond" w:hAnsi="Garamond"/>
          <w:i/>
          <w:iCs/>
          <w:color w:val="000000"/>
        </w:rPr>
        <w:t>KP</w:t>
      </w:r>
      <w:r w:rsidRPr="00D26B4E">
        <w:rPr>
          <w:rFonts w:ascii="Garamond" w:hAnsi="Garamond"/>
          <w:color w:val="000000"/>
        </w:rPr>
        <w:t xml:space="preserve">) dhe, në funksion të hetimit, ka sekuestruar në ZRPP-në, Vlorë të gjithë praktikën e regjistrimit të pasurisë, për të cilën është disponuar me vendimin nr. 75/1995 të KKKP-së, Vlorë. </w:t>
      </w:r>
    </w:p>
    <w:p w14:paraId="095BA6FB" w14:textId="48CA9D1A" w:rsidR="00DC2EF9" w:rsidRPr="00D26B4E" w:rsidRDefault="00DC2EF9" w:rsidP="00DC2EF9">
      <w:pPr>
        <w:tabs>
          <w:tab w:val="left" w:pos="90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5.</w:t>
      </w:r>
      <w:r w:rsidR="00D26B4E">
        <w:rPr>
          <w:rFonts w:ascii="Garamond" w:hAnsi="Garamond"/>
          <w:color w:val="000000"/>
        </w:rPr>
        <w:t xml:space="preserve"> </w:t>
      </w:r>
      <w:r w:rsidRPr="00D26B4E">
        <w:rPr>
          <w:rFonts w:ascii="Garamond" w:hAnsi="Garamond"/>
          <w:color w:val="000000"/>
        </w:rPr>
        <w:t>Në përfundim të veprimeve hetimore, me vendimin e datës 28.12.2016, Prokuroria e Vlorës ka pushuar procedimin penal, megjithëse ka arritur në përfundimin se pasuria e regjistruar në favor të trashëgimtarëve të M.</w:t>
      </w:r>
      <w:r w:rsidR="00D26B4E">
        <w:rPr>
          <w:rFonts w:ascii="Garamond" w:hAnsi="Garamond"/>
          <w:color w:val="000000"/>
        </w:rPr>
        <w:t xml:space="preserve"> </w:t>
      </w:r>
      <w:r w:rsidRPr="00D26B4E">
        <w:rPr>
          <w:rFonts w:ascii="Garamond" w:hAnsi="Garamond"/>
          <w:color w:val="000000"/>
        </w:rPr>
        <w:t>H. është produkt i veprës penale “Falsifikimi i dokumenteve”, pasi nuk provohet dijenia e trashëgimtarëve të M.</w:t>
      </w:r>
      <w:r w:rsidR="00D26B4E">
        <w:rPr>
          <w:rFonts w:ascii="Garamond" w:hAnsi="Garamond"/>
          <w:color w:val="000000"/>
        </w:rPr>
        <w:t xml:space="preserve"> </w:t>
      </w:r>
      <w:r w:rsidRPr="00D26B4E">
        <w:rPr>
          <w:rFonts w:ascii="Garamond" w:hAnsi="Garamond"/>
          <w:color w:val="000000"/>
        </w:rPr>
        <w:t>H. se pasuria në fjalë, të cilën e kanë regjistruar dhe disponuar, është produkt i veprimtarisë kriminale. Ndërkohë, prokuroria ka përcaktuar se, në aplikim të nenit 190 të Kodit të Procedurës Penale (</w:t>
      </w:r>
      <w:r w:rsidRPr="00D26B4E">
        <w:rPr>
          <w:rFonts w:ascii="Garamond" w:hAnsi="Garamond"/>
          <w:i/>
          <w:iCs/>
          <w:color w:val="000000"/>
        </w:rPr>
        <w:t>KPP</w:t>
      </w:r>
      <w:r w:rsidRPr="00D26B4E">
        <w:rPr>
          <w:rFonts w:ascii="Garamond" w:hAnsi="Garamond"/>
          <w:color w:val="000000"/>
        </w:rPr>
        <w:t xml:space="preserve">), dokumentet e sekuestruara në ZVRPP-në, Vlorë, ndër të tjera, vendimi nr. 75/1995 i KKKP-së, Vlorë (kopje e njësuar me origjinalin), </w:t>
      </w:r>
      <w:proofErr w:type="spellStart"/>
      <w:r w:rsidRPr="00D26B4E">
        <w:rPr>
          <w:rFonts w:ascii="Garamond" w:hAnsi="Garamond"/>
          <w:color w:val="000000"/>
        </w:rPr>
        <w:t>planvendosjet</w:t>
      </w:r>
      <w:proofErr w:type="spellEnd"/>
      <w:r w:rsidRPr="00D26B4E">
        <w:rPr>
          <w:rFonts w:ascii="Garamond" w:hAnsi="Garamond"/>
          <w:color w:val="000000"/>
        </w:rPr>
        <w:t xml:space="preserve"> përkatëse, praktika e regjistrimit të pasurisë në emër të bashkëpronarëve </w:t>
      </w:r>
      <w:proofErr w:type="spellStart"/>
      <w:r w:rsidRPr="00D26B4E">
        <w:rPr>
          <w:rFonts w:ascii="Garamond" w:hAnsi="Garamond"/>
          <w:color w:val="000000"/>
        </w:rPr>
        <w:t>Hysenaj</w:t>
      </w:r>
      <w:proofErr w:type="spellEnd"/>
      <w:r w:rsidRPr="00D26B4E">
        <w:rPr>
          <w:rFonts w:ascii="Garamond" w:hAnsi="Garamond"/>
          <w:color w:val="000000"/>
        </w:rPr>
        <w:t xml:space="preserve"> etj., do të qëndrojnë në fashikullin e procedimit penal. Kundër këtij vendimi ka bërë ankim kërkuesi, duke kërkuar ndryshimin e tij si për shkak se fakti nuk parashikohet nga ligji si vepër penale, ashtu edhe për sa i përket </w:t>
      </w:r>
      <w:proofErr w:type="spellStart"/>
      <w:r w:rsidRPr="00D26B4E">
        <w:rPr>
          <w:rFonts w:ascii="Garamond" w:hAnsi="Garamond"/>
          <w:color w:val="000000"/>
        </w:rPr>
        <w:t>disponimit</w:t>
      </w:r>
      <w:proofErr w:type="spellEnd"/>
      <w:r w:rsidRPr="00D26B4E">
        <w:rPr>
          <w:rFonts w:ascii="Garamond" w:hAnsi="Garamond"/>
          <w:color w:val="000000"/>
        </w:rPr>
        <w:t xml:space="preserve"> për dokumentacionin e sekuestruar.</w:t>
      </w:r>
    </w:p>
    <w:p w14:paraId="1C21B1B2" w14:textId="4F374B27" w:rsidR="00DC2EF9" w:rsidRPr="00D26B4E" w:rsidRDefault="00DC2EF9" w:rsidP="00DC2EF9">
      <w:pPr>
        <w:tabs>
          <w:tab w:val="left" w:pos="900"/>
          <w:tab w:val="left" w:pos="980"/>
        </w:tabs>
        <w:autoSpaceDE w:val="0"/>
        <w:autoSpaceDN w:val="0"/>
        <w:adjustRightInd w:val="0"/>
        <w:spacing w:line="240" w:lineRule="auto"/>
        <w:ind w:firstLine="284"/>
        <w:jc w:val="both"/>
        <w:rPr>
          <w:rFonts w:ascii="Garamond" w:hAnsi="Garamond"/>
          <w:i/>
          <w:iCs/>
          <w:color w:val="000000"/>
        </w:rPr>
      </w:pPr>
      <w:r w:rsidRPr="00D26B4E">
        <w:rPr>
          <w:rFonts w:ascii="Garamond" w:hAnsi="Garamond"/>
          <w:color w:val="000000"/>
        </w:rPr>
        <w:t>6.</w:t>
      </w:r>
      <w:r w:rsidR="00D26B4E">
        <w:rPr>
          <w:rFonts w:ascii="Garamond" w:hAnsi="Garamond"/>
          <w:color w:val="000000"/>
        </w:rPr>
        <w:t xml:space="preserve"> </w:t>
      </w:r>
      <w:r w:rsidRPr="00D26B4E">
        <w:rPr>
          <w:rFonts w:ascii="Garamond" w:hAnsi="Garamond"/>
          <w:color w:val="000000"/>
        </w:rPr>
        <w:t>Gjykata e Rrethit Gjyqësor Vl</w:t>
      </w:r>
      <w:r w:rsidR="00D26B4E">
        <w:rPr>
          <w:rFonts w:ascii="Garamond" w:hAnsi="Garamond"/>
          <w:color w:val="000000"/>
        </w:rPr>
        <w:t xml:space="preserve">orë, me vendimin nr. 616, datë </w:t>
      </w:r>
      <w:r w:rsidRPr="00D26B4E">
        <w:rPr>
          <w:rFonts w:ascii="Garamond" w:hAnsi="Garamond"/>
          <w:color w:val="000000"/>
        </w:rPr>
        <w:t xml:space="preserve">6.12.2018, ka vendosur rrëzimin e ankimit, duke lënë në fuqi vendimin e Prokurorisë së Vlorës, datë 28.12.2016, për pushimin e çështjes penale. </w:t>
      </w:r>
    </w:p>
    <w:p w14:paraId="53AAAA37" w14:textId="323D5DB1" w:rsidR="00DC2EF9" w:rsidRPr="00D26B4E" w:rsidRDefault="00DC2EF9" w:rsidP="00DC2EF9">
      <w:pPr>
        <w:tabs>
          <w:tab w:val="left" w:pos="900"/>
          <w:tab w:val="left" w:pos="980"/>
          <w:tab w:val="left" w:pos="144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7.</w:t>
      </w:r>
      <w:r w:rsidR="00D26B4E">
        <w:rPr>
          <w:rFonts w:ascii="Garamond" w:hAnsi="Garamond"/>
          <w:color w:val="000000"/>
        </w:rPr>
        <w:t xml:space="preserve"> </w:t>
      </w:r>
      <w:r w:rsidRPr="00D26B4E">
        <w:rPr>
          <w:rFonts w:ascii="Garamond" w:hAnsi="Garamond"/>
          <w:color w:val="000000"/>
        </w:rPr>
        <w:t>Për ankimin e kërkuesit, Gjykata e Apelit Vlor</w:t>
      </w:r>
      <w:r w:rsidR="00D26B4E">
        <w:rPr>
          <w:rFonts w:ascii="Garamond" w:hAnsi="Garamond"/>
          <w:color w:val="000000"/>
        </w:rPr>
        <w:t>ë, me vendimin nr. 42, datë 29.</w:t>
      </w:r>
      <w:r w:rsidRPr="00D26B4E">
        <w:rPr>
          <w:rFonts w:ascii="Garamond" w:hAnsi="Garamond"/>
          <w:color w:val="000000"/>
        </w:rPr>
        <w:t xml:space="preserve">1.2019, ka vendosur ndryshimin e vendimit të gjykatës së rrethit dhe të vendimit të Prokurorisë së Vlorës për shkakun e pushimit, duke vlerësuar se, në rastin konkret, fakti nuk parashikohet nga ligji si vepër penale. Po kështu, ajo ka disponuar edhe për kthimin e dokumenteve të sekuestruara në institucionet ose subjektet ku janë sekuestruar. Kundër këtij vendimi ka ushtruar rekurs në Gjykatën e Lartë kallëzuesi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w:t>
      </w:r>
    </w:p>
    <w:p w14:paraId="5550F4CB" w14:textId="4B6BF0EC"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8. Kolegji Penal i Gjykatës së Lartë, në dhomën e këshillimit, me vendimin nr. 00-2024-1923 (290), datë 21.11.2024, ka vendosur prishjen e vendimit të gjykatës së apelit dhe lënien në fuqi të vendimit të gjykatës së rrethit, duke vlerësuar se gjykata e apelit nuk ka argumentuar mjaftueshëm se përse përfundimet e organit të akuzës, të mbështetura më pas edhe nga gjykata e rrethit, nuk qëndrojnë. </w:t>
      </w:r>
    </w:p>
    <w:p w14:paraId="1DCBF068" w14:textId="712CB621" w:rsidR="00DC2EF9" w:rsidRPr="00D26B4E" w:rsidRDefault="00DC2EF9" w:rsidP="00DC2EF9">
      <w:pPr>
        <w:tabs>
          <w:tab w:val="left" w:pos="0"/>
          <w:tab w:val="left" w:pos="360"/>
          <w:tab w:val="left" w:pos="540"/>
          <w:tab w:val="left" w:pos="720"/>
          <w:tab w:val="left" w:pos="980"/>
          <w:tab w:val="left" w:pos="1080"/>
          <w:tab w:val="left" w:pos="5040"/>
          <w:tab w:val="left" w:pos="5300"/>
          <w:tab w:val="left" w:pos="54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9. </w:t>
      </w:r>
      <w:r w:rsidR="00D26B4E">
        <w:rPr>
          <w:rFonts w:ascii="Garamond" w:hAnsi="Garamond"/>
          <w:color w:val="000000"/>
        </w:rPr>
        <w:t>Në datën 11.</w:t>
      </w:r>
      <w:r w:rsidRPr="00D26B4E">
        <w:rPr>
          <w:rFonts w:ascii="Garamond" w:hAnsi="Garamond"/>
          <w:color w:val="000000"/>
        </w:rPr>
        <w:t>4.2025</w:t>
      </w:r>
      <w:r w:rsidR="00D26B4E">
        <w:rPr>
          <w:rFonts w:ascii="Garamond" w:hAnsi="Garamond"/>
          <w:color w:val="000000"/>
        </w:rPr>
        <w:t>,</w:t>
      </w:r>
      <w:r w:rsidRPr="00D26B4E">
        <w:rPr>
          <w:rFonts w:ascii="Garamond" w:hAnsi="Garamond"/>
          <w:color w:val="000000"/>
        </w:rPr>
        <w:t xml:space="preserve"> kërkuesi i është drejtuar Gjykatës Kushtetuese </w:t>
      </w:r>
      <w:r w:rsidRPr="00D26B4E">
        <w:rPr>
          <w:rFonts w:ascii="Garamond" w:hAnsi="Garamond"/>
          <w:i/>
          <w:iCs/>
          <w:color w:val="000000"/>
        </w:rPr>
        <w:t>(Gjykata)</w:t>
      </w:r>
      <w:r w:rsidRPr="00D26B4E">
        <w:rPr>
          <w:rFonts w:ascii="Garamond" w:hAnsi="Garamond"/>
          <w:color w:val="000000"/>
        </w:rPr>
        <w:t xml:space="preserve"> me ankim kushtetues individual, sipas</w:t>
      </w:r>
      <w:r w:rsidR="00D26B4E">
        <w:rPr>
          <w:rFonts w:ascii="Garamond" w:hAnsi="Garamond"/>
          <w:color w:val="000000"/>
        </w:rPr>
        <w:t xml:space="preserve"> objektit. Ndërsa, në datën 25.</w:t>
      </w:r>
      <w:r w:rsidRPr="00D26B4E">
        <w:rPr>
          <w:rFonts w:ascii="Garamond" w:hAnsi="Garamond"/>
          <w:color w:val="000000"/>
        </w:rPr>
        <w:t>6.2025</w:t>
      </w:r>
      <w:r w:rsidR="00D26B4E">
        <w:rPr>
          <w:rFonts w:ascii="Garamond" w:hAnsi="Garamond"/>
          <w:color w:val="000000"/>
        </w:rPr>
        <w:t>,</w:t>
      </w:r>
      <w:r w:rsidRPr="00D26B4E">
        <w:rPr>
          <w:rFonts w:ascii="Garamond" w:hAnsi="Garamond"/>
          <w:color w:val="000000"/>
        </w:rPr>
        <w:t xml:space="preserve"> Kolegji i Gjykatës ka vendosur kalimin e çështjes për shqyrtim në seancë plenare mbi bazë të dokumenteve.</w:t>
      </w:r>
    </w:p>
    <w:p w14:paraId="33D28565" w14:textId="77777777" w:rsidR="00DC2EF9" w:rsidRPr="00D26B4E" w:rsidRDefault="00DC2EF9" w:rsidP="00DC2EF9">
      <w:pPr>
        <w:tabs>
          <w:tab w:val="left" w:pos="980"/>
        </w:tabs>
        <w:autoSpaceDE w:val="0"/>
        <w:autoSpaceDN w:val="0"/>
        <w:adjustRightInd w:val="0"/>
        <w:spacing w:line="240" w:lineRule="auto"/>
        <w:ind w:firstLine="284"/>
        <w:jc w:val="center"/>
        <w:rPr>
          <w:rFonts w:ascii="Garamond" w:hAnsi="Garamond"/>
          <w:b/>
          <w:bCs/>
          <w:color w:val="000000"/>
        </w:rPr>
      </w:pPr>
    </w:p>
    <w:p w14:paraId="2E5455B3" w14:textId="77777777" w:rsidR="00DC2EF9" w:rsidRPr="00D26B4E" w:rsidRDefault="00DC2EF9" w:rsidP="00DC2EF9">
      <w:pPr>
        <w:tabs>
          <w:tab w:val="left" w:pos="980"/>
        </w:tabs>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II</w:t>
      </w:r>
    </w:p>
    <w:p w14:paraId="74687DFB" w14:textId="77777777" w:rsidR="00DC2EF9" w:rsidRPr="00D26B4E" w:rsidRDefault="00DC2EF9" w:rsidP="00DC2EF9">
      <w:pPr>
        <w:tabs>
          <w:tab w:val="left" w:pos="980"/>
        </w:tabs>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Pretendimet në Gjykatën Kushtetuese</w:t>
      </w:r>
    </w:p>
    <w:p w14:paraId="77B5DBE5" w14:textId="77777777" w:rsidR="00C0053B" w:rsidRPr="00D26B4E" w:rsidRDefault="00C0053B" w:rsidP="00DC2EF9">
      <w:pPr>
        <w:tabs>
          <w:tab w:val="left" w:pos="800"/>
          <w:tab w:val="left" w:pos="980"/>
          <w:tab w:val="left" w:pos="1080"/>
        </w:tabs>
        <w:autoSpaceDE w:val="0"/>
        <w:autoSpaceDN w:val="0"/>
        <w:adjustRightInd w:val="0"/>
        <w:spacing w:line="240" w:lineRule="auto"/>
        <w:ind w:firstLine="284"/>
        <w:jc w:val="both"/>
        <w:rPr>
          <w:rFonts w:ascii="Garamond" w:hAnsi="Garamond"/>
          <w:color w:val="000000"/>
        </w:rPr>
      </w:pPr>
    </w:p>
    <w:p w14:paraId="67B5EABC" w14:textId="7E720850" w:rsidR="00DC2EF9" w:rsidRPr="00D26B4E" w:rsidRDefault="00DC2EF9" w:rsidP="00DC2EF9">
      <w:pPr>
        <w:tabs>
          <w:tab w:val="left" w:pos="800"/>
          <w:tab w:val="left" w:pos="98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10. </w:t>
      </w:r>
      <w:r w:rsidRPr="00D26B4E">
        <w:rPr>
          <w:rFonts w:ascii="Garamond" w:hAnsi="Garamond"/>
          <w:b/>
          <w:bCs/>
          <w:i/>
          <w:iCs/>
          <w:color w:val="000000"/>
        </w:rPr>
        <w:t>Kërkuesi</w:t>
      </w:r>
      <w:r w:rsidRPr="00D26B4E">
        <w:rPr>
          <w:rFonts w:ascii="Garamond" w:hAnsi="Garamond"/>
          <w:b/>
          <w:bCs/>
          <w:color w:val="000000"/>
        </w:rPr>
        <w:t>,</w:t>
      </w:r>
      <w:r w:rsidRPr="00D26B4E">
        <w:rPr>
          <w:rFonts w:ascii="Garamond" w:hAnsi="Garamond"/>
          <w:color w:val="000000"/>
        </w:rPr>
        <w:t xml:space="preserve"> në mënyrë të përmbledhur, ka pretenduar se Gjykata e Lartë i ka cenuar:</w:t>
      </w:r>
    </w:p>
    <w:p w14:paraId="48FB2582" w14:textId="29C06840" w:rsidR="00DC2EF9" w:rsidRPr="00D26B4E" w:rsidRDefault="00D26B4E" w:rsidP="00DC2EF9">
      <w:pPr>
        <w:tabs>
          <w:tab w:val="left" w:pos="980"/>
        </w:tabs>
        <w:autoSpaceDE w:val="0"/>
        <w:autoSpaceDN w:val="0"/>
        <w:adjustRightInd w:val="0"/>
        <w:spacing w:line="240" w:lineRule="auto"/>
        <w:ind w:firstLine="284"/>
        <w:jc w:val="both"/>
        <w:rPr>
          <w:rFonts w:ascii="Garamond" w:hAnsi="Garamond"/>
          <w:color w:val="000000"/>
        </w:rPr>
      </w:pPr>
      <w:r>
        <w:rPr>
          <w:rFonts w:ascii="Garamond" w:hAnsi="Garamond"/>
          <w:color w:val="000000"/>
        </w:rPr>
        <w:t>10.1</w:t>
      </w:r>
      <w:r w:rsidR="00DC2EF9" w:rsidRPr="00D26B4E">
        <w:rPr>
          <w:rFonts w:ascii="Garamond" w:hAnsi="Garamond"/>
          <w:i/>
          <w:iCs/>
          <w:color w:val="000000"/>
        </w:rPr>
        <w:t xml:space="preserve"> Të drejtën për proces të rregullt, </w:t>
      </w:r>
      <w:r w:rsidR="00DC2EF9" w:rsidRPr="00D26B4E">
        <w:rPr>
          <w:rFonts w:ascii="Garamond" w:hAnsi="Garamond"/>
          <w:color w:val="000000"/>
        </w:rPr>
        <w:t>të garantuar nga neni 42 i Kushtetutës, në drejtim të:</w:t>
      </w:r>
    </w:p>
    <w:p w14:paraId="65DAC5B0" w14:textId="323BEB86" w:rsidR="00DC2EF9" w:rsidRPr="00D26B4E" w:rsidRDefault="00D26B4E" w:rsidP="00DC2EF9">
      <w:pPr>
        <w:tabs>
          <w:tab w:val="left" w:pos="980"/>
          <w:tab w:val="left" w:pos="1800"/>
        </w:tabs>
        <w:autoSpaceDE w:val="0"/>
        <w:autoSpaceDN w:val="0"/>
        <w:adjustRightInd w:val="0"/>
        <w:spacing w:line="240" w:lineRule="auto"/>
        <w:ind w:firstLine="284"/>
        <w:jc w:val="both"/>
        <w:rPr>
          <w:rFonts w:ascii="Garamond" w:hAnsi="Garamond"/>
          <w:color w:val="000000"/>
        </w:rPr>
      </w:pPr>
      <w:r>
        <w:rPr>
          <w:rFonts w:ascii="Garamond" w:hAnsi="Garamond"/>
          <w:color w:val="000000"/>
        </w:rPr>
        <w:t>10.1.1</w:t>
      </w:r>
      <w:r w:rsidR="00DC2EF9" w:rsidRPr="00D26B4E">
        <w:rPr>
          <w:rFonts w:ascii="Garamond" w:hAnsi="Garamond"/>
          <w:color w:val="000000"/>
        </w:rPr>
        <w:t xml:space="preserve"> </w:t>
      </w:r>
      <w:r w:rsidR="00DC2EF9" w:rsidRPr="00D26B4E">
        <w:rPr>
          <w:rFonts w:ascii="Garamond" w:hAnsi="Garamond"/>
          <w:i/>
          <w:iCs/>
          <w:color w:val="000000"/>
        </w:rPr>
        <w:t>Së drejtës për t’u gjykuar nga një gjykatë e caktuar me ligj</w:t>
      </w:r>
      <w:r w:rsidR="00DC2EF9" w:rsidRPr="00D26B4E">
        <w:rPr>
          <w:rFonts w:ascii="Garamond" w:hAnsi="Garamond"/>
          <w:color w:val="000000"/>
        </w:rPr>
        <w:t>, pasi ka dhënë një vendim tej shkaqeve të parashikuara nga neni 432, pika 1, i KPP-së, duke bërë një përcaktim të ndryshëm të fakteve nga përcaktimi i bërë nga gjykata e apelit.</w:t>
      </w:r>
    </w:p>
    <w:p w14:paraId="14DEEC7F" w14:textId="4273FFC1" w:rsidR="00DC2EF9" w:rsidRPr="00D26B4E" w:rsidRDefault="00D26B4E" w:rsidP="00DC2EF9">
      <w:pPr>
        <w:tabs>
          <w:tab w:val="left" w:pos="980"/>
          <w:tab w:val="left" w:pos="1800"/>
        </w:tabs>
        <w:autoSpaceDE w:val="0"/>
        <w:autoSpaceDN w:val="0"/>
        <w:adjustRightInd w:val="0"/>
        <w:spacing w:line="240" w:lineRule="auto"/>
        <w:ind w:firstLine="284"/>
        <w:jc w:val="both"/>
        <w:rPr>
          <w:rFonts w:ascii="Garamond" w:hAnsi="Garamond"/>
          <w:color w:val="000000"/>
        </w:rPr>
      </w:pPr>
      <w:r>
        <w:rPr>
          <w:rFonts w:ascii="Garamond" w:hAnsi="Garamond"/>
          <w:color w:val="000000"/>
        </w:rPr>
        <w:t>10.1.2</w:t>
      </w:r>
      <w:r w:rsidR="00DC2EF9" w:rsidRPr="00D26B4E">
        <w:rPr>
          <w:rFonts w:ascii="Garamond" w:hAnsi="Garamond"/>
          <w:color w:val="000000"/>
        </w:rPr>
        <w:t xml:space="preserve"> </w:t>
      </w:r>
      <w:r w:rsidR="00DC2EF9" w:rsidRPr="00D26B4E">
        <w:rPr>
          <w:rFonts w:ascii="Garamond" w:hAnsi="Garamond"/>
          <w:i/>
          <w:iCs/>
          <w:color w:val="000000"/>
        </w:rPr>
        <w:t xml:space="preserve">Së drejtës së </w:t>
      </w:r>
      <w:proofErr w:type="spellStart"/>
      <w:r w:rsidR="00DC2EF9" w:rsidRPr="00D26B4E">
        <w:rPr>
          <w:rFonts w:ascii="Garamond" w:hAnsi="Garamond"/>
          <w:i/>
          <w:iCs/>
          <w:color w:val="000000"/>
        </w:rPr>
        <w:t>aksesit</w:t>
      </w:r>
      <w:proofErr w:type="spellEnd"/>
      <w:r w:rsidR="00DC2EF9" w:rsidRPr="00D26B4E">
        <w:rPr>
          <w:rFonts w:ascii="Garamond" w:hAnsi="Garamond"/>
          <w:color w:val="000000"/>
        </w:rPr>
        <w:t xml:space="preserve"> të lidhur me </w:t>
      </w:r>
      <w:r w:rsidR="00DC2EF9" w:rsidRPr="00D26B4E">
        <w:rPr>
          <w:rFonts w:ascii="Garamond" w:hAnsi="Garamond"/>
          <w:i/>
          <w:iCs/>
          <w:color w:val="000000"/>
        </w:rPr>
        <w:t>të drejtën e mbrojtjes efektive</w:t>
      </w:r>
      <w:r w:rsidR="00DC2EF9" w:rsidRPr="00D26B4E">
        <w:rPr>
          <w:rFonts w:ascii="Garamond" w:hAnsi="Garamond"/>
          <w:color w:val="000000"/>
        </w:rPr>
        <w:t xml:space="preserve"> dhe</w:t>
      </w:r>
      <w:r>
        <w:rPr>
          <w:rFonts w:ascii="Garamond" w:hAnsi="Garamond"/>
          <w:color w:val="000000"/>
        </w:rPr>
        <w:t xml:space="preserve"> </w:t>
      </w:r>
      <w:r w:rsidR="00DC2EF9" w:rsidRPr="00D26B4E">
        <w:rPr>
          <w:rFonts w:ascii="Garamond" w:hAnsi="Garamond"/>
          <w:color w:val="000000"/>
        </w:rPr>
        <w:t xml:space="preserve">me </w:t>
      </w:r>
      <w:r w:rsidR="00DC2EF9" w:rsidRPr="00D26B4E">
        <w:rPr>
          <w:rFonts w:ascii="Garamond" w:hAnsi="Garamond"/>
          <w:i/>
          <w:iCs/>
          <w:color w:val="000000"/>
        </w:rPr>
        <w:t xml:space="preserve">parimin e barazisë së armëve, </w:t>
      </w:r>
      <w:r w:rsidR="00DC2EF9" w:rsidRPr="00D26B4E">
        <w:rPr>
          <w:rFonts w:ascii="Garamond" w:hAnsi="Garamond"/>
          <w:color w:val="000000"/>
        </w:rPr>
        <w:t>pasi Gjykata e Lartë nuk i ka njoftuar</w:t>
      </w:r>
      <w:r w:rsidR="00DC2EF9" w:rsidRPr="00D26B4E">
        <w:rPr>
          <w:rFonts w:ascii="Garamond" w:hAnsi="Garamond"/>
          <w:i/>
          <w:iCs/>
          <w:color w:val="000000"/>
        </w:rPr>
        <w:t xml:space="preserve"> </w:t>
      </w:r>
      <w:r w:rsidR="00DC2EF9" w:rsidRPr="00D26B4E">
        <w:rPr>
          <w:rFonts w:ascii="Garamond" w:hAnsi="Garamond"/>
          <w:color w:val="000000"/>
        </w:rPr>
        <w:t xml:space="preserve">rekursin e plotë të ushtruar nga personi i interesuar </w:t>
      </w:r>
      <w:proofErr w:type="spellStart"/>
      <w:r w:rsidR="00DC2EF9" w:rsidRPr="00D26B4E">
        <w:rPr>
          <w:rFonts w:ascii="Garamond" w:hAnsi="Garamond"/>
          <w:color w:val="000000"/>
        </w:rPr>
        <w:t>Hamlet</w:t>
      </w:r>
      <w:proofErr w:type="spellEnd"/>
      <w:r w:rsidR="00DC2EF9" w:rsidRPr="00D26B4E">
        <w:rPr>
          <w:rFonts w:ascii="Garamond" w:hAnsi="Garamond"/>
          <w:color w:val="000000"/>
        </w:rPr>
        <w:t xml:space="preserve"> </w:t>
      </w:r>
      <w:proofErr w:type="spellStart"/>
      <w:r w:rsidR="00DC2EF9" w:rsidRPr="00D26B4E">
        <w:rPr>
          <w:rFonts w:ascii="Garamond" w:hAnsi="Garamond"/>
          <w:color w:val="000000"/>
        </w:rPr>
        <w:t>Hysenaj</w:t>
      </w:r>
      <w:proofErr w:type="spellEnd"/>
      <w:r w:rsidR="00DC2EF9" w:rsidRPr="00D26B4E">
        <w:rPr>
          <w:rFonts w:ascii="Garamond" w:hAnsi="Garamond"/>
          <w:color w:val="000000"/>
        </w:rPr>
        <w:t>, vendimin e saj për konstatimin me të meta të rekursit, si dhe aktin për plotësimin e këtyre të metave. Në këto kushte, kërkuesi ka qenë në padijeni të plotë të shkaqeve të rekursit kundër vendimit të gjykatës së apelit.</w:t>
      </w:r>
    </w:p>
    <w:p w14:paraId="47238BC5" w14:textId="1FFC53AE" w:rsidR="00DC2EF9" w:rsidRPr="00D26B4E" w:rsidRDefault="00D26B4E" w:rsidP="00DC2EF9">
      <w:pPr>
        <w:tabs>
          <w:tab w:val="left" w:pos="980"/>
          <w:tab w:val="left" w:pos="1800"/>
        </w:tabs>
        <w:autoSpaceDE w:val="0"/>
        <w:autoSpaceDN w:val="0"/>
        <w:adjustRightInd w:val="0"/>
        <w:spacing w:line="240" w:lineRule="auto"/>
        <w:ind w:firstLine="284"/>
        <w:jc w:val="both"/>
        <w:rPr>
          <w:rFonts w:ascii="Garamond" w:hAnsi="Garamond"/>
          <w:color w:val="000000"/>
        </w:rPr>
      </w:pPr>
      <w:r>
        <w:rPr>
          <w:rFonts w:ascii="Garamond" w:hAnsi="Garamond"/>
          <w:color w:val="000000"/>
        </w:rPr>
        <w:lastRenderedPageBreak/>
        <w:t>10.1.3</w:t>
      </w:r>
      <w:r w:rsidR="00DC2EF9" w:rsidRPr="00D26B4E">
        <w:rPr>
          <w:rFonts w:ascii="Garamond" w:hAnsi="Garamond"/>
          <w:color w:val="000000"/>
        </w:rPr>
        <w:t xml:space="preserve"> </w:t>
      </w:r>
      <w:r w:rsidR="00DC2EF9" w:rsidRPr="00D26B4E">
        <w:rPr>
          <w:rFonts w:ascii="Garamond" w:hAnsi="Garamond"/>
          <w:i/>
          <w:iCs/>
          <w:color w:val="000000"/>
        </w:rPr>
        <w:t>Parimit të sigurisë juridike</w:t>
      </w:r>
      <w:r w:rsidR="00DC2EF9" w:rsidRPr="00D26B4E">
        <w:rPr>
          <w:rFonts w:ascii="Garamond" w:hAnsi="Garamond"/>
          <w:color w:val="000000"/>
        </w:rPr>
        <w:t>,</w:t>
      </w:r>
      <w:r w:rsidR="00DC2EF9" w:rsidRPr="00D26B4E">
        <w:rPr>
          <w:rFonts w:ascii="Garamond" w:hAnsi="Garamond"/>
          <w:i/>
          <w:iCs/>
          <w:color w:val="000000"/>
        </w:rPr>
        <w:t xml:space="preserve"> </w:t>
      </w:r>
      <w:r w:rsidR="00DC2EF9" w:rsidRPr="00D26B4E">
        <w:rPr>
          <w:rFonts w:ascii="Garamond" w:hAnsi="Garamond"/>
          <w:color w:val="000000"/>
        </w:rPr>
        <w:t>për shkak se Gjykata e Lartë ka kryer një proces të nisur me rekurs të një subjekti që nuk ka legjitimitet aktiv të kundërshtojë vendimin e pushimit penal, pasi nuk është “i dëmtuar” nga fakti i hetuar.</w:t>
      </w:r>
    </w:p>
    <w:p w14:paraId="39B5D0EB" w14:textId="0E2D5D4B" w:rsidR="00DC2EF9" w:rsidRPr="00D26B4E" w:rsidRDefault="00DC2EF9" w:rsidP="00DC2EF9">
      <w:pPr>
        <w:tabs>
          <w:tab w:val="left" w:pos="980"/>
          <w:tab w:val="left" w:pos="180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10.</w:t>
      </w:r>
      <w:r w:rsidR="00D26B4E">
        <w:rPr>
          <w:rFonts w:ascii="Garamond" w:hAnsi="Garamond"/>
          <w:color w:val="000000"/>
        </w:rPr>
        <w:t>1.4</w:t>
      </w:r>
      <w:r w:rsidRPr="00D26B4E">
        <w:rPr>
          <w:rFonts w:ascii="Garamond" w:hAnsi="Garamond"/>
          <w:color w:val="000000"/>
        </w:rPr>
        <w:t xml:space="preserve"> </w:t>
      </w:r>
      <w:r w:rsidRPr="00D26B4E">
        <w:rPr>
          <w:rFonts w:ascii="Garamond" w:hAnsi="Garamond"/>
          <w:i/>
          <w:iCs/>
          <w:color w:val="000000"/>
        </w:rPr>
        <w:t>Standardit të arsyetimit të vendimit gjyqësor</w:t>
      </w:r>
      <w:r w:rsidRPr="00D26B4E">
        <w:rPr>
          <w:rFonts w:ascii="Garamond" w:hAnsi="Garamond"/>
          <w:color w:val="000000"/>
        </w:rPr>
        <w:t>, pasi vendimi i Gjykatës së Lartë është i paarsyetuar dhe bie në kundërshtim me nenin 383 të KPP-së. Pjesët e tij përbërëse bien në kundërshtim me njëra-tjetrën dhe konkluzionet e Kolegjit Penal janë mbështetur në citimin e gabuar të vendimit të gjykatës së apelit objekt rekursi, duke e bërë vendimin kontradiktor.</w:t>
      </w:r>
    </w:p>
    <w:p w14:paraId="0F1CA4BC" w14:textId="0251A4ED" w:rsidR="00DC2EF9" w:rsidRPr="00D26B4E" w:rsidRDefault="00D26B4E" w:rsidP="00DC2EF9">
      <w:pPr>
        <w:tabs>
          <w:tab w:val="left" w:pos="1340"/>
          <w:tab w:val="left" w:pos="1520"/>
          <w:tab w:val="left" w:pos="1620"/>
          <w:tab w:val="left" w:pos="1700"/>
        </w:tabs>
        <w:autoSpaceDE w:val="0"/>
        <w:autoSpaceDN w:val="0"/>
        <w:adjustRightInd w:val="0"/>
        <w:spacing w:line="240" w:lineRule="auto"/>
        <w:ind w:firstLine="284"/>
        <w:jc w:val="both"/>
        <w:rPr>
          <w:rFonts w:ascii="Garamond" w:hAnsi="Garamond"/>
          <w:color w:val="000000"/>
        </w:rPr>
      </w:pPr>
      <w:r>
        <w:rPr>
          <w:rFonts w:ascii="Garamond" w:hAnsi="Garamond"/>
          <w:color w:val="000000"/>
        </w:rPr>
        <w:t>10.2</w:t>
      </w:r>
      <w:r w:rsidR="00DC2EF9" w:rsidRPr="00D26B4E">
        <w:rPr>
          <w:rFonts w:ascii="Garamond" w:hAnsi="Garamond"/>
          <w:color w:val="000000"/>
        </w:rPr>
        <w:t xml:space="preserve"> </w:t>
      </w:r>
      <w:r w:rsidR="00DC2EF9" w:rsidRPr="00D26B4E">
        <w:rPr>
          <w:rFonts w:ascii="Garamond" w:hAnsi="Garamond"/>
          <w:i/>
          <w:iCs/>
          <w:color w:val="000000"/>
        </w:rPr>
        <w:t>Të drejtën e pronës private</w:t>
      </w:r>
      <w:r w:rsidR="00DC2EF9" w:rsidRPr="00D26B4E">
        <w:rPr>
          <w:rFonts w:ascii="Garamond" w:hAnsi="Garamond"/>
          <w:color w:val="000000"/>
        </w:rPr>
        <w:t>, të garantuar nga neni 41 i Kushtetutës, në aspektin substancial dhe procedural, pasi sekuestrimi i dokumentacionit origjinal të pronës pa një proces të rregullt ligjor e ka penguar ta disponojë atë lirisht, pa qenë i anuluar ose i shfuqizuar vendimi, mbi bazën e të cilit i ka lindur e drejta për të ushtruar tagrat e pronësisë, sipas nenit 149 të Kodit Civil</w:t>
      </w:r>
      <w:r w:rsidR="00DC2EF9" w:rsidRPr="00D26B4E">
        <w:rPr>
          <w:rFonts w:ascii="Garamond" w:hAnsi="Garamond"/>
        </w:rPr>
        <w:t>,</w:t>
      </w:r>
      <w:r w:rsidR="00DC2EF9" w:rsidRPr="00D26B4E">
        <w:rPr>
          <w:rFonts w:ascii="Garamond" w:hAnsi="Garamond"/>
          <w:color w:val="000000"/>
        </w:rPr>
        <w:t xml:space="preserve"> në cenim edhe të </w:t>
      </w:r>
      <w:r w:rsidR="00DC2EF9" w:rsidRPr="00D26B4E">
        <w:rPr>
          <w:rFonts w:ascii="Garamond" w:hAnsi="Garamond"/>
          <w:i/>
          <w:iCs/>
          <w:color w:val="000000"/>
        </w:rPr>
        <w:t>parimit të sigurisë juridike</w:t>
      </w:r>
      <w:r w:rsidR="00DC2EF9" w:rsidRPr="00D26B4E">
        <w:rPr>
          <w:rFonts w:ascii="Garamond" w:hAnsi="Garamond"/>
          <w:color w:val="000000"/>
        </w:rPr>
        <w:t>.</w:t>
      </w:r>
    </w:p>
    <w:p w14:paraId="58E88036" w14:textId="4A712FBE" w:rsidR="00DC2EF9" w:rsidRPr="00D26B4E" w:rsidRDefault="00DC2EF9" w:rsidP="00DC2EF9">
      <w:pPr>
        <w:tabs>
          <w:tab w:val="left" w:pos="720"/>
          <w:tab w:val="left" w:pos="1260"/>
          <w:tab w:val="left" w:pos="1340"/>
          <w:tab w:val="left" w:pos="152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11. </w:t>
      </w:r>
      <w:r w:rsidRPr="00D26B4E">
        <w:rPr>
          <w:rFonts w:ascii="Garamond" w:hAnsi="Garamond"/>
          <w:b/>
          <w:bCs/>
          <w:i/>
          <w:iCs/>
          <w:color w:val="000000"/>
        </w:rPr>
        <w:t>Subjekti i interesuar, Prokuroria e Përgjithshme</w:t>
      </w:r>
      <w:r w:rsidRPr="00D26B4E">
        <w:rPr>
          <w:rFonts w:ascii="Garamond" w:hAnsi="Garamond"/>
          <w:color w:val="000000"/>
        </w:rPr>
        <w:t>, ka prapësuar se:</w:t>
      </w:r>
    </w:p>
    <w:p w14:paraId="6A8B6F22" w14:textId="19070C2E" w:rsidR="00DC2EF9" w:rsidRPr="00D26B4E" w:rsidRDefault="00D26B4E" w:rsidP="00DC2EF9">
      <w:pPr>
        <w:tabs>
          <w:tab w:val="left" w:pos="720"/>
          <w:tab w:val="left" w:pos="1260"/>
          <w:tab w:val="left" w:pos="1340"/>
          <w:tab w:val="left" w:pos="1440"/>
          <w:tab w:val="left" w:pos="1620"/>
        </w:tabs>
        <w:autoSpaceDE w:val="0"/>
        <w:autoSpaceDN w:val="0"/>
        <w:adjustRightInd w:val="0"/>
        <w:spacing w:line="240" w:lineRule="auto"/>
        <w:ind w:firstLine="284"/>
        <w:jc w:val="both"/>
        <w:rPr>
          <w:rFonts w:ascii="Garamond" w:hAnsi="Garamond"/>
          <w:color w:val="000000"/>
        </w:rPr>
      </w:pPr>
      <w:r>
        <w:rPr>
          <w:rFonts w:ascii="Garamond" w:hAnsi="Garamond"/>
          <w:color w:val="000000"/>
        </w:rPr>
        <w:t>11.1</w:t>
      </w:r>
      <w:r w:rsidR="00DC2EF9" w:rsidRPr="00D26B4E">
        <w:rPr>
          <w:rFonts w:ascii="Garamond" w:hAnsi="Garamond"/>
          <w:color w:val="000000"/>
        </w:rPr>
        <w:t xml:space="preserve"> Pretendimet e kërkuesit për cenimin e </w:t>
      </w:r>
      <w:r w:rsidR="00DC2EF9" w:rsidRPr="00D26B4E">
        <w:rPr>
          <w:rFonts w:ascii="Garamond" w:hAnsi="Garamond"/>
          <w:i/>
          <w:iCs/>
          <w:color w:val="000000"/>
        </w:rPr>
        <w:t>së drejtës për t’u gjykuar nga një gjykatë e caktuar me ligj</w:t>
      </w:r>
      <w:r w:rsidR="00DC2EF9" w:rsidRPr="00D26B4E">
        <w:rPr>
          <w:rFonts w:ascii="Garamond" w:hAnsi="Garamond"/>
          <w:color w:val="000000"/>
        </w:rPr>
        <w:t xml:space="preserve"> janë të pabazuara, pasi Gjykata e Lartë ka vepruar brenda funksionit të saj, në vlerësimin juridik të çështjes.</w:t>
      </w:r>
    </w:p>
    <w:p w14:paraId="02334B30" w14:textId="2C34586D" w:rsidR="00DC2EF9" w:rsidRPr="00D26B4E" w:rsidRDefault="00D26B4E" w:rsidP="00DC2EF9">
      <w:pPr>
        <w:tabs>
          <w:tab w:val="left" w:pos="720"/>
          <w:tab w:val="left" w:pos="1260"/>
          <w:tab w:val="left" w:pos="1340"/>
          <w:tab w:val="left" w:pos="1440"/>
          <w:tab w:val="left" w:pos="1620"/>
        </w:tabs>
        <w:autoSpaceDE w:val="0"/>
        <w:autoSpaceDN w:val="0"/>
        <w:adjustRightInd w:val="0"/>
        <w:spacing w:line="240" w:lineRule="auto"/>
        <w:ind w:firstLine="284"/>
        <w:jc w:val="both"/>
        <w:rPr>
          <w:rFonts w:ascii="Garamond" w:hAnsi="Garamond"/>
          <w:color w:val="000000"/>
        </w:rPr>
      </w:pPr>
      <w:r>
        <w:rPr>
          <w:rFonts w:ascii="Garamond" w:hAnsi="Garamond"/>
          <w:color w:val="000000"/>
        </w:rPr>
        <w:t>11.2</w:t>
      </w:r>
      <w:r w:rsidR="00DC2EF9" w:rsidRPr="00D26B4E">
        <w:rPr>
          <w:rFonts w:ascii="Garamond" w:hAnsi="Garamond"/>
          <w:color w:val="000000"/>
        </w:rPr>
        <w:t xml:space="preserve"> Pretendimet për cenimin</w:t>
      </w:r>
      <w:r w:rsidR="00DC2EF9" w:rsidRPr="00D26B4E">
        <w:rPr>
          <w:rFonts w:ascii="Garamond" w:hAnsi="Garamond"/>
          <w:i/>
          <w:iCs/>
          <w:color w:val="000000"/>
        </w:rPr>
        <w:t xml:space="preserve"> e së drejtës së </w:t>
      </w:r>
      <w:proofErr w:type="spellStart"/>
      <w:r w:rsidR="00DC2EF9" w:rsidRPr="00D26B4E">
        <w:rPr>
          <w:rFonts w:ascii="Garamond" w:hAnsi="Garamond"/>
          <w:i/>
          <w:iCs/>
          <w:color w:val="000000"/>
        </w:rPr>
        <w:t>aksesit</w:t>
      </w:r>
      <w:proofErr w:type="spellEnd"/>
      <w:r w:rsidR="00DC2EF9" w:rsidRPr="00D26B4E">
        <w:rPr>
          <w:rFonts w:ascii="Garamond" w:hAnsi="Garamond"/>
          <w:color w:val="000000"/>
        </w:rPr>
        <w:t xml:space="preserve"> të lidhur me </w:t>
      </w:r>
      <w:r w:rsidR="00DC2EF9" w:rsidRPr="00D26B4E">
        <w:rPr>
          <w:rFonts w:ascii="Garamond" w:hAnsi="Garamond"/>
          <w:i/>
          <w:iCs/>
          <w:color w:val="000000"/>
        </w:rPr>
        <w:t>të drejtën e mbrojtjes efektive</w:t>
      </w:r>
      <w:r w:rsidR="00DC2EF9" w:rsidRPr="00D26B4E">
        <w:rPr>
          <w:rFonts w:ascii="Garamond" w:hAnsi="Garamond"/>
          <w:color w:val="000000"/>
        </w:rPr>
        <w:t xml:space="preserve"> dhe </w:t>
      </w:r>
      <w:r w:rsidR="00DC2EF9" w:rsidRPr="00D26B4E">
        <w:rPr>
          <w:rFonts w:ascii="Garamond" w:hAnsi="Garamond"/>
          <w:i/>
          <w:iCs/>
          <w:color w:val="000000"/>
        </w:rPr>
        <w:t xml:space="preserve">parimin e barazisë së armëve </w:t>
      </w:r>
      <w:r w:rsidR="00DC2EF9" w:rsidRPr="00D26B4E">
        <w:rPr>
          <w:rFonts w:ascii="Garamond" w:hAnsi="Garamond"/>
          <w:color w:val="000000"/>
        </w:rPr>
        <w:t>janë të pabazuara, pasi kërkuesi është njoftuar rregullisht si për depozitimin e rekursit (rekurs i shkurtuar), ashtu edhe për datën e zhvillimit të seancës në Gjykatën e Lartë.</w:t>
      </w:r>
    </w:p>
    <w:p w14:paraId="04D83021" w14:textId="3FD234B7" w:rsidR="00DC2EF9" w:rsidRPr="00D26B4E" w:rsidRDefault="00D26B4E" w:rsidP="00DC2EF9">
      <w:pPr>
        <w:tabs>
          <w:tab w:val="left" w:pos="720"/>
          <w:tab w:val="left" w:pos="1260"/>
          <w:tab w:val="left" w:pos="1340"/>
          <w:tab w:val="left" w:pos="1440"/>
          <w:tab w:val="left" w:pos="1620"/>
        </w:tabs>
        <w:autoSpaceDE w:val="0"/>
        <w:autoSpaceDN w:val="0"/>
        <w:adjustRightInd w:val="0"/>
        <w:spacing w:line="240" w:lineRule="auto"/>
        <w:ind w:firstLine="284"/>
        <w:jc w:val="both"/>
        <w:rPr>
          <w:rFonts w:ascii="Garamond" w:hAnsi="Garamond"/>
          <w:color w:val="000000"/>
        </w:rPr>
      </w:pPr>
      <w:r>
        <w:rPr>
          <w:rFonts w:ascii="Garamond" w:hAnsi="Garamond"/>
          <w:color w:val="000000"/>
        </w:rPr>
        <w:t>11.3</w:t>
      </w:r>
      <w:r w:rsidR="00DC2EF9" w:rsidRPr="00D26B4E">
        <w:rPr>
          <w:rFonts w:ascii="Garamond" w:hAnsi="Garamond"/>
          <w:color w:val="000000"/>
        </w:rPr>
        <w:t xml:space="preserve"> Pretendimi për </w:t>
      </w:r>
      <w:r w:rsidR="00DC2EF9" w:rsidRPr="00D26B4E">
        <w:rPr>
          <w:rFonts w:ascii="Garamond" w:hAnsi="Garamond"/>
          <w:i/>
          <w:iCs/>
          <w:color w:val="000000"/>
        </w:rPr>
        <w:t>cenimin e parimit të sigurisë juridike</w:t>
      </w:r>
      <w:r w:rsidR="00DC2EF9" w:rsidRPr="00D26B4E">
        <w:rPr>
          <w:rFonts w:ascii="Garamond" w:hAnsi="Garamond"/>
          <w:color w:val="000000"/>
        </w:rPr>
        <w:t xml:space="preserve"> është i pabazuar, pasi Gjykata e Lartë është vënë në lëvizje mbi bazën e rekursit të subjektit të interesuar </w:t>
      </w:r>
      <w:proofErr w:type="spellStart"/>
      <w:r w:rsidR="00DC2EF9" w:rsidRPr="00D26B4E">
        <w:rPr>
          <w:rFonts w:ascii="Garamond" w:hAnsi="Garamond"/>
          <w:color w:val="000000"/>
        </w:rPr>
        <w:t>Hamlet</w:t>
      </w:r>
      <w:proofErr w:type="spellEnd"/>
      <w:r w:rsidR="00DC2EF9" w:rsidRPr="00D26B4E">
        <w:rPr>
          <w:rFonts w:ascii="Garamond" w:hAnsi="Garamond"/>
          <w:color w:val="000000"/>
        </w:rPr>
        <w:t xml:space="preserve"> </w:t>
      </w:r>
      <w:proofErr w:type="spellStart"/>
      <w:r w:rsidR="00DC2EF9" w:rsidRPr="00D26B4E">
        <w:rPr>
          <w:rFonts w:ascii="Garamond" w:hAnsi="Garamond"/>
          <w:color w:val="000000"/>
        </w:rPr>
        <w:t>Hysenaj</w:t>
      </w:r>
      <w:proofErr w:type="spellEnd"/>
      <w:r w:rsidR="00DC2EF9" w:rsidRPr="00D26B4E">
        <w:rPr>
          <w:rFonts w:ascii="Garamond" w:hAnsi="Garamond"/>
          <w:color w:val="000000"/>
        </w:rPr>
        <w:t>, i cili, si kallëzues penal dhe person i dëmtuar nga veprimi penal i falsifikimit të dokumenteve të pronësisë, ka interes të ligjshëm për të ndjekur çështjen konkrete.</w:t>
      </w:r>
      <w:r>
        <w:rPr>
          <w:rFonts w:ascii="Garamond" w:hAnsi="Garamond"/>
          <w:color w:val="000000"/>
        </w:rPr>
        <w:t xml:space="preserve"> </w:t>
      </w:r>
    </w:p>
    <w:p w14:paraId="74BB2499" w14:textId="728A7E89" w:rsidR="00DC2EF9" w:rsidRPr="00D26B4E" w:rsidRDefault="00D26B4E" w:rsidP="00DC2EF9">
      <w:pPr>
        <w:tabs>
          <w:tab w:val="left" w:pos="720"/>
          <w:tab w:val="left" w:pos="1260"/>
          <w:tab w:val="left" w:pos="1340"/>
          <w:tab w:val="left" w:pos="1440"/>
          <w:tab w:val="left" w:pos="1620"/>
        </w:tabs>
        <w:autoSpaceDE w:val="0"/>
        <w:autoSpaceDN w:val="0"/>
        <w:adjustRightInd w:val="0"/>
        <w:spacing w:line="240" w:lineRule="auto"/>
        <w:ind w:firstLine="284"/>
        <w:jc w:val="both"/>
        <w:rPr>
          <w:rFonts w:ascii="Garamond" w:hAnsi="Garamond"/>
          <w:color w:val="000000"/>
        </w:rPr>
      </w:pPr>
      <w:r>
        <w:rPr>
          <w:rFonts w:ascii="Garamond" w:hAnsi="Garamond"/>
          <w:color w:val="000000"/>
        </w:rPr>
        <w:t>11.4</w:t>
      </w:r>
      <w:r w:rsidR="00DC2EF9" w:rsidRPr="00D26B4E">
        <w:rPr>
          <w:rFonts w:ascii="Garamond" w:hAnsi="Garamond"/>
          <w:color w:val="000000"/>
        </w:rPr>
        <w:t xml:space="preserve"> Pretendimi për</w:t>
      </w:r>
      <w:r w:rsidR="00DC2EF9" w:rsidRPr="00D26B4E">
        <w:rPr>
          <w:rFonts w:ascii="Garamond" w:hAnsi="Garamond"/>
          <w:i/>
          <w:iCs/>
          <w:color w:val="000000"/>
        </w:rPr>
        <w:t xml:space="preserve"> cenimin e standardit të arsyetimit të vendimit gjyqësor </w:t>
      </w:r>
      <w:r w:rsidR="00DC2EF9" w:rsidRPr="00D26B4E">
        <w:rPr>
          <w:rFonts w:ascii="Garamond" w:hAnsi="Garamond"/>
          <w:color w:val="000000"/>
        </w:rPr>
        <w:t>është i pabazuar, pasi vendimi i Kolegjit Penal përmban elementet kryesore të vendosura nga jurisprudenca kushtetuese dhe nuk përmban kundërthënie të tilla që do ta bënin atë të papajtueshëm me kërkesat e nenit 42 të Kushtetutës.</w:t>
      </w:r>
    </w:p>
    <w:p w14:paraId="4A7804C6" w14:textId="1E782EDD" w:rsidR="00DC2EF9" w:rsidRPr="00D26B4E" w:rsidRDefault="00D26B4E" w:rsidP="00DC2EF9">
      <w:pPr>
        <w:tabs>
          <w:tab w:val="left" w:pos="720"/>
          <w:tab w:val="left" w:pos="1260"/>
          <w:tab w:val="left" w:pos="1340"/>
          <w:tab w:val="left" w:pos="1440"/>
          <w:tab w:val="left" w:pos="1620"/>
        </w:tabs>
        <w:autoSpaceDE w:val="0"/>
        <w:autoSpaceDN w:val="0"/>
        <w:adjustRightInd w:val="0"/>
        <w:spacing w:line="240" w:lineRule="auto"/>
        <w:ind w:firstLine="284"/>
        <w:jc w:val="both"/>
        <w:rPr>
          <w:rFonts w:ascii="Garamond" w:hAnsi="Garamond"/>
          <w:color w:val="000000"/>
        </w:rPr>
      </w:pPr>
      <w:r>
        <w:rPr>
          <w:rFonts w:ascii="Garamond" w:hAnsi="Garamond"/>
          <w:color w:val="000000"/>
        </w:rPr>
        <w:t>11.5</w:t>
      </w:r>
      <w:r w:rsidR="00DC2EF9" w:rsidRPr="00D26B4E">
        <w:rPr>
          <w:rFonts w:ascii="Garamond" w:hAnsi="Garamond"/>
          <w:color w:val="000000"/>
        </w:rPr>
        <w:t xml:space="preserve"> Pretendimi për cenimin e </w:t>
      </w:r>
      <w:r w:rsidR="00DC2EF9" w:rsidRPr="00D26B4E">
        <w:rPr>
          <w:rFonts w:ascii="Garamond" w:hAnsi="Garamond"/>
          <w:i/>
          <w:iCs/>
          <w:color w:val="000000"/>
        </w:rPr>
        <w:t>së drejtës së pronës private</w:t>
      </w:r>
      <w:r w:rsidR="00DC2EF9" w:rsidRPr="00D26B4E">
        <w:rPr>
          <w:rFonts w:ascii="Garamond" w:hAnsi="Garamond"/>
          <w:color w:val="000000"/>
        </w:rPr>
        <w:t xml:space="preserve"> është i pabazuar, pasi organi i akuzës ka vepruar në interes publik, për mbrojtjen e sigurisë së transaksioneve juridike dhe besimit te dokumentet zyrtare, objektiv që justifikon çdo kufizim të së drejtës së pronësisë. Kufizimi i së drejtës së pronës është bërë përmes vendimmarrjes së organit të akuzës, e cila është vlerësuar si e drejtë nga gjykatat e juridiksionit të zakonshëm.</w:t>
      </w:r>
    </w:p>
    <w:p w14:paraId="795BEC94" w14:textId="77777777" w:rsidR="00DC2EF9" w:rsidRPr="00D26B4E" w:rsidRDefault="00DC2EF9" w:rsidP="00DC2EF9">
      <w:pPr>
        <w:tabs>
          <w:tab w:val="left" w:pos="980"/>
        </w:tabs>
        <w:autoSpaceDE w:val="0"/>
        <w:autoSpaceDN w:val="0"/>
        <w:adjustRightInd w:val="0"/>
        <w:spacing w:line="240" w:lineRule="auto"/>
        <w:ind w:firstLine="284"/>
        <w:jc w:val="center"/>
        <w:rPr>
          <w:rFonts w:ascii="Garamond" w:hAnsi="Garamond"/>
          <w:b/>
          <w:bCs/>
          <w:color w:val="000000"/>
        </w:rPr>
      </w:pPr>
    </w:p>
    <w:p w14:paraId="568FE300" w14:textId="77777777" w:rsidR="00DC2EF9" w:rsidRPr="00D26B4E" w:rsidRDefault="00DC2EF9" w:rsidP="00DC2EF9">
      <w:pPr>
        <w:tabs>
          <w:tab w:val="left" w:pos="980"/>
        </w:tabs>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III</w:t>
      </w:r>
    </w:p>
    <w:p w14:paraId="69044CF1" w14:textId="77777777" w:rsidR="00DC2EF9" w:rsidRPr="00D26B4E" w:rsidRDefault="00DC2EF9" w:rsidP="00DC2EF9">
      <w:pPr>
        <w:tabs>
          <w:tab w:val="left" w:pos="1260"/>
        </w:tabs>
        <w:autoSpaceDE w:val="0"/>
        <w:autoSpaceDN w:val="0"/>
        <w:adjustRightInd w:val="0"/>
        <w:spacing w:line="240" w:lineRule="auto"/>
        <w:ind w:firstLine="284"/>
        <w:jc w:val="center"/>
        <w:rPr>
          <w:rFonts w:ascii="Garamond" w:hAnsi="Garamond"/>
          <w:b/>
          <w:bCs/>
          <w:color w:val="000000"/>
        </w:rPr>
      </w:pPr>
      <w:r w:rsidRPr="00D26B4E">
        <w:rPr>
          <w:rFonts w:ascii="Garamond" w:hAnsi="Garamond"/>
          <w:b/>
          <w:bCs/>
          <w:color w:val="000000"/>
        </w:rPr>
        <w:t>Vlerësimi i Gjykatës Kushtetuese</w:t>
      </w:r>
    </w:p>
    <w:p w14:paraId="2748CEC0" w14:textId="77777777" w:rsidR="00C0053B" w:rsidRPr="00D26B4E" w:rsidRDefault="00C0053B" w:rsidP="00DC2EF9">
      <w:pPr>
        <w:tabs>
          <w:tab w:val="left" w:pos="0"/>
        </w:tabs>
        <w:autoSpaceDE w:val="0"/>
        <w:autoSpaceDN w:val="0"/>
        <w:adjustRightInd w:val="0"/>
        <w:spacing w:line="240" w:lineRule="auto"/>
        <w:ind w:firstLine="284"/>
        <w:jc w:val="both"/>
        <w:rPr>
          <w:rFonts w:ascii="Garamond" w:hAnsi="Garamond"/>
          <w:i/>
          <w:iCs/>
          <w:color w:val="000000"/>
        </w:rPr>
      </w:pPr>
    </w:p>
    <w:p w14:paraId="6508A080" w14:textId="16C1E3B2" w:rsidR="00DC2EF9" w:rsidRPr="00D26B4E" w:rsidRDefault="00DC2EF9" w:rsidP="00DC2EF9">
      <w:pPr>
        <w:tabs>
          <w:tab w:val="left" w:pos="0"/>
        </w:tabs>
        <w:autoSpaceDE w:val="0"/>
        <w:autoSpaceDN w:val="0"/>
        <w:adjustRightInd w:val="0"/>
        <w:spacing w:line="240" w:lineRule="auto"/>
        <w:ind w:firstLine="284"/>
        <w:jc w:val="both"/>
        <w:rPr>
          <w:rFonts w:ascii="Garamond" w:hAnsi="Garamond"/>
          <w:i/>
          <w:iCs/>
          <w:color w:val="000000"/>
        </w:rPr>
      </w:pPr>
      <w:r w:rsidRPr="00D26B4E">
        <w:rPr>
          <w:rFonts w:ascii="Garamond" w:hAnsi="Garamond"/>
          <w:i/>
          <w:iCs/>
          <w:color w:val="000000"/>
        </w:rPr>
        <w:t>A. Për legjitimimin e kërkuesit</w:t>
      </w:r>
    </w:p>
    <w:p w14:paraId="17023E5F" w14:textId="7F37F596"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12. Çështja e legjitimimit </w:t>
      </w:r>
      <w:r w:rsidRPr="00D26B4E">
        <w:rPr>
          <w:rFonts w:ascii="Garamond" w:hAnsi="Garamond"/>
          <w:i/>
          <w:iCs/>
          <w:color w:val="000000"/>
        </w:rPr>
        <w:t>(</w:t>
      </w:r>
      <w:proofErr w:type="spellStart"/>
      <w:r w:rsidRPr="00D26B4E">
        <w:rPr>
          <w:rFonts w:ascii="Garamond" w:hAnsi="Garamond"/>
          <w:i/>
          <w:iCs/>
          <w:color w:val="000000"/>
        </w:rPr>
        <w:t>locus</w:t>
      </w:r>
      <w:proofErr w:type="spellEnd"/>
      <w:r w:rsidRPr="00D26B4E">
        <w:rPr>
          <w:rFonts w:ascii="Garamond" w:hAnsi="Garamond"/>
          <w:i/>
          <w:iCs/>
          <w:color w:val="000000"/>
        </w:rPr>
        <w:t xml:space="preserve"> </w:t>
      </w:r>
      <w:proofErr w:type="spellStart"/>
      <w:r w:rsidRPr="00D26B4E">
        <w:rPr>
          <w:rFonts w:ascii="Garamond" w:hAnsi="Garamond"/>
          <w:i/>
          <w:iCs/>
          <w:color w:val="000000"/>
        </w:rPr>
        <w:t>standi</w:t>
      </w:r>
      <w:proofErr w:type="spellEnd"/>
      <w:r w:rsidRPr="00D26B4E">
        <w:rPr>
          <w:rFonts w:ascii="Garamond" w:hAnsi="Garamond"/>
          <w:i/>
          <w:iCs/>
          <w:color w:val="000000"/>
        </w:rPr>
        <w:t>)</w:t>
      </w:r>
      <w:r w:rsidRPr="00D26B4E">
        <w:rPr>
          <w:rFonts w:ascii="Garamond" w:hAnsi="Garamond"/>
          <w:color w:val="000000"/>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D26B4E">
        <w:rPr>
          <w:rFonts w:ascii="Garamond" w:hAnsi="Garamond"/>
          <w:color w:val="000000"/>
        </w:rPr>
        <w:t>kumulative</w:t>
      </w:r>
      <w:proofErr w:type="spellEnd"/>
      <w:r w:rsidRPr="00D26B4E">
        <w:rPr>
          <w:rFonts w:ascii="Garamond" w:hAnsi="Garamond"/>
          <w:color w:val="000000"/>
        </w:rPr>
        <w:t xml:space="preser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4C1F7D41" w14:textId="0E94961A"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13. Gjykata, për sa i takon kriterit për legjitimimin </w:t>
      </w:r>
      <w:proofErr w:type="spellStart"/>
      <w:r w:rsidRPr="00D26B4E">
        <w:rPr>
          <w:rFonts w:ascii="Garamond" w:hAnsi="Garamond"/>
          <w:i/>
          <w:iCs/>
          <w:color w:val="000000"/>
        </w:rPr>
        <w:t>ratione</w:t>
      </w:r>
      <w:proofErr w:type="spellEnd"/>
      <w:r w:rsidRPr="00D26B4E">
        <w:rPr>
          <w:rFonts w:ascii="Garamond" w:hAnsi="Garamond"/>
          <w:i/>
          <w:iCs/>
          <w:color w:val="000000"/>
        </w:rPr>
        <w:t xml:space="preserve"> </w:t>
      </w:r>
      <w:proofErr w:type="spellStart"/>
      <w:r w:rsidRPr="00D26B4E">
        <w:rPr>
          <w:rFonts w:ascii="Garamond" w:hAnsi="Garamond"/>
          <w:i/>
          <w:iCs/>
          <w:color w:val="000000"/>
        </w:rPr>
        <w:t>personae</w:t>
      </w:r>
      <w:proofErr w:type="spellEnd"/>
      <w:r w:rsidRPr="00D26B4E">
        <w:rPr>
          <w:rFonts w:ascii="Garamond" w:hAnsi="Garamond"/>
          <w:color w:val="000000"/>
        </w:rPr>
        <w:t xml:space="preserve">, ka pohuar se sipas neneve 131, pika 1, shkronja “f” dhe 134, pikat 1, shkronja “i” dhe 2, të Kushtetutës individi është subjekt i kushtëzuar. Si i tillë, ai mund të paraqesë ankim kushtetues individual vetëm për çështje që lidhen me interesat e tij të drejtpërdrejtë, duke provuar se është cenuar në të drejtat e tij kushtetuese, pra se është viktimë e një shkeljeje dhe se pasojat nga akti i kundërshtuar janë të drejtpërdrejta dhe </w:t>
      </w:r>
      <w:r w:rsidRPr="00D26B4E">
        <w:rPr>
          <w:rFonts w:ascii="Garamond" w:hAnsi="Garamond"/>
          <w:color w:val="000000"/>
        </w:rPr>
        <w:lastRenderedPageBreak/>
        <w:t xml:space="preserve">reale për të. Kjo do të thotë se kërkuesi duhet të provojë legjitimimin e tij si në aspektin procedural, ashtu edhe në atë substancial </w:t>
      </w:r>
      <w:r w:rsidRPr="00D26B4E">
        <w:rPr>
          <w:rFonts w:ascii="Garamond" w:hAnsi="Garamond"/>
          <w:i/>
          <w:iCs/>
          <w:color w:val="000000"/>
        </w:rPr>
        <w:t>(shih vendimet nr. 64, da</w:t>
      </w:r>
      <w:r w:rsidR="00D26B4E">
        <w:rPr>
          <w:rFonts w:ascii="Garamond" w:hAnsi="Garamond"/>
          <w:i/>
          <w:iCs/>
          <w:color w:val="000000"/>
        </w:rPr>
        <w:t>të 30.11.2023; nr. 44, datë 26.</w:t>
      </w:r>
      <w:r w:rsidRPr="00D26B4E">
        <w:rPr>
          <w:rFonts w:ascii="Garamond" w:hAnsi="Garamond"/>
          <w:i/>
          <w:iCs/>
          <w:color w:val="000000"/>
        </w:rPr>
        <w:t>9.2023</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w:t>
      </w:r>
    </w:p>
    <w:p w14:paraId="6F151009" w14:textId="754F1E1C"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14. Në rastin konkret, Gjykata vëren se kërkuesi ka qenë palë në procesin gjyqësor të kundërshtuar, për rrjedhojë, në aspektin procedural, e justifikon interesin e tij për kundërshtimin e procesit në fjalë. Ndërsa për sa i përket aspektit substancial, Gjykata evidenton se kërkuesi ka vënë në lëvizje procesin gjyqësor për kundërshtimin e vendimit të prokurorit që, ndërsa ka pushuar procedimin penal me arsyetimin se nuk provohet dijenia e kërkuesit dhe e trashëgimtarëve të tjerë të M.</w:t>
      </w:r>
      <w:r w:rsidR="00D26B4E">
        <w:rPr>
          <w:rFonts w:ascii="Garamond" w:hAnsi="Garamond"/>
          <w:color w:val="000000"/>
        </w:rPr>
        <w:t xml:space="preserve"> </w:t>
      </w:r>
      <w:r w:rsidRPr="00D26B4E">
        <w:rPr>
          <w:rFonts w:ascii="Garamond" w:hAnsi="Garamond"/>
          <w:color w:val="000000"/>
        </w:rPr>
        <w:t>H. se pasuria e regjistruar dhe e disponuar prej tyre është produkt i veprimtarisë kriminale, ka disponuar me sekuestrimin e të gjithë praktikës së regjistrimit të kësaj pasurie në ZVRPP, Vlorë. Vendimi i gjykatës së rrethit që ka rrëzuar ankimin e tij është ndryshuar nga gjykata e apelit, e cila ka disponuar edhe për kthimin e dokumenteve të sekuestruara në institucionet përkatëse, kurse Gjykata e Lartë ka prishur vendimin e kësaj të fundit, duke lënë në fuqi vendimin e gjykatës së shkallës së parë.</w:t>
      </w:r>
    </w:p>
    <w:p w14:paraId="161518EA" w14:textId="1F40C551"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15. Gjykata vëren se, edhe pse objekt i ankimit kushtetues individual janë vendimet gjyqësore të dhëna gjatë procesit për kundërshtimin e veprimeve të prokurorit, në thelb, e drejta substanciale që synohet të mbrohet nga kërkuesi është ajo e pronës, e cenuar, sipas tij, si pasojë e sekuestrimit të praktikës së regjistrimit të vendimit nr. 75/1995 të KKKP-së, Vlorë nga organi i akuzës. Në këtë situatë, duke pasur parasysh qëllimin e procesit të vënë në lëvizje nga kërkuesi, që është mbrojtja e së drejtës së pronës në drejtim të së drejtës së </w:t>
      </w:r>
      <w:proofErr w:type="spellStart"/>
      <w:r w:rsidRPr="00D26B4E">
        <w:rPr>
          <w:rFonts w:ascii="Garamond" w:hAnsi="Garamond"/>
          <w:color w:val="000000"/>
        </w:rPr>
        <w:t>disponimit</w:t>
      </w:r>
      <w:proofErr w:type="spellEnd"/>
      <w:r w:rsidRPr="00D26B4E">
        <w:rPr>
          <w:rFonts w:ascii="Garamond" w:hAnsi="Garamond"/>
          <w:color w:val="000000"/>
        </w:rPr>
        <w:t xml:space="preserve"> të lirë të saj, si dhe se rivendosja në vend e kësaj të drejte është e ndërlidhur me përfundimin e procesit objekt ankimi kushtetues individual, Gjykata vlerëson se kërkuesi e plotëson kriterin e legjitimimit </w:t>
      </w:r>
      <w:proofErr w:type="spellStart"/>
      <w:r w:rsidRPr="00D26B4E">
        <w:rPr>
          <w:rFonts w:ascii="Garamond" w:hAnsi="Garamond"/>
          <w:i/>
          <w:iCs/>
          <w:color w:val="000000"/>
        </w:rPr>
        <w:t>ratione</w:t>
      </w:r>
      <w:proofErr w:type="spellEnd"/>
      <w:r w:rsidRPr="00D26B4E">
        <w:rPr>
          <w:rFonts w:ascii="Garamond" w:hAnsi="Garamond"/>
          <w:i/>
          <w:iCs/>
          <w:color w:val="000000"/>
        </w:rPr>
        <w:t xml:space="preserve"> </w:t>
      </w:r>
      <w:proofErr w:type="spellStart"/>
      <w:r w:rsidRPr="00D26B4E">
        <w:rPr>
          <w:rFonts w:ascii="Garamond" w:hAnsi="Garamond"/>
          <w:i/>
          <w:iCs/>
          <w:color w:val="000000"/>
        </w:rPr>
        <w:t>personae</w:t>
      </w:r>
      <w:proofErr w:type="spellEnd"/>
      <w:r w:rsidRPr="00D26B4E">
        <w:rPr>
          <w:rFonts w:ascii="Garamond" w:hAnsi="Garamond"/>
          <w:i/>
          <w:iCs/>
          <w:color w:val="000000"/>
        </w:rPr>
        <w:t xml:space="preserve">, </w:t>
      </w:r>
      <w:r w:rsidRPr="00D26B4E">
        <w:rPr>
          <w:rFonts w:ascii="Garamond" w:hAnsi="Garamond"/>
          <w:color w:val="000000"/>
        </w:rPr>
        <w:t>sipas</w:t>
      </w:r>
      <w:r w:rsidRPr="00D26B4E">
        <w:rPr>
          <w:rFonts w:ascii="Garamond" w:hAnsi="Garamond"/>
          <w:i/>
          <w:iCs/>
          <w:color w:val="000000"/>
        </w:rPr>
        <w:t xml:space="preserve"> </w:t>
      </w:r>
      <w:r w:rsidRPr="00D26B4E">
        <w:rPr>
          <w:rFonts w:ascii="Garamond" w:hAnsi="Garamond"/>
          <w:color w:val="000000"/>
        </w:rPr>
        <w:t xml:space="preserve">neneve 131, pika 1, shkronja “f” dhe 134, pika 1, shkronja “i”, të Kushtetutës edhe në aspektin substancial. </w:t>
      </w:r>
    </w:p>
    <w:p w14:paraId="4269955C" w14:textId="60CE1890"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16. Një kriter tjetër paraprak është </w:t>
      </w:r>
      <w:r w:rsidRPr="00D26B4E">
        <w:rPr>
          <w:rFonts w:ascii="Garamond" w:hAnsi="Garamond"/>
          <w:i/>
          <w:iCs/>
          <w:color w:val="000000"/>
        </w:rPr>
        <w:t>shterimi i mjeteve juridike efektive,</w:t>
      </w:r>
      <w:r w:rsidRPr="00D26B4E">
        <w:rPr>
          <w:rFonts w:ascii="Garamond" w:hAnsi="Garamond"/>
          <w:color w:val="000000"/>
        </w:rPr>
        <w:t xml:space="preserve"> që përcaktohet nga neni 131, pika 1, shkronja “f”, i Kushtetutës, sipas të cilit individi mund t’i drejtohet Gjykatës me ankim kushtetues individual vetëm pasi të ketë shteruar të gjitha mjetet juridike efektive për mbrojtjen e të drejtave kushtetuese që ai pretendon se i janë cenuar. Ky rregull nënkupton jo vetëm që individi t</w:t>
      </w:r>
      <w:r w:rsidRPr="00D26B4E">
        <w:rPr>
          <w:rFonts w:ascii="Garamond" w:hAnsi="Garamond"/>
        </w:rPr>
        <w:t xml:space="preserve">’u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00D26B4E">
        <w:rPr>
          <w:rFonts w:ascii="Garamond" w:hAnsi="Garamond"/>
          <w:i/>
          <w:iCs/>
        </w:rPr>
        <w:t>(shih vendimet nr. 61, datë 19.</w:t>
      </w:r>
      <w:r w:rsidRPr="00D26B4E">
        <w:rPr>
          <w:rFonts w:ascii="Garamond" w:hAnsi="Garamond"/>
          <w:i/>
          <w:iCs/>
        </w:rPr>
        <w:t xml:space="preserve">9.2024; </w:t>
      </w:r>
      <w:r w:rsidR="00D26B4E">
        <w:rPr>
          <w:rFonts w:ascii="Garamond" w:hAnsi="Garamond"/>
          <w:i/>
          <w:iCs/>
          <w:color w:val="000000"/>
        </w:rPr>
        <w:t>nr. 14, datë 21.6.2022; nr. 8, datë 19.</w:t>
      </w:r>
      <w:r w:rsidRPr="00D26B4E">
        <w:rPr>
          <w:rFonts w:ascii="Garamond" w:hAnsi="Garamond"/>
          <w:i/>
          <w:iCs/>
          <w:color w:val="000000"/>
        </w:rPr>
        <w:t>3.2018</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rPr>
        <w:t>.</w:t>
      </w:r>
    </w:p>
    <w:p w14:paraId="6793C7C8" w14:textId="6C4B4A8A"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17. Në ankimin kushtetues individual kërkuesi ka pretenduar cenimin e parimit të sigurisë juridike, duke parashtruar si shkak se Gjykata e Lartë ka shqyrtuar rekursin e subjektit të interesuar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i cili nuk kishte legjitimitet aktiv. Subjekti i interesuar, Prokuroria e Përgjithshme, e ka prapësuar si të pabazuar këtë pretendim, me argumentin se ky subjekt ka pasur interes të ligjshëm për çështjen si kallëzues penal dhe person i dëmtuar nga falsifikimi i dokumenteve të pronësisë. </w:t>
      </w:r>
    </w:p>
    <w:p w14:paraId="2B6429EF" w14:textId="457C4C82"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18. Për sa i takon këtij pretendimi, nga materialet e dosjes gjyqësore të administruar për qëllime të gjykimit kushtetues, Gjykata evidenton se subjekti i interesuar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njëkohësisht kallëzues i veprës penale, është thirrur në gjykim nga Gjykata e Rrethit Gjyqësor Vlorë me cilësinë e personit të interesuar, duke marrë për këtë qëllim paraprakisht edhe mendimet e prokurorit dhe të avokatit të kërkuesit. Ky i fundit është shprehur dakord për thirrjen në gjykim të këtij shtetasi </w:t>
      </w:r>
      <w:r w:rsidRPr="00D26B4E">
        <w:rPr>
          <w:rFonts w:ascii="Garamond" w:hAnsi="Garamond"/>
          <w:i/>
          <w:iCs/>
          <w:color w:val="000000"/>
        </w:rPr>
        <w:t xml:space="preserve">(shih procesverbalin e seancës, datë 29.10.2018) </w:t>
      </w:r>
      <w:r w:rsidRPr="00D26B4E">
        <w:rPr>
          <w:rFonts w:ascii="Garamond" w:hAnsi="Garamond"/>
          <w:color w:val="000000"/>
        </w:rPr>
        <w:t>dhe nuk rezulton të ketë ngritur pretendime në këtë drejtim në ankimin drejtuar gjykatës së apelit. Në këto kushte, pavarësisht se pretendimi për cenimin e parimit të sigurisë juridike ngrihet ndaj vendimit të Gjykatës së Lartë, Gjykata vëren se ai nuk rezulton të jetë parashtruar më parë në gjykatat e faktit, për rrjedhojë vlerëson se në lidhje me të kërkuesi nuk ka shteruar mjetet juridike efektive në dispozicion, në kuptim të nenit 131, pika 1, shkronja “f”, të Kushtetutës. Ndërsa, për sa u përket pretendimeve të tjera, kërkuesi nuk ka mjet tjetër juridik në dispozicion për mbrojtjen e të drejtave të tij kushtetuese përveç ankimit kushtetues individual.</w:t>
      </w:r>
    </w:p>
    <w:p w14:paraId="3CA98D57" w14:textId="0C70E4AC"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19. Kërkuesi legjitimohet edhe </w:t>
      </w:r>
      <w:proofErr w:type="spellStart"/>
      <w:r w:rsidRPr="00D26B4E">
        <w:rPr>
          <w:rFonts w:ascii="Garamond" w:hAnsi="Garamond"/>
          <w:i/>
          <w:iCs/>
          <w:color w:val="000000"/>
        </w:rPr>
        <w:t>ratione</w:t>
      </w:r>
      <w:proofErr w:type="spellEnd"/>
      <w:r w:rsidRPr="00D26B4E">
        <w:rPr>
          <w:rFonts w:ascii="Garamond" w:hAnsi="Garamond"/>
          <w:i/>
          <w:iCs/>
          <w:color w:val="000000"/>
        </w:rPr>
        <w:t xml:space="preserve"> </w:t>
      </w:r>
      <w:proofErr w:type="spellStart"/>
      <w:r w:rsidRPr="00D26B4E">
        <w:rPr>
          <w:rFonts w:ascii="Garamond" w:hAnsi="Garamond"/>
          <w:i/>
          <w:iCs/>
          <w:color w:val="000000"/>
        </w:rPr>
        <w:t>temporis</w:t>
      </w:r>
      <w:proofErr w:type="spellEnd"/>
      <w:r w:rsidRPr="00D26B4E">
        <w:rPr>
          <w:rFonts w:ascii="Garamond" w:hAnsi="Garamond"/>
          <w:color w:val="000000"/>
        </w:rPr>
        <w:t xml:space="preserve">, në kuptim të përmbajtjes së nenit 71/a, pika 1, shkronja “b”, të Ligjit Organik të Gjykatës, pasi vendimi i Gjykatës së Lartë, objekt ankimi </w:t>
      </w:r>
      <w:r w:rsidRPr="00D26B4E">
        <w:rPr>
          <w:rFonts w:ascii="Garamond" w:hAnsi="Garamond"/>
          <w:color w:val="000000"/>
        </w:rPr>
        <w:lastRenderedPageBreak/>
        <w:t xml:space="preserve">kushtetues individual, i është njoftuar në rrugë elektronike, </w:t>
      </w:r>
      <w:r w:rsidR="00D26B4E">
        <w:rPr>
          <w:rFonts w:ascii="Garamond" w:hAnsi="Garamond"/>
          <w:color w:val="000000"/>
        </w:rPr>
        <w:t>përmes mbrojtësit, në datën 21.</w:t>
      </w:r>
      <w:r w:rsidRPr="00D26B4E">
        <w:rPr>
          <w:rFonts w:ascii="Garamond" w:hAnsi="Garamond"/>
          <w:color w:val="000000"/>
        </w:rPr>
        <w:t xml:space="preserve">1.2025, ndërsa kërkesa është paraqitur në Gjykatë në datën 11.4.2025, pra brenda afatit ligjor 4-mujor. </w:t>
      </w:r>
    </w:p>
    <w:p w14:paraId="4FA02270" w14:textId="0BD81A1A"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20. Për sa i takon legjitimimit </w:t>
      </w:r>
      <w:proofErr w:type="spellStart"/>
      <w:r w:rsidRPr="00D26B4E">
        <w:rPr>
          <w:rFonts w:ascii="Garamond" w:hAnsi="Garamond"/>
          <w:i/>
          <w:iCs/>
          <w:color w:val="000000"/>
        </w:rPr>
        <w:t>ratione</w:t>
      </w:r>
      <w:proofErr w:type="spellEnd"/>
      <w:r w:rsidRPr="00D26B4E">
        <w:rPr>
          <w:rFonts w:ascii="Garamond" w:hAnsi="Garamond"/>
          <w:i/>
          <w:iCs/>
          <w:color w:val="000000"/>
        </w:rPr>
        <w:t xml:space="preserve"> </w:t>
      </w:r>
      <w:proofErr w:type="spellStart"/>
      <w:r w:rsidRPr="00D26B4E">
        <w:rPr>
          <w:rFonts w:ascii="Garamond" w:hAnsi="Garamond"/>
          <w:i/>
          <w:iCs/>
          <w:color w:val="000000"/>
        </w:rPr>
        <w:t>materiae</w:t>
      </w:r>
      <w:proofErr w:type="spellEnd"/>
      <w:r w:rsidRPr="00D26B4E">
        <w:rPr>
          <w:rFonts w:ascii="Garamond" w:hAnsi="Garamond"/>
          <w:color w:val="000000"/>
        </w:rPr>
        <w:t xml:space="preserve">, kërkuesi ka pretenduar cenimin e </w:t>
      </w:r>
      <w:r w:rsidRPr="00D26B4E">
        <w:rPr>
          <w:rFonts w:ascii="Garamond" w:hAnsi="Garamond"/>
          <w:i/>
          <w:iCs/>
          <w:color w:val="000000"/>
        </w:rPr>
        <w:t xml:space="preserve">së drejtës për proces të rregullt </w:t>
      </w:r>
      <w:r w:rsidRPr="00D26B4E">
        <w:rPr>
          <w:rFonts w:ascii="Garamond" w:hAnsi="Garamond"/>
          <w:color w:val="000000"/>
        </w:rPr>
        <w:t xml:space="preserve">në drejtim të </w:t>
      </w:r>
      <w:r w:rsidRPr="00D26B4E">
        <w:rPr>
          <w:rFonts w:ascii="Garamond" w:hAnsi="Garamond"/>
          <w:i/>
          <w:iCs/>
          <w:color w:val="000000"/>
        </w:rPr>
        <w:t xml:space="preserve">së drejtës së </w:t>
      </w:r>
      <w:proofErr w:type="spellStart"/>
      <w:r w:rsidRPr="00D26B4E">
        <w:rPr>
          <w:rFonts w:ascii="Garamond" w:hAnsi="Garamond"/>
          <w:i/>
          <w:iCs/>
          <w:color w:val="000000"/>
        </w:rPr>
        <w:t>aksesit</w:t>
      </w:r>
      <w:proofErr w:type="spellEnd"/>
      <w:r w:rsidRPr="00D26B4E">
        <w:rPr>
          <w:rFonts w:ascii="Garamond" w:hAnsi="Garamond"/>
          <w:color w:val="000000"/>
        </w:rPr>
        <w:t xml:space="preserve">, </w:t>
      </w:r>
      <w:r w:rsidRPr="00D26B4E">
        <w:rPr>
          <w:rFonts w:ascii="Garamond" w:hAnsi="Garamond"/>
          <w:i/>
          <w:iCs/>
          <w:color w:val="000000"/>
        </w:rPr>
        <w:t>së drejtës për t’u gjykuar nga një gjykatë e caktuar me ligj</w:t>
      </w:r>
      <w:r w:rsidRPr="00D26B4E">
        <w:rPr>
          <w:rFonts w:ascii="Garamond" w:hAnsi="Garamond"/>
          <w:color w:val="000000"/>
        </w:rPr>
        <w:t>,</w:t>
      </w:r>
      <w:r w:rsidRPr="00D26B4E">
        <w:rPr>
          <w:rFonts w:ascii="Garamond" w:hAnsi="Garamond"/>
          <w:i/>
          <w:iCs/>
          <w:color w:val="000000"/>
        </w:rPr>
        <w:t xml:space="preserve"> standardit të arsyetimit të vendimit gjyqësor</w:t>
      </w:r>
      <w:r w:rsidRPr="00D26B4E">
        <w:rPr>
          <w:rFonts w:ascii="Garamond" w:hAnsi="Garamond"/>
          <w:color w:val="000000"/>
        </w:rPr>
        <w:t>, si dhe së</w:t>
      </w:r>
      <w:r w:rsidR="00D26B4E">
        <w:rPr>
          <w:rFonts w:ascii="Garamond" w:hAnsi="Garamond"/>
          <w:color w:val="000000"/>
        </w:rPr>
        <w:t xml:space="preserve"> </w:t>
      </w:r>
      <w:r w:rsidRPr="00D26B4E">
        <w:rPr>
          <w:rFonts w:ascii="Garamond" w:hAnsi="Garamond"/>
          <w:i/>
          <w:iCs/>
          <w:color w:val="000000"/>
        </w:rPr>
        <w:t>drejtës së pronës</w:t>
      </w:r>
      <w:r w:rsidRPr="00D26B4E">
        <w:rPr>
          <w:rFonts w:ascii="Garamond" w:hAnsi="Garamond"/>
          <w:color w:val="000000"/>
        </w:rPr>
        <w:t>, të garantuara nga nenet 42, 142 dhe 41 të Kushtetutës.</w:t>
      </w:r>
    </w:p>
    <w:p w14:paraId="4D5608BD" w14:textId="4DC60939" w:rsidR="00DC2EF9" w:rsidRPr="00D26B4E" w:rsidRDefault="00DC2EF9" w:rsidP="00DC2EF9">
      <w:pPr>
        <w:tabs>
          <w:tab w:val="left" w:pos="1080"/>
        </w:tabs>
        <w:autoSpaceDE w:val="0"/>
        <w:autoSpaceDN w:val="0"/>
        <w:adjustRightInd w:val="0"/>
        <w:spacing w:line="240" w:lineRule="auto"/>
        <w:ind w:firstLine="284"/>
        <w:jc w:val="both"/>
        <w:rPr>
          <w:rFonts w:ascii="Garamond" w:hAnsi="Garamond"/>
          <w:b/>
          <w:bCs/>
          <w:i/>
          <w:iCs/>
          <w:color w:val="000000"/>
        </w:rPr>
      </w:pPr>
      <w:r w:rsidRPr="00D26B4E">
        <w:rPr>
          <w:rFonts w:ascii="Garamond" w:hAnsi="Garamond"/>
          <w:color w:val="000000"/>
        </w:rPr>
        <w:t xml:space="preserve">21. Për sa u takon argumenteve në thelb të këtyre pretendimeve, Gjykata vëren se ato parashtrohen në drejtim të së drejtës për proces të rregullt ligjor, si rrjedhojë e </w:t>
      </w:r>
      <w:proofErr w:type="spellStart"/>
      <w:r w:rsidRPr="00D26B4E">
        <w:rPr>
          <w:rFonts w:ascii="Garamond" w:hAnsi="Garamond"/>
          <w:color w:val="000000"/>
        </w:rPr>
        <w:t>mosnjoftimit</w:t>
      </w:r>
      <w:proofErr w:type="spellEnd"/>
      <w:r w:rsidRPr="00D26B4E">
        <w:rPr>
          <w:rFonts w:ascii="Garamond" w:hAnsi="Garamond"/>
          <w:color w:val="000000"/>
        </w:rPr>
        <w:t xml:space="preserve"> të kërkuesit për rekursin e plotë të shtetasit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si dhe së drejtës së pronës, si pasojë e qëndrimit të Gjykatës së Lartë për lënien në fuqi të vendimit të gjykatës së rrethit që ka pranuar </w:t>
      </w:r>
      <w:proofErr w:type="spellStart"/>
      <w:r w:rsidRPr="00D26B4E">
        <w:rPr>
          <w:rFonts w:ascii="Garamond" w:hAnsi="Garamond"/>
          <w:color w:val="000000"/>
        </w:rPr>
        <w:t>disponimin</w:t>
      </w:r>
      <w:proofErr w:type="spellEnd"/>
      <w:r w:rsidRPr="00D26B4E">
        <w:rPr>
          <w:rFonts w:ascii="Garamond" w:hAnsi="Garamond"/>
          <w:color w:val="000000"/>
        </w:rPr>
        <w:t xml:space="preserve"> e Prokurorisë Vlorë për sekuestrimin e akteve të fitimit të pronësisë.</w:t>
      </w:r>
    </w:p>
    <w:p w14:paraId="789A23A2" w14:textId="62013F33" w:rsidR="00DC2EF9" w:rsidRPr="00D26B4E" w:rsidRDefault="00DC2EF9" w:rsidP="00DC2EF9">
      <w:pPr>
        <w:tabs>
          <w:tab w:val="left" w:pos="1080"/>
        </w:tabs>
        <w:autoSpaceDE w:val="0"/>
        <w:autoSpaceDN w:val="0"/>
        <w:adjustRightInd w:val="0"/>
        <w:spacing w:line="240" w:lineRule="auto"/>
        <w:ind w:firstLine="284"/>
        <w:jc w:val="both"/>
        <w:rPr>
          <w:rFonts w:ascii="Garamond" w:hAnsi="Garamond"/>
          <w:b/>
          <w:bCs/>
          <w:i/>
          <w:iCs/>
          <w:color w:val="000000"/>
        </w:rPr>
      </w:pPr>
      <w:r w:rsidRPr="00D26B4E">
        <w:rPr>
          <w:rFonts w:ascii="Garamond" w:hAnsi="Garamond"/>
          <w:color w:val="000000"/>
        </w:rPr>
        <w:t xml:space="preserve">22. Gjykata sjell në vëmendje paraprakisht se nga faqja zyrtare e Gjykatës së Lartë rezulton se vendimi nr. 75/1995 të KKKP-së, Vlorë është bërë objekt gjykimi në një tjetër proces civil, me objekt anulimin tërësisht të tij, e njohjen pronarë të trashëgimtarëve ligjorë të shtetasit F.H., dhe çështja rezulton të jetë kthyer për shqyrtim në Gjykatën e Apelit të Juridiksionit të Përgjithshëm. Pavarësisht këtij fakti, duke mbajtur në konsideratë jurisprudencën kushtetuese, sipas së cilës e drejta e pronës realizohet përmes ushtrimit të tre tagrave të pronësisë, konkretisht së drejtës së posedimit, së drejtës së gëzimit dhe së drejtës së </w:t>
      </w:r>
      <w:proofErr w:type="spellStart"/>
      <w:r w:rsidRPr="00D26B4E">
        <w:rPr>
          <w:rFonts w:ascii="Garamond" w:hAnsi="Garamond"/>
          <w:color w:val="000000"/>
        </w:rPr>
        <w:t>disponimit</w:t>
      </w:r>
      <w:proofErr w:type="spellEnd"/>
      <w:r w:rsidRPr="00D26B4E">
        <w:rPr>
          <w:rFonts w:ascii="Garamond" w:hAnsi="Garamond"/>
          <w:color w:val="000000"/>
        </w:rPr>
        <w:t xml:space="preserve"> (</w:t>
      </w:r>
      <w:r w:rsidRPr="00D26B4E">
        <w:rPr>
          <w:rFonts w:ascii="Garamond" w:hAnsi="Garamond"/>
          <w:i/>
          <w:iCs/>
          <w:color w:val="000000"/>
        </w:rPr>
        <w:t>shih vendimin nr. 53, datë 31.10.2023</w:t>
      </w:r>
      <w:r w:rsidR="00D26B4E">
        <w:rPr>
          <w:rFonts w:ascii="Garamond" w:hAnsi="Garamond"/>
          <w:i/>
          <w:iCs/>
          <w:color w:val="000000"/>
        </w:rPr>
        <w:t>,</w:t>
      </w:r>
      <w:r w:rsidRPr="00D26B4E">
        <w:rPr>
          <w:rFonts w:ascii="Garamond" w:hAnsi="Garamond"/>
          <w:i/>
          <w:iCs/>
          <w:color w:val="000000"/>
        </w:rPr>
        <w:t> të Gjykatës Kushtetuese</w:t>
      </w:r>
      <w:r w:rsidRPr="00D26B4E">
        <w:rPr>
          <w:rFonts w:ascii="Garamond" w:hAnsi="Garamond"/>
          <w:color w:val="000000"/>
        </w:rPr>
        <w:t xml:space="preserve">), faktin se veprimet e Prokurorisë Vlorë dhe vendimmarrja e Gjykatës së Lartë kanë ndikuar në tagrin e kërkuesit për </w:t>
      </w:r>
      <w:proofErr w:type="spellStart"/>
      <w:r w:rsidRPr="00D26B4E">
        <w:rPr>
          <w:rFonts w:ascii="Garamond" w:hAnsi="Garamond"/>
          <w:color w:val="000000"/>
        </w:rPr>
        <w:t>disponimin</w:t>
      </w:r>
      <w:proofErr w:type="spellEnd"/>
      <w:r w:rsidRPr="00D26B4E">
        <w:rPr>
          <w:rFonts w:ascii="Garamond" w:hAnsi="Garamond"/>
          <w:color w:val="000000"/>
        </w:rPr>
        <w:t xml:space="preserve"> e lirë të pronës së tij, si dhe në parashikimet e nenit 42 të Kushtetutës, sipas të cilit e drejta e pronës private nuk mund të cenohet pa një proces të rregullt ligjor dhe se kushdo, për mbrojtjen kësaj të drejte, ka të drejtën e një gjykimi të drejtë, Gjykata çmon t’i trajtojë pretendimet e kërkuesit në drejtim të së drejtës </w:t>
      </w:r>
      <w:proofErr w:type="spellStart"/>
      <w:r w:rsidRPr="00D26B4E">
        <w:rPr>
          <w:rFonts w:ascii="Garamond" w:hAnsi="Garamond"/>
          <w:color w:val="000000"/>
        </w:rPr>
        <w:t>aksesit</w:t>
      </w:r>
      <w:proofErr w:type="spellEnd"/>
      <w:r w:rsidRPr="00D26B4E">
        <w:rPr>
          <w:rFonts w:ascii="Garamond" w:hAnsi="Garamond"/>
          <w:color w:val="000000"/>
        </w:rPr>
        <w:t xml:space="preserve"> të lidhur me të drejtën e mbrojtjes.</w:t>
      </w:r>
    </w:p>
    <w:p w14:paraId="1700B34A" w14:textId="3CAC4207" w:rsidR="00DC2EF9" w:rsidRPr="00D26B4E" w:rsidRDefault="00DC2EF9" w:rsidP="00DC2EF9">
      <w:pPr>
        <w:tabs>
          <w:tab w:val="left" w:pos="720"/>
        </w:tabs>
        <w:autoSpaceDE w:val="0"/>
        <w:autoSpaceDN w:val="0"/>
        <w:adjustRightInd w:val="0"/>
        <w:spacing w:line="240" w:lineRule="auto"/>
        <w:ind w:firstLine="284"/>
        <w:jc w:val="both"/>
        <w:rPr>
          <w:rFonts w:ascii="Garamond" w:hAnsi="Garamond"/>
          <w:i/>
          <w:iCs/>
          <w:color w:val="000000"/>
        </w:rPr>
      </w:pPr>
      <w:r w:rsidRPr="00D26B4E">
        <w:rPr>
          <w:rFonts w:ascii="Garamond" w:hAnsi="Garamond"/>
          <w:i/>
          <w:iCs/>
          <w:color w:val="000000"/>
        </w:rPr>
        <w:t xml:space="preserve"> B. Për themelin e pretendimeve</w:t>
      </w:r>
    </w:p>
    <w:p w14:paraId="10EAEB10" w14:textId="59BD32D7" w:rsidR="00DC2EF9" w:rsidRPr="00D26B4E" w:rsidRDefault="00DC2EF9" w:rsidP="00DC2EF9">
      <w:pPr>
        <w:tabs>
          <w:tab w:val="left" w:pos="720"/>
        </w:tabs>
        <w:autoSpaceDE w:val="0"/>
        <w:autoSpaceDN w:val="0"/>
        <w:adjustRightInd w:val="0"/>
        <w:spacing w:line="240" w:lineRule="auto"/>
        <w:ind w:firstLine="284"/>
        <w:jc w:val="both"/>
        <w:rPr>
          <w:rFonts w:ascii="Garamond" w:hAnsi="Garamond"/>
          <w:i/>
          <w:iCs/>
          <w:color w:val="000000"/>
        </w:rPr>
      </w:pPr>
      <w:r w:rsidRPr="00D26B4E">
        <w:rPr>
          <w:rFonts w:ascii="Garamond" w:hAnsi="Garamond"/>
          <w:i/>
          <w:iCs/>
          <w:color w:val="000000"/>
        </w:rPr>
        <w:t xml:space="preserve"> </w:t>
      </w:r>
      <w:r w:rsidR="00D26B4E">
        <w:rPr>
          <w:rFonts w:ascii="Garamond" w:hAnsi="Garamond"/>
          <w:i/>
          <w:iCs/>
          <w:color w:val="000000"/>
        </w:rPr>
        <w:t>B.1</w:t>
      </w:r>
      <w:r w:rsidRPr="00D26B4E">
        <w:rPr>
          <w:rFonts w:ascii="Garamond" w:hAnsi="Garamond"/>
          <w:i/>
          <w:iCs/>
          <w:color w:val="000000"/>
        </w:rPr>
        <w:t xml:space="preserve"> Për cenimin e së drejtës së </w:t>
      </w:r>
      <w:proofErr w:type="spellStart"/>
      <w:r w:rsidRPr="00D26B4E">
        <w:rPr>
          <w:rFonts w:ascii="Garamond" w:hAnsi="Garamond"/>
          <w:i/>
          <w:iCs/>
          <w:color w:val="000000"/>
        </w:rPr>
        <w:t>aksesit</w:t>
      </w:r>
      <w:proofErr w:type="spellEnd"/>
      <w:r w:rsidRPr="00D26B4E">
        <w:rPr>
          <w:rFonts w:ascii="Garamond" w:hAnsi="Garamond"/>
          <w:i/>
          <w:iCs/>
          <w:color w:val="000000"/>
        </w:rPr>
        <w:t xml:space="preserve"> të lidhur me të drejtën e mbrojtjes</w:t>
      </w:r>
    </w:p>
    <w:p w14:paraId="1F487BBD" w14:textId="6C5290C9"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23. Kërkuesi ka pretenduar se Gjykata e Lartë nuk i ka njoftuar</w:t>
      </w:r>
      <w:r w:rsidRPr="00D26B4E">
        <w:rPr>
          <w:rFonts w:ascii="Garamond" w:hAnsi="Garamond"/>
          <w:i/>
          <w:iCs/>
          <w:color w:val="000000"/>
        </w:rPr>
        <w:t xml:space="preserve"> </w:t>
      </w:r>
      <w:r w:rsidRPr="00D26B4E">
        <w:rPr>
          <w:rFonts w:ascii="Garamond" w:hAnsi="Garamond"/>
          <w:color w:val="000000"/>
        </w:rPr>
        <w:t xml:space="preserve">rekursin e plotë të ushtruar nga personi i interesuar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vendimin e saj për konstatimin me të meta të rekursit, si dhe aktin për plotësimin e këtyre të metave, duke i hequr mundësinë për të paraqitur </w:t>
      </w:r>
      <w:proofErr w:type="spellStart"/>
      <w:r w:rsidRPr="00D26B4E">
        <w:rPr>
          <w:rFonts w:ascii="Garamond" w:hAnsi="Garamond"/>
          <w:color w:val="000000"/>
        </w:rPr>
        <w:t>kundërrekurs</w:t>
      </w:r>
      <w:proofErr w:type="spellEnd"/>
      <w:r w:rsidRPr="00D26B4E">
        <w:rPr>
          <w:rFonts w:ascii="Garamond" w:hAnsi="Garamond"/>
          <w:color w:val="000000"/>
        </w:rPr>
        <w:t xml:space="preserve">. Po kështu, ai ka qenë në padijeni të plotë të shkaqeve të rekursit kundër vendimit të gjykatës së apelit, si dhe të procedurave të ndjekura nga Gjykata e Lartë. </w:t>
      </w:r>
    </w:p>
    <w:p w14:paraId="3ABFBA9B" w14:textId="4D43E014"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24. Subjekti i interesuar, Prokuroria e Përgjithshme, i ka prapësuar si të pabazuara këto pretendime, me argumentin se kërkuesi është njoftuar rregullisht si për depozitimin e rekursit (rekurs i shkurtuar), ashtu edhe për seancën e caktuar në dhomën e këshillimit në Kolegjin Penal të Gjykatës së Lartë. </w:t>
      </w:r>
    </w:p>
    <w:p w14:paraId="6866A7F2" w14:textId="25C5447A"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25. Neni 42, pika 1, i Kushtetutës parashikon se të drejtat kushtetuese nuk mund të cenohen pa një proces të rregullt ligjor. Kjo dispozitë sanksionon të drejtën për gjykim, ku e drejta e </w:t>
      </w:r>
      <w:proofErr w:type="spellStart"/>
      <w:r w:rsidRPr="00D26B4E">
        <w:rPr>
          <w:rFonts w:ascii="Garamond" w:hAnsi="Garamond"/>
          <w:color w:val="000000"/>
        </w:rPr>
        <w:t>aksesit</w:t>
      </w:r>
      <w:proofErr w:type="spellEnd"/>
      <w:r w:rsidRPr="00D26B4E">
        <w:rPr>
          <w:rFonts w:ascii="Garamond" w:hAnsi="Garamond"/>
          <w:color w:val="000000"/>
        </w:rPr>
        <w:t xml:space="preserve">, përfshirë të drejtën për të vënë në lëvizje gjykatën, përbën një aspekt të saj. E drejta e </w:t>
      </w:r>
      <w:proofErr w:type="spellStart"/>
      <w:r w:rsidRPr="00D26B4E">
        <w:rPr>
          <w:rFonts w:ascii="Garamond" w:hAnsi="Garamond"/>
          <w:color w:val="000000"/>
        </w:rPr>
        <w:t>aksesit</w:t>
      </w:r>
      <w:proofErr w:type="spellEnd"/>
      <w:r w:rsidRPr="00D26B4E">
        <w:rPr>
          <w:rFonts w:ascii="Garamond" w:hAnsi="Garamond"/>
          <w:color w:val="000000"/>
        </w:rPr>
        <w:t xml:space="preserve"> u garanton subjekteve të cenuara të drejtën t’i drejtohen një gjykate, e cila duhet të dëgjojë pretendimet e tyre dhe të shpallë një vendim pas një gjykimi të drejtë dhe publik (</w:t>
      </w:r>
      <w:r w:rsidR="00D26B4E">
        <w:rPr>
          <w:rFonts w:ascii="Garamond" w:hAnsi="Garamond"/>
          <w:i/>
          <w:iCs/>
          <w:color w:val="000000"/>
        </w:rPr>
        <w:t>shih vendimet nr. 32, datë 3.11.2022; nr. 10, datë 12.</w:t>
      </w:r>
      <w:r w:rsidRPr="00D26B4E">
        <w:rPr>
          <w:rFonts w:ascii="Garamond" w:hAnsi="Garamond"/>
          <w:i/>
          <w:iCs/>
          <w:color w:val="000000"/>
        </w:rPr>
        <w:t>4.2022</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 xml:space="preserve"> Në rast se mohohet kjo e drejtë procesi konsiderohet i parregullt, sepse </w:t>
      </w:r>
      <w:proofErr w:type="spellStart"/>
      <w:r w:rsidRPr="00D26B4E">
        <w:rPr>
          <w:rFonts w:ascii="Garamond" w:hAnsi="Garamond"/>
          <w:color w:val="000000"/>
        </w:rPr>
        <w:t>aksesi</w:t>
      </w:r>
      <w:proofErr w:type="spellEnd"/>
      <w:r w:rsidRPr="00D26B4E">
        <w:rPr>
          <w:rFonts w:ascii="Garamond" w:hAnsi="Garamond"/>
          <w:color w:val="000000"/>
        </w:rPr>
        <w:t xml:space="preserve"> në gjykatë është, përpara së gjithash, një kusht kryesor për të realizuar mbrojtjen e të drejtave të tjera të individit</w:t>
      </w:r>
      <w:r w:rsidRPr="00D26B4E">
        <w:rPr>
          <w:rFonts w:ascii="Garamond" w:hAnsi="Garamond"/>
          <w:i/>
          <w:iCs/>
          <w:color w:val="000000"/>
        </w:rPr>
        <w:t xml:space="preserve"> (shih vendimet nr. 56,</w:t>
      </w:r>
      <w:r w:rsidR="00D26B4E">
        <w:rPr>
          <w:rFonts w:ascii="Garamond" w:hAnsi="Garamond"/>
          <w:i/>
          <w:iCs/>
          <w:color w:val="000000"/>
        </w:rPr>
        <w:t xml:space="preserve"> datë 10.10.2025; nr. 26, datë 9.4.2024; nr. 14, datë 21.</w:t>
      </w:r>
      <w:r w:rsidRPr="00D26B4E">
        <w:rPr>
          <w:rFonts w:ascii="Garamond" w:hAnsi="Garamond"/>
          <w:i/>
          <w:iCs/>
          <w:color w:val="000000"/>
        </w:rPr>
        <w:t>3.2023</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 xml:space="preserve">. </w:t>
      </w:r>
    </w:p>
    <w:p w14:paraId="4545CE5F" w14:textId="63C7E455"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26. Gjykata në jurisprudencën e saj ka përcaktuar se disa standarde kushtetuese janë të lidhura nga pikëpamja organike dhe funksionale me njëra-tjetrën në mënyrë të tillë që cenimi i njërit standard ndikon në mënyrë të pashmangshme në cenimin e të tjerave. Konkretisht, për situatat kur pretendohet </w:t>
      </w:r>
      <w:proofErr w:type="spellStart"/>
      <w:r w:rsidRPr="00D26B4E">
        <w:rPr>
          <w:rFonts w:ascii="Garamond" w:hAnsi="Garamond"/>
          <w:color w:val="000000"/>
        </w:rPr>
        <w:t>mosnjoftimi</w:t>
      </w:r>
      <w:proofErr w:type="spellEnd"/>
      <w:r w:rsidRPr="00D26B4E">
        <w:rPr>
          <w:rFonts w:ascii="Garamond" w:hAnsi="Garamond"/>
          <w:color w:val="000000"/>
        </w:rPr>
        <w:t xml:space="preserve"> i rekursit, Gjykata ka theksuar se njoftimi i akteve me të cilat vihet në lëvizje një proces gjyqësor ka rëndësi në drejtim të pjesëmarrjes së individit në gjykim dhe të realizimit të </w:t>
      </w:r>
      <w:proofErr w:type="spellStart"/>
      <w:r w:rsidRPr="00D26B4E">
        <w:rPr>
          <w:rFonts w:ascii="Garamond" w:hAnsi="Garamond"/>
          <w:color w:val="000000"/>
        </w:rPr>
        <w:t>të</w:t>
      </w:r>
      <w:proofErr w:type="spellEnd"/>
      <w:r w:rsidRPr="00D26B4E">
        <w:rPr>
          <w:rFonts w:ascii="Garamond" w:hAnsi="Garamond"/>
          <w:color w:val="000000"/>
        </w:rPr>
        <w:t xml:space="preserve"> drejtave të tij kushtetuese. Njoftimi i akteve gjyqësore në kohën e duhur përbën një garanci të domosdoshme si për të vënë në dijeni individin për procesin gjyqësor ku ai është palë, ashtu edhe për të garantuar pjesëmarrjen e tij në proces dhe ushtrimin e së drejtës së mbrojtjes dhe </w:t>
      </w:r>
      <w:r w:rsidRPr="00D26B4E">
        <w:rPr>
          <w:rFonts w:ascii="Garamond" w:hAnsi="Garamond"/>
          <w:color w:val="000000"/>
        </w:rPr>
        <w:lastRenderedPageBreak/>
        <w:t xml:space="preserve">përdorimin e mjeteve procedurale në funksion të mbrojtjes së tij, siç është </w:t>
      </w:r>
      <w:proofErr w:type="spellStart"/>
      <w:r w:rsidRPr="00D26B4E">
        <w:rPr>
          <w:rFonts w:ascii="Garamond" w:hAnsi="Garamond"/>
          <w:color w:val="000000"/>
        </w:rPr>
        <w:t>kundërrekursi</w:t>
      </w:r>
      <w:proofErr w:type="spellEnd"/>
      <w:r w:rsidRPr="00D26B4E">
        <w:rPr>
          <w:rFonts w:ascii="Garamond" w:hAnsi="Garamond"/>
          <w:color w:val="000000"/>
        </w:rPr>
        <w:t xml:space="preserve"> ose prapësimet ndaj pretendimeve të palës tjetër në proces (</w:t>
      </w:r>
      <w:r w:rsidR="00D26B4E">
        <w:rPr>
          <w:rFonts w:ascii="Garamond" w:hAnsi="Garamond"/>
          <w:i/>
          <w:iCs/>
          <w:color w:val="000000"/>
        </w:rPr>
        <w:t>shih vendimin nr. 41, datë 29.</w:t>
      </w:r>
      <w:r w:rsidRPr="00D26B4E">
        <w:rPr>
          <w:rFonts w:ascii="Garamond" w:hAnsi="Garamond"/>
          <w:i/>
          <w:iCs/>
          <w:color w:val="000000"/>
        </w:rPr>
        <w:t>5.2024</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 Për sa i takon procesit në Gjykatën e Lartë, kjo e fundit, pavarësisht nëse i shqyrton çështjet në seancë të hapur publike ose m</w:t>
      </w:r>
      <w:r w:rsidR="00D26B4E">
        <w:rPr>
          <w:rFonts w:ascii="Garamond" w:hAnsi="Garamond"/>
          <w:color w:val="000000"/>
        </w:rPr>
        <w:t>bi bazë të dokumenteve, duhet t’</w:t>
      </w:r>
      <w:r w:rsidRPr="00D26B4E">
        <w:rPr>
          <w:rFonts w:ascii="Garamond" w:hAnsi="Garamond"/>
          <w:color w:val="000000"/>
        </w:rPr>
        <w:t>u garantojë palëve të drejtën që jo vetëm të njihen në kohë me pretendimet e palës tjetër, por edhe të kenë mundësinë që t</w:t>
      </w:r>
      <w:r w:rsidR="00D26B4E">
        <w:rPr>
          <w:rFonts w:ascii="Garamond" w:hAnsi="Garamond"/>
          <w:color w:val="000000"/>
        </w:rPr>
        <w:t>’</w:t>
      </w:r>
      <w:r w:rsidRPr="00D26B4E">
        <w:rPr>
          <w:rFonts w:ascii="Garamond" w:hAnsi="Garamond"/>
          <w:color w:val="000000"/>
        </w:rPr>
        <w:t xml:space="preserve">i kundërshtojnë ato, ose të paraqesin argumentet e tyre për çështjen. Ajo ka detyrimin të verifikojë nëse palët në proces kanë marrë dijeni </w:t>
      </w:r>
      <w:proofErr w:type="spellStart"/>
      <w:r w:rsidRPr="00D26B4E">
        <w:rPr>
          <w:rFonts w:ascii="Garamond" w:hAnsi="Garamond"/>
          <w:color w:val="000000"/>
        </w:rPr>
        <w:t>efektivisht</w:t>
      </w:r>
      <w:proofErr w:type="spellEnd"/>
      <w:r w:rsidRPr="00D26B4E">
        <w:rPr>
          <w:rFonts w:ascii="Garamond" w:hAnsi="Garamond"/>
          <w:color w:val="000000"/>
        </w:rPr>
        <w:t xml:space="preserve"> për procesin, me qëllim garantimin e së drejtës së mbrojtjes dhe parimin e barazisë së armëve në gjykim</w:t>
      </w:r>
      <w:r w:rsidRPr="00D26B4E">
        <w:rPr>
          <w:rFonts w:ascii="Garamond" w:hAnsi="Garamond"/>
          <w:i/>
          <w:iCs/>
          <w:color w:val="000000"/>
        </w:rPr>
        <w:t xml:space="preserve"> (shih vendimet nr</w:t>
      </w:r>
      <w:r w:rsidR="00D26B4E">
        <w:rPr>
          <w:rFonts w:ascii="Garamond" w:hAnsi="Garamond"/>
          <w:i/>
          <w:iCs/>
          <w:color w:val="000000"/>
        </w:rPr>
        <w:t>. 32, datë 23.4.2024; nr. 41, datë 18.9.2023; nr. 16, datë 8.</w:t>
      </w:r>
      <w:r w:rsidRPr="00D26B4E">
        <w:rPr>
          <w:rFonts w:ascii="Garamond" w:hAnsi="Garamond"/>
          <w:i/>
          <w:iCs/>
          <w:color w:val="000000"/>
        </w:rPr>
        <w:t>6.2006</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w:t>
      </w:r>
      <w:r w:rsidR="00D26B4E">
        <w:rPr>
          <w:rFonts w:ascii="Garamond" w:hAnsi="Garamond"/>
          <w:color w:val="000000"/>
        </w:rPr>
        <w:t xml:space="preserve"> </w:t>
      </w:r>
    </w:p>
    <w:p w14:paraId="220AFC16" w14:textId="0634248B"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27. Në këndvështrim të kësaj jurisprudence, në rastin konkret, Gjykata vëren se kërkuesi ka kundërshtuar </w:t>
      </w:r>
      <w:proofErr w:type="spellStart"/>
      <w:r w:rsidRPr="00D26B4E">
        <w:rPr>
          <w:rFonts w:ascii="Garamond" w:hAnsi="Garamond"/>
          <w:color w:val="000000"/>
        </w:rPr>
        <w:t>gjyqësisht</w:t>
      </w:r>
      <w:proofErr w:type="spellEnd"/>
      <w:r w:rsidRPr="00D26B4E">
        <w:rPr>
          <w:rFonts w:ascii="Garamond" w:hAnsi="Garamond"/>
          <w:color w:val="000000"/>
        </w:rPr>
        <w:t xml:space="preserve"> vendimin e prokurorisë për pushimin e procedimit penal, i cili është lënë në fuqi nga gjykata e rrethit, ndërsa është prishur nga gjykata e apelit, vendimi i së cilës është kundërshtuar me rekurs të shkurtuar nga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Nga aktet e dosjes gjyqësore të administruar për qëllime të gjykimit kushtetues rezulton se rekursi i shkurtuar i është komunikuar kërkuesit në datën </w:t>
      </w:r>
      <w:r w:rsidR="00D26B4E">
        <w:rPr>
          <w:rFonts w:ascii="Garamond" w:hAnsi="Garamond"/>
          <w:color w:val="000000"/>
        </w:rPr>
        <w:t>5.</w:t>
      </w:r>
      <w:r w:rsidRPr="00D26B4E">
        <w:rPr>
          <w:rFonts w:ascii="Garamond" w:hAnsi="Garamond"/>
          <w:color w:val="000000"/>
        </w:rPr>
        <w:t>4.2019. Në këtë mjet procedural është parashtruar vetëm kundërshtimi i vendimit të gjykatës së apelit (numër e datë) dhe lidhur me shkaqet ligjore është njoftuar se ato do të parashtrohen pas njohjes me vendimin e arsyetuar të gjykatës. Pas arsyetimit të vendimit të plotë nga Gjyka</w:t>
      </w:r>
      <w:r w:rsidR="00D26B4E">
        <w:rPr>
          <w:rFonts w:ascii="Garamond" w:hAnsi="Garamond"/>
          <w:color w:val="000000"/>
        </w:rPr>
        <w:t>ta e Apelit Vlorë, në datën 16.</w:t>
      </w:r>
      <w:r w:rsidRPr="00D26B4E">
        <w:rPr>
          <w:rFonts w:ascii="Garamond" w:hAnsi="Garamond"/>
          <w:color w:val="000000"/>
        </w:rPr>
        <w:t>4.2019</w:t>
      </w:r>
      <w:r w:rsidR="00D26B4E">
        <w:rPr>
          <w:rFonts w:ascii="Garamond" w:hAnsi="Garamond"/>
          <w:color w:val="000000"/>
        </w:rPr>
        <w:t>,</w:t>
      </w:r>
      <w:r w:rsidRPr="00D26B4E">
        <w:rPr>
          <w:rFonts w:ascii="Garamond" w:hAnsi="Garamond"/>
          <w:color w:val="000000"/>
        </w:rPr>
        <w:t xml:space="preserve">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ka depozituar rekursin e plotë, i cili, për shkak të </w:t>
      </w:r>
      <w:proofErr w:type="spellStart"/>
      <w:r w:rsidRPr="00D26B4E">
        <w:rPr>
          <w:rFonts w:ascii="Garamond" w:hAnsi="Garamond"/>
          <w:color w:val="000000"/>
        </w:rPr>
        <w:t>mosnënshkrimit</w:t>
      </w:r>
      <w:proofErr w:type="spellEnd"/>
      <w:r w:rsidRPr="00D26B4E">
        <w:rPr>
          <w:rFonts w:ascii="Garamond" w:hAnsi="Garamond"/>
          <w:color w:val="000000"/>
        </w:rPr>
        <w:t xml:space="preserve"> të tij nga avokati, sipas kërkesave të nenit 435, pika 2, të KPP-së, është kthyer nga Gjykata e Lartë për plotësimin e kësaj të mete. Në vijim,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ka depozituar rekursin e plotësuar sipas parashikimit ligjor dhe çështja është regjistruar në Gjykatën e Lartë. Rekursi me shkaqet e plota, i cili përmban argumente se përse vendimi i gjykatës së apelit duhet të prishet, i është komunikuar vet</w:t>
      </w:r>
      <w:r w:rsidR="00D26B4E">
        <w:rPr>
          <w:rFonts w:ascii="Garamond" w:hAnsi="Garamond"/>
          <w:color w:val="000000"/>
        </w:rPr>
        <w:t>ëm Prokurorisë së Vlorës më 30.</w:t>
      </w:r>
      <w:r w:rsidRPr="00D26B4E">
        <w:rPr>
          <w:rFonts w:ascii="Garamond" w:hAnsi="Garamond"/>
          <w:color w:val="000000"/>
        </w:rPr>
        <w:t>4.2019 dhe nuk rezulton t’i jetë komunikuar kërkuesit ose avokatit të zgjedhur prej tij.</w:t>
      </w:r>
      <w:r w:rsidR="00D26B4E">
        <w:rPr>
          <w:rFonts w:ascii="Garamond" w:hAnsi="Garamond"/>
          <w:color w:val="000000"/>
        </w:rPr>
        <w:t xml:space="preserve"> </w:t>
      </w:r>
    </w:p>
    <w:p w14:paraId="1A75AF36" w14:textId="39FF0E8D" w:rsidR="00DC2EF9" w:rsidRPr="00D26B4E" w:rsidRDefault="00DC2EF9" w:rsidP="00DC2EF9">
      <w:pPr>
        <w:tabs>
          <w:tab w:val="left" w:pos="72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28. Gjykata vëren gjithashtu se sipas nenit 414 të KPP-së, në fuqi në kohën e depozitimit të rekursit nga shtetasi </w:t>
      </w:r>
      <w:proofErr w:type="spellStart"/>
      <w:r w:rsidRPr="00D26B4E">
        <w:rPr>
          <w:rFonts w:ascii="Garamond" w:hAnsi="Garamond"/>
          <w:color w:val="000000"/>
        </w:rPr>
        <w:t>Hamlet</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xml:space="preserve">, sekretaria e gjykatës që ka dhënë vendimin ka pasur detyrimin për t’ua komunikuar atë prokurorit, të pandehurit dhe palëve private. </w:t>
      </w:r>
    </w:p>
    <w:p w14:paraId="2FCF6E94" w14:textId="72EA1B2A" w:rsidR="00DC2EF9" w:rsidRPr="00D26B4E" w:rsidRDefault="00DC2EF9" w:rsidP="00DC2EF9">
      <w:pPr>
        <w:tabs>
          <w:tab w:val="left" w:pos="720"/>
          <w:tab w:val="left" w:pos="1080"/>
          <w:tab w:val="left" w:pos="1340"/>
          <w:tab w:val="left" w:pos="144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29. Në çështjen në shqyrtim, Gjykata evidenton se, sipas të dhënave të faqes zyrtare të Gjykatës së Lartë, në datën 14.10.2024</w:t>
      </w:r>
      <w:r w:rsidR="00B33946">
        <w:rPr>
          <w:rFonts w:ascii="Garamond" w:hAnsi="Garamond"/>
          <w:color w:val="000000"/>
        </w:rPr>
        <w:t>,</w:t>
      </w:r>
      <w:r w:rsidRPr="00D26B4E">
        <w:rPr>
          <w:rFonts w:ascii="Garamond" w:hAnsi="Garamond"/>
          <w:color w:val="000000"/>
        </w:rPr>
        <w:t xml:space="preserve"> është publikuar lista e çështjeve për shqyrtim në dhomën e këshillimit në datën 21.11.2024, ku përfshihej edhe çështja e kërkuesit. Po kështu, referuar akteve të dosjes gjyqësore rezulton se avokati i kërkuesit është njoftuar nga sekretaria gjyqësore e Gjykatës së Lartë përmes postës elektronike për zhvillimin e seancës, në dhomën e këshillimit, në datën 21.11.2024, ora 9:20, ndërkohë që nuk rezulton të ketë paraqitur pretendime. Në përfundim të shqyrtimit të çështjes në seancën e datës 21.11.2024, Kolegji Penal ka vendosur prishjen e vendimit të gjykatës së apelit dhe lënien në fuqi të vendimit të gjykatës së shkallës së parë. </w:t>
      </w:r>
    </w:p>
    <w:p w14:paraId="43D1F3F0" w14:textId="3F903620"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30. Nga sa më lart, Gjykata vëren se kërkuesi nuk rezulton të jetë njoftuar as personalisht, as nëpërmjet përfaqësuesit të zgjedhur për rekursin e plotë të kallëzuesit. Për më tepër, Gjykata e Lartë nuk e ka konstatuar këtë fakt gjatë shqyrtimit të çështjes në dhomën e këshillimit dhe nuk ka arsyetuar nëse në rastin konkret ishin përmbushur detyrimet e nenit 414 të KPP-së. Ndonëse në procesin gjyqësor të zhvilluar në Gjykatën e Lartë kjo e fundit, përmes administratës gjyqësore, ka kryer njoftimin e datës së zhvillimit të seancës gjyqësore në përputhje me parashikimet procedurale të zbatueshme në atë gjykim, duket se kjo nuk është e mjaftueshme për të korrigjuar dhe riparuar të metat e evidentuara në drejtim të njoftimit të rekursit, të cilat sjellin si pasojë humbjen nga ana e kërkuesit të së drejtës për të paraqitur argumente ligjore në kundërshtim të pretendimeve të palës </w:t>
      </w:r>
      <w:proofErr w:type="spellStart"/>
      <w:r w:rsidRPr="00D26B4E">
        <w:rPr>
          <w:rFonts w:ascii="Garamond" w:hAnsi="Garamond"/>
          <w:color w:val="000000"/>
        </w:rPr>
        <w:t>rekursuese</w:t>
      </w:r>
      <w:proofErr w:type="spellEnd"/>
      <w:r w:rsidRPr="00D26B4E">
        <w:rPr>
          <w:rFonts w:ascii="Garamond" w:hAnsi="Garamond"/>
          <w:color w:val="000000"/>
        </w:rPr>
        <w:t>, si dhe parashtrimin e qëndrimit dhe të</w:t>
      </w:r>
      <w:r w:rsidR="00D26B4E">
        <w:rPr>
          <w:rFonts w:ascii="Garamond" w:hAnsi="Garamond"/>
          <w:color w:val="000000"/>
        </w:rPr>
        <w:t xml:space="preserve"> </w:t>
      </w:r>
      <w:r w:rsidRPr="00D26B4E">
        <w:rPr>
          <w:rFonts w:ascii="Garamond" w:hAnsi="Garamond"/>
          <w:color w:val="000000"/>
        </w:rPr>
        <w:t>pretendimeve të tij për zgjidhjen e çështjes. Po kështu, kjo mangësi nuk duket të jetë riparuar nga Gjykata e Lartë, pasi ajo nuk ka verifikuar paraprakisht nëse rekursi me shkaqet e plota i ishte njoftuar kërkuesit ose përfaqësuesit të zgjedhur prej tij në të dyja shkallët e gjykimit, për më tepër që përmes rekursit kundërshtohej vendimi i gjykatës së apelit që kishte disponuar në favor të kërkuesit.</w:t>
      </w:r>
      <w:r w:rsidR="00D26B4E">
        <w:rPr>
          <w:rFonts w:ascii="Garamond" w:hAnsi="Garamond"/>
          <w:color w:val="000000"/>
        </w:rPr>
        <w:t xml:space="preserve"> </w:t>
      </w:r>
    </w:p>
    <w:p w14:paraId="688825A9" w14:textId="04C47943"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31. Për sa më sipër, Gjykata vlerëson se pretendimi i kërkuesit për cenimin e së drejtës </w:t>
      </w:r>
      <w:proofErr w:type="spellStart"/>
      <w:r w:rsidRPr="00D26B4E">
        <w:rPr>
          <w:rFonts w:ascii="Garamond" w:hAnsi="Garamond"/>
          <w:color w:val="000000"/>
        </w:rPr>
        <w:t>aksesit</w:t>
      </w:r>
      <w:proofErr w:type="spellEnd"/>
      <w:r w:rsidRPr="00D26B4E">
        <w:rPr>
          <w:rFonts w:ascii="Garamond" w:hAnsi="Garamond"/>
          <w:color w:val="000000"/>
        </w:rPr>
        <w:t xml:space="preserve"> dhe së drejtës për t’u mbrojtur është i bazuar. </w:t>
      </w:r>
    </w:p>
    <w:p w14:paraId="4A19BEAD" w14:textId="7FD3057F"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lastRenderedPageBreak/>
        <w:t>32. Në kushtet kur sa më lart, Gjykata</w:t>
      </w:r>
      <w:r w:rsidRPr="00D26B4E">
        <w:rPr>
          <w:rFonts w:ascii="Garamond" w:hAnsi="Garamond"/>
          <w:color w:val="FF0000"/>
        </w:rPr>
        <w:t xml:space="preserve"> </w:t>
      </w:r>
      <w:r w:rsidRPr="00D26B4E">
        <w:rPr>
          <w:rFonts w:ascii="Garamond" w:hAnsi="Garamond"/>
          <w:color w:val="000000"/>
        </w:rPr>
        <w:t>ka vlerësuar se pretendimet e kërkuesit për procesin e zhvilluar nga Gjykata e Lartë janë të bazuara, çmon të mos ndalet në analizën e pretendimit të kërkuesit për cenimin e të drejtës së pronës (</w:t>
      </w:r>
      <w:r w:rsidRPr="00D26B4E">
        <w:rPr>
          <w:rFonts w:ascii="Garamond" w:hAnsi="Garamond"/>
          <w:i/>
          <w:iCs/>
          <w:color w:val="000000"/>
        </w:rPr>
        <w:t>shih paragrafët 21</w:t>
      </w:r>
      <w:r w:rsidR="00D26B4E">
        <w:rPr>
          <w:rFonts w:ascii="Garamond" w:hAnsi="Garamond"/>
          <w:i/>
          <w:iCs/>
          <w:color w:val="000000"/>
        </w:rPr>
        <w:t>–</w:t>
      </w:r>
      <w:r w:rsidRPr="00D26B4E">
        <w:rPr>
          <w:rFonts w:ascii="Garamond" w:hAnsi="Garamond"/>
          <w:i/>
          <w:iCs/>
          <w:color w:val="000000"/>
        </w:rPr>
        <w:t>22 të vendimit)</w:t>
      </w:r>
      <w:r w:rsidRPr="00D26B4E">
        <w:rPr>
          <w:rFonts w:ascii="Garamond" w:hAnsi="Garamond"/>
          <w:color w:val="000000"/>
        </w:rPr>
        <w:t>, për sa kohë çështja do të merret përsëri në shqyrtim nga Gjykata e Lartë, e cila, në funksion të rolit të saj si gjykatë e ligjit, duhet t’i japë përgjigje të arsyetuar këtij pretendimi.</w:t>
      </w:r>
    </w:p>
    <w:p w14:paraId="2DA130A4" w14:textId="77777777"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i/>
          <w:iCs/>
          <w:color w:val="000000"/>
        </w:rPr>
        <w:t>C. Për shpenzimet e përfaqësimit në Gjykatën Kushtetuese</w:t>
      </w:r>
    </w:p>
    <w:p w14:paraId="1BD3DA93" w14:textId="73DF8823"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33. </w:t>
      </w:r>
      <w:r w:rsidR="00D26B4E">
        <w:rPr>
          <w:rFonts w:ascii="Garamond" w:hAnsi="Garamond"/>
          <w:color w:val="000000"/>
        </w:rPr>
        <w:t>Në datën 23.</w:t>
      </w:r>
      <w:r w:rsidRPr="00D26B4E">
        <w:rPr>
          <w:rFonts w:ascii="Garamond" w:hAnsi="Garamond"/>
          <w:color w:val="000000"/>
        </w:rPr>
        <w:t xml:space="preserve">2.2026, përpara shqyrtimit të çështjes në seancë plenare, kërkuesi i është drejtuar Gjykatës me kërkesë për mbulimin e shpenzimeve të gjykimit kushtetues të çështjes. Sipas kërkuesit, mbrojtja juridike ka qenë e domosdoshme, për shkak të </w:t>
      </w:r>
      <w:proofErr w:type="spellStart"/>
      <w:r w:rsidRPr="00D26B4E">
        <w:rPr>
          <w:rFonts w:ascii="Garamond" w:hAnsi="Garamond"/>
          <w:color w:val="000000"/>
        </w:rPr>
        <w:t>kompleksitetit</w:t>
      </w:r>
      <w:proofErr w:type="spellEnd"/>
      <w:r w:rsidRPr="00D26B4E">
        <w:rPr>
          <w:rFonts w:ascii="Garamond" w:hAnsi="Garamond"/>
          <w:color w:val="000000"/>
        </w:rPr>
        <w:t xml:space="preserve"> të çështjes, natyrës së saj, kohëzgjatjes, materialit voluminoz që i është dashur për të përgatitur kërkesën. Për këtë qëllim, kërkuesi k</w:t>
      </w:r>
      <w:r w:rsidR="00D26B4E">
        <w:rPr>
          <w:rFonts w:ascii="Garamond" w:hAnsi="Garamond"/>
          <w:color w:val="000000"/>
        </w:rPr>
        <w:t>a paraqitur faturën e datës 20.</w:t>
      </w:r>
      <w:r w:rsidRPr="00D26B4E">
        <w:rPr>
          <w:rFonts w:ascii="Garamond" w:hAnsi="Garamond"/>
          <w:color w:val="000000"/>
        </w:rPr>
        <w:t>2.2026</w:t>
      </w:r>
      <w:r w:rsidR="00D26B4E">
        <w:rPr>
          <w:rFonts w:ascii="Garamond" w:hAnsi="Garamond"/>
          <w:color w:val="000000"/>
        </w:rPr>
        <w:t>,</w:t>
      </w:r>
      <w:r w:rsidRPr="00D26B4E">
        <w:rPr>
          <w:rFonts w:ascii="Garamond" w:hAnsi="Garamond"/>
          <w:color w:val="000000"/>
        </w:rPr>
        <w:t xml:space="preserve"> të lëshuar nga avokati </w:t>
      </w:r>
      <w:proofErr w:type="spellStart"/>
      <w:r w:rsidRPr="00D26B4E">
        <w:rPr>
          <w:rFonts w:ascii="Garamond" w:hAnsi="Garamond"/>
          <w:color w:val="000000"/>
        </w:rPr>
        <w:t>Ariton</w:t>
      </w:r>
      <w:proofErr w:type="spellEnd"/>
      <w:r w:rsidRPr="00D26B4E">
        <w:rPr>
          <w:rFonts w:ascii="Garamond" w:hAnsi="Garamond"/>
          <w:color w:val="FF0000"/>
        </w:rPr>
        <w:t xml:space="preserve"> </w:t>
      </w:r>
      <w:proofErr w:type="spellStart"/>
      <w:r w:rsidRPr="00D26B4E">
        <w:rPr>
          <w:rFonts w:ascii="Garamond" w:hAnsi="Garamond"/>
          <w:color w:val="000000"/>
        </w:rPr>
        <w:t>Kasaj</w:t>
      </w:r>
      <w:proofErr w:type="spellEnd"/>
      <w:r w:rsidRPr="00D26B4E">
        <w:rPr>
          <w:rFonts w:ascii="Garamond" w:hAnsi="Garamond"/>
          <w:color w:val="000000"/>
        </w:rPr>
        <w:t>, në vlerën 100.000 lekë (pa TVSH), të përshkruar si pagesë për ofrimin e shërbimit të përgatitjes së ankimit kushtetues individual.</w:t>
      </w:r>
      <w:r w:rsidR="00D26B4E">
        <w:rPr>
          <w:rFonts w:ascii="Garamond" w:hAnsi="Garamond"/>
          <w:color w:val="000000"/>
        </w:rPr>
        <w:t xml:space="preserve"> </w:t>
      </w:r>
    </w:p>
    <w:p w14:paraId="2974E876" w14:textId="7CC94860"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34. Gjykata vëren se në nenin 28 të Ligjit Organik të Gjykatës janë parashikuar rregullat për sa u takon shpenzimeve gjyqësore, sipas të cilave, shpenzimet e procesit gjyqësor përpara saj u nënshtrohen rregullave të parashikuara në ligjin për tarifat gjyqësore (pika 1); kur vendos pranimin e ankimit kushtetues individual, ajo mund të shprehet edhe për shpenzimet e përfaqësimit pjesërisht ose tërësisht, nëse kërkohet nga kërkuesi (pika 2). Kjo dispozitë është konkretizuar edhe në nenin 14 të Rregullores për Procedurat Gjyqësore të Gjykatës Kushtetuese, sipas të cilit me paraqitjen e kërkesës paraqitet edhe akti që provon shlyerjen e tarifave përkatëse (pika 2); kur vendoset pranimi i ankimit kushtetues individual, Gjykata shprehet në </w:t>
      </w:r>
      <w:proofErr w:type="spellStart"/>
      <w:r w:rsidRPr="00D26B4E">
        <w:rPr>
          <w:rFonts w:ascii="Garamond" w:hAnsi="Garamond"/>
          <w:color w:val="000000"/>
        </w:rPr>
        <w:t>dispozitiv</w:t>
      </w:r>
      <w:proofErr w:type="spellEnd"/>
      <w:r w:rsidRPr="00D26B4E">
        <w:rPr>
          <w:rFonts w:ascii="Garamond" w:hAnsi="Garamond"/>
          <w:color w:val="000000"/>
        </w:rPr>
        <w:t xml:space="preserve"> edhe për shpenzimet e përfaqësimit dhe masën e tyre, nëse kjo kërkohet nga kërkuesi (pika 4). </w:t>
      </w:r>
    </w:p>
    <w:p w14:paraId="0506AD0B" w14:textId="517BC949"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35. Gjykata vëren se referuar përmbajtjes së dispozitave si më sipër, së pari, </w:t>
      </w:r>
      <w:proofErr w:type="spellStart"/>
      <w:r w:rsidRPr="00D26B4E">
        <w:rPr>
          <w:rFonts w:ascii="Garamond" w:hAnsi="Garamond"/>
          <w:color w:val="000000"/>
        </w:rPr>
        <w:t>disponimi</w:t>
      </w:r>
      <w:proofErr w:type="spellEnd"/>
      <w:r w:rsidRPr="00D26B4E">
        <w:rPr>
          <w:rFonts w:ascii="Garamond" w:hAnsi="Garamond"/>
          <w:color w:val="000000"/>
        </w:rPr>
        <w:t xml:space="preserve"> për shpenzimet vihet në lëvizje vetëm me kërkesë formale nga ankuesi dhe, së dyti, një kërkesë e tillë mund të paraqitet së bashku me ankimin kushtetues individual deri kur deklarohet mbyllja e seancës plenare nga Gjykata. Në rastin konkret, kërkesa për shpenzimet gjyqësore është paraqitur përpara zhvillimit të seancës plenare.</w:t>
      </w:r>
    </w:p>
    <w:p w14:paraId="6C293EFC" w14:textId="4B0B4697"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36. Gjykata në jurisprudencën e saj ka theksuar se, në parim, çështja e shpenzimeve të përfaqësimit në gjykimin kushtetues të ankimit kushtetues individual është pjesë e procesit të rregullt ligjor dhe refuzimi për mbulimin e tyre rrezikon të kufizojë në mënyrë të pajustifikuar të drejtën e individit për </w:t>
      </w:r>
      <w:proofErr w:type="spellStart"/>
      <w:r w:rsidRPr="00D26B4E">
        <w:rPr>
          <w:rFonts w:ascii="Garamond" w:hAnsi="Garamond"/>
          <w:color w:val="000000"/>
        </w:rPr>
        <w:t>akses</w:t>
      </w:r>
      <w:proofErr w:type="spellEnd"/>
      <w:r w:rsidRPr="00D26B4E">
        <w:rPr>
          <w:rFonts w:ascii="Garamond" w:hAnsi="Garamond"/>
          <w:color w:val="000000"/>
        </w:rPr>
        <w:t xml:space="preserve"> në gjykatë, në kuptim të nenit 42 të Kushtetutës. Individi ka të drejtën e mbulimit të shpenzimeve vetëm nëse vërteton se ato janë kryer, kanë qenë të nevojshme dhe në masë të arsyeshme, ndaj ai duhet të paraqesë edhe aktet që dokumentojnë në mënyrë reale dhe të nevojshme masën e shpenzimeve të kryera për qëllim të procesit kushtetues, të cilat në çdo rast duhet të jenë të arsyeshme dhe të shoqëruara me fatura tatimore të lëshuara sipas legjislacionit në fuqi. Sipas udhëzimit të përbas</w:t>
      </w:r>
      <w:r w:rsidR="00D26B4E">
        <w:rPr>
          <w:rFonts w:ascii="Garamond" w:hAnsi="Garamond"/>
          <w:color w:val="000000"/>
        </w:rPr>
        <w:t>hkët nr. 18, datë 5.</w:t>
      </w:r>
      <w:r w:rsidRPr="00D26B4E">
        <w:rPr>
          <w:rFonts w:ascii="Garamond" w:hAnsi="Garamond"/>
          <w:color w:val="000000"/>
        </w:rPr>
        <w:t>8.2020</w:t>
      </w:r>
      <w:r w:rsidR="00D26B4E">
        <w:rPr>
          <w:rFonts w:ascii="Garamond" w:hAnsi="Garamond"/>
          <w:color w:val="000000"/>
        </w:rPr>
        <w:t>,</w:t>
      </w:r>
      <w:r w:rsidRPr="00D26B4E">
        <w:rPr>
          <w:rFonts w:ascii="Garamond" w:hAnsi="Garamond"/>
          <w:color w:val="000000"/>
        </w:rPr>
        <w:t xml:space="preserve"> të ministrit të Drejtësisë dhe ministrit të Financave “Për miratimin e kritereve të përfitimit të pagesave dhe tarifat e shpërblimit të avokatëve që ofrojnë ndihmë juridike dytësore” </w:t>
      </w:r>
      <w:r w:rsidRPr="00D26B4E">
        <w:rPr>
          <w:rFonts w:ascii="Garamond" w:hAnsi="Garamond"/>
          <w:i/>
          <w:iCs/>
          <w:color w:val="000000"/>
        </w:rPr>
        <w:t>(udhëzimi nr. 18/2020)</w:t>
      </w:r>
      <w:r w:rsidRPr="00D26B4E">
        <w:rPr>
          <w:rFonts w:ascii="Garamond" w:hAnsi="Garamond"/>
          <w:color w:val="000000"/>
        </w:rPr>
        <w:t xml:space="preserve">, shpenzimet për ofrimin e mbrojtjes juridike për përfaqësimin në Gjykatë përcaktohen në vlerat 50.000 lekë dhe 60.000 lekë, ndërsa për shërbime juridike jashtëgjyqësore përcaktohen në vlerat 25.000 lekë (përgatitje kërkese) dhe 500 lekë deri në 1.500 lekë ora (ofrimi i ndihmës juridike në formën e këshillimit - shih rubrikat I dhe II të shtojcës 1 “Tarifat e shërbimeve juridike të avokatëve të ndihmës juridike”). Nga ana tjetër, kriteret bazë për llogaritjen e masës lidhen me </w:t>
      </w:r>
      <w:proofErr w:type="spellStart"/>
      <w:r w:rsidRPr="00D26B4E">
        <w:rPr>
          <w:rFonts w:ascii="Garamond" w:hAnsi="Garamond"/>
          <w:color w:val="000000"/>
        </w:rPr>
        <w:t>kompleksitetin</w:t>
      </w:r>
      <w:proofErr w:type="spellEnd"/>
      <w:r w:rsidRPr="00D26B4E">
        <w:rPr>
          <w:rFonts w:ascii="Garamond" w:hAnsi="Garamond"/>
          <w:color w:val="000000"/>
        </w:rPr>
        <w:t xml:space="preserve"> e çështjes, nivelin e formimit dhe përvojën juridike të kërkuesit për të kuptuar çështjen, moshën dhe gjendjen financiare të kërkuesit, si dhe elemente të tjera që ndikojnë në vlerën e kërkuar (</w:t>
      </w:r>
      <w:r w:rsidRPr="00D26B4E">
        <w:rPr>
          <w:rFonts w:ascii="Garamond" w:hAnsi="Garamond"/>
          <w:i/>
          <w:iCs/>
          <w:color w:val="000000"/>
        </w:rPr>
        <w:t>shih vendimet nr</w:t>
      </w:r>
      <w:r w:rsidR="00D26B4E">
        <w:rPr>
          <w:rFonts w:ascii="Garamond" w:hAnsi="Garamond"/>
          <w:i/>
          <w:iCs/>
          <w:color w:val="000000"/>
        </w:rPr>
        <w:t>. 54, datë 9.10.2025; nr. 47, datë 18.</w:t>
      </w:r>
      <w:r w:rsidRPr="00D26B4E">
        <w:rPr>
          <w:rFonts w:ascii="Garamond" w:hAnsi="Garamond"/>
          <w:i/>
          <w:iCs/>
          <w:color w:val="000000"/>
        </w:rPr>
        <w:t>9.2025</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 xml:space="preserve">). </w:t>
      </w:r>
    </w:p>
    <w:p w14:paraId="05622809" w14:textId="5CF76D1C"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37. Për sa i takon subjektit që ngarkohet për mbulimin e shpenzimeve të përfaqësimit, Gjykata ka theksuar se natyra dhe objekti i gjykimit kushtetues ndryshojnë nga gjykimi i zakonshëm, për sa kohë që në gjykimin kushtetues individi kërkon të mbrojë të drejtat themelore të shkelura si pasojë e veprimtarisë së autoriteteve publike, ku përfshihet edhe ajo e gjykatave të zakonshme, që i kanë pasjellë atij cenimin e të drejtave themelore, ndaj përgjegjësia në këtë gjykim i takon vetë shtetit. Kjo logjikë ndiqet nga rregullimet ligjore për kompensimin e shkeljes të së drejtës për gjykim </w:t>
      </w:r>
      <w:r w:rsidRPr="00D26B4E">
        <w:rPr>
          <w:rFonts w:ascii="Garamond" w:hAnsi="Garamond"/>
          <w:color w:val="000000"/>
        </w:rPr>
        <w:lastRenderedPageBreak/>
        <w:t>brenda afatit të arsyeshëm, ku në gjykimin e zakonshëm thirren si të paditur Ministria e Drejtësisë dhe Ministria e Financave (neni 399/4, pika 2, i Kodit të Procedurës Civile) (</w:t>
      </w:r>
      <w:r w:rsidRPr="00D26B4E">
        <w:rPr>
          <w:rFonts w:ascii="Garamond" w:hAnsi="Garamond"/>
          <w:i/>
          <w:iCs/>
          <w:color w:val="000000"/>
        </w:rPr>
        <w:t>shih vendimet nr. 54, da</w:t>
      </w:r>
      <w:r w:rsidR="00D26B4E">
        <w:rPr>
          <w:rFonts w:ascii="Garamond" w:hAnsi="Garamond"/>
          <w:i/>
          <w:iCs/>
          <w:color w:val="000000"/>
        </w:rPr>
        <w:t>të 9.10.2025; nr. 47, datë 18.</w:t>
      </w:r>
      <w:r w:rsidRPr="00D26B4E">
        <w:rPr>
          <w:rFonts w:ascii="Garamond" w:hAnsi="Garamond"/>
          <w:i/>
          <w:iCs/>
          <w:color w:val="000000"/>
        </w:rPr>
        <w:t>9.2025</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w:t>
      </w:r>
    </w:p>
    <w:p w14:paraId="21A696B2" w14:textId="565CA234"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38. Për sa më sipër, Gjykata, duke pasur parasysh parashikimet e udhëzimit nr. 18/2020, aktet e përgatitura nga përfaqësuesi i kërkuesit për përfaqësimin e tij në këtë gjykim kushtetues, natyrën e çështjes konkrete, si dhe numrin e pretendimeve të pranuara, vlerëson se masa e arsyeshme për mbulimin e shpenzimeve gjyqësore në Gjykatë është në vlerën 30.000 lekë. Për rrjedhojë, Gjykata vlerëson se kërkesa për shpenzimet e përfaqësimit është e drejtë dhe pranohet pjesërisht.</w:t>
      </w:r>
    </w:p>
    <w:p w14:paraId="0EEFF1B3" w14:textId="11168BF7" w:rsidR="00DC2EF9" w:rsidRPr="00D26B4E" w:rsidRDefault="00DC2EF9" w:rsidP="00DC2EF9">
      <w:pPr>
        <w:tabs>
          <w:tab w:val="left" w:pos="72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39. Në përfundim, Gjykata çmon se kërkesa e kërkuesit duhet të pranohet, sipas arsyetimit të mësipërm të këtij vendimi.</w:t>
      </w:r>
    </w:p>
    <w:p w14:paraId="26181AFF" w14:textId="77777777" w:rsidR="00DC2EF9" w:rsidRPr="00D26B4E" w:rsidRDefault="00DC2EF9" w:rsidP="00DC2EF9">
      <w:pPr>
        <w:tabs>
          <w:tab w:val="left" w:pos="1080"/>
        </w:tabs>
        <w:autoSpaceDE w:val="0"/>
        <w:autoSpaceDN w:val="0"/>
        <w:adjustRightInd w:val="0"/>
        <w:spacing w:line="240" w:lineRule="auto"/>
        <w:ind w:firstLine="284"/>
        <w:jc w:val="both"/>
        <w:rPr>
          <w:rFonts w:ascii="Garamond" w:hAnsi="Garamond"/>
          <w:color w:val="000000"/>
        </w:rPr>
      </w:pPr>
    </w:p>
    <w:p w14:paraId="05D0809B" w14:textId="77777777" w:rsidR="00DC2EF9" w:rsidRPr="00D26B4E" w:rsidRDefault="00DC2EF9" w:rsidP="00DC2EF9">
      <w:pPr>
        <w:tabs>
          <w:tab w:val="left" w:pos="0"/>
          <w:tab w:val="left" w:pos="720"/>
          <w:tab w:val="left" w:pos="980"/>
          <w:tab w:val="left" w:pos="1080"/>
          <w:tab w:val="left" w:pos="1160"/>
          <w:tab w:val="left" w:pos="4220"/>
        </w:tabs>
        <w:autoSpaceDE w:val="0"/>
        <w:autoSpaceDN w:val="0"/>
        <w:adjustRightInd w:val="0"/>
        <w:spacing w:line="240" w:lineRule="auto"/>
        <w:ind w:firstLine="284"/>
        <w:jc w:val="center"/>
        <w:rPr>
          <w:rFonts w:ascii="Garamond" w:hAnsi="Garamond"/>
          <w:bCs/>
          <w:color w:val="000000"/>
        </w:rPr>
      </w:pPr>
      <w:r w:rsidRPr="00D26B4E">
        <w:rPr>
          <w:rFonts w:ascii="Garamond" w:hAnsi="Garamond"/>
          <w:bCs/>
          <w:color w:val="000000"/>
        </w:rPr>
        <w:t>PËR KËTO ARSYE,</w:t>
      </w:r>
    </w:p>
    <w:p w14:paraId="6DE8B862" w14:textId="77777777" w:rsidR="00C0053B" w:rsidRPr="00D26B4E" w:rsidRDefault="00C0053B" w:rsidP="00DC2EF9">
      <w:pPr>
        <w:tabs>
          <w:tab w:val="left" w:pos="440"/>
          <w:tab w:val="left" w:pos="540"/>
          <w:tab w:val="left" w:pos="720"/>
          <w:tab w:val="left" w:pos="980"/>
          <w:tab w:val="left" w:pos="1160"/>
          <w:tab w:val="left" w:pos="4220"/>
        </w:tabs>
        <w:autoSpaceDE w:val="0"/>
        <w:autoSpaceDN w:val="0"/>
        <w:adjustRightInd w:val="0"/>
        <w:spacing w:line="240" w:lineRule="auto"/>
        <w:ind w:firstLine="284"/>
        <w:jc w:val="both"/>
        <w:rPr>
          <w:rFonts w:ascii="Garamond" w:hAnsi="Garamond"/>
          <w:color w:val="000000"/>
        </w:rPr>
      </w:pPr>
    </w:p>
    <w:p w14:paraId="2AE2773A" w14:textId="415D32E4" w:rsidR="00DC2EF9" w:rsidRPr="00D26B4E" w:rsidRDefault="00DC2EF9" w:rsidP="00DC2EF9">
      <w:pPr>
        <w:tabs>
          <w:tab w:val="left" w:pos="440"/>
          <w:tab w:val="left" w:pos="540"/>
          <w:tab w:val="left" w:pos="720"/>
          <w:tab w:val="left" w:pos="980"/>
          <w:tab w:val="left" w:pos="1160"/>
          <w:tab w:val="left" w:pos="422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Gjykata Kushtetuese, në mbështetje të neneve 131, pika 1, shkronja “f” dhe 134, pika 1, shkronja “i”, të Kushtetutës, si dhe neneve 72 e vijues</w:t>
      </w:r>
      <w:r w:rsidR="00D26B4E">
        <w:rPr>
          <w:rFonts w:ascii="Garamond" w:hAnsi="Garamond"/>
          <w:color w:val="000000"/>
        </w:rPr>
        <w:t>, të ligjit nr. 8577, datë 10.</w:t>
      </w:r>
      <w:r w:rsidRPr="00D26B4E">
        <w:rPr>
          <w:rFonts w:ascii="Garamond" w:hAnsi="Garamond"/>
          <w:color w:val="000000"/>
        </w:rPr>
        <w:t>2.2000</w:t>
      </w:r>
      <w:r w:rsidR="00D26B4E">
        <w:rPr>
          <w:rFonts w:ascii="Garamond" w:hAnsi="Garamond"/>
          <w:color w:val="000000"/>
        </w:rPr>
        <w:t>,</w:t>
      </w:r>
      <w:r w:rsidRPr="00D26B4E">
        <w:rPr>
          <w:rFonts w:ascii="Garamond" w:hAnsi="Garamond"/>
          <w:color w:val="000000"/>
        </w:rPr>
        <w:t xml:space="preserve"> “Për organizimin dhe funksionimin e Gjykatës Kushtetuese të Republikës së Shqipërisë”, të ndryshuar, me shumicë votash, </w:t>
      </w:r>
    </w:p>
    <w:p w14:paraId="4D04B965" w14:textId="77777777" w:rsidR="00DC2EF9" w:rsidRPr="00D26B4E" w:rsidRDefault="00DC2EF9" w:rsidP="00DC2EF9">
      <w:pPr>
        <w:tabs>
          <w:tab w:val="left" w:pos="0"/>
          <w:tab w:val="left" w:pos="720"/>
          <w:tab w:val="left" w:pos="980"/>
          <w:tab w:val="left" w:pos="1160"/>
          <w:tab w:val="left" w:pos="4220"/>
        </w:tabs>
        <w:autoSpaceDE w:val="0"/>
        <w:autoSpaceDN w:val="0"/>
        <w:adjustRightInd w:val="0"/>
        <w:spacing w:line="240" w:lineRule="auto"/>
        <w:ind w:firstLine="284"/>
        <w:jc w:val="center"/>
        <w:rPr>
          <w:rFonts w:ascii="Garamond" w:hAnsi="Garamond"/>
          <w:color w:val="000000"/>
        </w:rPr>
      </w:pPr>
    </w:p>
    <w:p w14:paraId="494942EA" w14:textId="0131C2EF" w:rsidR="00DC2EF9" w:rsidRPr="00D26B4E" w:rsidRDefault="00DC2EF9" w:rsidP="00DC2EF9">
      <w:pPr>
        <w:tabs>
          <w:tab w:val="left" w:pos="0"/>
          <w:tab w:val="left" w:pos="720"/>
          <w:tab w:val="left" w:pos="980"/>
          <w:tab w:val="left" w:pos="1160"/>
          <w:tab w:val="left" w:pos="4220"/>
        </w:tabs>
        <w:autoSpaceDE w:val="0"/>
        <w:autoSpaceDN w:val="0"/>
        <w:adjustRightInd w:val="0"/>
        <w:spacing w:line="240" w:lineRule="auto"/>
        <w:ind w:firstLine="284"/>
        <w:jc w:val="center"/>
        <w:rPr>
          <w:rFonts w:ascii="Garamond" w:hAnsi="Garamond"/>
          <w:bCs/>
          <w:color w:val="000000"/>
        </w:rPr>
      </w:pPr>
      <w:r w:rsidRPr="00D26B4E">
        <w:rPr>
          <w:rFonts w:ascii="Garamond" w:hAnsi="Garamond"/>
          <w:bCs/>
          <w:color w:val="000000"/>
        </w:rPr>
        <w:t>VENDOSI:</w:t>
      </w:r>
    </w:p>
    <w:p w14:paraId="717D35C2" w14:textId="77777777" w:rsidR="00C0053B" w:rsidRPr="00D26B4E" w:rsidRDefault="00C0053B" w:rsidP="00DC2EF9">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color w:val="000000"/>
        </w:rPr>
      </w:pPr>
    </w:p>
    <w:p w14:paraId="1A98E214" w14:textId="13F67899" w:rsidR="00DC2EF9" w:rsidRPr="00D26B4E" w:rsidRDefault="00DC2EF9" w:rsidP="00DC2EF9">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color w:val="000000"/>
        </w:rPr>
      </w:pPr>
      <w:r w:rsidRPr="00D26B4E">
        <w:rPr>
          <w:rFonts w:ascii="Garamond" w:hAnsi="Garamond"/>
          <w:color w:val="000000"/>
        </w:rPr>
        <w:t>1. Pranimin e kërkesës.</w:t>
      </w:r>
    </w:p>
    <w:p w14:paraId="7625CF49" w14:textId="2F7630B1" w:rsidR="00DC2EF9" w:rsidRPr="00D26B4E" w:rsidRDefault="00DC2EF9" w:rsidP="00DC2EF9">
      <w:pPr>
        <w:tabs>
          <w:tab w:val="left" w:pos="0"/>
          <w:tab w:val="left" w:pos="720"/>
          <w:tab w:val="left" w:pos="980"/>
          <w:tab w:val="left" w:pos="1080"/>
          <w:tab w:val="left" w:pos="1160"/>
          <w:tab w:val="left" w:pos="422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2. Shfuqizimin e vendimit nr. 00-2024-1923 (290), datë 21.11.2024</w:t>
      </w:r>
      <w:r w:rsidR="00D26B4E">
        <w:rPr>
          <w:rFonts w:ascii="Garamond" w:hAnsi="Garamond"/>
          <w:color w:val="000000"/>
        </w:rPr>
        <w:t>,</w:t>
      </w:r>
      <w:r w:rsidRPr="00D26B4E">
        <w:rPr>
          <w:rFonts w:ascii="Garamond" w:hAnsi="Garamond"/>
          <w:color w:val="000000"/>
        </w:rPr>
        <w:t xml:space="preserve"> të Kolegjit Penal të Gjykatës së Lartë, si të papajtueshëm me Kushtetutën e Republikës së Shqipërisë.</w:t>
      </w:r>
    </w:p>
    <w:p w14:paraId="238E224D" w14:textId="011D4D4A" w:rsidR="00DC2EF9" w:rsidRPr="00D26B4E" w:rsidRDefault="00DC2EF9" w:rsidP="00DC2EF9">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color w:val="000000"/>
        </w:rPr>
      </w:pPr>
      <w:r w:rsidRPr="00D26B4E">
        <w:rPr>
          <w:rFonts w:ascii="Garamond" w:hAnsi="Garamond"/>
          <w:color w:val="000000"/>
        </w:rPr>
        <w:t>3. Dërgimin e çështjes për shqyrtim në Gjykatën e Lartë.</w:t>
      </w:r>
    </w:p>
    <w:p w14:paraId="1EC6A457" w14:textId="26FC4DC6" w:rsidR="00DC2EF9" w:rsidRPr="00D26B4E" w:rsidRDefault="00DC2EF9" w:rsidP="00DC2EF9">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color w:val="000000"/>
        </w:rPr>
      </w:pPr>
      <w:r w:rsidRPr="00D26B4E">
        <w:rPr>
          <w:rFonts w:ascii="Garamond" w:hAnsi="Garamond"/>
          <w:color w:val="000000"/>
        </w:rPr>
        <w:t xml:space="preserve">4. Shpenzimet e përfaqësimit të kërkuesit në vlerën 30.000 (tridhjetë mijë) lekë i ngarkohen Ministrisë së Financave. </w:t>
      </w:r>
    </w:p>
    <w:p w14:paraId="459B5235" w14:textId="77777777" w:rsidR="00DC2EF9" w:rsidRPr="00D26B4E" w:rsidRDefault="00DC2EF9" w:rsidP="00DC2EF9">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color w:val="000000"/>
        </w:rPr>
      </w:pPr>
      <w:r w:rsidRPr="00D26B4E">
        <w:rPr>
          <w:rFonts w:ascii="Garamond" w:hAnsi="Garamond"/>
          <w:color w:val="000000"/>
        </w:rPr>
        <w:t>Ky vendim është përfundimtar dhe hyn në fuqi ditën e botimit në Fletoren Zyrtare.</w:t>
      </w:r>
    </w:p>
    <w:p w14:paraId="72AD825C" w14:textId="5E0DCBEF" w:rsidR="00DC2EF9" w:rsidRPr="00D26B4E" w:rsidRDefault="00D26B4E" w:rsidP="00DC2EF9">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b/>
          <w:bCs/>
          <w:color w:val="000000"/>
        </w:rPr>
      </w:pPr>
      <w:r>
        <w:rPr>
          <w:rFonts w:ascii="Garamond" w:hAnsi="Garamond"/>
          <w:b/>
          <w:bCs/>
          <w:color w:val="000000"/>
        </w:rPr>
        <w:t>Marrë më 9.</w:t>
      </w:r>
      <w:r w:rsidR="00DC2EF9" w:rsidRPr="00D26B4E">
        <w:rPr>
          <w:rFonts w:ascii="Garamond" w:hAnsi="Garamond"/>
          <w:b/>
          <w:bCs/>
          <w:color w:val="000000"/>
        </w:rPr>
        <w:t>3.2026</w:t>
      </w:r>
      <w:r>
        <w:rPr>
          <w:rFonts w:ascii="Garamond" w:hAnsi="Garamond"/>
          <w:b/>
          <w:bCs/>
          <w:color w:val="000000"/>
        </w:rPr>
        <w:t>.</w:t>
      </w:r>
    </w:p>
    <w:p w14:paraId="056EEBBA" w14:textId="2827A8F4" w:rsidR="00DC2EF9" w:rsidRPr="00D26B4E" w:rsidRDefault="00D26B4E" w:rsidP="00DC2EF9">
      <w:pPr>
        <w:tabs>
          <w:tab w:val="left" w:pos="0"/>
          <w:tab w:val="left" w:pos="720"/>
          <w:tab w:val="left" w:pos="980"/>
          <w:tab w:val="left" w:pos="1080"/>
          <w:tab w:val="left" w:pos="1160"/>
          <w:tab w:val="left" w:pos="4220"/>
        </w:tabs>
        <w:autoSpaceDE w:val="0"/>
        <w:autoSpaceDN w:val="0"/>
        <w:adjustRightInd w:val="0"/>
        <w:spacing w:line="240" w:lineRule="auto"/>
        <w:ind w:firstLine="284"/>
        <w:rPr>
          <w:rFonts w:ascii="Garamond" w:hAnsi="Garamond"/>
          <w:b/>
          <w:bCs/>
          <w:color w:val="000000"/>
        </w:rPr>
      </w:pPr>
      <w:r>
        <w:rPr>
          <w:rFonts w:ascii="Garamond" w:hAnsi="Garamond"/>
          <w:b/>
          <w:bCs/>
          <w:color w:val="000000"/>
        </w:rPr>
        <w:t>Shpallur më 4.</w:t>
      </w:r>
      <w:r w:rsidR="00DC2EF9" w:rsidRPr="00D26B4E">
        <w:rPr>
          <w:rFonts w:ascii="Garamond" w:hAnsi="Garamond"/>
          <w:b/>
          <w:bCs/>
          <w:color w:val="000000"/>
        </w:rPr>
        <w:t>5.2026</w:t>
      </w:r>
      <w:r>
        <w:rPr>
          <w:rFonts w:ascii="Garamond" w:hAnsi="Garamond"/>
          <w:b/>
          <w:bCs/>
          <w:color w:val="000000"/>
        </w:rPr>
        <w:t>.</w:t>
      </w:r>
    </w:p>
    <w:p w14:paraId="0B55EC0E" w14:textId="6D100125" w:rsidR="00DC2EF9" w:rsidRPr="00D26B4E" w:rsidRDefault="00DC2EF9" w:rsidP="00DC2EF9">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p>
    <w:p w14:paraId="1A08DCBC" w14:textId="15370E52" w:rsidR="00C0053B" w:rsidRPr="00D26B4E" w:rsidRDefault="00C0053B" w:rsidP="00DC2EF9">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r w:rsidRPr="00D26B4E">
        <w:rPr>
          <w:rFonts w:ascii="Garamond" w:hAnsi="Garamond"/>
          <w:b/>
          <w:color w:val="000000"/>
        </w:rPr>
        <w:t>Kryetare:</w:t>
      </w:r>
      <w:r w:rsidRPr="00D26B4E">
        <w:rPr>
          <w:rFonts w:ascii="Garamond" w:hAnsi="Garamond"/>
          <w:bCs/>
          <w:color w:val="000000"/>
        </w:rPr>
        <w:t xml:space="preserve"> </w:t>
      </w:r>
      <w:proofErr w:type="spellStart"/>
      <w:r w:rsidRPr="00D26B4E">
        <w:rPr>
          <w:rFonts w:ascii="Garamond" w:hAnsi="Garamond"/>
          <w:bCs/>
          <w:color w:val="000000"/>
        </w:rPr>
        <w:t>Fiona</w:t>
      </w:r>
      <w:proofErr w:type="spellEnd"/>
      <w:r w:rsidRPr="00D26B4E">
        <w:rPr>
          <w:rFonts w:ascii="Garamond" w:hAnsi="Garamond"/>
          <w:bCs/>
          <w:color w:val="000000"/>
        </w:rPr>
        <w:t xml:space="preserve"> </w:t>
      </w:r>
      <w:proofErr w:type="spellStart"/>
      <w:r w:rsidRPr="00D26B4E">
        <w:rPr>
          <w:rFonts w:ascii="Garamond" w:hAnsi="Garamond"/>
          <w:bCs/>
          <w:color w:val="000000"/>
        </w:rPr>
        <w:t>Papajorgji</w:t>
      </w:r>
      <w:proofErr w:type="spellEnd"/>
      <w:r w:rsidR="00D5678D">
        <w:rPr>
          <w:rFonts w:ascii="Garamond" w:hAnsi="Garamond"/>
          <w:bCs/>
          <w:color w:val="000000"/>
        </w:rPr>
        <w:t xml:space="preserve"> (kundër)</w:t>
      </w:r>
    </w:p>
    <w:p w14:paraId="2AAEEEE5" w14:textId="5C533F3D" w:rsidR="00C0053B" w:rsidRPr="00D26B4E" w:rsidRDefault="00C0053B" w:rsidP="00DC2EF9">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r w:rsidRPr="00D26B4E">
        <w:rPr>
          <w:rFonts w:ascii="Garamond" w:hAnsi="Garamond"/>
          <w:b/>
          <w:color w:val="000000"/>
        </w:rPr>
        <w:t>Anëtarë:</w:t>
      </w:r>
      <w:r w:rsidRPr="00D26B4E">
        <w:rPr>
          <w:rFonts w:ascii="Garamond" w:hAnsi="Garamond"/>
          <w:color w:val="000000"/>
        </w:rPr>
        <w:t xml:space="preserve"> </w:t>
      </w:r>
      <w:proofErr w:type="spellStart"/>
      <w:r w:rsidR="006B4EC3" w:rsidRPr="00D26B4E">
        <w:rPr>
          <w:rFonts w:ascii="Garamond" w:hAnsi="Garamond"/>
          <w:bCs/>
          <w:color w:val="000000"/>
        </w:rPr>
        <w:t>Sonila</w:t>
      </w:r>
      <w:proofErr w:type="spellEnd"/>
      <w:r w:rsidR="006B4EC3" w:rsidRPr="00D26B4E">
        <w:rPr>
          <w:rFonts w:ascii="Garamond" w:hAnsi="Garamond"/>
          <w:bCs/>
          <w:color w:val="000000"/>
        </w:rPr>
        <w:t xml:space="preserve"> Bejtja, </w:t>
      </w:r>
      <w:proofErr w:type="spellStart"/>
      <w:r w:rsidR="006B4EC3" w:rsidRPr="00D26B4E">
        <w:rPr>
          <w:rFonts w:ascii="Garamond" w:hAnsi="Garamond"/>
          <w:bCs/>
          <w:color w:val="000000"/>
        </w:rPr>
        <w:t>Marjana</w:t>
      </w:r>
      <w:proofErr w:type="spellEnd"/>
      <w:r w:rsidR="006B4EC3" w:rsidRPr="00D26B4E">
        <w:rPr>
          <w:rFonts w:ascii="Garamond" w:hAnsi="Garamond"/>
          <w:bCs/>
          <w:color w:val="000000"/>
        </w:rPr>
        <w:t xml:space="preserve"> </w:t>
      </w:r>
      <w:proofErr w:type="spellStart"/>
      <w:r w:rsidR="006B4EC3" w:rsidRPr="00D26B4E">
        <w:rPr>
          <w:rFonts w:ascii="Garamond" w:hAnsi="Garamond"/>
          <w:bCs/>
          <w:color w:val="000000"/>
        </w:rPr>
        <w:t>Semini</w:t>
      </w:r>
      <w:proofErr w:type="spellEnd"/>
      <w:r w:rsidR="006B4EC3" w:rsidRPr="00D26B4E">
        <w:rPr>
          <w:rFonts w:ascii="Garamond" w:hAnsi="Garamond"/>
          <w:bCs/>
          <w:color w:val="000000"/>
        </w:rPr>
        <w:t xml:space="preserve">, Ilir Toska, </w:t>
      </w:r>
      <w:proofErr w:type="spellStart"/>
      <w:r w:rsidR="006B4EC3" w:rsidRPr="00D26B4E">
        <w:rPr>
          <w:rFonts w:ascii="Garamond" w:hAnsi="Garamond"/>
          <w:bCs/>
          <w:color w:val="000000"/>
        </w:rPr>
        <w:t>Sandër</w:t>
      </w:r>
      <w:proofErr w:type="spellEnd"/>
      <w:r w:rsidR="006B4EC3" w:rsidRPr="00D26B4E">
        <w:rPr>
          <w:rFonts w:ascii="Garamond" w:hAnsi="Garamond"/>
          <w:bCs/>
          <w:color w:val="000000"/>
        </w:rPr>
        <w:t xml:space="preserve"> Beci, Genti Ibrahimi</w:t>
      </w:r>
    </w:p>
    <w:p w14:paraId="0B5D05B2" w14:textId="16883494" w:rsidR="006B4EC3" w:rsidRPr="00D26B4E" w:rsidRDefault="006B4EC3" w:rsidP="006B4EC3">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r w:rsidRPr="00D26B4E">
        <w:rPr>
          <w:rFonts w:ascii="Garamond" w:hAnsi="Garamond"/>
          <w:b/>
          <w:color w:val="000000"/>
        </w:rPr>
        <w:t>Anëtarë kundër:</w:t>
      </w:r>
      <w:r w:rsidRPr="00D26B4E">
        <w:rPr>
          <w:rFonts w:ascii="Garamond" w:hAnsi="Garamond"/>
          <w:bCs/>
          <w:color w:val="000000"/>
        </w:rPr>
        <w:t xml:space="preserve"> </w:t>
      </w:r>
      <w:proofErr w:type="spellStart"/>
      <w:r w:rsidRPr="00D26B4E">
        <w:rPr>
          <w:rFonts w:ascii="Garamond" w:hAnsi="Garamond"/>
          <w:bCs/>
          <w:color w:val="000000"/>
        </w:rPr>
        <w:t>Marsida</w:t>
      </w:r>
      <w:proofErr w:type="spellEnd"/>
      <w:r w:rsidRPr="00D26B4E">
        <w:rPr>
          <w:rFonts w:ascii="Garamond" w:hAnsi="Garamond"/>
          <w:bCs/>
          <w:color w:val="000000"/>
        </w:rPr>
        <w:t xml:space="preserve"> </w:t>
      </w:r>
      <w:proofErr w:type="spellStart"/>
      <w:r w:rsidRPr="00D26B4E">
        <w:rPr>
          <w:rFonts w:ascii="Garamond" w:hAnsi="Garamond"/>
          <w:bCs/>
          <w:color w:val="000000"/>
        </w:rPr>
        <w:t>Xhaferllari</w:t>
      </w:r>
      <w:proofErr w:type="spellEnd"/>
      <w:r w:rsidRPr="00D26B4E">
        <w:rPr>
          <w:rFonts w:ascii="Garamond" w:hAnsi="Garamond"/>
          <w:bCs/>
          <w:color w:val="000000"/>
        </w:rPr>
        <w:t xml:space="preserve">, </w:t>
      </w:r>
      <w:proofErr w:type="spellStart"/>
      <w:r w:rsidRPr="00D26B4E">
        <w:rPr>
          <w:rFonts w:ascii="Garamond" w:hAnsi="Garamond"/>
          <w:bCs/>
          <w:color w:val="000000"/>
        </w:rPr>
        <w:t>Asim</w:t>
      </w:r>
      <w:proofErr w:type="spellEnd"/>
      <w:r w:rsidRPr="00D26B4E">
        <w:rPr>
          <w:rFonts w:ascii="Garamond" w:hAnsi="Garamond"/>
          <w:bCs/>
          <w:color w:val="000000"/>
        </w:rPr>
        <w:t xml:space="preserve"> </w:t>
      </w:r>
      <w:proofErr w:type="spellStart"/>
      <w:r w:rsidRPr="00D26B4E">
        <w:rPr>
          <w:rFonts w:ascii="Garamond" w:hAnsi="Garamond"/>
          <w:bCs/>
          <w:color w:val="000000"/>
        </w:rPr>
        <w:t>Vokshi</w:t>
      </w:r>
      <w:proofErr w:type="spellEnd"/>
    </w:p>
    <w:p w14:paraId="0AE77AD6" w14:textId="238B1820" w:rsidR="00C0053B" w:rsidRPr="00D26B4E" w:rsidRDefault="00C0053B" w:rsidP="00DC2EF9">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p>
    <w:p w14:paraId="5D84F542" w14:textId="77777777" w:rsidR="00DC2EF9" w:rsidRPr="00D26B4E" w:rsidRDefault="00DC2EF9" w:rsidP="00DC2EF9">
      <w:pPr>
        <w:tabs>
          <w:tab w:val="left" w:pos="540"/>
          <w:tab w:val="left" w:pos="720"/>
          <w:tab w:val="left" w:pos="1080"/>
        </w:tabs>
        <w:autoSpaceDE w:val="0"/>
        <w:autoSpaceDN w:val="0"/>
        <w:adjustRightInd w:val="0"/>
        <w:spacing w:line="240" w:lineRule="auto"/>
        <w:ind w:firstLine="284"/>
        <w:jc w:val="center"/>
        <w:rPr>
          <w:rFonts w:ascii="Garamond" w:hAnsi="Garamond"/>
          <w:bCs/>
          <w:color w:val="000000"/>
        </w:rPr>
      </w:pPr>
      <w:r w:rsidRPr="00D26B4E">
        <w:rPr>
          <w:rFonts w:ascii="Garamond" w:hAnsi="Garamond"/>
          <w:bCs/>
          <w:color w:val="000000"/>
        </w:rPr>
        <w:t>MENDIM PAKICE</w:t>
      </w:r>
    </w:p>
    <w:p w14:paraId="50C1C51C" w14:textId="77777777" w:rsidR="00DC2EF9" w:rsidRPr="00D26B4E" w:rsidRDefault="00DC2EF9" w:rsidP="00DC2EF9">
      <w:pPr>
        <w:tabs>
          <w:tab w:val="left" w:pos="540"/>
          <w:tab w:val="left" w:pos="720"/>
          <w:tab w:val="left" w:pos="1080"/>
        </w:tabs>
        <w:autoSpaceDE w:val="0"/>
        <w:autoSpaceDN w:val="0"/>
        <w:adjustRightInd w:val="0"/>
        <w:spacing w:line="240" w:lineRule="auto"/>
        <w:ind w:firstLine="284"/>
        <w:rPr>
          <w:rFonts w:ascii="Garamond" w:hAnsi="Garamond"/>
          <w:b/>
          <w:bCs/>
          <w:color w:val="000000"/>
        </w:rPr>
      </w:pPr>
    </w:p>
    <w:p w14:paraId="34B39EBC" w14:textId="1BA44886" w:rsidR="00DC2EF9" w:rsidRPr="00D26B4E" w:rsidRDefault="00DC2EF9" w:rsidP="00DC2EF9">
      <w:pPr>
        <w:tabs>
          <w:tab w:val="left" w:pos="54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1. Në shqyrtimin e çështjes që i përket ankimit kushtetues individual të kërkuesit </w:t>
      </w:r>
      <w:proofErr w:type="spellStart"/>
      <w:r w:rsidRPr="00D26B4E">
        <w:rPr>
          <w:rFonts w:ascii="Garamond" w:hAnsi="Garamond"/>
          <w:color w:val="000000"/>
        </w:rPr>
        <w:t>Edmond</w:t>
      </w:r>
      <w:proofErr w:type="spellEnd"/>
      <w:r w:rsidRPr="00D26B4E">
        <w:rPr>
          <w:rFonts w:ascii="Garamond" w:hAnsi="Garamond"/>
          <w:color w:val="000000"/>
        </w:rPr>
        <w:t xml:space="preserve"> </w:t>
      </w:r>
      <w:proofErr w:type="spellStart"/>
      <w:r w:rsidRPr="00D26B4E">
        <w:rPr>
          <w:rFonts w:ascii="Garamond" w:hAnsi="Garamond"/>
          <w:color w:val="000000"/>
        </w:rPr>
        <w:t>Hysenaj</w:t>
      </w:r>
      <w:proofErr w:type="spellEnd"/>
      <w:r w:rsidRPr="00D26B4E">
        <w:rPr>
          <w:rFonts w:ascii="Garamond" w:hAnsi="Garamond"/>
          <w:color w:val="000000"/>
        </w:rPr>
        <w:t>, me objekt shfuqizimin e vendimit nr. 00-2024-1923 (290), datë 21.11.2024</w:t>
      </w:r>
      <w:r w:rsidR="00D26B4E">
        <w:rPr>
          <w:rFonts w:ascii="Garamond" w:hAnsi="Garamond"/>
          <w:color w:val="000000"/>
        </w:rPr>
        <w:t>,</w:t>
      </w:r>
      <w:r w:rsidRPr="00D26B4E">
        <w:rPr>
          <w:rFonts w:ascii="Garamond" w:hAnsi="Garamond"/>
          <w:color w:val="000000"/>
        </w:rPr>
        <w:t xml:space="preserve"> të Gjykatës së Lartë, si të papajtueshëm me Kushtetutën, ne, gjyqtarët në pakicë, </w:t>
      </w:r>
      <w:proofErr w:type="spellStart"/>
      <w:r w:rsidRPr="00D26B4E">
        <w:rPr>
          <w:rFonts w:ascii="Garamond" w:hAnsi="Garamond"/>
          <w:color w:val="000000"/>
        </w:rPr>
        <w:t>Fiona</w:t>
      </w:r>
      <w:proofErr w:type="spellEnd"/>
      <w:r w:rsidRPr="00D26B4E">
        <w:rPr>
          <w:rFonts w:ascii="Garamond" w:hAnsi="Garamond"/>
          <w:color w:val="000000"/>
        </w:rPr>
        <w:t xml:space="preserve"> </w:t>
      </w:r>
      <w:proofErr w:type="spellStart"/>
      <w:r w:rsidRPr="00D26B4E">
        <w:rPr>
          <w:rFonts w:ascii="Garamond" w:hAnsi="Garamond"/>
          <w:color w:val="000000"/>
        </w:rPr>
        <w:t>Papajorgji</w:t>
      </w:r>
      <w:proofErr w:type="spellEnd"/>
      <w:r w:rsidRPr="00D26B4E">
        <w:rPr>
          <w:rFonts w:ascii="Garamond" w:hAnsi="Garamond"/>
          <w:color w:val="000000"/>
        </w:rPr>
        <w:t xml:space="preserve">, </w:t>
      </w:r>
      <w:proofErr w:type="spellStart"/>
      <w:r w:rsidRPr="00D26B4E">
        <w:rPr>
          <w:rFonts w:ascii="Garamond" w:hAnsi="Garamond"/>
          <w:color w:val="000000"/>
        </w:rPr>
        <w:t>Marsida</w:t>
      </w:r>
      <w:proofErr w:type="spellEnd"/>
      <w:r w:rsidRPr="00D26B4E">
        <w:rPr>
          <w:rFonts w:ascii="Garamond" w:hAnsi="Garamond"/>
          <w:color w:val="000000"/>
        </w:rPr>
        <w:t xml:space="preserve"> </w:t>
      </w:r>
      <w:proofErr w:type="spellStart"/>
      <w:r w:rsidRPr="00D26B4E">
        <w:rPr>
          <w:rFonts w:ascii="Garamond" w:hAnsi="Garamond"/>
          <w:color w:val="000000"/>
        </w:rPr>
        <w:t>Xhaferllari</w:t>
      </w:r>
      <w:proofErr w:type="spellEnd"/>
      <w:r w:rsidRPr="00D26B4E">
        <w:rPr>
          <w:rFonts w:ascii="Garamond" w:hAnsi="Garamond"/>
          <w:color w:val="000000"/>
        </w:rPr>
        <w:t xml:space="preserve"> dhe </w:t>
      </w:r>
      <w:proofErr w:type="spellStart"/>
      <w:r w:rsidRPr="00D26B4E">
        <w:rPr>
          <w:rFonts w:ascii="Garamond" w:hAnsi="Garamond"/>
          <w:color w:val="000000"/>
        </w:rPr>
        <w:t>Asim</w:t>
      </w:r>
      <w:proofErr w:type="spellEnd"/>
      <w:r w:rsidRPr="00D26B4E">
        <w:rPr>
          <w:rFonts w:ascii="Garamond" w:hAnsi="Garamond"/>
          <w:color w:val="000000"/>
        </w:rPr>
        <w:t xml:space="preserve"> </w:t>
      </w:r>
      <w:proofErr w:type="spellStart"/>
      <w:r w:rsidRPr="00D26B4E">
        <w:rPr>
          <w:rFonts w:ascii="Garamond" w:hAnsi="Garamond"/>
          <w:color w:val="000000"/>
        </w:rPr>
        <w:t>Vokshi</w:t>
      </w:r>
      <w:proofErr w:type="spellEnd"/>
      <w:r w:rsidRPr="00D26B4E">
        <w:rPr>
          <w:rFonts w:ascii="Garamond" w:hAnsi="Garamond"/>
          <w:color w:val="000000"/>
        </w:rPr>
        <w:t xml:space="preserve"> jemi kundër qëndrimit të shumicës për pranimin e kërkesës, pasi vlerësojmë se pretendimet janë të pabazuara, ndaj kërkesa duhej të ishte rrëzuar.</w:t>
      </w:r>
      <w:r w:rsidR="00D26B4E">
        <w:rPr>
          <w:rFonts w:ascii="Garamond" w:hAnsi="Garamond"/>
          <w:color w:val="000000"/>
        </w:rPr>
        <w:t xml:space="preserve"> </w:t>
      </w:r>
      <w:r w:rsidRPr="00D26B4E">
        <w:rPr>
          <w:rFonts w:ascii="Garamond" w:hAnsi="Garamond"/>
          <w:color w:val="000000"/>
        </w:rPr>
        <w:t xml:space="preserve">Në mbështetje të nenit 132, pika 3, të Kushtetutës dhe nenit 72, pika 8, të Ligjit Organik të Gjykatës, që parashikojnë publikimin e mendimit të pakicës së bashku me vendimin përfundimtar të Gjykatës, parashtrojmë në vijim argumentet që mbështesin qëndrimin tonë kundër. </w:t>
      </w:r>
    </w:p>
    <w:p w14:paraId="69DD6AC9" w14:textId="09FDD2A1" w:rsidR="00DC2EF9" w:rsidRPr="00D26B4E" w:rsidRDefault="00DC2EF9" w:rsidP="00DC2EF9">
      <w:pPr>
        <w:tabs>
          <w:tab w:val="left" w:pos="54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2. Duke shmangur përsëritjen e fakteve dhe të rrethanave të çështjes, vëmë në dukje se gjykimi kushtetues ka për objekt kontrollin e vendimmarrjes së Gjykatës së Lartë, e cila ka prishur vendimin e gjykatës së apelit dhe ka lënë në fuqi vendimin e gjykatës së rrethit që ka pranuar </w:t>
      </w:r>
      <w:proofErr w:type="spellStart"/>
      <w:r w:rsidRPr="00D26B4E">
        <w:rPr>
          <w:rFonts w:ascii="Garamond" w:hAnsi="Garamond"/>
          <w:color w:val="000000"/>
        </w:rPr>
        <w:t>disponimin</w:t>
      </w:r>
      <w:proofErr w:type="spellEnd"/>
      <w:r w:rsidRPr="00D26B4E">
        <w:rPr>
          <w:rFonts w:ascii="Garamond" w:hAnsi="Garamond"/>
          <w:color w:val="000000"/>
        </w:rPr>
        <w:t xml:space="preserve"> e Prokurorisë së Vlorës për sekuestrimin e akteve të fitimit të pronësisë. Kërkuesi ka pretenduar se vendimi i Gjykatës së Lartë i ka cenuar të drejtën për proces të rregullt ligjor në drejtim të së drejtës së </w:t>
      </w:r>
      <w:proofErr w:type="spellStart"/>
      <w:r w:rsidRPr="00D26B4E">
        <w:rPr>
          <w:rFonts w:ascii="Garamond" w:hAnsi="Garamond"/>
          <w:color w:val="000000"/>
        </w:rPr>
        <w:t>aksesit</w:t>
      </w:r>
      <w:proofErr w:type="spellEnd"/>
      <w:r w:rsidRPr="00D26B4E">
        <w:rPr>
          <w:rFonts w:ascii="Garamond" w:hAnsi="Garamond"/>
          <w:color w:val="000000"/>
        </w:rPr>
        <w:t>, së drejtës për t’u gjykuar nga një gjykatë e caktuar me ligj, standardit të arsyetimit të vendimit gjyqësor, si dhe së</w:t>
      </w:r>
      <w:r w:rsidR="00D26B4E">
        <w:rPr>
          <w:rFonts w:ascii="Garamond" w:hAnsi="Garamond"/>
          <w:color w:val="000000"/>
        </w:rPr>
        <w:t xml:space="preserve"> </w:t>
      </w:r>
      <w:r w:rsidRPr="00D26B4E">
        <w:rPr>
          <w:rFonts w:ascii="Garamond" w:hAnsi="Garamond"/>
          <w:color w:val="000000"/>
        </w:rPr>
        <w:t xml:space="preserve">drejtës së pronës, të garantuara nga nenet 42, 142 dhe 41 të Kushtetutës. </w:t>
      </w:r>
    </w:p>
    <w:p w14:paraId="6E568EB6" w14:textId="39549B72" w:rsidR="00DC2EF9" w:rsidRPr="00D26B4E" w:rsidRDefault="00DC2EF9" w:rsidP="00DC2EF9">
      <w:pPr>
        <w:tabs>
          <w:tab w:val="left" w:pos="54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lastRenderedPageBreak/>
        <w:t xml:space="preserve">3. Shumica ka vlerësuar se argumentet në thelb të këtyre pretendimeve parashtrohen në drejtim të së drejtës për proces të rregullt ligjor, si rrjedhojë e </w:t>
      </w:r>
      <w:proofErr w:type="spellStart"/>
      <w:r w:rsidRPr="00D26B4E">
        <w:rPr>
          <w:rFonts w:ascii="Garamond" w:hAnsi="Garamond"/>
          <w:color w:val="000000"/>
        </w:rPr>
        <w:t>mosnjoftimit</w:t>
      </w:r>
      <w:proofErr w:type="spellEnd"/>
      <w:r w:rsidRPr="00D26B4E">
        <w:rPr>
          <w:rFonts w:ascii="Garamond" w:hAnsi="Garamond"/>
          <w:color w:val="000000"/>
        </w:rPr>
        <w:t xml:space="preserve"> të kërkuesit për rekursin e plotë, si dhe së drejtës së pronës, duke i analizuar ato në drejtim të së drejtës së </w:t>
      </w:r>
      <w:proofErr w:type="spellStart"/>
      <w:r w:rsidRPr="00D26B4E">
        <w:rPr>
          <w:rFonts w:ascii="Garamond" w:hAnsi="Garamond"/>
          <w:color w:val="000000"/>
        </w:rPr>
        <w:t>aksesit</w:t>
      </w:r>
      <w:proofErr w:type="spellEnd"/>
      <w:r w:rsidRPr="00D26B4E">
        <w:rPr>
          <w:rFonts w:ascii="Garamond" w:hAnsi="Garamond"/>
          <w:color w:val="000000"/>
        </w:rPr>
        <w:t xml:space="preserve"> të lidhur me të drejtën e mbrojtjes (</w:t>
      </w:r>
      <w:r w:rsidR="00D26B4E">
        <w:rPr>
          <w:rFonts w:ascii="Garamond" w:hAnsi="Garamond"/>
          <w:i/>
          <w:iCs/>
          <w:color w:val="000000"/>
        </w:rPr>
        <w:t>shih paragrafët 20–</w:t>
      </w:r>
      <w:r w:rsidRPr="00D26B4E">
        <w:rPr>
          <w:rFonts w:ascii="Garamond" w:hAnsi="Garamond"/>
          <w:i/>
          <w:iCs/>
          <w:color w:val="000000"/>
        </w:rPr>
        <w:t>22 të vendimit</w:t>
      </w:r>
      <w:r w:rsidRPr="00D26B4E">
        <w:rPr>
          <w:rFonts w:ascii="Garamond" w:hAnsi="Garamond"/>
          <w:color w:val="000000"/>
        </w:rPr>
        <w:t xml:space="preserve">). Në përfundim, shumica e ka vlerësuar të bazuar pretendimin e kërkuesit për cenimin e këtyre të drejtave (e drejta e </w:t>
      </w:r>
      <w:proofErr w:type="spellStart"/>
      <w:r w:rsidRPr="00D26B4E">
        <w:rPr>
          <w:rFonts w:ascii="Garamond" w:hAnsi="Garamond"/>
          <w:color w:val="000000"/>
        </w:rPr>
        <w:t>aksesit</w:t>
      </w:r>
      <w:proofErr w:type="spellEnd"/>
      <w:r w:rsidRPr="00D26B4E">
        <w:rPr>
          <w:rFonts w:ascii="Garamond" w:hAnsi="Garamond"/>
          <w:color w:val="000000"/>
        </w:rPr>
        <w:t xml:space="preserve"> dhe ajo e mbrojtjes), pasi atij nuk i ishte njoftuar rregullisht rekursi i plotësuar, por vetëm rekursi i shkurtuar (</w:t>
      </w:r>
      <w:r w:rsidRPr="00D26B4E">
        <w:rPr>
          <w:rFonts w:ascii="Garamond" w:hAnsi="Garamond"/>
          <w:i/>
          <w:iCs/>
          <w:color w:val="000000"/>
        </w:rPr>
        <w:t>shih paragrafin 31 të vendimit</w:t>
      </w:r>
      <w:r w:rsidRPr="00D26B4E">
        <w:rPr>
          <w:rFonts w:ascii="Garamond" w:hAnsi="Garamond"/>
          <w:color w:val="000000"/>
        </w:rPr>
        <w:t xml:space="preserve">). Ajo (shumica) ka argumentuar se kërkuesi nuk rezulton të jetë njoftuar as personalisht, as nëpërmjet përfaqësuesit të zgjedhur për rekursin e plotë dhe Gjykata e Lartë nuk e ka konstatuar këtë fakt dhe nuk ka arsyetuar nëse ishin përmbushur detyrimet ligjore për njoftimin. Po kështu, njoftimi i datës së seancës nga administrata e Gjykatës së Lartë nuk ishte i mjaftueshëm për të korrigjuar dhe riparuar të metat e evidentuara në drejtim të njoftimit të plotë të rekursit, fakt që mbeti i </w:t>
      </w:r>
      <w:proofErr w:type="spellStart"/>
      <w:r w:rsidRPr="00D26B4E">
        <w:rPr>
          <w:rFonts w:ascii="Garamond" w:hAnsi="Garamond"/>
          <w:color w:val="000000"/>
        </w:rPr>
        <w:t>paverifikuar</w:t>
      </w:r>
      <w:proofErr w:type="spellEnd"/>
      <w:r w:rsidRPr="00D26B4E">
        <w:rPr>
          <w:rFonts w:ascii="Garamond" w:hAnsi="Garamond"/>
          <w:color w:val="000000"/>
        </w:rPr>
        <w:t xml:space="preserve"> nga Gjykata e Lartë (</w:t>
      </w:r>
      <w:r w:rsidRPr="00D26B4E">
        <w:rPr>
          <w:rFonts w:ascii="Garamond" w:hAnsi="Garamond"/>
          <w:i/>
          <w:iCs/>
          <w:color w:val="000000"/>
        </w:rPr>
        <w:t>shih paragrafin 30 të vendimit</w:t>
      </w:r>
      <w:r w:rsidRPr="00D26B4E">
        <w:rPr>
          <w:rFonts w:ascii="Garamond" w:hAnsi="Garamond"/>
          <w:color w:val="000000"/>
        </w:rPr>
        <w:t>).</w:t>
      </w:r>
      <w:r w:rsidR="00D26B4E">
        <w:rPr>
          <w:rFonts w:ascii="Garamond" w:hAnsi="Garamond"/>
          <w:color w:val="000000"/>
        </w:rPr>
        <w:t xml:space="preserve"> </w:t>
      </w:r>
    </w:p>
    <w:p w14:paraId="09ADD953" w14:textId="18D08CEC" w:rsidR="00DC2EF9" w:rsidRPr="00D26B4E" w:rsidRDefault="00DC2EF9" w:rsidP="00DC2EF9">
      <w:pPr>
        <w:tabs>
          <w:tab w:val="left" w:pos="540"/>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4. Ne, gjyqtarët në pakicë, duke mbajtur në konsideratë, nga njëra anë, standardet kushtetuese të </w:t>
      </w:r>
      <w:proofErr w:type="spellStart"/>
      <w:r w:rsidRPr="00D26B4E">
        <w:rPr>
          <w:rFonts w:ascii="Garamond" w:hAnsi="Garamond"/>
          <w:color w:val="000000"/>
        </w:rPr>
        <w:t>elaboruara</w:t>
      </w:r>
      <w:proofErr w:type="spellEnd"/>
      <w:r w:rsidRPr="00D26B4E">
        <w:rPr>
          <w:rFonts w:ascii="Garamond" w:hAnsi="Garamond"/>
          <w:color w:val="000000"/>
        </w:rPr>
        <w:t xml:space="preserve"> edhe nga shumica se njoftimi i akteve me të cilat vihet në lëvizje një proces gjyqësor ka rëndësi në drejtim të pjesëmarrjes së individit në gjykim dhe të realizimit të </w:t>
      </w:r>
      <w:proofErr w:type="spellStart"/>
      <w:r w:rsidRPr="00D26B4E">
        <w:rPr>
          <w:rFonts w:ascii="Garamond" w:hAnsi="Garamond"/>
          <w:color w:val="000000"/>
        </w:rPr>
        <w:t>të</w:t>
      </w:r>
      <w:proofErr w:type="spellEnd"/>
      <w:r w:rsidRPr="00D26B4E">
        <w:rPr>
          <w:rFonts w:ascii="Garamond" w:hAnsi="Garamond"/>
          <w:color w:val="000000"/>
        </w:rPr>
        <w:t xml:space="preserve"> drejtave të tij kushtetuese (</w:t>
      </w:r>
      <w:r w:rsidRPr="00D26B4E">
        <w:rPr>
          <w:rFonts w:ascii="Garamond" w:hAnsi="Garamond"/>
          <w:i/>
          <w:iCs/>
          <w:color w:val="000000"/>
        </w:rPr>
        <w:t>shih paragrafin 25 të vendimit</w:t>
      </w:r>
      <w:r w:rsidRPr="00D26B4E">
        <w:rPr>
          <w:rFonts w:ascii="Garamond" w:hAnsi="Garamond"/>
          <w:color w:val="000000"/>
        </w:rPr>
        <w:t xml:space="preserve">) dhe, nga ana tjetër, rrethanat e çështjes, vlerësojmë se jo çdo “gabim” procedural justifikon cenimin e vendimmarrjes së gjykatave të zakonshme. Vetëm gabimet procedurale që pasjellin njëkohësisht dëmtimin serioz edhe të një të drejte substanciale mund të pasjellin cenimin e vendimmarrjes së gjykatave. Cenimi i së drejtës së </w:t>
      </w:r>
      <w:proofErr w:type="spellStart"/>
      <w:r w:rsidRPr="00D26B4E">
        <w:rPr>
          <w:rFonts w:ascii="Garamond" w:hAnsi="Garamond"/>
          <w:color w:val="000000"/>
        </w:rPr>
        <w:t>aksesit</w:t>
      </w:r>
      <w:proofErr w:type="spellEnd"/>
      <w:r w:rsidRPr="00D26B4E">
        <w:rPr>
          <w:rFonts w:ascii="Garamond" w:hAnsi="Garamond"/>
          <w:color w:val="000000"/>
        </w:rPr>
        <w:t xml:space="preserve"> në drejtim të marrjes dijeni nga kërkuesi për rekursin e paplotë të ushtruar nga pala tjetër, për </w:t>
      </w:r>
      <w:proofErr w:type="spellStart"/>
      <w:r w:rsidRPr="00D26B4E">
        <w:rPr>
          <w:rFonts w:ascii="Garamond" w:hAnsi="Garamond"/>
          <w:color w:val="000000"/>
        </w:rPr>
        <w:t>mosnjoftimin</w:t>
      </w:r>
      <w:proofErr w:type="spellEnd"/>
      <w:r w:rsidRPr="00D26B4E">
        <w:rPr>
          <w:rFonts w:ascii="Garamond" w:hAnsi="Garamond"/>
          <w:color w:val="000000"/>
        </w:rPr>
        <w:t xml:space="preserve"> atij individualisht edhe të rekursit të plotësuar, nuk paraqitet i një rëndësie të tillë që të përbëjë shkak për shfuqizimin si antikushtetues të vendimmarrjes së Gjykatës së Lartë. </w:t>
      </w:r>
    </w:p>
    <w:p w14:paraId="6D770CB5" w14:textId="410C3516" w:rsidR="00DC2EF9" w:rsidRPr="00D26B4E" w:rsidRDefault="00DC2EF9" w:rsidP="00DC2EF9">
      <w:pPr>
        <w:tabs>
          <w:tab w:val="left" w:pos="540"/>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5. Në jurisprudencën e saj Gjykata ka theksuar se jo çdo shkelje procedurale e bën procesin të parregullt, në aspektin e respektimit të </w:t>
      </w:r>
      <w:proofErr w:type="spellStart"/>
      <w:r w:rsidRPr="00D26B4E">
        <w:rPr>
          <w:rFonts w:ascii="Garamond" w:hAnsi="Garamond"/>
          <w:color w:val="000000"/>
        </w:rPr>
        <w:t>të</w:t>
      </w:r>
      <w:proofErr w:type="spellEnd"/>
      <w:r w:rsidRPr="00D26B4E">
        <w:rPr>
          <w:rFonts w:ascii="Garamond" w:hAnsi="Garamond"/>
          <w:color w:val="000000"/>
        </w:rPr>
        <w:t xml:space="preserve"> drejtave kushtetuese, dhe se ndikim të drejtpërdrejtë në një proces ligjor kanë ato shkelje thelbësore, vërtetimi i të cilave do të cenonte të drejtat dhe liritë themelore të individit (</w:t>
      </w:r>
      <w:r w:rsidR="00D26B4E">
        <w:rPr>
          <w:rFonts w:ascii="Garamond" w:hAnsi="Garamond"/>
          <w:i/>
          <w:iCs/>
          <w:color w:val="000000"/>
        </w:rPr>
        <w:t xml:space="preserve">shih vendimet nr. 14, datë 21.3.2023; nr. 38, datë </w:t>
      </w:r>
      <w:r w:rsidRPr="00D26B4E">
        <w:rPr>
          <w:rFonts w:ascii="Garamond" w:hAnsi="Garamond"/>
          <w:i/>
          <w:iCs/>
          <w:color w:val="000000"/>
        </w:rPr>
        <w:t>2.12.2021; nr. 71, datë 13.11.2017</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 Gjatë shqyrtimit të pretendimeve për të drejtën për proces të rregullt nuk mjafton vetëm konstatimi i shkeljes procedurale, por duhet të analizohet karakteri i saj, pasojat që kanë ardhur për kërkuesin dhe për interesat që ai përfaqëson (</w:t>
      </w:r>
      <w:r w:rsidR="00D26B4E">
        <w:rPr>
          <w:rFonts w:ascii="Garamond" w:hAnsi="Garamond"/>
          <w:i/>
          <w:iCs/>
          <w:color w:val="000000"/>
        </w:rPr>
        <w:t xml:space="preserve">shih vendimet nr. 14, datë 21.3.2023; nr. 38, datë </w:t>
      </w:r>
      <w:r w:rsidRPr="00D26B4E">
        <w:rPr>
          <w:rFonts w:ascii="Garamond" w:hAnsi="Garamond"/>
          <w:i/>
          <w:iCs/>
          <w:color w:val="000000"/>
        </w:rPr>
        <w:t>2.12.2021</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 Në çdo çështje të veçantë, duke pasur parasysh edhe të gjithë procedurën që mund të jetë ndjekur, Gjykata vlerëson nëse një kufizim ose shkelje gjatë kësaj procedure ka ndikuar drejtpërdrejt në zgjidhjen e çështjes dhe ia ka bërë palës të pamundur mbrojtjen dhe zhvillimin e procesit gjyqësor në mënyrë të drejtë (</w:t>
      </w:r>
      <w:r w:rsidR="00D26B4E">
        <w:rPr>
          <w:rFonts w:ascii="Garamond" w:hAnsi="Garamond"/>
          <w:i/>
          <w:iCs/>
          <w:color w:val="000000"/>
        </w:rPr>
        <w:t>shih vendimet nr. 14, datë 21.3.2023; nr. 7, datë 28.</w:t>
      </w:r>
      <w:r w:rsidRPr="00D26B4E">
        <w:rPr>
          <w:rFonts w:ascii="Garamond" w:hAnsi="Garamond"/>
          <w:i/>
          <w:iCs/>
          <w:color w:val="000000"/>
        </w:rPr>
        <w:t>2.2000</w:t>
      </w:r>
      <w:r w:rsidR="00D26B4E">
        <w:rPr>
          <w:rFonts w:ascii="Garamond" w:hAnsi="Garamond"/>
          <w:i/>
          <w:iCs/>
          <w:color w:val="000000"/>
        </w:rPr>
        <w:t>,</w:t>
      </w:r>
      <w:r w:rsidRPr="00D26B4E">
        <w:rPr>
          <w:rFonts w:ascii="Garamond" w:hAnsi="Garamond"/>
          <w:i/>
          <w:iCs/>
          <w:color w:val="000000"/>
        </w:rPr>
        <w:t xml:space="preserve"> të Gjykatës Kushtetuese</w:t>
      </w:r>
      <w:r w:rsidRPr="00D26B4E">
        <w:rPr>
          <w:rFonts w:ascii="Garamond" w:hAnsi="Garamond"/>
          <w:color w:val="000000"/>
        </w:rPr>
        <w:t>).</w:t>
      </w:r>
    </w:p>
    <w:p w14:paraId="0B2F6781" w14:textId="085F1B37" w:rsidR="00DC2EF9" w:rsidRPr="00D26B4E" w:rsidRDefault="00DC2EF9" w:rsidP="00DC2EF9">
      <w:pPr>
        <w:tabs>
          <w:tab w:val="left" w:pos="540"/>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6. Në rastin konkret, mangësia procedurale lidhur me </w:t>
      </w:r>
      <w:proofErr w:type="spellStart"/>
      <w:r w:rsidRPr="00D26B4E">
        <w:rPr>
          <w:rFonts w:ascii="Garamond" w:hAnsi="Garamond"/>
          <w:color w:val="000000"/>
        </w:rPr>
        <w:t>mosnjoftimin</w:t>
      </w:r>
      <w:proofErr w:type="spellEnd"/>
      <w:r w:rsidRPr="00D26B4E">
        <w:rPr>
          <w:rFonts w:ascii="Garamond" w:hAnsi="Garamond"/>
          <w:color w:val="000000"/>
        </w:rPr>
        <w:t xml:space="preserve"> e rekursit të plotë duhet analizuar në aspektin e ndikimit të saj në të drejtën kushtetuese të mbrojtjes efektive të lidhur me të drejta të tjera procedurale kushtetuese për kërkuesin. Thënë kjo, në rastin në shqyrtim, kërkuesi dhe avokati i tij kanë qenë në dijeni se çështja ishte regjistruar për gjykim në Gjykatën e Lartë, në bazë të rekursit të paraqitur nga pala tjetër, </w:t>
      </w:r>
      <w:proofErr w:type="spellStart"/>
      <w:r w:rsidRPr="00D26B4E">
        <w:rPr>
          <w:rFonts w:ascii="Garamond" w:hAnsi="Garamond"/>
          <w:color w:val="000000"/>
        </w:rPr>
        <w:t>konform</w:t>
      </w:r>
      <w:proofErr w:type="spellEnd"/>
      <w:r w:rsidRPr="00D26B4E">
        <w:rPr>
          <w:rFonts w:ascii="Garamond" w:hAnsi="Garamond"/>
          <w:color w:val="000000"/>
        </w:rPr>
        <w:t xml:space="preserve"> njoftimit të marrë sipas nenit 414 të KPP-së. Pra ata dinin që ishte paraqitur një rekurs, në përmbajtje të </w:t>
      </w:r>
      <w:proofErr w:type="spellStart"/>
      <w:r w:rsidRPr="00D26B4E">
        <w:rPr>
          <w:rFonts w:ascii="Garamond" w:hAnsi="Garamond"/>
          <w:color w:val="000000"/>
        </w:rPr>
        <w:t>të</w:t>
      </w:r>
      <w:proofErr w:type="spellEnd"/>
      <w:r w:rsidRPr="00D26B4E">
        <w:rPr>
          <w:rFonts w:ascii="Garamond" w:hAnsi="Garamond"/>
          <w:color w:val="000000"/>
        </w:rPr>
        <w:t xml:space="preserve"> cilit </w:t>
      </w:r>
      <w:proofErr w:type="spellStart"/>
      <w:r w:rsidRPr="00D26B4E">
        <w:rPr>
          <w:rFonts w:ascii="Garamond" w:hAnsi="Garamond"/>
          <w:color w:val="000000"/>
        </w:rPr>
        <w:t>rekursuesi</w:t>
      </w:r>
      <w:proofErr w:type="spellEnd"/>
      <w:r w:rsidRPr="00D26B4E">
        <w:rPr>
          <w:rFonts w:ascii="Garamond" w:hAnsi="Garamond"/>
          <w:color w:val="000000"/>
        </w:rPr>
        <w:t xml:space="preserve"> bënte me dije se do të paraqiste argumente të plota, pasi të njihej me arsyetimin e vendimit të gjykatës së apelit. Kërkuesi, ndonëse kishte të drejtë, nuk ka paraqitur memorie sipas neneve 110 e 435,</w:t>
      </w:r>
      <w:r w:rsidRPr="00D26B4E">
        <w:rPr>
          <w:rFonts w:ascii="Garamond" w:hAnsi="Garamond"/>
          <w:color w:val="FF0000"/>
        </w:rPr>
        <w:t xml:space="preserve"> </w:t>
      </w:r>
      <w:r w:rsidRPr="00D26B4E">
        <w:rPr>
          <w:rFonts w:ascii="Garamond" w:hAnsi="Garamond"/>
          <w:color w:val="000000"/>
        </w:rPr>
        <w:t>pika 2 të KPP-së, për t’i bërë me dije dhe kërkuar Gjykatës së Lartë që të vendosej mospranimi i rekursit sipas nenit 433 të KPP-së.</w:t>
      </w:r>
      <w:r w:rsidR="00D26B4E">
        <w:rPr>
          <w:rFonts w:ascii="Garamond" w:hAnsi="Garamond"/>
          <w:color w:val="000000"/>
        </w:rPr>
        <w:t xml:space="preserve"> </w:t>
      </w:r>
      <w:r w:rsidRPr="00D26B4E">
        <w:rPr>
          <w:rFonts w:ascii="Garamond" w:hAnsi="Garamond"/>
          <w:color w:val="000000"/>
        </w:rPr>
        <w:t>Po kështu, pranohet se avokati i kërkuesit ishte njoftuar rregullisht nëpërmjet postës elektronike shumë kohë përpara datës 21.11.2024</w:t>
      </w:r>
      <w:r w:rsidR="00D26B4E">
        <w:rPr>
          <w:rFonts w:ascii="Garamond" w:hAnsi="Garamond"/>
          <w:color w:val="000000"/>
        </w:rPr>
        <w:t>,</w:t>
      </w:r>
      <w:r w:rsidRPr="00D26B4E">
        <w:rPr>
          <w:rFonts w:ascii="Garamond" w:hAnsi="Garamond"/>
          <w:color w:val="000000"/>
        </w:rPr>
        <w:t xml:space="preserve"> për shqyrtimin e çështjes në atë datë nga Gjykata e Lartë, në dhomën e këshillimit, dhe nuk ka depozituar ndonjë memorie</w:t>
      </w:r>
      <w:r w:rsidRPr="00D26B4E">
        <w:rPr>
          <w:rFonts w:ascii="Garamond" w:hAnsi="Garamond"/>
          <w:color w:val="FF0000"/>
        </w:rPr>
        <w:t xml:space="preserve"> </w:t>
      </w:r>
      <w:r w:rsidRPr="00D26B4E">
        <w:rPr>
          <w:rFonts w:ascii="Garamond" w:hAnsi="Garamond"/>
          <w:color w:val="000000"/>
        </w:rPr>
        <w:t xml:space="preserve">në gjykatë, e as është interesuar për ecurinë procedurale të çështjes dhe të rekursit të paplotë të palës tjetër, për të cilin kishte dijeni. </w:t>
      </w:r>
    </w:p>
    <w:p w14:paraId="34A27B22" w14:textId="7DE4259C" w:rsidR="00DC2EF9" w:rsidRPr="00D26B4E" w:rsidRDefault="00DC2EF9" w:rsidP="00DC2EF9">
      <w:pPr>
        <w:tabs>
          <w:tab w:val="left" w:pos="540"/>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7. Për sa më lart, vlerësojmë se në kushtet e mosinteresimit të palës kërkuese dhe avokatit të saj, për të verifikuar gjendjen e fashikullit dhe çështjes që ishte caktuar për gjykim në dhomën e këshillimit nga Gjykata e Lartë më 21.11.2024, nuk mund të pretendohet dëmtim substancial i së drejtës së mbrojtjes së kërkuesit. Ushtrimi i së drejtës së mbrojtjes </w:t>
      </w:r>
      <w:proofErr w:type="spellStart"/>
      <w:r w:rsidRPr="00D26B4E">
        <w:rPr>
          <w:rFonts w:ascii="Garamond" w:hAnsi="Garamond"/>
          <w:color w:val="000000"/>
        </w:rPr>
        <w:t>presupozon</w:t>
      </w:r>
      <w:proofErr w:type="spellEnd"/>
      <w:r w:rsidRPr="00D26B4E">
        <w:rPr>
          <w:rFonts w:ascii="Garamond" w:hAnsi="Garamond"/>
          <w:color w:val="000000"/>
        </w:rPr>
        <w:t xml:space="preserve"> përveç detyrimit të </w:t>
      </w:r>
      <w:r w:rsidRPr="00D26B4E">
        <w:rPr>
          <w:rFonts w:ascii="Garamond" w:hAnsi="Garamond"/>
          <w:color w:val="000000"/>
        </w:rPr>
        <w:lastRenderedPageBreak/>
        <w:t xml:space="preserve">gjykatave që t’i njoftojnë palës dhe avokatit të gjitha aktet procedurale, për të cilat ligji parashikon se duhen njoftuar, edhe qenien aktiv të palës për mbrojtjen e të drejtave të tij procedurale. Pala kërkuese dhe avokati i saj duhej të ishin aktivë në verifikimin e fatit të rekursit, për sa kohë çështja kishte kaluar për shqyrtim në Gjykatën e Lartë dhe ajo kishte rreth 5 vjet e regjistruar në atë gjykatë. Nuk është e paarsyeshme dhe as barrë e tepërt të pritej nga kërkuesi dhe avokati i tij që ata të interesoheshin dhe të kërkonin të shihnin dosjen në gjykatë gjatë këtyre 5 vjetëve që ajo ishte aty në pritje të gjykimit, për të verifikuar nëse ishte plotësuar ose jo rekursi prej </w:t>
      </w:r>
      <w:proofErr w:type="spellStart"/>
      <w:r w:rsidRPr="00D26B4E">
        <w:rPr>
          <w:rFonts w:ascii="Garamond" w:hAnsi="Garamond"/>
          <w:color w:val="000000"/>
        </w:rPr>
        <w:t>rekursuesit</w:t>
      </w:r>
      <w:proofErr w:type="spellEnd"/>
      <w:r w:rsidRPr="00D26B4E">
        <w:rPr>
          <w:rFonts w:ascii="Garamond" w:hAnsi="Garamond"/>
          <w:color w:val="000000"/>
        </w:rPr>
        <w:t xml:space="preserve"> dhe t’i kërkonin Gjykatës së Lartë respektivisht mospranimin e tij. Nëse do të kishin ushtruar këtë kujdes minimal dhe që nuk kërkon mundime të paarsyeshme, do të kishin konstatuar lehtësisht se rekursi ishte plotësuar në afat dhe, rrjedhimisht, të realizonin mbrojtjen e tyre nëpërmjet depozitimit të parashtrimeve me shkrim ose memorieve, për të kundërshtuar shkaqet e rekursit të ngritura nga </w:t>
      </w:r>
      <w:proofErr w:type="spellStart"/>
      <w:r w:rsidRPr="00D26B4E">
        <w:rPr>
          <w:rFonts w:ascii="Garamond" w:hAnsi="Garamond"/>
          <w:color w:val="000000"/>
        </w:rPr>
        <w:t>rekursuesi</w:t>
      </w:r>
      <w:proofErr w:type="spellEnd"/>
      <w:r w:rsidRPr="00D26B4E">
        <w:rPr>
          <w:rFonts w:ascii="Garamond" w:hAnsi="Garamond"/>
          <w:color w:val="000000"/>
        </w:rPr>
        <w:t xml:space="preserve"> përpara seancës</w:t>
      </w:r>
      <w:r w:rsidR="00D26B4E">
        <w:rPr>
          <w:rFonts w:ascii="Garamond" w:hAnsi="Garamond"/>
          <w:color w:val="000000"/>
        </w:rPr>
        <w:t xml:space="preserve"> </w:t>
      </w:r>
      <w:r w:rsidRPr="00D26B4E">
        <w:rPr>
          <w:rFonts w:ascii="Garamond" w:hAnsi="Garamond"/>
          <w:color w:val="000000"/>
        </w:rPr>
        <w:t>së datës 21.11.2024.</w:t>
      </w:r>
    </w:p>
    <w:p w14:paraId="585A94D4" w14:textId="7B40943A" w:rsidR="00DC2EF9" w:rsidRPr="00D26B4E" w:rsidRDefault="00DC2EF9" w:rsidP="00DC2EF9">
      <w:pPr>
        <w:tabs>
          <w:tab w:val="left" w:pos="540"/>
          <w:tab w:val="left" w:pos="620"/>
          <w:tab w:val="left" w:pos="980"/>
          <w:tab w:val="left" w:pos="1080"/>
        </w:tabs>
        <w:autoSpaceDE w:val="0"/>
        <w:autoSpaceDN w:val="0"/>
        <w:adjustRightInd w:val="0"/>
        <w:spacing w:line="240" w:lineRule="auto"/>
        <w:ind w:firstLine="284"/>
        <w:jc w:val="both"/>
        <w:rPr>
          <w:rFonts w:ascii="Garamond" w:hAnsi="Garamond"/>
          <w:color w:val="000000"/>
        </w:rPr>
      </w:pPr>
      <w:r w:rsidRPr="00D26B4E">
        <w:rPr>
          <w:rFonts w:ascii="Garamond" w:hAnsi="Garamond"/>
          <w:color w:val="000000"/>
        </w:rPr>
        <w:t xml:space="preserve">8. Nën dritën e kësaj analize, vëmë në dukje se pasaktësia ose gabimi procedural i gjykatave në </w:t>
      </w:r>
      <w:proofErr w:type="spellStart"/>
      <w:r w:rsidRPr="00D26B4E">
        <w:rPr>
          <w:rFonts w:ascii="Garamond" w:hAnsi="Garamond"/>
          <w:color w:val="000000"/>
        </w:rPr>
        <w:t>mosnjoftimin</w:t>
      </w:r>
      <w:proofErr w:type="spellEnd"/>
      <w:r w:rsidRPr="00D26B4E">
        <w:rPr>
          <w:rFonts w:ascii="Garamond" w:hAnsi="Garamond"/>
          <w:color w:val="000000"/>
        </w:rPr>
        <w:t xml:space="preserve"> e kërkuesit dhe të avokatit të tij të rekursit të plotësuar me argumente nga </w:t>
      </w:r>
      <w:proofErr w:type="spellStart"/>
      <w:r w:rsidRPr="00D26B4E">
        <w:rPr>
          <w:rFonts w:ascii="Garamond" w:hAnsi="Garamond"/>
          <w:color w:val="000000"/>
        </w:rPr>
        <w:t>rekursuesi</w:t>
      </w:r>
      <w:proofErr w:type="spellEnd"/>
      <w:r w:rsidRPr="00D26B4E">
        <w:rPr>
          <w:rFonts w:ascii="Garamond" w:hAnsi="Garamond"/>
          <w:color w:val="000000"/>
        </w:rPr>
        <w:t xml:space="preserve">, në rrethanat e kësaj çështjeje, paraqitet i parëndësishëm dhe që nuk ka asgjësuar ose rënduar tej mase mundësinë e ushtrimit efektiv të së drejtës së mbrojtjes nga ana e kërkuesit. E drejta e mbrojtjes, siç u parashtrua më sipër, mbeti praktike dhe efektive, për sa kohë që pala kërkuese e dinte që ishte depozituar rekurs dhe çështja ishte regjistruar në Gjykatën e Lartë, dhe kjo gjykatë i kishte njoftuar avokatit datën dhe orën e shqyrtimit të saj shumë kohë më përpara. Thënë kjo, është e arsyeshme që, së paku në planin kushtetues, Gjykata të mos i japë peshë çdo gabimi procedural të gjykatave për të cenuar vendimmarrjet e tyre, kur dukshëm këto gabime nuk kanë afektuar seriozisht ushtrimin e të drejtave të garantuara nga dispozitat kushtetuese dhe ligjore. </w:t>
      </w:r>
    </w:p>
    <w:p w14:paraId="260C5BD0" w14:textId="087358F9" w:rsidR="00DC2EF9" w:rsidRPr="00D26B4E" w:rsidRDefault="00DC2EF9" w:rsidP="00DC2EF9">
      <w:pPr>
        <w:tabs>
          <w:tab w:val="left" w:pos="1080"/>
        </w:tabs>
        <w:autoSpaceDE w:val="0"/>
        <w:autoSpaceDN w:val="0"/>
        <w:adjustRightInd w:val="0"/>
        <w:spacing w:line="240" w:lineRule="auto"/>
        <w:ind w:firstLine="284"/>
        <w:jc w:val="both"/>
        <w:rPr>
          <w:rFonts w:ascii="Garamond" w:hAnsi="Garamond"/>
          <w:i/>
          <w:iCs/>
          <w:color w:val="000000"/>
        </w:rPr>
      </w:pPr>
      <w:r w:rsidRPr="00D26B4E">
        <w:rPr>
          <w:rFonts w:ascii="Garamond" w:hAnsi="Garamond"/>
          <w:color w:val="000000"/>
        </w:rPr>
        <w:t xml:space="preserve">9. Në përfundim, çmojmë se pretendimet e kërkuesit janë të pabazuara, pasi vendimi i Gjykatës së Lartë përmbush standardet kushtetuese në drejtim të garantimit të së drejtës për proces të rregullt ligjor. Për rrjedhojë, mbajtëm qëndrimin se Gjykata duhej të vendoste rrëzimin e kërkesës. </w:t>
      </w:r>
    </w:p>
    <w:p w14:paraId="6EB17B98" w14:textId="77777777" w:rsidR="006149B7" w:rsidRDefault="006149B7" w:rsidP="00DC2EF9">
      <w:pPr>
        <w:tabs>
          <w:tab w:val="left" w:pos="0"/>
          <w:tab w:val="left" w:pos="540"/>
          <w:tab w:val="left" w:pos="1080"/>
        </w:tabs>
        <w:autoSpaceDE w:val="0"/>
        <w:autoSpaceDN w:val="0"/>
        <w:adjustRightInd w:val="0"/>
        <w:spacing w:line="240" w:lineRule="auto"/>
        <w:ind w:firstLine="284"/>
        <w:rPr>
          <w:rFonts w:ascii="Garamond" w:hAnsi="Garamond"/>
          <w:b/>
          <w:bCs/>
          <w:color w:val="000000"/>
        </w:rPr>
      </w:pPr>
    </w:p>
    <w:p w14:paraId="432B0963" w14:textId="71DE0D4F" w:rsidR="00DC2EF9" w:rsidRPr="00D26B4E" w:rsidRDefault="006149B7" w:rsidP="00DC2EF9">
      <w:pPr>
        <w:tabs>
          <w:tab w:val="left" w:pos="0"/>
          <w:tab w:val="left" w:pos="540"/>
          <w:tab w:val="left" w:pos="1080"/>
        </w:tabs>
        <w:autoSpaceDE w:val="0"/>
        <w:autoSpaceDN w:val="0"/>
        <w:adjustRightInd w:val="0"/>
        <w:spacing w:line="240" w:lineRule="auto"/>
        <w:ind w:firstLine="284"/>
        <w:rPr>
          <w:rFonts w:ascii="Garamond" w:hAnsi="Garamond"/>
          <w:b/>
          <w:bCs/>
          <w:color w:val="000000"/>
        </w:rPr>
      </w:pPr>
      <w:bookmarkStart w:id="0" w:name="_GoBack"/>
      <w:bookmarkEnd w:id="0"/>
      <w:r w:rsidRPr="006149B7">
        <w:rPr>
          <w:rFonts w:ascii="Garamond" w:hAnsi="Garamond"/>
          <w:b/>
          <w:bCs/>
          <w:color w:val="000000"/>
        </w:rPr>
        <w:t>Kryetare:</w:t>
      </w:r>
      <w:r>
        <w:rPr>
          <w:rFonts w:ascii="Garamond" w:hAnsi="Garamond"/>
          <w:bCs/>
          <w:color w:val="000000"/>
        </w:rPr>
        <w:t xml:space="preserve"> </w:t>
      </w:r>
      <w:proofErr w:type="spellStart"/>
      <w:r w:rsidRPr="00D26B4E">
        <w:rPr>
          <w:rFonts w:ascii="Garamond" w:hAnsi="Garamond"/>
          <w:bCs/>
          <w:color w:val="000000"/>
        </w:rPr>
        <w:t>Fiona</w:t>
      </w:r>
      <w:proofErr w:type="spellEnd"/>
      <w:r w:rsidRPr="00D26B4E">
        <w:rPr>
          <w:rFonts w:ascii="Garamond" w:hAnsi="Garamond"/>
          <w:bCs/>
          <w:color w:val="000000"/>
        </w:rPr>
        <w:t xml:space="preserve"> </w:t>
      </w:r>
      <w:proofErr w:type="spellStart"/>
      <w:r w:rsidRPr="00D26B4E">
        <w:rPr>
          <w:rFonts w:ascii="Garamond" w:hAnsi="Garamond"/>
          <w:bCs/>
          <w:color w:val="000000"/>
        </w:rPr>
        <w:t>Papajorgji</w:t>
      </w:r>
      <w:proofErr w:type="spellEnd"/>
    </w:p>
    <w:p w14:paraId="712321FF" w14:textId="78D57B05" w:rsidR="00477996" w:rsidRPr="00D26B4E" w:rsidRDefault="00D26B4E" w:rsidP="00477996">
      <w:pPr>
        <w:tabs>
          <w:tab w:val="left" w:pos="0"/>
          <w:tab w:val="left" w:pos="980"/>
          <w:tab w:val="left" w:pos="1160"/>
          <w:tab w:val="left" w:pos="4220"/>
        </w:tabs>
        <w:autoSpaceDE w:val="0"/>
        <w:autoSpaceDN w:val="0"/>
        <w:adjustRightInd w:val="0"/>
        <w:spacing w:line="240" w:lineRule="auto"/>
        <w:ind w:firstLine="284"/>
        <w:rPr>
          <w:rFonts w:ascii="Garamond" w:hAnsi="Garamond"/>
          <w:bCs/>
          <w:color w:val="000000"/>
        </w:rPr>
      </w:pPr>
      <w:r>
        <w:rPr>
          <w:rFonts w:ascii="Garamond" w:hAnsi="Garamond"/>
          <w:b/>
          <w:color w:val="000000"/>
        </w:rPr>
        <w:t>Anëtarë</w:t>
      </w:r>
      <w:r w:rsidR="00477996" w:rsidRPr="00D26B4E">
        <w:rPr>
          <w:rFonts w:ascii="Garamond" w:hAnsi="Garamond"/>
          <w:b/>
          <w:color w:val="000000"/>
        </w:rPr>
        <w:t>:</w:t>
      </w:r>
      <w:r w:rsidR="00477996" w:rsidRPr="00D26B4E">
        <w:rPr>
          <w:rFonts w:ascii="Garamond" w:hAnsi="Garamond"/>
          <w:color w:val="000000"/>
        </w:rPr>
        <w:t xml:space="preserve"> </w:t>
      </w:r>
      <w:proofErr w:type="spellStart"/>
      <w:r w:rsidR="00477996" w:rsidRPr="00D26B4E">
        <w:rPr>
          <w:rFonts w:ascii="Garamond" w:hAnsi="Garamond"/>
          <w:bCs/>
          <w:color w:val="000000"/>
        </w:rPr>
        <w:t>Asim</w:t>
      </w:r>
      <w:proofErr w:type="spellEnd"/>
      <w:r w:rsidR="00477996" w:rsidRPr="00D26B4E">
        <w:rPr>
          <w:rFonts w:ascii="Garamond" w:hAnsi="Garamond"/>
          <w:bCs/>
          <w:color w:val="000000"/>
        </w:rPr>
        <w:t xml:space="preserve"> </w:t>
      </w:r>
      <w:proofErr w:type="spellStart"/>
      <w:r w:rsidR="00477996" w:rsidRPr="00D26B4E">
        <w:rPr>
          <w:rFonts w:ascii="Garamond" w:hAnsi="Garamond"/>
          <w:bCs/>
          <w:color w:val="000000"/>
        </w:rPr>
        <w:t>Vokshi</w:t>
      </w:r>
      <w:proofErr w:type="spellEnd"/>
      <w:r w:rsidR="00477996" w:rsidRPr="00D26B4E">
        <w:rPr>
          <w:rFonts w:ascii="Garamond" w:hAnsi="Garamond"/>
          <w:bCs/>
          <w:color w:val="000000"/>
        </w:rPr>
        <w:t xml:space="preserve">, </w:t>
      </w:r>
      <w:proofErr w:type="spellStart"/>
      <w:r w:rsidR="00477996" w:rsidRPr="00D26B4E">
        <w:rPr>
          <w:rFonts w:ascii="Garamond" w:hAnsi="Garamond"/>
          <w:bCs/>
          <w:color w:val="000000"/>
        </w:rPr>
        <w:t>Marsida</w:t>
      </w:r>
      <w:proofErr w:type="spellEnd"/>
      <w:r w:rsidR="00477996" w:rsidRPr="00D26B4E">
        <w:rPr>
          <w:rFonts w:ascii="Garamond" w:hAnsi="Garamond"/>
          <w:bCs/>
          <w:color w:val="000000"/>
        </w:rPr>
        <w:t xml:space="preserve"> </w:t>
      </w:r>
      <w:proofErr w:type="spellStart"/>
      <w:r w:rsidR="00477996" w:rsidRPr="00D26B4E">
        <w:rPr>
          <w:rFonts w:ascii="Garamond" w:hAnsi="Garamond"/>
          <w:bCs/>
          <w:color w:val="000000"/>
        </w:rPr>
        <w:t>Xhaferllari</w:t>
      </w:r>
      <w:proofErr w:type="spellEnd"/>
      <w:r w:rsidR="00477996" w:rsidRPr="00D26B4E">
        <w:rPr>
          <w:rFonts w:ascii="Garamond" w:hAnsi="Garamond"/>
          <w:bCs/>
          <w:color w:val="000000"/>
        </w:rPr>
        <w:t xml:space="preserve">, </w:t>
      </w:r>
    </w:p>
    <w:p w14:paraId="2172268A" w14:textId="333D3275" w:rsidR="00477996" w:rsidRPr="00D26B4E" w:rsidRDefault="00477996" w:rsidP="00477996">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p>
    <w:p w14:paraId="4DC5806E" w14:textId="2CDCD234" w:rsidR="00477996" w:rsidRPr="00D26B4E" w:rsidRDefault="00477996" w:rsidP="00477996">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p>
    <w:p w14:paraId="2E78F15B" w14:textId="77777777" w:rsidR="00477996" w:rsidRPr="00D26B4E" w:rsidRDefault="00477996" w:rsidP="00477996">
      <w:pPr>
        <w:tabs>
          <w:tab w:val="left" w:pos="0"/>
          <w:tab w:val="left" w:pos="980"/>
          <w:tab w:val="left" w:pos="1160"/>
          <w:tab w:val="left" w:pos="4220"/>
        </w:tabs>
        <w:autoSpaceDE w:val="0"/>
        <w:autoSpaceDN w:val="0"/>
        <w:adjustRightInd w:val="0"/>
        <w:spacing w:line="240" w:lineRule="auto"/>
        <w:ind w:firstLine="284"/>
        <w:rPr>
          <w:rFonts w:ascii="Garamond" w:hAnsi="Garamond"/>
          <w:color w:val="000000"/>
        </w:rPr>
      </w:pPr>
    </w:p>
    <w:p w14:paraId="65B9BC8B" w14:textId="77777777" w:rsidR="00DC2EF9" w:rsidRPr="00D26B4E" w:rsidRDefault="00DC2EF9" w:rsidP="00DC2EF9">
      <w:pPr>
        <w:tabs>
          <w:tab w:val="left" w:pos="0"/>
          <w:tab w:val="left" w:pos="540"/>
          <w:tab w:val="left" w:pos="1080"/>
        </w:tabs>
        <w:autoSpaceDE w:val="0"/>
        <w:autoSpaceDN w:val="0"/>
        <w:adjustRightInd w:val="0"/>
        <w:spacing w:line="240" w:lineRule="auto"/>
        <w:ind w:firstLine="284"/>
        <w:rPr>
          <w:rFonts w:ascii="Garamond" w:hAnsi="Garamond"/>
          <w:b/>
          <w:bCs/>
          <w:color w:val="000000"/>
        </w:rPr>
      </w:pPr>
    </w:p>
    <w:p w14:paraId="2183111E" w14:textId="77777777" w:rsidR="00DC2EF9" w:rsidRPr="00D26B4E" w:rsidRDefault="00DC2EF9" w:rsidP="00DC2EF9">
      <w:pPr>
        <w:tabs>
          <w:tab w:val="left" w:pos="0"/>
          <w:tab w:val="left" w:pos="540"/>
          <w:tab w:val="left" w:pos="1080"/>
        </w:tabs>
        <w:autoSpaceDE w:val="0"/>
        <w:autoSpaceDN w:val="0"/>
        <w:adjustRightInd w:val="0"/>
        <w:spacing w:line="240" w:lineRule="auto"/>
        <w:ind w:firstLine="284"/>
        <w:rPr>
          <w:rFonts w:ascii="Garamond" w:hAnsi="Garamond"/>
          <w:b/>
          <w:bCs/>
          <w:color w:val="000000"/>
        </w:rPr>
      </w:pPr>
    </w:p>
    <w:p w14:paraId="67CC575E" w14:textId="77777777" w:rsidR="00A73385" w:rsidRPr="00D26B4E" w:rsidRDefault="00A73385" w:rsidP="00DC2EF9">
      <w:pPr>
        <w:spacing w:line="240" w:lineRule="auto"/>
        <w:ind w:firstLine="284"/>
        <w:rPr>
          <w:rFonts w:ascii="Garamond" w:hAnsi="Garamond"/>
        </w:rPr>
      </w:pPr>
    </w:p>
    <w:sectPr w:rsidR="00A73385" w:rsidRPr="00D26B4E" w:rsidSect="00253094">
      <w:headerReference w:type="first" r:id="rId13"/>
      <w:footerReference w:type="first" r:id="rId14"/>
      <w:pgSz w:w="11906" w:h="16838"/>
      <w:pgMar w:top="1440" w:right="1440" w:bottom="1267"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77E240" w16cex:dateUtc="2026-04-01T16:2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2EC50" w14:textId="77777777" w:rsidR="00D5678D" w:rsidRDefault="00D5678D" w:rsidP="009D6BFB">
      <w:pPr>
        <w:spacing w:line="240" w:lineRule="auto"/>
      </w:pPr>
      <w:r>
        <w:separator/>
      </w:r>
    </w:p>
  </w:endnote>
  <w:endnote w:type="continuationSeparator" w:id="0">
    <w:p w14:paraId="17CA586E" w14:textId="77777777" w:rsidR="00D5678D" w:rsidRDefault="00D5678D" w:rsidP="009D6BFB">
      <w:pPr>
        <w:spacing w:line="240" w:lineRule="auto"/>
      </w:pPr>
      <w:r>
        <w:continuationSeparator/>
      </w:r>
    </w:p>
  </w:endnote>
  <w:endnote w:type="continuationNotice" w:id="1">
    <w:p w14:paraId="02A863F1" w14:textId="77777777" w:rsidR="00D5678D" w:rsidRDefault="00D567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E6307" w14:textId="77777777" w:rsidR="00D5678D" w:rsidRDefault="00D5678D">
    <w:pPr>
      <w:pStyle w:val="Footer"/>
      <w:jc w:val="right"/>
    </w:pPr>
  </w:p>
  <w:p w14:paraId="2F49E45A" w14:textId="77777777" w:rsidR="00D5678D" w:rsidRDefault="00D56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32D0A9" w14:textId="77777777" w:rsidR="00D5678D" w:rsidRDefault="00D5678D" w:rsidP="009D6BFB">
      <w:pPr>
        <w:spacing w:line="240" w:lineRule="auto"/>
      </w:pPr>
      <w:r>
        <w:separator/>
      </w:r>
    </w:p>
  </w:footnote>
  <w:footnote w:type="continuationSeparator" w:id="0">
    <w:p w14:paraId="2F45F8EE" w14:textId="77777777" w:rsidR="00D5678D" w:rsidRDefault="00D5678D" w:rsidP="009D6BFB">
      <w:pPr>
        <w:spacing w:line="240" w:lineRule="auto"/>
      </w:pPr>
      <w:r>
        <w:continuationSeparator/>
      </w:r>
    </w:p>
  </w:footnote>
  <w:footnote w:type="continuationNotice" w:id="1">
    <w:p w14:paraId="7D130ABF" w14:textId="77777777" w:rsidR="00D5678D" w:rsidRDefault="00D567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178F4" w14:textId="77777777" w:rsidR="00D5678D" w:rsidRPr="000B6E0F" w:rsidRDefault="00D5678D" w:rsidP="00F95BFA">
    <w:pPr>
      <w:pStyle w:val="Header"/>
      <w:spacing w:line="240" w:lineRule="auto"/>
      <w:jc w:val="righ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153F8"/>
    <w:multiLevelType w:val="multilevel"/>
    <w:tmpl w:val="C448848E"/>
    <w:lvl w:ilvl="0">
      <w:start w:val="11"/>
      <w:numFmt w:val="decimal"/>
      <w:lvlText w:val="%1."/>
      <w:lvlJc w:val="left"/>
      <w:pPr>
        <w:ind w:left="660" w:hanging="660"/>
      </w:pPr>
      <w:rPr>
        <w:rFonts w:hint="default"/>
        <w:b w:val="0"/>
        <w:i w:val="0"/>
        <w:color w:val="auto"/>
      </w:rPr>
    </w:lvl>
    <w:lvl w:ilvl="1">
      <w:start w:val="1"/>
      <w:numFmt w:val="decimal"/>
      <w:lvlText w:val="%1.%2."/>
      <w:lvlJc w:val="left"/>
      <w:pPr>
        <w:ind w:left="1200" w:hanging="660"/>
      </w:pPr>
      <w:rPr>
        <w:rFonts w:hint="default"/>
        <w:i w:val="0"/>
      </w:rPr>
    </w:lvl>
    <w:lvl w:ilvl="2">
      <w:start w:val="2"/>
      <w:numFmt w:val="decimal"/>
      <w:lvlText w:val="%1.%2.%3."/>
      <w:lvlJc w:val="left"/>
      <w:pPr>
        <w:ind w:left="1800" w:hanging="720"/>
      </w:pPr>
      <w:rPr>
        <w:rFonts w:hint="default"/>
        <w:i w:val="0"/>
      </w:rPr>
    </w:lvl>
    <w:lvl w:ilvl="3">
      <w:start w:val="1"/>
      <w:numFmt w:val="decimal"/>
      <w:lvlText w:val="%1.%2.%3.%4."/>
      <w:lvlJc w:val="left"/>
      <w:pPr>
        <w:ind w:left="2340" w:hanging="720"/>
      </w:pPr>
      <w:rPr>
        <w:rFonts w:hint="default"/>
        <w:i/>
      </w:rPr>
    </w:lvl>
    <w:lvl w:ilvl="4">
      <w:start w:val="1"/>
      <w:numFmt w:val="decimal"/>
      <w:lvlText w:val="%1.%2.%3.%4.%5."/>
      <w:lvlJc w:val="left"/>
      <w:pPr>
        <w:ind w:left="3240" w:hanging="1080"/>
      </w:pPr>
      <w:rPr>
        <w:rFonts w:hint="default"/>
        <w:i/>
      </w:rPr>
    </w:lvl>
    <w:lvl w:ilvl="5">
      <w:start w:val="1"/>
      <w:numFmt w:val="decimal"/>
      <w:lvlText w:val="%1.%2.%3.%4.%5.%6."/>
      <w:lvlJc w:val="left"/>
      <w:pPr>
        <w:ind w:left="3780" w:hanging="1080"/>
      </w:pPr>
      <w:rPr>
        <w:rFonts w:hint="default"/>
        <w:i/>
      </w:rPr>
    </w:lvl>
    <w:lvl w:ilvl="6">
      <w:start w:val="1"/>
      <w:numFmt w:val="decimal"/>
      <w:lvlText w:val="%1.%2.%3.%4.%5.%6.%7."/>
      <w:lvlJc w:val="left"/>
      <w:pPr>
        <w:ind w:left="4680" w:hanging="1440"/>
      </w:pPr>
      <w:rPr>
        <w:rFonts w:hint="default"/>
        <w:i/>
      </w:rPr>
    </w:lvl>
    <w:lvl w:ilvl="7">
      <w:start w:val="1"/>
      <w:numFmt w:val="decimal"/>
      <w:lvlText w:val="%1.%2.%3.%4.%5.%6.%7.%8."/>
      <w:lvlJc w:val="left"/>
      <w:pPr>
        <w:ind w:left="5220" w:hanging="1440"/>
      </w:pPr>
      <w:rPr>
        <w:rFonts w:hint="default"/>
        <w:i/>
      </w:rPr>
    </w:lvl>
    <w:lvl w:ilvl="8">
      <w:start w:val="1"/>
      <w:numFmt w:val="decimal"/>
      <w:lvlText w:val="%1.%2.%3.%4.%5.%6.%7.%8.%9."/>
      <w:lvlJc w:val="left"/>
      <w:pPr>
        <w:ind w:left="6120" w:hanging="1800"/>
      </w:pPr>
      <w:rPr>
        <w:rFonts w:hint="default"/>
        <w:i/>
      </w:rPr>
    </w:lvl>
  </w:abstractNum>
  <w:abstractNum w:abstractNumId="1" w15:restartNumberingAfterBreak="0">
    <w:nsid w:val="2C654DE4"/>
    <w:multiLevelType w:val="multilevel"/>
    <w:tmpl w:val="911A1028"/>
    <w:lvl w:ilvl="0">
      <w:start w:val="11"/>
      <w:numFmt w:val="decimal"/>
      <w:lvlText w:val="%1."/>
      <w:lvlJc w:val="left"/>
      <w:pPr>
        <w:ind w:left="480" w:hanging="480"/>
      </w:pPr>
      <w:rPr>
        <w:rFonts w:hint="default"/>
        <w:i/>
      </w:rPr>
    </w:lvl>
    <w:lvl w:ilvl="1">
      <w:start w:val="1"/>
      <w:numFmt w:val="decimal"/>
      <w:lvlText w:val="10.%2."/>
      <w:lvlJc w:val="left"/>
      <w:pPr>
        <w:ind w:left="480" w:hanging="480"/>
      </w:pPr>
      <w:rPr>
        <w:rFonts w:hint="default"/>
        <w:i w:val="0"/>
      </w:rPr>
    </w:lvl>
    <w:lvl w:ilvl="2">
      <w:start w:val="1"/>
      <w:numFmt w:val="decimal"/>
      <w:lvlText w:val="10.%2.%3."/>
      <w:lvlJc w:val="left"/>
      <w:pPr>
        <w:ind w:left="180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3D535B62"/>
    <w:multiLevelType w:val="hybridMultilevel"/>
    <w:tmpl w:val="5C0E1328"/>
    <w:lvl w:ilvl="0" w:tplc="4E8827DA">
      <w:start w:val="1"/>
      <w:numFmt w:val="decimal"/>
      <w:lvlText w:val="%1."/>
      <w:lvlJc w:val="left"/>
      <w:pPr>
        <w:ind w:left="144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A594F37"/>
    <w:multiLevelType w:val="multilevel"/>
    <w:tmpl w:val="17B840BE"/>
    <w:lvl w:ilvl="0">
      <w:start w:val="10"/>
      <w:numFmt w:val="decimal"/>
      <w:lvlText w:val="%1."/>
      <w:lvlJc w:val="left"/>
      <w:pPr>
        <w:ind w:left="480" w:hanging="480"/>
      </w:pPr>
      <w:rPr>
        <w:rFonts w:hint="default"/>
        <w:i/>
      </w:rPr>
    </w:lvl>
    <w:lvl w:ilvl="1">
      <w:start w:val="2"/>
      <w:numFmt w:val="decimal"/>
      <w:lvlText w:val="%1.%2."/>
      <w:lvlJc w:val="left"/>
      <w:pPr>
        <w:ind w:left="2100" w:hanging="480"/>
      </w:pPr>
      <w:rPr>
        <w:rFonts w:hint="default"/>
        <w:i w:val="0"/>
      </w:rPr>
    </w:lvl>
    <w:lvl w:ilvl="2">
      <w:start w:val="1"/>
      <w:numFmt w:val="decimal"/>
      <w:lvlText w:val="%1.%2.%3."/>
      <w:lvlJc w:val="left"/>
      <w:pPr>
        <w:ind w:left="3960" w:hanging="720"/>
      </w:pPr>
      <w:rPr>
        <w:rFonts w:hint="default"/>
        <w:i/>
      </w:rPr>
    </w:lvl>
    <w:lvl w:ilvl="3">
      <w:start w:val="1"/>
      <w:numFmt w:val="decimal"/>
      <w:lvlText w:val="%1.%2.%3.%4."/>
      <w:lvlJc w:val="left"/>
      <w:pPr>
        <w:ind w:left="5580" w:hanging="720"/>
      </w:pPr>
      <w:rPr>
        <w:rFonts w:hint="default"/>
        <w:i/>
      </w:rPr>
    </w:lvl>
    <w:lvl w:ilvl="4">
      <w:start w:val="1"/>
      <w:numFmt w:val="decimal"/>
      <w:lvlText w:val="%1.%2.%3.%4.%5."/>
      <w:lvlJc w:val="left"/>
      <w:pPr>
        <w:ind w:left="7560" w:hanging="1080"/>
      </w:pPr>
      <w:rPr>
        <w:rFonts w:hint="default"/>
        <w:i/>
      </w:rPr>
    </w:lvl>
    <w:lvl w:ilvl="5">
      <w:start w:val="1"/>
      <w:numFmt w:val="decimal"/>
      <w:lvlText w:val="%1.%2.%3.%4.%5.%6."/>
      <w:lvlJc w:val="left"/>
      <w:pPr>
        <w:ind w:left="9180" w:hanging="1080"/>
      </w:pPr>
      <w:rPr>
        <w:rFonts w:hint="default"/>
        <w:i/>
      </w:rPr>
    </w:lvl>
    <w:lvl w:ilvl="6">
      <w:start w:val="1"/>
      <w:numFmt w:val="decimal"/>
      <w:lvlText w:val="%1.%2.%3.%4.%5.%6.%7."/>
      <w:lvlJc w:val="left"/>
      <w:pPr>
        <w:ind w:left="11160" w:hanging="1440"/>
      </w:pPr>
      <w:rPr>
        <w:rFonts w:hint="default"/>
        <w:i/>
      </w:rPr>
    </w:lvl>
    <w:lvl w:ilvl="7">
      <w:start w:val="1"/>
      <w:numFmt w:val="decimal"/>
      <w:lvlText w:val="%1.%2.%3.%4.%5.%6.%7.%8."/>
      <w:lvlJc w:val="left"/>
      <w:pPr>
        <w:ind w:left="12780" w:hanging="1440"/>
      </w:pPr>
      <w:rPr>
        <w:rFonts w:hint="default"/>
        <w:i/>
      </w:rPr>
    </w:lvl>
    <w:lvl w:ilvl="8">
      <w:start w:val="1"/>
      <w:numFmt w:val="decimal"/>
      <w:lvlText w:val="%1.%2.%3.%4.%5.%6.%7.%8.%9."/>
      <w:lvlJc w:val="left"/>
      <w:pPr>
        <w:ind w:left="14760" w:hanging="1800"/>
      </w:pPr>
      <w:rPr>
        <w:rFonts w:hint="default"/>
        <w:i/>
      </w:rPr>
    </w:lvl>
  </w:abstractNum>
  <w:abstractNum w:abstractNumId="5" w15:restartNumberingAfterBreak="0">
    <w:nsid w:val="6B9504DD"/>
    <w:multiLevelType w:val="hybridMultilevel"/>
    <w:tmpl w:val="4516A898"/>
    <w:lvl w:ilvl="0" w:tplc="56C2A0CA">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 w:numId="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108D"/>
    <w:rsid w:val="00001C2D"/>
    <w:rsid w:val="00001DFB"/>
    <w:rsid w:val="000024D1"/>
    <w:rsid w:val="00003B28"/>
    <w:rsid w:val="000056E1"/>
    <w:rsid w:val="00005C2D"/>
    <w:rsid w:val="00005E0A"/>
    <w:rsid w:val="00006EC9"/>
    <w:rsid w:val="00010593"/>
    <w:rsid w:val="00010E7F"/>
    <w:rsid w:val="00011418"/>
    <w:rsid w:val="0001196A"/>
    <w:rsid w:val="00012436"/>
    <w:rsid w:val="0001284D"/>
    <w:rsid w:val="00012F34"/>
    <w:rsid w:val="00012FED"/>
    <w:rsid w:val="00013456"/>
    <w:rsid w:val="0001352E"/>
    <w:rsid w:val="00013B89"/>
    <w:rsid w:val="00013BD1"/>
    <w:rsid w:val="000146AC"/>
    <w:rsid w:val="000147C4"/>
    <w:rsid w:val="00014B6D"/>
    <w:rsid w:val="00014EEB"/>
    <w:rsid w:val="000152AF"/>
    <w:rsid w:val="00016E3E"/>
    <w:rsid w:val="00021D2F"/>
    <w:rsid w:val="00022381"/>
    <w:rsid w:val="000223BA"/>
    <w:rsid w:val="00022AD5"/>
    <w:rsid w:val="00022D89"/>
    <w:rsid w:val="00022FE5"/>
    <w:rsid w:val="0002324F"/>
    <w:rsid w:val="000237D5"/>
    <w:rsid w:val="000241BF"/>
    <w:rsid w:val="00024203"/>
    <w:rsid w:val="00024AE1"/>
    <w:rsid w:val="00025E57"/>
    <w:rsid w:val="00025F2A"/>
    <w:rsid w:val="000273E5"/>
    <w:rsid w:val="000274FC"/>
    <w:rsid w:val="0002771B"/>
    <w:rsid w:val="000303E8"/>
    <w:rsid w:val="000305E8"/>
    <w:rsid w:val="00030B78"/>
    <w:rsid w:val="00030CA8"/>
    <w:rsid w:val="00031007"/>
    <w:rsid w:val="0003109E"/>
    <w:rsid w:val="00031851"/>
    <w:rsid w:val="00032804"/>
    <w:rsid w:val="00032D7E"/>
    <w:rsid w:val="00033156"/>
    <w:rsid w:val="00033638"/>
    <w:rsid w:val="00033783"/>
    <w:rsid w:val="0003456A"/>
    <w:rsid w:val="00034F51"/>
    <w:rsid w:val="00034FAD"/>
    <w:rsid w:val="0003519A"/>
    <w:rsid w:val="00035CE4"/>
    <w:rsid w:val="00035D28"/>
    <w:rsid w:val="0003699B"/>
    <w:rsid w:val="00040581"/>
    <w:rsid w:val="00041B07"/>
    <w:rsid w:val="00041DB0"/>
    <w:rsid w:val="00042993"/>
    <w:rsid w:val="00043545"/>
    <w:rsid w:val="000436BA"/>
    <w:rsid w:val="00043F88"/>
    <w:rsid w:val="000449B6"/>
    <w:rsid w:val="00044DB0"/>
    <w:rsid w:val="00047B44"/>
    <w:rsid w:val="0005065F"/>
    <w:rsid w:val="00050735"/>
    <w:rsid w:val="00051423"/>
    <w:rsid w:val="000517E7"/>
    <w:rsid w:val="000519C6"/>
    <w:rsid w:val="00052063"/>
    <w:rsid w:val="00052556"/>
    <w:rsid w:val="00052D30"/>
    <w:rsid w:val="00052E7B"/>
    <w:rsid w:val="00052EBC"/>
    <w:rsid w:val="000534AB"/>
    <w:rsid w:val="000542CE"/>
    <w:rsid w:val="000543BA"/>
    <w:rsid w:val="000543D4"/>
    <w:rsid w:val="00054814"/>
    <w:rsid w:val="0005497D"/>
    <w:rsid w:val="00055A57"/>
    <w:rsid w:val="00057016"/>
    <w:rsid w:val="00057B11"/>
    <w:rsid w:val="00057DD3"/>
    <w:rsid w:val="000610E7"/>
    <w:rsid w:val="000611B1"/>
    <w:rsid w:val="00061D9A"/>
    <w:rsid w:val="000620F1"/>
    <w:rsid w:val="00062107"/>
    <w:rsid w:val="000628F0"/>
    <w:rsid w:val="00062C8F"/>
    <w:rsid w:val="00062CF9"/>
    <w:rsid w:val="000630E6"/>
    <w:rsid w:val="00063917"/>
    <w:rsid w:val="00064396"/>
    <w:rsid w:val="00064FEE"/>
    <w:rsid w:val="00065F77"/>
    <w:rsid w:val="00066580"/>
    <w:rsid w:val="000669CA"/>
    <w:rsid w:val="00066EA0"/>
    <w:rsid w:val="000709A8"/>
    <w:rsid w:val="000719BE"/>
    <w:rsid w:val="00071D1B"/>
    <w:rsid w:val="00071E7B"/>
    <w:rsid w:val="00073144"/>
    <w:rsid w:val="000731C2"/>
    <w:rsid w:val="00074782"/>
    <w:rsid w:val="000773B4"/>
    <w:rsid w:val="00077E5E"/>
    <w:rsid w:val="0008018E"/>
    <w:rsid w:val="0008086F"/>
    <w:rsid w:val="00081816"/>
    <w:rsid w:val="00081E60"/>
    <w:rsid w:val="0008276E"/>
    <w:rsid w:val="00082D92"/>
    <w:rsid w:val="00083A07"/>
    <w:rsid w:val="00085875"/>
    <w:rsid w:val="00086DDF"/>
    <w:rsid w:val="0008744D"/>
    <w:rsid w:val="000877F2"/>
    <w:rsid w:val="000879E2"/>
    <w:rsid w:val="000905FE"/>
    <w:rsid w:val="00090A19"/>
    <w:rsid w:val="0009183C"/>
    <w:rsid w:val="000933A9"/>
    <w:rsid w:val="00095CDA"/>
    <w:rsid w:val="00097B88"/>
    <w:rsid w:val="000A0EE9"/>
    <w:rsid w:val="000A18DB"/>
    <w:rsid w:val="000A1B9C"/>
    <w:rsid w:val="000A1EDB"/>
    <w:rsid w:val="000A2011"/>
    <w:rsid w:val="000A4131"/>
    <w:rsid w:val="000A4170"/>
    <w:rsid w:val="000A4AB0"/>
    <w:rsid w:val="000A5451"/>
    <w:rsid w:val="000A56A8"/>
    <w:rsid w:val="000A6B5C"/>
    <w:rsid w:val="000A73F7"/>
    <w:rsid w:val="000B0809"/>
    <w:rsid w:val="000B11F9"/>
    <w:rsid w:val="000B144C"/>
    <w:rsid w:val="000B3E4B"/>
    <w:rsid w:val="000B473E"/>
    <w:rsid w:val="000B4822"/>
    <w:rsid w:val="000B4C8F"/>
    <w:rsid w:val="000B4F14"/>
    <w:rsid w:val="000B5640"/>
    <w:rsid w:val="000B5A70"/>
    <w:rsid w:val="000B5D93"/>
    <w:rsid w:val="000B66C6"/>
    <w:rsid w:val="000B6C4A"/>
    <w:rsid w:val="000B7372"/>
    <w:rsid w:val="000B7440"/>
    <w:rsid w:val="000B7BFD"/>
    <w:rsid w:val="000C045D"/>
    <w:rsid w:val="000C2B42"/>
    <w:rsid w:val="000C326D"/>
    <w:rsid w:val="000C37FD"/>
    <w:rsid w:val="000C3DA5"/>
    <w:rsid w:val="000C4552"/>
    <w:rsid w:val="000C55FB"/>
    <w:rsid w:val="000C610C"/>
    <w:rsid w:val="000C6285"/>
    <w:rsid w:val="000C6769"/>
    <w:rsid w:val="000C72B2"/>
    <w:rsid w:val="000C7886"/>
    <w:rsid w:val="000C794A"/>
    <w:rsid w:val="000D186B"/>
    <w:rsid w:val="000D269C"/>
    <w:rsid w:val="000D2A6F"/>
    <w:rsid w:val="000D2CA5"/>
    <w:rsid w:val="000D2D48"/>
    <w:rsid w:val="000D4208"/>
    <w:rsid w:val="000D4B5A"/>
    <w:rsid w:val="000D61D7"/>
    <w:rsid w:val="000D6904"/>
    <w:rsid w:val="000D799C"/>
    <w:rsid w:val="000E0059"/>
    <w:rsid w:val="000E00CB"/>
    <w:rsid w:val="000E0313"/>
    <w:rsid w:val="000E0DDF"/>
    <w:rsid w:val="000E2E5D"/>
    <w:rsid w:val="000E440D"/>
    <w:rsid w:val="000E45BA"/>
    <w:rsid w:val="000E64CA"/>
    <w:rsid w:val="000E7C09"/>
    <w:rsid w:val="000E7DFE"/>
    <w:rsid w:val="000F0D63"/>
    <w:rsid w:val="000F1529"/>
    <w:rsid w:val="000F1A16"/>
    <w:rsid w:val="000F245F"/>
    <w:rsid w:val="000F2AE3"/>
    <w:rsid w:val="000F5F37"/>
    <w:rsid w:val="000F77C6"/>
    <w:rsid w:val="000F7C44"/>
    <w:rsid w:val="00101C54"/>
    <w:rsid w:val="00101E52"/>
    <w:rsid w:val="001023F2"/>
    <w:rsid w:val="00103709"/>
    <w:rsid w:val="001050E5"/>
    <w:rsid w:val="00105C79"/>
    <w:rsid w:val="00106108"/>
    <w:rsid w:val="00106D66"/>
    <w:rsid w:val="00107253"/>
    <w:rsid w:val="001101A3"/>
    <w:rsid w:val="00110683"/>
    <w:rsid w:val="00111B3A"/>
    <w:rsid w:val="00112A95"/>
    <w:rsid w:val="0011432F"/>
    <w:rsid w:val="00114653"/>
    <w:rsid w:val="00114D6E"/>
    <w:rsid w:val="00116ACA"/>
    <w:rsid w:val="00117E74"/>
    <w:rsid w:val="00120302"/>
    <w:rsid w:val="001206BE"/>
    <w:rsid w:val="001208FB"/>
    <w:rsid w:val="00120A8C"/>
    <w:rsid w:val="00120C71"/>
    <w:rsid w:val="0012101B"/>
    <w:rsid w:val="0012127D"/>
    <w:rsid w:val="00122F98"/>
    <w:rsid w:val="00125A1B"/>
    <w:rsid w:val="00125F18"/>
    <w:rsid w:val="001279F6"/>
    <w:rsid w:val="00127A7E"/>
    <w:rsid w:val="00127D60"/>
    <w:rsid w:val="00130CD7"/>
    <w:rsid w:val="00131B03"/>
    <w:rsid w:val="00132ACA"/>
    <w:rsid w:val="0013304F"/>
    <w:rsid w:val="0013392E"/>
    <w:rsid w:val="00133B1F"/>
    <w:rsid w:val="001352BE"/>
    <w:rsid w:val="001354A5"/>
    <w:rsid w:val="001357CE"/>
    <w:rsid w:val="001367B7"/>
    <w:rsid w:val="00137A8D"/>
    <w:rsid w:val="00137CE5"/>
    <w:rsid w:val="00137DD8"/>
    <w:rsid w:val="00140203"/>
    <w:rsid w:val="001403B2"/>
    <w:rsid w:val="00140B41"/>
    <w:rsid w:val="00141067"/>
    <w:rsid w:val="00141A2B"/>
    <w:rsid w:val="001431E2"/>
    <w:rsid w:val="00143628"/>
    <w:rsid w:val="0014364D"/>
    <w:rsid w:val="00144BA7"/>
    <w:rsid w:val="00144E3B"/>
    <w:rsid w:val="0014635C"/>
    <w:rsid w:val="00146DD4"/>
    <w:rsid w:val="00147CB8"/>
    <w:rsid w:val="0015077D"/>
    <w:rsid w:val="00150DC2"/>
    <w:rsid w:val="0015111D"/>
    <w:rsid w:val="001518A8"/>
    <w:rsid w:val="00151917"/>
    <w:rsid w:val="00151B6D"/>
    <w:rsid w:val="00151BBB"/>
    <w:rsid w:val="00151EFE"/>
    <w:rsid w:val="001525E8"/>
    <w:rsid w:val="001528B1"/>
    <w:rsid w:val="00152A83"/>
    <w:rsid w:val="00155097"/>
    <w:rsid w:val="00156736"/>
    <w:rsid w:val="0015787F"/>
    <w:rsid w:val="00157C08"/>
    <w:rsid w:val="00160176"/>
    <w:rsid w:val="00161565"/>
    <w:rsid w:val="001618F1"/>
    <w:rsid w:val="00161905"/>
    <w:rsid w:val="00161F27"/>
    <w:rsid w:val="00163168"/>
    <w:rsid w:val="001632B8"/>
    <w:rsid w:val="001645AF"/>
    <w:rsid w:val="00166B6A"/>
    <w:rsid w:val="00167341"/>
    <w:rsid w:val="00170293"/>
    <w:rsid w:val="001718B7"/>
    <w:rsid w:val="00171925"/>
    <w:rsid w:val="001719F6"/>
    <w:rsid w:val="00171B37"/>
    <w:rsid w:val="00173313"/>
    <w:rsid w:val="00173A8C"/>
    <w:rsid w:val="001742C7"/>
    <w:rsid w:val="001769A0"/>
    <w:rsid w:val="00177017"/>
    <w:rsid w:val="00177B5D"/>
    <w:rsid w:val="00177BC5"/>
    <w:rsid w:val="00180391"/>
    <w:rsid w:val="0018093D"/>
    <w:rsid w:val="00182B92"/>
    <w:rsid w:val="00184011"/>
    <w:rsid w:val="00184720"/>
    <w:rsid w:val="00185E2A"/>
    <w:rsid w:val="00187156"/>
    <w:rsid w:val="00190E7C"/>
    <w:rsid w:val="00190FBF"/>
    <w:rsid w:val="001914DD"/>
    <w:rsid w:val="00192380"/>
    <w:rsid w:val="00196FA4"/>
    <w:rsid w:val="001976A6"/>
    <w:rsid w:val="00197D20"/>
    <w:rsid w:val="001A006E"/>
    <w:rsid w:val="001A244D"/>
    <w:rsid w:val="001A2923"/>
    <w:rsid w:val="001A2D67"/>
    <w:rsid w:val="001A4EEE"/>
    <w:rsid w:val="001A608D"/>
    <w:rsid w:val="001A6BA3"/>
    <w:rsid w:val="001A7071"/>
    <w:rsid w:val="001A70D1"/>
    <w:rsid w:val="001A7401"/>
    <w:rsid w:val="001A7871"/>
    <w:rsid w:val="001A79D7"/>
    <w:rsid w:val="001B0C91"/>
    <w:rsid w:val="001B2058"/>
    <w:rsid w:val="001B20F3"/>
    <w:rsid w:val="001B2E68"/>
    <w:rsid w:val="001B3319"/>
    <w:rsid w:val="001B3C14"/>
    <w:rsid w:val="001B6641"/>
    <w:rsid w:val="001C1187"/>
    <w:rsid w:val="001C216D"/>
    <w:rsid w:val="001C3193"/>
    <w:rsid w:val="001C3DE7"/>
    <w:rsid w:val="001C4352"/>
    <w:rsid w:val="001C5510"/>
    <w:rsid w:val="001C66CB"/>
    <w:rsid w:val="001C6D7F"/>
    <w:rsid w:val="001C7E27"/>
    <w:rsid w:val="001D2161"/>
    <w:rsid w:val="001D33AD"/>
    <w:rsid w:val="001D3ADA"/>
    <w:rsid w:val="001D491A"/>
    <w:rsid w:val="001D4C00"/>
    <w:rsid w:val="001D4C26"/>
    <w:rsid w:val="001D7B69"/>
    <w:rsid w:val="001D7E57"/>
    <w:rsid w:val="001E07DA"/>
    <w:rsid w:val="001E091D"/>
    <w:rsid w:val="001E095A"/>
    <w:rsid w:val="001E1218"/>
    <w:rsid w:val="001E2771"/>
    <w:rsid w:val="001E2876"/>
    <w:rsid w:val="001E305E"/>
    <w:rsid w:val="001E329A"/>
    <w:rsid w:val="001E3C4E"/>
    <w:rsid w:val="001E46B5"/>
    <w:rsid w:val="001E4720"/>
    <w:rsid w:val="001E4747"/>
    <w:rsid w:val="001E5272"/>
    <w:rsid w:val="001E5B59"/>
    <w:rsid w:val="001E749F"/>
    <w:rsid w:val="001F004A"/>
    <w:rsid w:val="001F013A"/>
    <w:rsid w:val="001F04A6"/>
    <w:rsid w:val="001F1FE8"/>
    <w:rsid w:val="001F2096"/>
    <w:rsid w:val="001F2B92"/>
    <w:rsid w:val="001F3AB6"/>
    <w:rsid w:val="001F405C"/>
    <w:rsid w:val="001F4CFB"/>
    <w:rsid w:val="001F5AF9"/>
    <w:rsid w:val="001F728F"/>
    <w:rsid w:val="001F77A4"/>
    <w:rsid w:val="002004E6"/>
    <w:rsid w:val="002015CE"/>
    <w:rsid w:val="002023A2"/>
    <w:rsid w:val="00202A46"/>
    <w:rsid w:val="002030D2"/>
    <w:rsid w:val="002051A6"/>
    <w:rsid w:val="00205B18"/>
    <w:rsid w:val="00205ECB"/>
    <w:rsid w:val="00206C50"/>
    <w:rsid w:val="00211E91"/>
    <w:rsid w:val="0021344E"/>
    <w:rsid w:val="00216B37"/>
    <w:rsid w:val="00220427"/>
    <w:rsid w:val="002207D8"/>
    <w:rsid w:val="00221DAA"/>
    <w:rsid w:val="00221EB5"/>
    <w:rsid w:val="002224CD"/>
    <w:rsid w:val="00224813"/>
    <w:rsid w:val="00225C29"/>
    <w:rsid w:val="00227800"/>
    <w:rsid w:val="00230819"/>
    <w:rsid w:val="00230F26"/>
    <w:rsid w:val="0023111D"/>
    <w:rsid w:val="0023153B"/>
    <w:rsid w:val="00232FCF"/>
    <w:rsid w:val="00233751"/>
    <w:rsid w:val="00233AE3"/>
    <w:rsid w:val="00234EDD"/>
    <w:rsid w:val="0023525E"/>
    <w:rsid w:val="002353A9"/>
    <w:rsid w:val="00235DD4"/>
    <w:rsid w:val="0024026F"/>
    <w:rsid w:val="002410B0"/>
    <w:rsid w:val="00242301"/>
    <w:rsid w:val="00244007"/>
    <w:rsid w:val="00244940"/>
    <w:rsid w:val="0024597D"/>
    <w:rsid w:val="00246609"/>
    <w:rsid w:val="00246751"/>
    <w:rsid w:val="00246BF1"/>
    <w:rsid w:val="00247034"/>
    <w:rsid w:val="0024727A"/>
    <w:rsid w:val="00247979"/>
    <w:rsid w:val="00247FC6"/>
    <w:rsid w:val="00250A11"/>
    <w:rsid w:val="0025154B"/>
    <w:rsid w:val="00252C63"/>
    <w:rsid w:val="00253094"/>
    <w:rsid w:val="002539FE"/>
    <w:rsid w:val="00254B66"/>
    <w:rsid w:val="00255405"/>
    <w:rsid w:val="0025596A"/>
    <w:rsid w:val="00256D3E"/>
    <w:rsid w:val="00261096"/>
    <w:rsid w:val="00261AB8"/>
    <w:rsid w:val="00261F85"/>
    <w:rsid w:val="00263845"/>
    <w:rsid w:val="002665A6"/>
    <w:rsid w:val="00266D66"/>
    <w:rsid w:val="002711DD"/>
    <w:rsid w:val="002713E2"/>
    <w:rsid w:val="00273291"/>
    <w:rsid w:val="002737C8"/>
    <w:rsid w:val="00273B7A"/>
    <w:rsid w:val="002770E7"/>
    <w:rsid w:val="00277791"/>
    <w:rsid w:val="002777D5"/>
    <w:rsid w:val="0027784A"/>
    <w:rsid w:val="00281C6C"/>
    <w:rsid w:val="00281CA0"/>
    <w:rsid w:val="00281D81"/>
    <w:rsid w:val="00282F24"/>
    <w:rsid w:val="002833A8"/>
    <w:rsid w:val="00283422"/>
    <w:rsid w:val="00285835"/>
    <w:rsid w:val="00287D50"/>
    <w:rsid w:val="00290BE9"/>
    <w:rsid w:val="002910D3"/>
    <w:rsid w:val="00291663"/>
    <w:rsid w:val="00291870"/>
    <w:rsid w:val="00291E6E"/>
    <w:rsid w:val="00291E74"/>
    <w:rsid w:val="0029341C"/>
    <w:rsid w:val="002946D4"/>
    <w:rsid w:val="0029481A"/>
    <w:rsid w:val="00294A5F"/>
    <w:rsid w:val="00295157"/>
    <w:rsid w:val="00296060"/>
    <w:rsid w:val="00296362"/>
    <w:rsid w:val="002A2260"/>
    <w:rsid w:val="002A2A02"/>
    <w:rsid w:val="002A3476"/>
    <w:rsid w:val="002A3C04"/>
    <w:rsid w:val="002A3E78"/>
    <w:rsid w:val="002A487B"/>
    <w:rsid w:val="002A4B24"/>
    <w:rsid w:val="002B1D72"/>
    <w:rsid w:val="002B20ED"/>
    <w:rsid w:val="002B321A"/>
    <w:rsid w:val="002B52DE"/>
    <w:rsid w:val="002B5C4F"/>
    <w:rsid w:val="002B7BE9"/>
    <w:rsid w:val="002C02CE"/>
    <w:rsid w:val="002C0CDD"/>
    <w:rsid w:val="002C1465"/>
    <w:rsid w:val="002C22DF"/>
    <w:rsid w:val="002C2828"/>
    <w:rsid w:val="002C2D32"/>
    <w:rsid w:val="002C2E15"/>
    <w:rsid w:val="002C35DE"/>
    <w:rsid w:val="002C4052"/>
    <w:rsid w:val="002C5B71"/>
    <w:rsid w:val="002C6F5F"/>
    <w:rsid w:val="002D07C8"/>
    <w:rsid w:val="002D2AF7"/>
    <w:rsid w:val="002D32B1"/>
    <w:rsid w:val="002D35CB"/>
    <w:rsid w:val="002D3A2E"/>
    <w:rsid w:val="002D3E5A"/>
    <w:rsid w:val="002D5008"/>
    <w:rsid w:val="002D55CC"/>
    <w:rsid w:val="002D60BF"/>
    <w:rsid w:val="002D60CA"/>
    <w:rsid w:val="002D650C"/>
    <w:rsid w:val="002D654A"/>
    <w:rsid w:val="002D6A89"/>
    <w:rsid w:val="002E040D"/>
    <w:rsid w:val="002E06CA"/>
    <w:rsid w:val="002E380F"/>
    <w:rsid w:val="002E38E4"/>
    <w:rsid w:val="002E3B63"/>
    <w:rsid w:val="002E415D"/>
    <w:rsid w:val="002E46F5"/>
    <w:rsid w:val="002E4A33"/>
    <w:rsid w:val="002E4B76"/>
    <w:rsid w:val="002E5200"/>
    <w:rsid w:val="002E53B7"/>
    <w:rsid w:val="002E5705"/>
    <w:rsid w:val="002E57F8"/>
    <w:rsid w:val="002E66B3"/>
    <w:rsid w:val="002E685C"/>
    <w:rsid w:val="002E68F5"/>
    <w:rsid w:val="002E71A2"/>
    <w:rsid w:val="002E7F7F"/>
    <w:rsid w:val="002F047D"/>
    <w:rsid w:val="002F0AF1"/>
    <w:rsid w:val="002F1197"/>
    <w:rsid w:val="002F411A"/>
    <w:rsid w:val="002F43B7"/>
    <w:rsid w:val="002F4C2D"/>
    <w:rsid w:val="002F515D"/>
    <w:rsid w:val="002F6547"/>
    <w:rsid w:val="002F6FDF"/>
    <w:rsid w:val="00300CED"/>
    <w:rsid w:val="00301127"/>
    <w:rsid w:val="00302941"/>
    <w:rsid w:val="00302948"/>
    <w:rsid w:val="0030310C"/>
    <w:rsid w:val="003040D4"/>
    <w:rsid w:val="0030437C"/>
    <w:rsid w:val="00304D6A"/>
    <w:rsid w:val="00306C72"/>
    <w:rsid w:val="00310016"/>
    <w:rsid w:val="003106AF"/>
    <w:rsid w:val="0031136D"/>
    <w:rsid w:val="00312A51"/>
    <w:rsid w:val="003137F0"/>
    <w:rsid w:val="00313A43"/>
    <w:rsid w:val="003148B7"/>
    <w:rsid w:val="00315641"/>
    <w:rsid w:val="00315D24"/>
    <w:rsid w:val="00320889"/>
    <w:rsid w:val="003247F1"/>
    <w:rsid w:val="00324F8A"/>
    <w:rsid w:val="00326ADE"/>
    <w:rsid w:val="00327030"/>
    <w:rsid w:val="0032720B"/>
    <w:rsid w:val="00331A8A"/>
    <w:rsid w:val="00331E41"/>
    <w:rsid w:val="00334BAF"/>
    <w:rsid w:val="00334FF3"/>
    <w:rsid w:val="003351B1"/>
    <w:rsid w:val="00335F19"/>
    <w:rsid w:val="0033739D"/>
    <w:rsid w:val="003406C3"/>
    <w:rsid w:val="00340E2D"/>
    <w:rsid w:val="00341336"/>
    <w:rsid w:val="003414D3"/>
    <w:rsid w:val="00341711"/>
    <w:rsid w:val="00342076"/>
    <w:rsid w:val="00342101"/>
    <w:rsid w:val="003423FA"/>
    <w:rsid w:val="00343998"/>
    <w:rsid w:val="00344AF4"/>
    <w:rsid w:val="00346246"/>
    <w:rsid w:val="003462C1"/>
    <w:rsid w:val="00346701"/>
    <w:rsid w:val="0035027C"/>
    <w:rsid w:val="00350415"/>
    <w:rsid w:val="00350E99"/>
    <w:rsid w:val="00351B50"/>
    <w:rsid w:val="003525EF"/>
    <w:rsid w:val="0035292C"/>
    <w:rsid w:val="003540D0"/>
    <w:rsid w:val="00354414"/>
    <w:rsid w:val="00354C6F"/>
    <w:rsid w:val="00354EFB"/>
    <w:rsid w:val="00355C83"/>
    <w:rsid w:val="00356DC0"/>
    <w:rsid w:val="0036206B"/>
    <w:rsid w:val="00362189"/>
    <w:rsid w:val="0036270B"/>
    <w:rsid w:val="00362BA1"/>
    <w:rsid w:val="0036336A"/>
    <w:rsid w:val="003638FA"/>
    <w:rsid w:val="00364A0A"/>
    <w:rsid w:val="00364ABD"/>
    <w:rsid w:val="003667B5"/>
    <w:rsid w:val="0037110F"/>
    <w:rsid w:val="00371D27"/>
    <w:rsid w:val="003739E3"/>
    <w:rsid w:val="003745CB"/>
    <w:rsid w:val="0037497B"/>
    <w:rsid w:val="00375B3E"/>
    <w:rsid w:val="00375C6C"/>
    <w:rsid w:val="003762F8"/>
    <w:rsid w:val="00376FD0"/>
    <w:rsid w:val="00377DAC"/>
    <w:rsid w:val="0038020B"/>
    <w:rsid w:val="00380A97"/>
    <w:rsid w:val="00380B88"/>
    <w:rsid w:val="003815F1"/>
    <w:rsid w:val="00381DC6"/>
    <w:rsid w:val="00382011"/>
    <w:rsid w:val="00383A08"/>
    <w:rsid w:val="0038439D"/>
    <w:rsid w:val="003844BA"/>
    <w:rsid w:val="00384573"/>
    <w:rsid w:val="00384F39"/>
    <w:rsid w:val="00385B82"/>
    <w:rsid w:val="00385D7D"/>
    <w:rsid w:val="00385E4D"/>
    <w:rsid w:val="00385F9A"/>
    <w:rsid w:val="003873A3"/>
    <w:rsid w:val="0039082D"/>
    <w:rsid w:val="00391313"/>
    <w:rsid w:val="003918E5"/>
    <w:rsid w:val="00392652"/>
    <w:rsid w:val="00392B41"/>
    <w:rsid w:val="00393821"/>
    <w:rsid w:val="00393B80"/>
    <w:rsid w:val="00395361"/>
    <w:rsid w:val="0039677A"/>
    <w:rsid w:val="00396D33"/>
    <w:rsid w:val="0039721C"/>
    <w:rsid w:val="003A043C"/>
    <w:rsid w:val="003A0679"/>
    <w:rsid w:val="003A0B17"/>
    <w:rsid w:val="003A0B9B"/>
    <w:rsid w:val="003A1A92"/>
    <w:rsid w:val="003A296A"/>
    <w:rsid w:val="003A3E2E"/>
    <w:rsid w:val="003A5039"/>
    <w:rsid w:val="003A55FB"/>
    <w:rsid w:val="003A627D"/>
    <w:rsid w:val="003A77E5"/>
    <w:rsid w:val="003A7E67"/>
    <w:rsid w:val="003B00EF"/>
    <w:rsid w:val="003B2890"/>
    <w:rsid w:val="003B351C"/>
    <w:rsid w:val="003B49FC"/>
    <w:rsid w:val="003B4BCD"/>
    <w:rsid w:val="003B5414"/>
    <w:rsid w:val="003B5653"/>
    <w:rsid w:val="003B5856"/>
    <w:rsid w:val="003B5F72"/>
    <w:rsid w:val="003B6870"/>
    <w:rsid w:val="003B6BD1"/>
    <w:rsid w:val="003B6FB9"/>
    <w:rsid w:val="003B7919"/>
    <w:rsid w:val="003C0237"/>
    <w:rsid w:val="003C0B21"/>
    <w:rsid w:val="003C1803"/>
    <w:rsid w:val="003C2322"/>
    <w:rsid w:val="003C3EC2"/>
    <w:rsid w:val="003C5395"/>
    <w:rsid w:val="003C569D"/>
    <w:rsid w:val="003C57F3"/>
    <w:rsid w:val="003C6117"/>
    <w:rsid w:val="003C6331"/>
    <w:rsid w:val="003C7A40"/>
    <w:rsid w:val="003C7E5A"/>
    <w:rsid w:val="003D0031"/>
    <w:rsid w:val="003D010B"/>
    <w:rsid w:val="003D20AC"/>
    <w:rsid w:val="003D39B4"/>
    <w:rsid w:val="003D4729"/>
    <w:rsid w:val="003D55C0"/>
    <w:rsid w:val="003D55EE"/>
    <w:rsid w:val="003D5831"/>
    <w:rsid w:val="003D74F6"/>
    <w:rsid w:val="003D7504"/>
    <w:rsid w:val="003D79AB"/>
    <w:rsid w:val="003D7F13"/>
    <w:rsid w:val="003E03EB"/>
    <w:rsid w:val="003E11D0"/>
    <w:rsid w:val="003E240F"/>
    <w:rsid w:val="003E3DB7"/>
    <w:rsid w:val="003E5237"/>
    <w:rsid w:val="003E5A38"/>
    <w:rsid w:val="003E5A6F"/>
    <w:rsid w:val="003E62E5"/>
    <w:rsid w:val="003E7BA0"/>
    <w:rsid w:val="003F01EB"/>
    <w:rsid w:val="003F2C39"/>
    <w:rsid w:val="003F4317"/>
    <w:rsid w:val="003F4884"/>
    <w:rsid w:val="003F5AC2"/>
    <w:rsid w:val="003F62A8"/>
    <w:rsid w:val="003F78E9"/>
    <w:rsid w:val="0040142F"/>
    <w:rsid w:val="00401D08"/>
    <w:rsid w:val="00402256"/>
    <w:rsid w:val="00402303"/>
    <w:rsid w:val="0040278B"/>
    <w:rsid w:val="004027FC"/>
    <w:rsid w:val="00402D3C"/>
    <w:rsid w:val="00403AA2"/>
    <w:rsid w:val="00403CC5"/>
    <w:rsid w:val="004045A2"/>
    <w:rsid w:val="00404DA7"/>
    <w:rsid w:val="00405EE7"/>
    <w:rsid w:val="0040621C"/>
    <w:rsid w:val="00406BC7"/>
    <w:rsid w:val="004075A0"/>
    <w:rsid w:val="00410D75"/>
    <w:rsid w:val="004114B4"/>
    <w:rsid w:val="00412D4D"/>
    <w:rsid w:val="004134C6"/>
    <w:rsid w:val="0041392C"/>
    <w:rsid w:val="00413D25"/>
    <w:rsid w:val="00413EC9"/>
    <w:rsid w:val="00414582"/>
    <w:rsid w:val="00414CE3"/>
    <w:rsid w:val="00414EEB"/>
    <w:rsid w:val="0041518E"/>
    <w:rsid w:val="0041533A"/>
    <w:rsid w:val="00415FFF"/>
    <w:rsid w:val="0041630C"/>
    <w:rsid w:val="00417B32"/>
    <w:rsid w:val="0042016B"/>
    <w:rsid w:val="0042025D"/>
    <w:rsid w:val="0042091A"/>
    <w:rsid w:val="00420936"/>
    <w:rsid w:val="00421EAD"/>
    <w:rsid w:val="00422509"/>
    <w:rsid w:val="0042476B"/>
    <w:rsid w:val="00425A92"/>
    <w:rsid w:val="00426BDA"/>
    <w:rsid w:val="0042739B"/>
    <w:rsid w:val="004277EB"/>
    <w:rsid w:val="00427F4C"/>
    <w:rsid w:val="004303B8"/>
    <w:rsid w:val="00430E8B"/>
    <w:rsid w:val="00431928"/>
    <w:rsid w:val="00431E5D"/>
    <w:rsid w:val="00431F77"/>
    <w:rsid w:val="00432337"/>
    <w:rsid w:val="0043250A"/>
    <w:rsid w:val="00432CAC"/>
    <w:rsid w:val="004331A6"/>
    <w:rsid w:val="00433846"/>
    <w:rsid w:val="004342AD"/>
    <w:rsid w:val="004345D5"/>
    <w:rsid w:val="0043588F"/>
    <w:rsid w:val="00437180"/>
    <w:rsid w:val="0043780A"/>
    <w:rsid w:val="0044017F"/>
    <w:rsid w:val="00441D8E"/>
    <w:rsid w:val="00442D95"/>
    <w:rsid w:val="00443303"/>
    <w:rsid w:val="004436F2"/>
    <w:rsid w:val="004440E3"/>
    <w:rsid w:val="00444788"/>
    <w:rsid w:val="00444A04"/>
    <w:rsid w:val="00445909"/>
    <w:rsid w:val="00445AEA"/>
    <w:rsid w:val="00447F2E"/>
    <w:rsid w:val="00451D49"/>
    <w:rsid w:val="004522C4"/>
    <w:rsid w:val="00452DEE"/>
    <w:rsid w:val="004535C0"/>
    <w:rsid w:val="004537E3"/>
    <w:rsid w:val="00453A2A"/>
    <w:rsid w:val="00453B0B"/>
    <w:rsid w:val="00453BBF"/>
    <w:rsid w:val="004544D9"/>
    <w:rsid w:val="004552AE"/>
    <w:rsid w:val="00455BB7"/>
    <w:rsid w:val="004576FE"/>
    <w:rsid w:val="00460271"/>
    <w:rsid w:val="004626F1"/>
    <w:rsid w:val="00462D23"/>
    <w:rsid w:val="00463EB2"/>
    <w:rsid w:val="00464D25"/>
    <w:rsid w:val="00464EE3"/>
    <w:rsid w:val="00465598"/>
    <w:rsid w:val="00465C34"/>
    <w:rsid w:val="0046778F"/>
    <w:rsid w:val="00467B24"/>
    <w:rsid w:val="004717C3"/>
    <w:rsid w:val="00472850"/>
    <w:rsid w:val="00473099"/>
    <w:rsid w:val="00473433"/>
    <w:rsid w:val="00473A8B"/>
    <w:rsid w:val="00473E71"/>
    <w:rsid w:val="00474CB9"/>
    <w:rsid w:val="004754A8"/>
    <w:rsid w:val="004757F1"/>
    <w:rsid w:val="00475854"/>
    <w:rsid w:val="00475B70"/>
    <w:rsid w:val="004761F9"/>
    <w:rsid w:val="0047643F"/>
    <w:rsid w:val="004764F9"/>
    <w:rsid w:val="00477996"/>
    <w:rsid w:val="00480867"/>
    <w:rsid w:val="00480EDF"/>
    <w:rsid w:val="004810AE"/>
    <w:rsid w:val="00483227"/>
    <w:rsid w:val="0048345B"/>
    <w:rsid w:val="0048358A"/>
    <w:rsid w:val="00484398"/>
    <w:rsid w:val="004852C4"/>
    <w:rsid w:val="004854BD"/>
    <w:rsid w:val="00485E2A"/>
    <w:rsid w:val="004864B5"/>
    <w:rsid w:val="0048665C"/>
    <w:rsid w:val="00487109"/>
    <w:rsid w:val="00487985"/>
    <w:rsid w:val="00490002"/>
    <w:rsid w:val="00490705"/>
    <w:rsid w:val="00490C77"/>
    <w:rsid w:val="00490DBE"/>
    <w:rsid w:val="004925EF"/>
    <w:rsid w:val="00492B98"/>
    <w:rsid w:val="00492BC8"/>
    <w:rsid w:val="00492BFA"/>
    <w:rsid w:val="00492FBB"/>
    <w:rsid w:val="0049301A"/>
    <w:rsid w:val="0049433F"/>
    <w:rsid w:val="004946F8"/>
    <w:rsid w:val="00494C70"/>
    <w:rsid w:val="00495204"/>
    <w:rsid w:val="00495554"/>
    <w:rsid w:val="00496438"/>
    <w:rsid w:val="00497244"/>
    <w:rsid w:val="004A027F"/>
    <w:rsid w:val="004A030F"/>
    <w:rsid w:val="004A0C0B"/>
    <w:rsid w:val="004A12A4"/>
    <w:rsid w:val="004A29A5"/>
    <w:rsid w:val="004A4ED8"/>
    <w:rsid w:val="004A4FF4"/>
    <w:rsid w:val="004A550D"/>
    <w:rsid w:val="004A5BC6"/>
    <w:rsid w:val="004A6062"/>
    <w:rsid w:val="004A7329"/>
    <w:rsid w:val="004B015F"/>
    <w:rsid w:val="004B2623"/>
    <w:rsid w:val="004B2E24"/>
    <w:rsid w:val="004B31D2"/>
    <w:rsid w:val="004B3E11"/>
    <w:rsid w:val="004B44EE"/>
    <w:rsid w:val="004B48E7"/>
    <w:rsid w:val="004B4CAF"/>
    <w:rsid w:val="004B5330"/>
    <w:rsid w:val="004B57B5"/>
    <w:rsid w:val="004B5940"/>
    <w:rsid w:val="004B5D6D"/>
    <w:rsid w:val="004B615A"/>
    <w:rsid w:val="004B657B"/>
    <w:rsid w:val="004B6A03"/>
    <w:rsid w:val="004B6F0F"/>
    <w:rsid w:val="004B7AA4"/>
    <w:rsid w:val="004C0938"/>
    <w:rsid w:val="004C0D45"/>
    <w:rsid w:val="004C1001"/>
    <w:rsid w:val="004C1576"/>
    <w:rsid w:val="004C2030"/>
    <w:rsid w:val="004C64BC"/>
    <w:rsid w:val="004C67E7"/>
    <w:rsid w:val="004C77CB"/>
    <w:rsid w:val="004D091E"/>
    <w:rsid w:val="004D345D"/>
    <w:rsid w:val="004D3D50"/>
    <w:rsid w:val="004D4B49"/>
    <w:rsid w:val="004D58E6"/>
    <w:rsid w:val="004D5E6E"/>
    <w:rsid w:val="004D796D"/>
    <w:rsid w:val="004D7EE3"/>
    <w:rsid w:val="004E010A"/>
    <w:rsid w:val="004E0465"/>
    <w:rsid w:val="004E05D3"/>
    <w:rsid w:val="004E1B9C"/>
    <w:rsid w:val="004E34C5"/>
    <w:rsid w:val="004E3896"/>
    <w:rsid w:val="004E3BC7"/>
    <w:rsid w:val="004E3D42"/>
    <w:rsid w:val="004E3F6E"/>
    <w:rsid w:val="004E449C"/>
    <w:rsid w:val="004E4B1A"/>
    <w:rsid w:val="004E6280"/>
    <w:rsid w:val="004E6BCD"/>
    <w:rsid w:val="004E72D9"/>
    <w:rsid w:val="004E73C0"/>
    <w:rsid w:val="004F04BC"/>
    <w:rsid w:val="004F09DB"/>
    <w:rsid w:val="004F0B22"/>
    <w:rsid w:val="004F3657"/>
    <w:rsid w:val="004F432A"/>
    <w:rsid w:val="004F4637"/>
    <w:rsid w:val="004F4D51"/>
    <w:rsid w:val="004F549D"/>
    <w:rsid w:val="004F650B"/>
    <w:rsid w:val="004F66E5"/>
    <w:rsid w:val="004F6A08"/>
    <w:rsid w:val="004F707C"/>
    <w:rsid w:val="004F7133"/>
    <w:rsid w:val="004F770C"/>
    <w:rsid w:val="005002A4"/>
    <w:rsid w:val="00500B3C"/>
    <w:rsid w:val="00500D32"/>
    <w:rsid w:val="005010CB"/>
    <w:rsid w:val="00503DE8"/>
    <w:rsid w:val="005047ED"/>
    <w:rsid w:val="0050543F"/>
    <w:rsid w:val="00507B87"/>
    <w:rsid w:val="00507D63"/>
    <w:rsid w:val="00510233"/>
    <w:rsid w:val="00510DC9"/>
    <w:rsid w:val="0051200F"/>
    <w:rsid w:val="00512322"/>
    <w:rsid w:val="0051318B"/>
    <w:rsid w:val="00513E6C"/>
    <w:rsid w:val="00515CA0"/>
    <w:rsid w:val="005161D0"/>
    <w:rsid w:val="005161EB"/>
    <w:rsid w:val="00516C87"/>
    <w:rsid w:val="0051796F"/>
    <w:rsid w:val="00520E0C"/>
    <w:rsid w:val="00521F48"/>
    <w:rsid w:val="00522D9B"/>
    <w:rsid w:val="00523723"/>
    <w:rsid w:val="005250E2"/>
    <w:rsid w:val="0052583E"/>
    <w:rsid w:val="00525924"/>
    <w:rsid w:val="005259E1"/>
    <w:rsid w:val="00526BC1"/>
    <w:rsid w:val="00530214"/>
    <w:rsid w:val="005303C2"/>
    <w:rsid w:val="00531067"/>
    <w:rsid w:val="0053110B"/>
    <w:rsid w:val="00532009"/>
    <w:rsid w:val="005325C1"/>
    <w:rsid w:val="00532908"/>
    <w:rsid w:val="00532EAC"/>
    <w:rsid w:val="0053424C"/>
    <w:rsid w:val="00534B5E"/>
    <w:rsid w:val="00535A8D"/>
    <w:rsid w:val="00536E4F"/>
    <w:rsid w:val="00541696"/>
    <w:rsid w:val="00543305"/>
    <w:rsid w:val="0054373A"/>
    <w:rsid w:val="00543AFC"/>
    <w:rsid w:val="00543DC9"/>
    <w:rsid w:val="00545A12"/>
    <w:rsid w:val="0054778F"/>
    <w:rsid w:val="0055056E"/>
    <w:rsid w:val="00550751"/>
    <w:rsid w:val="00550905"/>
    <w:rsid w:val="00550AAF"/>
    <w:rsid w:val="0055218C"/>
    <w:rsid w:val="0055222A"/>
    <w:rsid w:val="00552601"/>
    <w:rsid w:val="005562D2"/>
    <w:rsid w:val="00556582"/>
    <w:rsid w:val="00556A0B"/>
    <w:rsid w:val="0055727A"/>
    <w:rsid w:val="00557ED5"/>
    <w:rsid w:val="00560FF0"/>
    <w:rsid w:val="005618CB"/>
    <w:rsid w:val="00562185"/>
    <w:rsid w:val="00562260"/>
    <w:rsid w:val="0056235D"/>
    <w:rsid w:val="00563AEE"/>
    <w:rsid w:val="005647A5"/>
    <w:rsid w:val="00565294"/>
    <w:rsid w:val="00566732"/>
    <w:rsid w:val="00566ADB"/>
    <w:rsid w:val="00566EEC"/>
    <w:rsid w:val="00571524"/>
    <w:rsid w:val="005717C3"/>
    <w:rsid w:val="00572E0C"/>
    <w:rsid w:val="00573BA5"/>
    <w:rsid w:val="00573F69"/>
    <w:rsid w:val="00576288"/>
    <w:rsid w:val="00580429"/>
    <w:rsid w:val="005807AD"/>
    <w:rsid w:val="00580A26"/>
    <w:rsid w:val="00580C27"/>
    <w:rsid w:val="0058168D"/>
    <w:rsid w:val="00581F6D"/>
    <w:rsid w:val="0058251D"/>
    <w:rsid w:val="00582DA8"/>
    <w:rsid w:val="00583606"/>
    <w:rsid w:val="0058372C"/>
    <w:rsid w:val="005849D2"/>
    <w:rsid w:val="00584D23"/>
    <w:rsid w:val="00584D8A"/>
    <w:rsid w:val="0058629B"/>
    <w:rsid w:val="00586A39"/>
    <w:rsid w:val="00587FCA"/>
    <w:rsid w:val="005918DB"/>
    <w:rsid w:val="00592E85"/>
    <w:rsid w:val="00593E7E"/>
    <w:rsid w:val="005944A3"/>
    <w:rsid w:val="00595D88"/>
    <w:rsid w:val="005964BC"/>
    <w:rsid w:val="005A11D6"/>
    <w:rsid w:val="005A27EC"/>
    <w:rsid w:val="005A3504"/>
    <w:rsid w:val="005A39E5"/>
    <w:rsid w:val="005A4AFF"/>
    <w:rsid w:val="005A59D6"/>
    <w:rsid w:val="005A5C58"/>
    <w:rsid w:val="005A6692"/>
    <w:rsid w:val="005A6B97"/>
    <w:rsid w:val="005B1F4D"/>
    <w:rsid w:val="005B2BC5"/>
    <w:rsid w:val="005B2E0B"/>
    <w:rsid w:val="005B47CC"/>
    <w:rsid w:val="005B4AC5"/>
    <w:rsid w:val="005B602E"/>
    <w:rsid w:val="005B615E"/>
    <w:rsid w:val="005C047C"/>
    <w:rsid w:val="005C0D09"/>
    <w:rsid w:val="005C0D45"/>
    <w:rsid w:val="005C178E"/>
    <w:rsid w:val="005C20E1"/>
    <w:rsid w:val="005C23E4"/>
    <w:rsid w:val="005C2569"/>
    <w:rsid w:val="005C4102"/>
    <w:rsid w:val="005C4D61"/>
    <w:rsid w:val="005C5022"/>
    <w:rsid w:val="005C657D"/>
    <w:rsid w:val="005C66A3"/>
    <w:rsid w:val="005C7752"/>
    <w:rsid w:val="005D14DD"/>
    <w:rsid w:val="005D18DD"/>
    <w:rsid w:val="005D24C7"/>
    <w:rsid w:val="005D26C6"/>
    <w:rsid w:val="005D2D15"/>
    <w:rsid w:val="005D4641"/>
    <w:rsid w:val="005D599E"/>
    <w:rsid w:val="005D5FF9"/>
    <w:rsid w:val="005D78B6"/>
    <w:rsid w:val="005E0176"/>
    <w:rsid w:val="005E1E24"/>
    <w:rsid w:val="005E29B8"/>
    <w:rsid w:val="005E3017"/>
    <w:rsid w:val="005E3CCD"/>
    <w:rsid w:val="005E51C9"/>
    <w:rsid w:val="005E53A5"/>
    <w:rsid w:val="005E5770"/>
    <w:rsid w:val="005E5E7C"/>
    <w:rsid w:val="005E6644"/>
    <w:rsid w:val="005E79B5"/>
    <w:rsid w:val="005E7E9A"/>
    <w:rsid w:val="005F0D13"/>
    <w:rsid w:val="005F267E"/>
    <w:rsid w:val="005F3D80"/>
    <w:rsid w:val="005F4449"/>
    <w:rsid w:val="005F6B59"/>
    <w:rsid w:val="005F71A0"/>
    <w:rsid w:val="005F758E"/>
    <w:rsid w:val="005F77D3"/>
    <w:rsid w:val="00600277"/>
    <w:rsid w:val="00600CBC"/>
    <w:rsid w:val="00601547"/>
    <w:rsid w:val="00601E95"/>
    <w:rsid w:val="006025B1"/>
    <w:rsid w:val="00602BA9"/>
    <w:rsid w:val="00603F71"/>
    <w:rsid w:val="006058D7"/>
    <w:rsid w:val="00606144"/>
    <w:rsid w:val="0060652B"/>
    <w:rsid w:val="00606674"/>
    <w:rsid w:val="00607048"/>
    <w:rsid w:val="00607997"/>
    <w:rsid w:val="0061382E"/>
    <w:rsid w:val="00613AFF"/>
    <w:rsid w:val="006143DD"/>
    <w:rsid w:val="006149B7"/>
    <w:rsid w:val="00614B4C"/>
    <w:rsid w:val="006160C9"/>
    <w:rsid w:val="006204B1"/>
    <w:rsid w:val="0062067D"/>
    <w:rsid w:val="0062094A"/>
    <w:rsid w:val="00620A4E"/>
    <w:rsid w:val="006229ED"/>
    <w:rsid w:val="00622E03"/>
    <w:rsid w:val="00622F7D"/>
    <w:rsid w:val="00623051"/>
    <w:rsid w:val="00623350"/>
    <w:rsid w:val="006234AF"/>
    <w:rsid w:val="00623F88"/>
    <w:rsid w:val="0062458F"/>
    <w:rsid w:val="006248FA"/>
    <w:rsid w:val="00625209"/>
    <w:rsid w:val="00626039"/>
    <w:rsid w:val="00626835"/>
    <w:rsid w:val="00626B2A"/>
    <w:rsid w:val="00627AC2"/>
    <w:rsid w:val="00630474"/>
    <w:rsid w:val="006305DC"/>
    <w:rsid w:val="006307CE"/>
    <w:rsid w:val="00631D2D"/>
    <w:rsid w:val="006323C0"/>
    <w:rsid w:val="0063267F"/>
    <w:rsid w:val="00636869"/>
    <w:rsid w:val="00636F49"/>
    <w:rsid w:val="0063729E"/>
    <w:rsid w:val="0063761D"/>
    <w:rsid w:val="006404D9"/>
    <w:rsid w:val="0064168E"/>
    <w:rsid w:val="00641D67"/>
    <w:rsid w:val="00642835"/>
    <w:rsid w:val="00643725"/>
    <w:rsid w:val="006445DC"/>
    <w:rsid w:val="00644738"/>
    <w:rsid w:val="006458D1"/>
    <w:rsid w:val="00646371"/>
    <w:rsid w:val="00646561"/>
    <w:rsid w:val="00646D02"/>
    <w:rsid w:val="00647544"/>
    <w:rsid w:val="00650C12"/>
    <w:rsid w:val="006527C3"/>
    <w:rsid w:val="006531D2"/>
    <w:rsid w:val="006561A3"/>
    <w:rsid w:val="00657219"/>
    <w:rsid w:val="006601B1"/>
    <w:rsid w:val="00660D52"/>
    <w:rsid w:val="006613B8"/>
    <w:rsid w:val="006614A3"/>
    <w:rsid w:val="0066218F"/>
    <w:rsid w:val="006626A5"/>
    <w:rsid w:val="0066292C"/>
    <w:rsid w:val="00662D1E"/>
    <w:rsid w:val="00663BFD"/>
    <w:rsid w:val="00665AC0"/>
    <w:rsid w:val="00665F81"/>
    <w:rsid w:val="00666569"/>
    <w:rsid w:val="006668B1"/>
    <w:rsid w:val="006672ED"/>
    <w:rsid w:val="006674E0"/>
    <w:rsid w:val="00667A38"/>
    <w:rsid w:val="006701F7"/>
    <w:rsid w:val="00670410"/>
    <w:rsid w:val="00670D0C"/>
    <w:rsid w:val="006710BA"/>
    <w:rsid w:val="006721CB"/>
    <w:rsid w:val="00672260"/>
    <w:rsid w:val="00672488"/>
    <w:rsid w:val="00672F1F"/>
    <w:rsid w:val="0067317A"/>
    <w:rsid w:val="006741B1"/>
    <w:rsid w:val="00674F08"/>
    <w:rsid w:val="00675660"/>
    <w:rsid w:val="0067612D"/>
    <w:rsid w:val="0067764F"/>
    <w:rsid w:val="00682E67"/>
    <w:rsid w:val="0068392A"/>
    <w:rsid w:val="00683E6E"/>
    <w:rsid w:val="00685C92"/>
    <w:rsid w:val="0068621E"/>
    <w:rsid w:val="00686669"/>
    <w:rsid w:val="006868B0"/>
    <w:rsid w:val="0069077F"/>
    <w:rsid w:val="00690D47"/>
    <w:rsid w:val="00691470"/>
    <w:rsid w:val="00692344"/>
    <w:rsid w:val="00693881"/>
    <w:rsid w:val="00694FFF"/>
    <w:rsid w:val="00695E27"/>
    <w:rsid w:val="00696427"/>
    <w:rsid w:val="00696B56"/>
    <w:rsid w:val="00696E62"/>
    <w:rsid w:val="00696EDC"/>
    <w:rsid w:val="006970AF"/>
    <w:rsid w:val="00697212"/>
    <w:rsid w:val="00697447"/>
    <w:rsid w:val="006A09E7"/>
    <w:rsid w:val="006A1C7C"/>
    <w:rsid w:val="006A1D09"/>
    <w:rsid w:val="006A3E02"/>
    <w:rsid w:val="006A44D5"/>
    <w:rsid w:val="006A479A"/>
    <w:rsid w:val="006A5719"/>
    <w:rsid w:val="006A59DC"/>
    <w:rsid w:val="006A6858"/>
    <w:rsid w:val="006A71AD"/>
    <w:rsid w:val="006B1ACF"/>
    <w:rsid w:val="006B1E77"/>
    <w:rsid w:val="006B1FE7"/>
    <w:rsid w:val="006B2E62"/>
    <w:rsid w:val="006B37DF"/>
    <w:rsid w:val="006B3C42"/>
    <w:rsid w:val="006B4619"/>
    <w:rsid w:val="006B4EC3"/>
    <w:rsid w:val="006B51A7"/>
    <w:rsid w:val="006B5B09"/>
    <w:rsid w:val="006B763B"/>
    <w:rsid w:val="006B77E9"/>
    <w:rsid w:val="006B7945"/>
    <w:rsid w:val="006B7A8D"/>
    <w:rsid w:val="006B7B7E"/>
    <w:rsid w:val="006B7C0E"/>
    <w:rsid w:val="006C00AA"/>
    <w:rsid w:val="006C1059"/>
    <w:rsid w:val="006C108A"/>
    <w:rsid w:val="006C1E82"/>
    <w:rsid w:val="006C1FC6"/>
    <w:rsid w:val="006C2078"/>
    <w:rsid w:val="006C35B2"/>
    <w:rsid w:val="006C40CB"/>
    <w:rsid w:val="006C4232"/>
    <w:rsid w:val="006D00A7"/>
    <w:rsid w:val="006D0C07"/>
    <w:rsid w:val="006D0C38"/>
    <w:rsid w:val="006D0C81"/>
    <w:rsid w:val="006D0D34"/>
    <w:rsid w:val="006D0F13"/>
    <w:rsid w:val="006D4FBE"/>
    <w:rsid w:val="006D6256"/>
    <w:rsid w:val="006D6E25"/>
    <w:rsid w:val="006E03EC"/>
    <w:rsid w:val="006E148C"/>
    <w:rsid w:val="006E17CE"/>
    <w:rsid w:val="006E3146"/>
    <w:rsid w:val="006E5AA9"/>
    <w:rsid w:val="006E69AF"/>
    <w:rsid w:val="006E6BCD"/>
    <w:rsid w:val="006F200D"/>
    <w:rsid w:val="006F2049"/>
    <w:rsid w:val="006F2CAA"/>
    <w:rsid w:val="006F3605"/>
    <w:rsid w:val="006F3C60"/>
    <w:rsid w:val="006F4248"/>
    <w:rsid w:val="006F48B4"/>
    <w:rsid w:val="006F653E"/>
    <w:rsid w:val="006F6D6A"/>
    <w:rsid w:val="007000BB"/>
    <w:rsid w:val="007002B0"/>
    <w:rsid w:val="00700FD8"/>
    <w:rsid w:val="00701016"/>
    <w:rsid w:val="0070189C"/>
    <w:rsid w:val="00702274"/>
    <w:rsid w:val="007022E5"/>
    <w:rsid w:val="00703EF2"/>
    <w:rsid w:val="00704535"/>
    <w:rsid w:val="007050C9"/>
    <w:rsid w:val="007052C2"/>
    <w:rsid w:val="00706CED"/>
    <w:rsid w:val="0070752F"/>
    <w:rsid w:val="007075C0"/>
    <w:rsid w:val="00707AB9"/>
    <w:rsid w:val="00710814"/>
    <w:rsid w:val="007118EA"/>
    <w:rsid w:val="00711CDC"/>
    <w:rsid w:val="00712034"/>
    <w:rsid w:val="007130A3"/>
    <w:rsid w:val="007134DA"/>
    <w:rsid w:val="00713D35"/>
    <w:rsid w:val="00714A2C"/>
    <w:rsid w:val="00714DAB"/>
    <w:rsid w:val="00715001"/>
    <w:rsid w:val="00716884"/>
    <w:rsid w:val="00716973"/>
    <w:rsid w:val="00716EE3"/>
    <w:rsid w:val="007178B3"/>
    <w:rsid w:val="00717D7F"/>
    <w:rsid w:val="00720940"/>
    <w:rsid w:val="007216A0"/>
    <w:rsid w:val="00722481"/>
    <w:rsid w:val="007224B7"/>
    <w:rsid w:val="00722997"/>
    <w:rsid w:val="00725AAF"/>
    <w:rsid w:val="0073004A"/>
    <w:rsid w:val="007305F9"/>
    <w:rsid w:val="007308E7"/>
    <w:rsid w:val="00730A85"/>
    <w:rsid w:val="007337EF"/>
    <w:rsid w:val="0073387C"/>
    <w:rsid w:val="00733A8F"/>
    <w:rsid w:val="00733E24"/>
    <w:rsid w:val="00734041"/>
    <w:rsid w:val="00735789"/>
    <w:rsid w:val="00735F01"/>
    <w:rsid w:val="00736F29"/>
    <w:rsid w:val="00737630"/>
    <w:rsid w:val="00737946"/>
    <w:rsid w:val="00740B21"/>
    <w:rsid w:val="00740BA6"/>
    <w:rsid w:val="007410AA"/>
    <w:rsid w:val="00741C81"/>
    <w:rsid w:val="007428B8"/>
    <w:rsid w:val="007428FC"/>
    <w:rsid w:val="00742F2D"/>
    <w:rsid w:val="00743238"/>
    <w:rsid w:val="00743435"/>
    <w:rsid w:val="0074349F"/>
    <w:rsid w:val="00744044"/>
    <w:rsid w:val="00744047"/>
    <w:rsid w:val="00744F13"/>
    <w:rsid w:val="0074536E"/>
    <w:rsid w:val="007454FF"/>
    <w:rsid w:val="00745A99"/>
    <w:rsid w:val="007460CD"/>
    <w:rsid w:val="00746B80"/>
    <w:rsid w:val="00746B8A"/>
    <w:rsid w:val="00750655"/>
    <w:rsid w:val="007506CE"/>
    <w:rsid w:val="00750C9C"/>
    <w:rsid w:val="007523F6"/>
    <w:rsid w:val="00756210"/>
    <w:rsid w:val="007562E4"/>
    <w:rsid w:val="0075655D"/>
    <w:rsid w:val="0075669F"/>
    <w:rsid w:val="00756DCC"/>
    <w:rsid w:val="007608FF"/>
    <w:rsid w:val="00761E06"/>
    <w:rsid w:val="00762406"/>
    <w:rsid w:val="007639CA"/>
    <w:rsid w:val="00766467"/>
    <w:rsid w:val="00766811"/>
    <w:rsid w:val="00767D94"/>
    <w:rsid w:val="007710C8"/>
    <w:rsid w:val="007716EC"/>
    <w:rsid w:val="0077180D"/>
    <w:rsid w:val="00772ADC"/>
    <w:rsid w:val="00773CA3"/>
    <w:rsid w:val="0077417A"/>
    <w:rsid w:val="0077511F"/>
    <w:rsid w:val="00776B1D"/>
    <w:rsid w:val="00776B6C"/>
    <w:rsid w:val="00777E37"/>
    <w:rsid w:val="00780630"/>
    <w:rsid w:val="00780CB0"/>
    <w:rsid w:val="00781617"/>
    <w:rsid w:val="00781DA3"/>
    <w:rsid w:val="00782983"/>
    <w:rsid w:val="00782ACC"/>
    <w:rsid w:val="007835B4"/>
    <w:rsid w:val="00785D53"/>
    <w:rsid w:val="00786991"/>
    <w:rsid w:val="007873C7"/>
    <w:rsid w:val="00787CF1"/>
    <w:rsid w:val="00787ECF"/>
    <w:rsid w:val="007903C1"/>
    <w:rsid w:val="0079106C"/>
    <w:rsid w:val="0079177D"/>
    <w:rsid w:val="007917C7"/>
    <w:rsid w:val="00791E68"/>
    <w:rsid w:val="007924E6"/>
    <w:rsid w:val="00794329"/>
    <w:rsid w:val="007949B0"/>
    <w:rsid w:val="007954C6"/>
    <w:rsid w:val="00795A92"/>
    <w:rsid w:val="00795BD6"/>
    <w:rsid w:val="007977F0"/>
    <w:rsid w:val="007A0482"/>
    <w:rsid w:val="007A0CFC"/>
    <w:rsid w:val="007A0F29"/>
    <w:rsid w:val="007A1331"/>
    <w:rsid w:val="007A1352"/>
    <w:rsid w:val="007A183B"/>
    <w:rsid w:val="007A24DA"/>
    <w:rsid w:val="007A2C3E"/>
    <w:rsid w:val="007A3167"/>
    <w:rsid w:val="007A320A"/>
    <w:rsid w:val="007A3535"/>
    <w:rsid w:val="007A43E3"/>
    <w:rsid w:val="007A47BC"/>
    <w:rsid w:val="007A4B69"/>
    <w:rsid w:val="007A4BC2"/>
    <w:rsid w:val="007A5B73"/>
    <w:rsid w:val="007A5D3F"/>
    <w:rsid w:val="007B1166"/>
    <w:rsid w:val="007B1632"/>
    <w:rsid w:val="007B17A0"/>
    <w:rsid w:val="007B3491"/>
    <w:rsid w:val="007B4155"/>
    <w:rsid w:val="007B4DA4"/>
    <w:rsid w:val="007B4E3E"/>
    <w:rsid w:val="007B55F2"/>
    <w:rsid w:val="007B5719"/>
    <w:rsid w:val="007B59B3"/>
    <w:rsid w:val="007B5B41"/>
    <w:rsid w:val="007B6B73"/>
    <w:rsid w:val="007C02A1"/>
    <w:rsid w:val="007C1CC3"/>
    <w:rsid w:val="007C27F6"/>
    <w:rsid w:val="007C308A"/>
    <w:rsid w:val="007C3730"/>
    <w:rsid w:val="007C59D5"/>
    <w:rsid w:val="007C5BF0"/>
    <w:rsid w:val="007C6026"/>
    <w:rsid w:val="007C64E4"/>
    <w:rsid w:val="007C6DB2"/>
    <w:rsid w:val="007C73CB"/>
    <w:rsid w:val="007C7A96"/>
    <w:rsid w:val="007D340A"/>
    <w:rsid w:val="007D3C89"/>
    <w:rsid w:val="007D3D70"/>
    <w:rsid w:val="007D3E7B"/>
    <w:rsid w:val="007D4538"/>
    <w:rsid w:val="007D4D86"/>
    <w:rsid w:val="007D51D0"/>
    <w:rsid w:val="007D581F"/>
    <w:rsid w:val="007D5F0D"/>
    <w:rsid w:val="007D64EA"/>
    <w:rsid w:val="007D6AF0"/>
    <w:rsid w:val="007D6F42"/>
    <w:rsid w:val="007E085E"/>
    <w:rsid w:val="007E2056"/>
    <w:rsid w:val="007E209C"/>
    <w:rsid w:val="007E22BC"/>
    <w:rsid w:val="007E2443"/>
    <w:rsid w:val="007E3D14"/>
    <w:rsid w:val="007E436E"/>
    <w:rsid w:val="007E4589"/>
    <w:rsid w:val="007E4682"/>
    <w:rsid w:val="007E47F6"/>
    <w:rsid w:val="007E48D6"/>
    <w:rsid w:val="007E4A35"/>
    <w:rsid w:val="007E508B"/>
    <w:rsid w:val="007E50C2"/>
    <w:rsid w:val="007E536A"/>
    <w:rsid w:val="007E55BD"/>
    <w:rsid w:val="007E65E8"/>
    <w:rsid w:val="007E6D47"/>
    <w:rsid w:val="007F0BCA"/>
    <w:rsid w:val="007F235F"/>
    <w:rsid w:val="007F23D6"/>
    <w:rsid w:val="007F2502"/>
    <w:rsid w:val="007F3D62"/>
    <w:rsid w:val="007F3DDB"/>
    <w:rsid w:val="007F4BC3"/>
    <w:rsid w:val="007F6939"/>
    <w:rsid w:val="007F6DCF"/>
    <w:rsid w:val="007F7841"/>
    <w:rsid w:val="007F7A34"/>
    <w:rsid w:val="007F7B14"/>
    <w:rsid w:val="00801896"/>
    <w:rsid w:val="008029DC"/>
    <w:rsid w:val="00802D41"/>
    <w:rsid w:val="00803621"/>
    <w:rsid w:val="00803ABC"/>
    <w:rsid w:val="00803B0F"/>
    <w:rsid w:val="00803BF2"/>
    <w:rsid w:val="00804845"/>
    <w:rsid w:val="00805506"/>
    <w:rsid w:val="008061BD"/>
    <w:rsid w:val="00806284"/>
    <w:rsid w:val="008068D0"/>
    <w:rsid w:val="00806C4B"/>
    <w:rsid w:val="0081165B"/>
    <w:rsid w:val="008119C1"/>
    <w:rsid w:val="008127C9"/>
    <w:rsid w:val="00812E19"/>
    <w:rsid w:val="0081313F"/>
    <w:rsid w:val="00813731"/>
    <w:rsid w:val="00813DE2"/>
    <w:rsid w:val="008145F9"/>
    <w:rsid w:val="00814867"/>
    <w:rsid w:val="008148BF"/>
    <w:rsid w:val="00815782"/>
    <w:rsid w:val="00815C40"/>
    <w:rsid w:val="00816DE5"/>
    <w:rsid w:val="00820F42"/>
    <w:rsid w:val="0082374E"/>
    <w:rsid w:val="00823CD7"/>
    <w:rsid w:val="00824A87"/>
    <w:rsid w:val="00824F43"/>
    <w:rsid w:val="00825B3F"/>
    <w:rsid w:val="008266B4"/>
    <w:rsid w:val="00826ABB"/>
    <w:rsid w:val="008273F3"/>
    <w:rsid w:val="0082793F"/>
    <w:rsid w:val="00830680"/>
    <w:rsid w:val="008315D0"/>
    <w:rsid w:val="008320B7"/>
    <w:rsid w:val="008338A6"/>
    <w:rsid w:val="00833E13"/>
    <w:rsid w:val="00834E6A"/>
    <w:rsid w:val="00837DB1"/>
    <w:rsid w:val="008401C3"/>
    <w:rsid w:val="00840C1E"/>
    <w:rsid w:val="00841C14"/>
    <w:rsid w:val="008420D2"/>
    <w:rsid w:val="00842279"/>
    <w:rsid w:val="008423C0"/>
    <w:rsid w:val="00842828"/>
    <w:rsid w:val="00842D91"/>
    <w:rsid w:val="008439E8"/>
    <w:rsid w:val="00844DAA"/>
    <w:rsid w:val="00845D5D"/>
    <w:rsid w:val="008461B2"/>
    <w:rsid w:val="00846646"/>
    <w:rsid w:val="0084764E"/>
    <w:rsid w:val="00850460"/>
    <w:rsid w:val="00850772"/>
    <w:rsid w:val="00850854"/>
    <w:rsid w:val="00850B66"/>
    <w:rsid w:val="00851072"/>
    <w:rsid w:val="00851ADF"/>
    <w:rsid w:val="00851D1D"/>
    <w:rsid w:val="00853E4B"/>
    <w:rsid w:val="00854B7C"/>
    <w:rsid w:val="00855FC0"/>
    <w:rsid w:val="00857174"/>
    <w:rsid w:val="00862E31"/>
    <w:rsid w:val="00862F4A"/>
    <w:rsid w:val="008639F9"/>
    <w:rsid w:val="00864619"/>
    <w:rsid w:val="00864FDA"/>
    <w:rsid w:val="008654F2"/>
    <w:rsid w:val="00865B92"/>
    <w:rsid w:val="00866789"/>
    <w:rsid w:val="00867FCD"/>
    <w:rsid w:val="0087077A"/>
    <w:rsid w:val="00871896"/>
    <w:rsid w:val="008722BA"/>
    <w:rsid w:val="00872C97"/>
    <w:rsid w:val="00872CAF"/>
    <w:rsid w:val="00872EFA"/>
    <w:rsid w:val="00873052"/>
    <w:rsid w:val="00873573"/>
    <w:rsid w:val="00873C20"/>
    <w:rsid w:val="00874F71"/>
    <w:rsid w:val="00874FFE"/>
    <w:rsid w:val="00875119"/>
    <w:rsid w:val="00875C1C"/>
    <w:rsid w:val="00876E30"/>
    <w:rsid w:val="008779E5"/>
    <w:rsid w:val="00877F7E"/>
    <w:rsid w:val="0088253A"/>
    <w:rsid w:val="00882F15"/>
    <w:rsid w:val="0088304E"/>
    <w:rsid w:val="008849BB"/>
    <w:rsid w:val="00884F86"/>
    <w:rsid w:val="00885728"/>
    <w:rsid w:val="00885C2A"/>
    <w:rsid w:val="008861E2"/>
    <w:rsid w:val="008876D4"/>
    <w:rsid w:val="00887A11"/>
    <w:rsid w:val="00887E72"/>
    <w:rsid w:val="0089041B"/>
    <w:rsid w:val="0089067A"/>
    <w:rsid w:val="00890E62"/>
    <w:rsid w:val="00891722"/>
    <w:rsid w:val="00891945"/>
    <w:rsid w:val="00891E20"/>
    <w:rsid w:val="00891FBC"/>
    <w:rsid w:val="008926A2"/>
    <w:rsid w:val="00893149"/>
    <w:rsid w:val="008939AF"/>
    <w:rsid w:val="00894007"/>
    <w:rsid w:val="0089415F"/>
    <w:rsid w:val="00894BDB"/>
    <w:rsid w:val="008960DF"/>
    <w:rsid w:val="00896179"/>
    <w:rsid w:val="00897AC5"/>
    <w:rsid w:val="008A0006"/>
    <w:rsid w:val="008A089E"/>
    <w:rsid w:val="008A09EF"/>
    <w:rsid w:val="008A0B4F"/>
    <w:rsid w:val="008A11CA"/>
    <w:rsid w:val="008A25F6"/>
    <w:rsid w:val="008A2B73"/>
    <w:rsid w:val="008A3C6C"/>
    <w:rsid w:val="008A4178"/>
    <w:rsid w:val="008A5AC7"/>
    <w:rsid w:val="008A6607"/>
    <w:rsid w:val="008A6FC2"/>
    <w:rsid w:val="008B086E"/>
    <w:rsid w:val="008B0AC3"/>
    <w:rsid w:val="008B0BE4"/>
    <w:rsid w:val="008B1007"/>
    <w:rsid w:val="008B11AC"/>
    <w:rsid w:val="008B1A4F"/>
    <w:rsid w:val="008B1EBF"/>
    <w:rsid w:val="008B4D2D"/>
    <w:rsid w:val="008B657C"/>
    <w:rsid w:val="008C0CC3"/>
    <w:rsid w:val="008C141A"/>
    <w:rsid w:val="008C217D"/>
    <w:rsid w:val="008C34DC"/>
    <w:rsid w:val="008C450E"/>
    <w:rsid w:val="008C5918"/>
    <w:rsid w:val="008C649F"/>
    <w:rsid w:val="008C6A33"/>
    <w:rsid w:val="008C7C2D"/>
    <w:rsid w:val="008D06C8"/>
    <w:rsid w:val="008D0BD0"/>
    <w:rsid w:val="008D11A8"/>
    <w:rsid w:val="008D1847"/>
    <w:rsid w:val="008D2B1D"/>
    <w:rsid w:val="008D4747"/>
    <w:rsid w:val="008D4B80"/>
    <w:rsid w:val="008D4BEA"/>
    <w:rsid w:val="008D53FA"/>
    <w:rsid w:val="008D5642"/>
    <w:rsid w:val="008D5B29"/>
    <w:rsid w:val="008E06F8"/>
    <w:rsid w:val="008E0FB8"/>
    <w:rsid w:val="008E1634"/>
    <w:rsid w:val="008E3407"/>
    <w:rsid w:val="008E494D"/>
    <w:rsid w:val="008E505B"/>
    <w:rsid w:val="008E6A78"/>
    <w:rsid w:val="008E6BBD"/>
    <w:rsid w:val="008E7641"/>
    <w:rsid w:val="008F06ED"/>
    <w:rsid w:val="008F0C9D"/>
    <w:rsid w:val="008F0E6E"/>
    <w:rsid w:val="008F0F3A"/>
    <w:rsid w:val="008F148B"/>
    <w:rsid w:val="008F1985"/>
    <w:rsid w:val="008F1A25"/>
    <w:rsid w:val="008F3244"/>
    <w:rsid w:val="008F32D1"/>
    <w:rsid w:val="008F37B3"/>
    <w:rsid w:val="008F3B80"/>
    <w:rsid w:val="008F415B"/>
    <w:rsid w:val="008F4294"/>
    <w:rsid w:val="008F4562"/>
    <w:rsid w:val="008F4F9E"/>
    <w:rsid w:val="008F64CE"/>
    <w:rsid w:val="008F6DD9"/>
    <w:rsid w:val="008F70D5"/>
    <w:rsid w:val="008F72B7"/>
    <w:rsid w:val="0090009D"/>
    <w:rsid w:val="00900CE5"/>
    <w:rsid w:val="00902C62"/>
    <w:rsid w:val="0090398C"/>
    <w:rsid w:val="00904294"/>
    <w:rsid w:val="00904371"/>
    <w:rsid w:val="00904636"/>
    <w:rsid w:val="00904E67"/>
    <w:rsid w:val="00904FAF"/>
    <w:rsid w:val="009054EF"/>
    <w:rsid w:val="0090599B"/>
    <w:rsid w:val="00912C72"/>
    <w:rsid w:val="009131E1"/>
    <w:rsid w:val="00913378"/>
    <w:rsid w:val="00914304"/>
    <w:rsid w:val="0091450D"/>
    <w:rsid w:val="00915252"/>
    <w:rsid w:val="009159ED"/>
    <w:rsid w:val="0091642A"/>
    <w:rsid w:val="00916433"/>
    <w:rsid w:val="00916699"/>
    <w:rsid w:val="00916989"/>
    <w:rsid w:val="009178EA"/>
    <w:rsid w:val="00924BDC"/>
    <w:rsid w:val="00926898"/>
    <w:rsid w:val="0092728A"/>
    <w:rsid w:val="00927447"/>
    <w:rsid w:val="0093027B"/>
    <w:rsid w:val="009322F8"/>
    <w:rsid w:val="0093347B"/>
    <w:rsid w:val="00934B17"/>
    <w:rsid w:val="00935277"/>
    <w:rsid w:val="00937BAB"/>
    <w:rsid w:val="00937C16"/>
    <w:rsid w:val="009411C8"/>
    <w:rsid w:val="00941634"/>
    <w:rsid w:val="00941EBE"/>
    <w:rsid w:val="0094263A"/>
    <w:rsid w:val="009431B1"/>
    <w:rsid w:val="00944886"/>
    <w:rsid w:val="00945951"/>
    <w:rsid w:val="009459A1"/>
    <w:rsid w:val="00946784"/>
    <w:rsid w:val="009478ED"/>
    <w:rsid w:val="00947FD9"/>
    <w:rsid w:val="009500D0"/>
    <w:rsid w:val="009502E2"/>
    <w:rsid w:val="0095073A"/>
    <w:rsid w:val="0095075C"/>
    <w:rsid w:val="00950A0A"/>
    <w:rsid w:val="00952099"/>
    <w:rsid w:val="009529FE"/>
    <w:rsid w:val="00953482"/>
    <w:rsid w:val="0095348A"/>
    <w:rsid w:val="0095354B"/>
    <w:rsid w:val="00954493"/>
    <w:rsid w:val="00955042"/>
    <w:rsid w:val="00957F43"/>
    <w:rsid w:val="009609D5"/>
    <w:rsid w:val="00960D67"/>
    <w:rsid w:val="00961A44"/>
    <w:rsid w:val="00961D92"/>
    <w:rsid w:val="0096404D"/>
    <w:rsid w:val="00964B7B"/>
    <w:rsid w:val="00964E14"/>
    <w:rsid w:val="0096541F"/>
    <w:rsid w:val="00965B40"/>
    <w:rsid w:val="00966408"/>
    <w:rsid w:val="00966665"/>
    <w:rsid w:val="00970BF3"/>
    <w:rsid w:val="00971D76"/>
    <w:rsid w:val="009722ED"/>
    <w:rsid w:val="009728F3"/>
    <w:rsid w:val="009729F1"/>
    <w:rsid w:val="00972B41"/>
    <w:rsid w:val="00974DF4"/>
    <w:rsid w:val="00975E19"/>
    <w:rsid w:val="00976187"/>
    <w:rsid w:val="0097655D"/>
    <w:rsid w:val="00976FA0"/>
    <w:rsid w:val="00977998"/>
    <w:rsid w:val="0098015B"/>
    <w:rsid w:val="00981733"/>
    <w:rsid w:val="00981AAF"/>
    <w:rsid w:val="00981D06"/>
    <w:rsid w:val="00983CA0"/>
    <w:rsid w:val="0098415E"/>
    <w:rsid w:val="00984452"/>
    <w:rsid w:val="00984509"/>
    <w:rsid w:val="00984AF3"/>
    <w:rsid w:val="00986899"/>
    <w:rsid w:val="00986E41"/>
    <w:rsid w:val="00990C3A"/>
    <w:rsid w:val="009913F9"/>
    <w:rsid w:val="00993398"/>
    <w:rsid w:val="00993DD5"/>
    <w:rsid w:val="00994973"/>
    <w:rsid w:val="00995A40"/>
    <w:rsid w:val="00996362"/>
    <w:rsid w:val="00997AAC"/>
    <w:rsid w:val="00997E3B"/>
    <w:rsid w:val="009A0B37"/>
    <w:rsid w:val="009A0E36"/>
    <w:rsid w:val="009A2010"/>
    <w:rsid w:val="009A280C"/>
    <w:rsid w:val="009A382C"/>
    <w:rsid w:val="009A4508"/>
    <w:rsid w:val="009A4A6D"/>
    <w:rsid w:val="009A4AB4"/>
    <w:rsid w:val="009A4C67"/>
    <w:rsid w:val="009A4E1E"/>
    <w:rsid w:val="009A5A27"/>
    <w:rsid w:val="009A5EC7"/>
    <w:rsid w:val="009A6642"/>
    <w:rsid w:val="009A7278"/>
    <w:rsid w:val="009B172D"/>
    <w:rsid w:val="009B180D"/>
    <w:rsid w:val="009B290F"/>
    <w:rsid w:val="009B2D0B"/>
    <w:rsid w:val="009B313E"/>
    <w:rsid w:val="009B3478"/>
    <w:rsid w:val="009B448D"/>
    <w:rsid w:val="009B46B3"/>
    <w:rsid w:val="009B54E7"/>
    <w:rsid w:val="009B58C2"/>
    <w:rsid w:val="009B609C"/>
    <w:rsid w:val="009B752F"/>
    <w:rsid w:val="009B7E80"/>
    <w:rsid w:val="009C13B0"/>
    <w:rsid w:val="009C1770"/>
    <w:rsid w:val="009C278D"/>
    <w:rsid w:val="009C393C"/>
    <w:rsid w:val="009C3D5A"/>
    <w:rsid w:val="009C5DB9"/>
    <w:rsid w:val="009C6110"/>
    <w:rsid w:val="009C6BB3"/>
    <w:rsid w:val="009D2520"/>
    <w:rsid w:val="009D34D2"/>
    <w:rsid w:val="009D476C"/>
    <w:rsid w:val="009D53E5"/>
    <w:rsid w:val="009D5C52"/>
    <w:rsid w:val="009D6A1F"/>
    <w:rsid w:val="009D6B0D"/>
    <w:rsid w:val="009D6BFB"/>
    <w:rsid w:val="009D6E3C"/>
    <w:rsid w:val="009D739E"/>
    <w:rsid w:val="009E0FA9"/>
    <w:rsid w:val="009E21E7"/>
    <w:rsid w:val="009E2691"/>
    <w:rsid w:val="009E3255"/>
    <w:rsid w:val="009E33EF"/>
    <w:rsid w:val="009E347B"/>
    <w:rsid w:val="009E357B"/>
    <w:rsid w:val="009E3D95"/>
    <w:rsid w:val="009E45F5"/>
    <w:rsid w:val="009E513F"/>
    <w:rsid w:val="009E51DD"/>
    <w:rsid w:val="009E5230"/>
    <w:rsid w:val="009E5BE1"/>
    <w:rsid w:val="009E688E"/>
    <w:rsid w:val="009E7FEE"/>
    <w:rsid w:val="009F0240"/>
    <w:rsid w:val="009F0557"/>
    <w:rsid w:val="009F0AD0"/>
    <w:rsid w:val="009F0F20"/>
    <w:rsid w:val="009F181B"/>
    <w:rsid w:val="009F1FEF"/>
    <w:rsid w:val="009F2449"/>
    <w:rsid w:val="009F38E0"/>
    <w:rsid w:val="009F3F45"/>
    <w:rsid w:val="009F67D5"/>
    <w:rsid w:val="009F7046"/>
    <w:rsid w:val="009F73AC"/>
    <w:rsid w:val="009F73D3"/>
    <w:rsid w:val="009F7972"/>
    <w:rsid w:val="00A00307"/>
    <w:rsid w:val="00A00423"/>
    <w:rsid w:val="00A00A4F"/>
    <w:rsid w:val="00A00FDD"/>
    <w:rsid w:val="00A0114E"/>
    <w:rsid w:val="00A01409"/>
    <w:rsid w:val="00A01995"/>
    <w:rsid w:val="00A03B07"/>
    <w:rsid w:val="00A0514A"/>
    <w:rsid w:val="00A051D6"/>
    <w:rsid w:val="00A0562D"/>
    <w:rsid w:val="00A1118C"/>
    <w:rsid w:val="00A12AA7"/>
    <w:rsid w:val="00A14070"/>
    <w:rsid w:val="00A15BDE"/>
    <w:rsid w:val="00A16B84"/>
    <w:rsid w:val="00A17D1E"/>
    <w:rsid w:val="00A17DCB"/>
    <w:rsid w:val="00A221C5"/>
    <w:rsid w:val="00A231D2"/>
    <w:rsid w:val="00A232B2"/>
    <w:rsid w:val="00A2330A"/>
    <w:rsid w:val="00A23BD0"/>
    <w:rsid w:val="00A24014"/>
    <w:rsid w:val="00A249B9"/>
    <w:rsid w:val="00A25B71"/>
    <w:rsid w:val="00A2677C"/>
    <w:rsid w:val="00A272B2"/>
    <w:rsid w:val="00A30E7F"/>
    <w:rsid w:val="00A30E92"/>
    <w:rsid w:val="00A31D7E"/>
    <w:rsid w:val="00A33488"/>
    <w:rsid w:val="00A347AA"/>
    <w:rsid w:val="00A34D96"/>
    <w:rsid w:val="00A35044"/>
    <w:rsid w:val="00A35B6B"/>
    <w:rsid w:val="00A35C81"/>
    <w:rsid w:val="00A36522"/>
    <w:rsid w:val="00A36527"/>
    <w:rsid w:val="00A36689"/>
    <w:rsid w:val="00A3685D"/>
    <w:rsid w:val="00A407F2"/>
    <w:rsid w:val="00A410EE"/>
    <w:rsid w:val="00A415BD"/>
    <w:rsid w:val="00A41B99"/>
    <w:rsid w:val="00A4309F"/>
    <w:rsid w:val="00A43811"/>
    <w:rsid w:val="00A4402F"/>
    <w:rsid w:val="00A45D7D"/>
    <w:rsid w:val="00A4752F"/>
    <w:rsid w:val="00A47697"/>
    <w:rsid w:val="00A477A2"/>
    <w:rsid w:val="00A47D08"/>
    <w:rsid w:val="00A532DE"/>
    <w:rsid w:val="00A53307"/>
    <w:rsid w:val="00A536B2"/>
    <w:rsid w:val="00A549B6"/>
    <w:rsid w:val="00A55F34"/>
    <w:rsid w:val="00A56B56"/>
    <w:rsid w:val="00A56D57"/>
    <w:rsid w:val="00A56D61"/>
    <w:rsid w:val="00A60534"/>
    <w:rsid w:val="00A605C5"/>
    <w:rsid w:val="00A62F9A"/>
    <w:rsid w:val="00A63275"/>
    <w:rsid w:val="00A63A2C"/>
    <w:rsid w:val="00A65460"/>
    <w:rsid w:val="00A65694"/>
    <w:rsid w:val="00A66BFF"/>
    <w:rsid w:val="00A67EB9"/>
    <w:rsid w:val="00A70599"/>
    <w:rsid w:val="00A72CCC"/>
    <w:rsid w:val="00A73385"/>
    <w:rsid w:val="00A738F9"/>
    <w:rsid w:val="00A74EFA"/>
    <w:rsid w:val="00A768D1"/>
    <w:rsid w:val="00A77B71"/>
    <w:rsid w:val="00A77F66"/>
    <w:rsid w:val="00A82547"/>
    <w:rsid w:val="00A82570"/>
    <w:rsid w:val="00A8306A"/>
    <w:rsid w:val="00A83116"/>
    <w:rsid w:val="00A8329E"/>
    <w:rsid w:val="00A835B6"/>
    <w:rsid w:val="00A83D7C"/>
    <w:rsid w:val="00A83FF0"/>
    <w:rsid w:val="00A846A9"/>
    <w:rsid w:val="00A848E4"/>
    <w:rsid w:val="00A84DB2"/>
    <w:rsid w:val="00A850CB"/>
    <w:rsid w:val="00A87B16"/>
    <w:rsid w:val="00A903C8"/>
    <w:rsid w:val="00A914BF"/>
    <w:rsid w:val="00A92EFB"/>
    <w:rsid w:val="00A93429"/>
    <w:rsid w:val="00A944BC"/>
    <w:rsid w:val="00A9467F"/>
    <w:rsid w:val="00A94E39"/>
    <w:rsid w:val="00A95A3D"/>
    <w:rsid w:val="00A97253"/>
    <w:rsid w:val="00A9765D"/>
    <w:rsid w:val="00AA0F70"/>
    <w:rsid w:val="00AA10EF"/>
    <w:rsid w:val="00AA2150"/>
    <w:rsid w:val="00AA219A"/>
    <w:rsid w:val="00AA3E62"/>
    <w:rsid w:val="00AA49B9"/>
    <w:rsid w:val="00AA5678"/>
    <w:rsid w:val="00AA6BB7"/>
    <w:rsid w:val="00AB0218"/>
    <w:rsid w:val="00AB0B4A"/>
    <w:rsid w:val="00AB0BDD"/>
    <w:rsid w:val="00AB119B"/>
    <w:rsid w:val="00AB17B5"/>
    <w:rsid w:val="00AB1AEA"/>
    <w:rsid w:val="00AB1B6F"/>
    <w:rsid w:val="00AB3E9F"/>
    <w:rsid w:val="00AB4F52"/>
    <w:rsid w:val="00AB5431"/>
    <w:rsid w:val="00AB5733"/>
    <w:rsid w:val="00AB596B"/>
    <w:rsid w:val="00AC2FBB"/>
    <w:rsid w:val="00AC493C"/>
    <w:rsid w:val="00AC7140"/>
    <w:rsid w:val="00AD0875"/>
    <w:rsid w:val="00AD0B44"/>
    <w:rsid w:val="00AD0FC2"/>
    <w:rsid w:val="00AD1D1D"/>
    <w:rsid w:val="00AD29C7"/>
    <w:rsid w:val="00AD2EE4"/>
    <w:rsid w:val="00AD3353"/>
    <w:rsid w:val="00AD49D4"/>
    <w:rsid w:val="00AD5ACA"/>
    <w:rsid w:val="00AD71C0"/>
    <w:rsid w:val="00AD72EC"/>
    <w:rsid w:val="00AD759B"/>
    <w:rsid w:val="00AD79E0"/>
    <w:rsid w:val="00AD7DA5"/>
    <w:rsid w:val="00AE1B98"/>
    <w:rsid w:val="00AE29D4"/>
    <w:rsid w:val="00AE3632"/>
    <w:rsid w:val="00AE3CE9"/>
    <w:rsid w:val="00AE48D4"/>
    <w:rsid w:val="00AE505C"/>
    <w:rsid w:val="00AE5661"/>
    <w:rsid w:val="00AE5E0F"/>
    <w:rsid w:val="00AF068E"/>
    <w:rsid w:val="00AF0694"/>
    <w:rsid w:val="00AF08D3"/>
    <w:rsid w:val="00AF172E"/>
    <w:rsid w:val="00AF2B7F"/>
    <w:rsid w:val="00AF40EA"/>
    <w:rsid w:val="00AF427B"/>
    <w:rsid w:val="00AF4628"/>
    <w:rsid w:val="00AF4C10"/>
    <w:rsid w:val="00AF516D"/>
    <w:rsid w:val="00AF5359"/>
    <w:rsid w:val="00AF613D"/>
    <w:rsid w:val="00AF67DD"/>
    <w:rsid w:val="00B0210C"/>
    <w:rsid w:val="00B02387"/>
    <w:rsid w:val="00B0324C"/>
    <w:rsid w:val="00B03EB4"/>
    <w:rsid w:val="00B03F60"/>
    <w:rsid w:val="00B04281"/>
    <w:rsid w:val="00B04C37"/>
    <w:rsid w:val="00B052E9"/>
    <w:rsid w:val="00B05D9B"/>
    <w:rsid w:val="00B066B8"/>
    <w:rsid w:val="00B07A51"/>
    <w:rsid w:val="00B105AD"/>
    <w:rsid w:val="00B10694"/>
    <w:rsid w:val="00B10A36"/>
    <w:rsid w:val="00B1151F"/>
    <w:rsid w:val="00B12336"/>
    <w:rsid w:val="00B12D86"/>
    <w:rsid w:val="00B13043"/>
    <w:rsid w:val="00B1377B"/>
    <w:rsid w:val="00B13904"/>
    <w:rsid w:val="00B13BAB"/>
    <w:rsid w:val="00B13C52"/>
    <w:rsid w:val="00B148F5"/>
    <w:rsid w:val="00B14A32"/>
    <w:rsid w:val="00B1522B"/>
    <w:rsid w:val="00B15B06"/>
    <w:rsid w:val="00B164FC"/>
    <w:rsid w:val="00B1650E"/>
    <w:rsid w:val="00B16C51"/>
    <w:rsid w:val="00B17251"/>
    <w:rsid w:val="00B179C0"/>
    <w:rsid w:val="00B2000E"/>
    <w:rsid w:val="00B213E5"/>
    <w:rsid w:val="00B21C45"/>
    <w:rsid w:val="00B223C9"/>
    <w:rsid w:val="00B2335A"/>
    <w:rsid w:val="00B234AE"/>
    <w:rsid w:val="00B23A79"/>
    <w:rsid w:val="00B23DF6"/>
    <w:rsid w:val="00B2441B"/>
    <w:rsid w:val="00B27964"/>
    <w:rsid w:val="00B30452"/>
    <w:rsid w:val="00B32F21"/>
    <w:rsid w:val="00B33946"/>
    <w:rsid w:val="00B3494A"/>
    <w:rsid w:val="00B349D3"/>
    <w:rsid w:val="00B350F3"/>
    <w:rsid w:val="00B367CD"/>
    <w:rsid w:val="00B37AB8"/>
    <w:rsid w:val="00B37FAF"/>
    <w:rsid w:val="00B402A4"/>
    <w:rsid w:val="00B412C3"/>
    <w:rsid w:val="00B419C2"/>
    <w:rsid w:val="00B42CC6"/>
    <w:rsid w:val="00B434B9"/>
    <w:rsid w:val="00B440B8"/>
    <w:rsid w:val="00B448B4"/>
    <w:rsid w:val="00B44F5C"/>
    <w:rsid w:val="00B453ED"/>
    <w:rsid w:val="00B46112"/>
    <w:rsid w:val="00B46D6B"/>
    <w:rsid w:val="00B470E2"/>
    <w:rsid w:val="00B47314"/>
    <w:rsid w:val="00B477BA"/>
    <w:rsid w:val="00B50B81"/>
    <w:rsid w:val="00B511E4"/>
    <w:rsid w:val="00B51C5D"/>
    <w:rsid w:val="00B52441"/>
    <w:rsid w:val="00B5247C"/>
    <w:rsid w:val="00B52512"/>
    <w:rsid w:val="00B546D3"/>
    <w:rsid w:val="00B5482A"/>
    <w:rsid w:val="00B5640B"/>
    <w:rsid w:val="00B569FF"/>
    <w:rsid w:val="00B57528"/>
    <w:rsid w:val="00B57961"/>
    <w:rsid w:val="00B60BD1"/>
    <w:rsid w:val="00B60DB2"/>
    <w:rsid w:val="00B6131E"/>
    <w:rsid w:val="00B622DB"/>
    <w:rsid w:val="00B64855"/>
    <w:rsid w:val="00B6520D"/>
    <w:rsid w:val="00B653D2"/>
    <w:rsid w:val="00B66369"/>
    <w:rsid w:val="00B66408"/>
    <w:rsid w:val="00B66897"/>
    <w:rsid w:val="00B67A46"/>
    <w:rsid w:val="00B70751"/>
    <w:rsid w:val="00B71DA5"/>
    <w:rsid w:val="00B7461C"/>
    <w:rsid w:val="00B749DD"/>
    <w:rsid w:val="00B74D0B"/>
    <w:rsid w:val="00B74EC9"/>
    <w:rsid w:val="00B7534A"/>
    <w:rsid w:val="00B76E27"/>
    <w:rsid w:val="00B7732D"/>
    <w:rsid w:val="00B77FCD"/>
    <w:rsid w:val="00B80EF0"/>
    <w:rsid w:val="00B81D6F"/>
    <w:rsid w:val="00B83C75"/>
    <w:rsid w:val="00B842BC"/>
    <w:rsid w:val="00B849CD"/>
    <w:rsid w:val="00B85CAD"/>
    <w:rsid w:val="00B8624D"/>
    <w:rsid w:val="00B86C3E"/>
    <w:rsid w:val="00B87396"/>
    <w:rsid w:val="00B878A2"/>
    <w:rsid w:val="00B90016"/>
    <w:rsid w:val="00B90C7F"/>
    <w:rsid w:val="00B90E75"/>
    <w:rsid w:val="00B92F3B"/>
    <w:rsid w:val="00B94F6A"/>
    <w:rsid w:val="00B952BB"/>
    <w:rsid w:val="00B95F17"/>
    <w:rsid w:val="00BA0403"/>
    <w:rsid w:val="00BA11CC"/>
    <w:rsid w:val="00BA1B32"/>
    <w:rsid w:val="00BA1CD7"/>
    <w:rsid w:val="00BA22C8"/>
    <w:rsid w:val="00BA2536"/>
    <w:rsid w:val="00BA2D96"/>
    <w:rsid w:val="00BA39C9"/>
    <w:rsid w:val="00BA5233"/>
    <w:rsid w:val="00BA549E"/>
    <w:rsid w:val="00BA6249"/>
    <w:rsid w:val="00BA709B"/>
    <w:rsid w:val="00BA74C8"/>
    <w:rsid w:val="00BA75C3"/>
    <w:rsid w:val="00BB03B6"/>
    <w:rsid w:val="00BB07BB"/>
    <w:rsid w:val="00BB1475"/>
    <w:rsid w:val="00BB1992"/>
    <w:rsid w:val="00BB2986"/>
    <w:rsid w:val="00BB2B1E"/>
    <w:rsid w:val="00BB2EE3"/>
    <w:rsid w:val="00BB4ED5"/>
    <w:rsid w:val="00BB5052"/>
    <w:rsid w:val="00BB60A8"/>
    <w:rsid w:val="00BB6B27"/>
    <w:rsid w:val="00BB704E"/>
    <w:rsid w:val="00BC0B1B"/>
    <w:rsid w:val="00BC1D00"/>
    <w:rsid w:val="00BC25D9"/>
    <w:rsid w:val="00BC2771"/>
    <w:rsid w:val="00BC4F84"/>
    <w:rsid w:val="00BC6776"/>
    <w:rsid w:val="00BC6BDC"/>
    <w:rsid w:val="00BD029B"/>
    <w:rsid w:val="00BD0707"/>
    <w:rsid w:val="00BD0B07"/>
    <w:rsid w:val="00BD0C42"/>
    <w:rsid w:val="00BD1CFE"/>
    <w:rsid w:val="00BD226C"/>
    <w:rsid w:val="00BD2F9A"/>
    <w:rsid w:val="00BD50E3"/>
    <w:rsid w:val="00BD535D"/>
    <w:rsid w:val="00BD6498"/>
    <w:rsid w:val="00BD6765"/>
    <w:rsid w:val="00BD69ED"/>
    <w:rsid w:val="00BD71BB"/>
    <w:rsid w:val="00BD748D"/>
    <w:rsid w:val="00BD74A2"/>
    <w:rsid w:val="00BE041D"/>
    <w:rsid w:val="00BE0AE2"/>
    <w:rsid w:val="00BE0B5C"/>
    <w:rsid w:val="00BE180A"/>
    <w:rsid w:val="00BE1A43"/>
    <w:rsid w:val="00BE1F7B"/>
    <w:rsid w:val="00BE2290"/>
    <w:rsid w:val="00BE2F89"/>
    <w:rsid w:val="00BE3304"/>
    <w:rsid w:val="00BF09E1"/>
    <w:rsid w:val="00BF1194"/>
    <w:rsid w:val="00BF2E35"/>
    <w:rsid w:val="00BF31E6"/>
    <w:rsid w:val="00BF3D8C"/>
    <w:rsid w:val="00BF503D"/>
    <w:rsid w:val="00BF510F"/>
    <w:rsid w:val="00BF73D9"/>
    <w:rsid w:val="00BF7F43"/>
    <w:rsid w:val="00C0041A"/>
    <w:rsid w:val="00C0053B"/>
    <w:rsid w:val="00C02165"/>
    <w:rsid w:val="00C02755"/>
    <w:rsid w:val="00C032C7"/>
    <w:rsid w:val="00C04220"/>
    <w:rsid w:val="00C04360"/>
    <w:rsid w:val="00C06BF5"/>
    <w:rsid w:val="00C07E97"/>
    <w:rsid w:val="00C107D2"/>
    <w:rsid w:val="00C11BA2"/>
    <w:rsid w:val="00C11BBB"/>
    <w:rsid w:val="00C11E6E"/>
    <w:rsid w:val="00C14E25"/>
    <w:rsid w:val="00C152A8"/>
    <w:rsid w:val="00C15C5B"/>
    <w:rsid w:val="00C164EC"/>
    <w:rsid w:val="00C178F3"/>
    <w:rsid w:val="00C20EC0"/>
    <w:rsid w:val="00C21AC7"/>
    <w:rsid w:val="00C21BCB"/>
    <w:rsid w:val="00C21FF0"/>
    <w:rsid w:val="00C2277A"/>
    <w:rsid w:val="00C227E4"/>
    <w:rsid w:val="00C24A2D"/>
    <w:rsid w:val="00C253D0"/>
    <w:rsid w:val="00C25843"/>
    <w:rsid w:val="00C25971"/>
    <w:rsid w:val="00C25E3F"/>
    <w:rsid w:val="00C26144"/>
    <w:rsid w:val="00C26E26"/>
    <w:rsid w:val="00C27426"/>
    <w:rsid w:val="00C274F1"/>
    <w:rsid w:val="00C319B8"/>
    <w:rsid w:val="00C32653"/>
    <w:rsid w:val="00C32DF3"/>
    <w:rsid w:val="00C33D89"/>
    <w:rsid w:val="00C356D5"/>
    <w:rsid w:val="00C37ACF"/>
    <w:rsid w:val="00C40F58"/>
    <w:rsid w:val="00C414DD"/>
    <w:rsid w:val="00C41829"/>
    <w:rsid w:val="00C41ABF"/>
    <w:rsid w:val="00C439F6"/>
    <w:rsid w:val="00C45630"/>
    <w:rsid w:val="00C5055B"/>
    <w:rsid w:val="00C50A9A"/>
    <w:rsid w:val="00C52713"/>
    <w:rsid w:val="00C5273A"/>
    <w:rsid w:val="00C54DCE"/>
    <w:rsid w:val="00C5572F"/>
    <w:rsid w:val="00C55C60"/>
    <w:rsid w:val="00C60B84"/>
    <w:rsid w:val="00C62755"/>
    <w:rsid w:val="00C63A50"/>
    <w:rsid w:val="00C63BCC"/>
    <w:rsid w:val="00C63BDD"/>
    <w:rsid w:val="00C64FA2"/>
    <w:rsid w:val="00C65099"/>
    <w:rsid w:val="00C658B2"/>
    <w:rsid w:val="00C65B80"/>
    <w:rsid w:val="00C660DD"/>
    <w:rsid w:val="00C661C0"/>
    <w:rsid w:val="00C66738"/>
    <w:rsid w:val="00C70435"/>
    <w:rsid w:val="00C70861"/>
    <w:rsid w:val="00C71296"/>
    <w:rsid w:val="00C7151A"/>
    <w:rsid w:val="00C71677"/>
    <w:rsid w:val="00C729E9"/>
    <w:rsid w:val="00C7300D"/>
    <w:rsid w:val="00C73517"/>
    <w:rsid w:val="00C736C0"/>
    <w:rsid w:val="00C7395D"/>
    <w:rsid w:val="00C73D2F"/>
    <w:rsid w:val="00C741E5"/>
    <w:rsid w:val="00C746E3"/>
    <w:rsid w:val="00C75FD5"/>
    <w:rsid w:val="00C76FF9"/>
    <w:rsid w:val="00C804B0"/>
    <w:rsid w:val="00C81629"/>
    <w:rsid w:val="00C82012"/>
    <w:rsid w:val="00C8258C"/>
    <w:rsid w:val="00C831D3"/>
    <w:rsid w:val="00C8378F"/>
    <w:rsid w:val="00C83A9A"/>
    <w:rsid w:val="00C83C92"/>
    <w:rsid w:val="00C8525C"/>
    <w:rsid w:val="00C876D6"/>
    <w:rsid w:val="00C9152C"/>
    <w:rsid w:val="00C92389"/>
    <w:rsid w:val="00C929FD"/>
    <w:rsid w:val="00C94254"/>
    <w:rsid w:val="00C94372"/>
    <w:rsid w:val="00C9485C"/>
    <w:rsid w:val="00C94B2F"/>
    <w:rsid w:val="00C94C0D"/>
    <w:rsid w:val="00C94CDE"/>
    <w:rsid w:val="00C955AF"/>
    <w:rsid w:val="00C955C6"/>
    <w:rsid w:val="00C973F9"/>
    <w:rsid w:val="00CA0011"/>
    <w:rsid w:val="00CA03F4"/>
    <w:rsid w:val="00CA07BC"/>
    <w:rsid w:val="00CA0E49"/>
    <w:rsid w:val="00CA19FE"/>
    <w:rsid w:val="00CA1FD1"/>
    <w:rsid w:val="00CA2279"/>
    <w:rsid w:val="00CA2DDD"/>
    <w:rsid w:val="00CA2E22"/>
    <w:rsid w:val="00CA3A5B"/>
    <w:rsid w:val="00CA42D2"/>
    <w:rsid w:val="00CA75F5"/>
    <w:rsid w:val="00CA75F8"/>
    <w:rsid w:val="00CB0200"/>
    <w:rsid w:val="00CB206D"/>
    <w:rsid w:val="00CB486A"/>
    <w:rsid w:val="00CB52B7"/>
    <w:rsid w:val="00CB6799"/>
    <w:rsid w:val="00CB7BF4"/>
    <w:rsid w:val="00CC009D"/>
    <w:rsid w:val="00CC04A1"/>
    <w:rsid w:val="00CC0C08"/>
    <w:rsid w:val="00CC0E2A"/>
    <w:rsid w:val="00CC37CA"/>
    <w:rsid w:val="00CC3E69"/>
    <w:rsid w:val="00CC3FE9"/>
    <w:rsid w:val="00CC633C"/>
    <w:rsid w:val="00CD04B9"/>
    <w:rsid w:val="00CD116D"/>
    <w:rsid w:val="00CD52DB"/>
    <w:rsid w:val="00CD549C"/>
    <w:rsid w:val="00CD55CA"/>
    <w:rsid w:val="00CD63DC"/>
    <w:rsid w:val="00CD765B"/>
    <w:rsid w:val="00CD767D"/>
    <w:rsid w:val="00CD7C95"/>
    <w:rsid w:val="00CE0D31"/>
    <w:rsid w:val="00CE21BC"/>
    <w:rsid w:val="00CE75E5"/>
    <w:rsid w:val="00CF059B"/>
    <w:rsid w:val="00CF0F80"/>
    <w:rsid w:val="00CF11E9"/>
    <w:rsid w:val="00CF1BCB"/>
    <w:rsid w:val="00CF34FC"/>
    <w:rsid w:val="00CF3D7E"/>
    <w:rsid w:val="00CF438A"/>
    <w:rsid w:val="00CF508D"/>
    <w:rsid w:val="00CF52B3"/>
    <w:rsid w:val="00CF5DAD"/>
    <w:rsid w:val="00CF7793"/>
    <w:rsid w:val="00CF7DF4"/>
    <w:rsid w:val="00D0039A"/>
    <w:rsid w:val="00D007C3"/>
    <w:rsid w:val="00D01706"/>
    <w:rsid w:val="00D019B8"/>
    <w:rsid w:val="00D02D7A"/>
    <w:rsid w:val="00D03C4A"/>
    <w:rsid w:val="00D03E73"/>
    <w:rsid w:val="00D057C5"/>
    <w:rsid w:val="00D0672E"/>
    <w:rsid w:val="00D07222"/>
    <w:rsid w:val="00D07C25"/>
    <w:rsid w:val="00D104F3"/>
    <w:rsid w:val="00D1088B"/>
    <w:rsid w:val="00D10B21"/>
    <w:rsid w:val="00D10F88"/>
    <w:rsid w:val="00D11078"/>
    <w:rsid w:val="00D11FC0"/>
    <w:rsid w:val="00D1318E"/>
    <w:rsid w:val="00D13482"/>
    <w:rsid w:val="00D134EE"/>
    <w:rsid w:val="00D13D5D"/>
    <w:rsid w:val="00D14A68"/>
    <w:rsid w:val="00D14E5B"/>
    <w:rsid w:val="00D14F7A"/>
    <w:rsid w:val="00D15515"/>
    <w:rsid w:val="00D15AF4"/>
    <w:rsid w:val="00D15D1B"/>
    <w:rsid w:val="00D15FD7"/>
    <w:rsid w:val="00D16DC0"/>
    <w:rsid w:val="00D16EFE"/>
    <w:rsid w:val="00D173B6"/>
    <w:rsid w:val="00D20267"/>
    <w:rsid w:val="00D20410"/>
    <w:rsid w:val="00D2101A"/>
    <w:rsid w:val="00D219D8"/>
    <w:rsid w:val="00D2210E"/>
    <w:rsid w:val="00D228BA"/>
    <w:rsid w:val="00D22E59"/>
    <w:rsid w:val="00D24BF3"/>
    <w:rsid w:val="00D24DE9"/>
    <w:rsid w:val="00D258F4"/>
    <w:rsid w:val="00D26B4E"/>
    <w:rsid w:val="00D27B4F"/>
    <w:rsid w:val="00D3048D"/>
    <w:rsid w:val="00D30A55"/>
    <w:rsid w:val="00D30B5E"/>
    <w:rsid w:val="00D310EC"/>
    <w:rsid w:val="00D31C9F"/>
    <w:rsid w:val="00D3497D"/>
    <w:rsid w:val="00D35365"/>
    <w:rsid w:val="00D35ED3"/>
    <w:rsid w:val="00D36956"/>
    <w:rsid w:val="00D36A67"/>
    <w:rsid w:val="00D36AE0"/>
    <w:rsid w:val="00D37414"/>
    <w:rsid w:val="00D376A5"/>
    <w:rsid w:val="00D37ABC"/>
    <w:rsid w:val="00D37CEB"/>
    <w:rsid w:val="00D404A9"/>
    <w:rsid w:val="00D404C8"/>
    <w:rsid w:val="00D40E45"/>
    <w:rsid w:val="00D410A3"/>
    <w:rsid w:val="00D411E7"/>
    <w:rsid w:val="00D419A8"/>
    <w:rsid w:val="00D41AB7"/>
    <w:rsid w:val="00D425C4"/>
    <w:rsid w:val="00D44220"/>
    <w:rsid w:val="00D4539F"/>
    <w:rsid w:val="00D4689C"/>
    <w:rsid w:val="00D46BC6"/>
    <w:rsid w:val="00D46BE9"/>
    <w:rsid w:val="00D46D7E"/>
    <w:rsid w:val="00D4782D"/>
    <w:rsid w:val="00D47D10"/>
    <w:rsid w:val="00D500DC"/>
    <w:rsid w:val="00D50E1A"/>
    <w:rsid w:val="00D51AD7"/>
    <w:rsid w:val="00D54048"/>
    <w:rsid w:val="00D54D1A"/>
    <w:rsid w:val="00D54F86"/>
    <w:rsid w:val="00D5678D"/>
    <w:rsid w:val="00D56F31"/>
    <w:rsid w:val="00D57535"/>
    <w:rsid w:val="00D5789A"/>
    <w:rsid w:val="00D57B0C"/>
    <w:rsid w:val="00D608A7"/>
    <w:rsid w:val="00D60A7C"/>
    <w:rsid w:val="00D60B85"/>
    <w:rsid w:val="00D62FDE"/>
    <w:rsid w:val="00D63246"/>
    <w:rsid w:val="00D658C3"/>
    <w:rsid w:val="00D65A19"/>
    <w:rsid w:val="00D664FB"/>
    <w:rsid w:val="00D66B9E"/>
    <w:rsid w:val="00D66C3A"/>
    <w:rsid w:val="00D7023A"/>
    <w:rsid w:val="00D70D03"/>
    <w:rsid w:val="00D70FA2"/>
    <w:rsid w:val="00D71BCB"/>
    <w:rsid w:val="00D726E8"/>
    <w:rsid w:val="00D73263"/>
    <w:rsid w:val="00D74B28"/>
    <w:rsid w:val="00D75200"/>
    <w:rsid w:val="00D76929"/>
    <w:rsid w:val="00D76A32"/>
    <w:rsid w:val="00D77372"/>
    <w:rsid w:val="00D80AF8"/>
    <w:rsid w:val="00D80C22"/>
    <w:rsid w:val="00D81021"/>
    <w:rsid w:val="00D81766"/>
    <w:rsid w:val="00D81960"/>
    <w:rsid w:val="00D81A46"/>
    <w:rsid w:val="00D83A37"/>
    <w:rsid w:val="00D842A7"/>
    <w:rsid w:val="00D84CFB"/>
    <w:rsid w:val="00D85112"/>
    <w:rsid w:val="00D85259"/>
    <w:rsid w:val="00D85BDA"/>
    <w:rsid w:val="00D861CA"/>
    <w:rsid w:val="00D87A5D"/>
    <w:rsid w:val="00D87AB4"/>
    <w:rsid w:val="00D9100E"/>
    <w:rsid w:val="00D91420"/>
    <w:rsid w:val="00D91FAC"/>
    <w:rsid w:val="00D928CC"/>
    <w:rsid w:val="00D94064"/>
    <w:rsid w:val="00D94FAF"/>
    <w:rsid w:val="00D951A2"/>
    <w:rsid w:val="00DA0797"/>
    <w:rsid w:val="00DA1174"/>
    <w:rsid w:val="00DA13AF"/>
    <w:rsid w:val="00DA14E5"/>
    <w:rsid w:val="00DA4E40"/>
    <w:rsid w:val="00DA5B4B"/>
    <w:rsid w:val="00DB10D7"/>
    <w:rsid w:val="00DB1DF1"/>
    <w:rsid w:val="00DB23F3"/>
    <w:rsid w:val="00DB264B"/>
    <w:rsid w:val="00DB27E1"/>
    <w:rsid w:val="00DB3420"/>
    <w:rsid w:val="00DB3FFD"/>
    <w:rsid w:val="00DB518B"/>
    <w:rsid w:val="00DB6AFF"/>
    <w:rsid w:val="00DB6DA2"/>
    <w:rsid w:val="00DB7BD0"/>
    <w:rsid w:val="00DC04EC"/>
    <w:rsid w:val="00DC0B4B"/>
    <w:rsid w:val="00DC0E02"/>
    <w:rsid w:val="00DC1744"/>
    <w:rsid w:val="00DC21B9"/>
    <w:rsid w:val="00DC2EF9"/>
    <w:rsid w:val="00DC4254"/>
    <w:rsid w:val="00DC4632"/>
    <w:rsid w:val="00DC4A56"/>
    <w:rsid w:val="00DC5F93"/>
    <w:rsid w:val="00DC6C3B"/>
    <w:rsid w:val="00DC7336"/>
    <w:rsid w:val="00DC7AE6"/>
    <w:rsid w:val="00DD0B41"/>
    <w:rsid w:val="00DD0FFA"/>
    <w:rsid w:val="00DD118B"/>
    <w:rsid w:val="00DD119D"/>
    <w:rsid w:val="00DD1289"/>
    <w:rsid w:val="00DD1CA9"/>
    <w:rsid w:val="00DD1CAB"/>
    <w:rsid w:val="00DD2078"/>
    <w:rsid w:val="00DD306F"/>
    <w:rsid w:val="00DD367C"/>
    <w:rsid w:val="00DD36D4"/>
    <w:rsid w:val="00DD3C0B"/>
    <w:rsid w:val="00DD3CB3"/>
    <w:rsid w:val="00DD46D7"/>
    <w:rsid w:val="00DD4BB0"/>
    <w:rsid w:val="00DD64C1"/>
    <w:rsid w:val="00DD6DD3"/>
    <w:rsid w:val="00DD7310"/>
    <w:rsid w:val="00DE0A0E"/>
    <w:rsid w:val="00DE0E8D"/>
    <w:rsid w:val="00DE1EF7"/>
    <w:rsid w:val="00DE1FBE"/>
    <w:rsid w:val="00DE2A1D"/>
    <w:rsid w:val="00DE32D2"/>
    <w:rsid w:val="00DE3724"/>
    <w:rsid w:val="00DE3B3A"/>
    <w:rsid w:val="00DE53A1"/>
    <w:rsid w:val="00DE579C"/>
    <w:rsid w:val="00DE6523"/>
    <w:rsid w:val="00DE7FAF"/>
    <w:rsid w:val="00DF0074"/>
    <w:rsid w:val="00DF1037"/>
    <w:rsid w:val="00DF20C9"/>
    <w:rsid w:val="00DF20F2"/>
    <w:rsid w:val="00DF54F0"/>
    <w:rsid w:val="00DF5ED8"/>
    <w:rsid w:val="00DF5F5F"/>
    <w:rsid w:val="00DF63EC"/>
    <w:rsid w:val="00DF64C2"/>
    <w:rsid w:val="00E009BB"/>
    <w:rsid w:val="00E00B20"/>
    <w:rsid w:val="00E02093"/>
    <w:rsid w:val="00E02583"/>
    <w:rsid w:val="00E02763"/>
    <w:rsid w:val="00E02E36"/>
    <w:rsid w:val="00E04736"/>
    <w:rsid w:val="00E05E53"/>
    <w:rsid w:val="00E06372"/>
    <w:rsid w:val="00E065BD"/>
    <w:rsid w:val="00E07017"/>
    <w:rsid w:val="00E07047"/>
    <w:rsid w:val="00E07B04"/>
    <w:rsid w:val="00E10190"/>
    <w:rsid w:val="00E10AF5"/>
    <w:rsid w:val="00E12C33"/>
    <w:rsid w:val="00E136ED"/>
    <w:rsid w:val="00E14D0E"/>
    <w:rsid w:val="00E16BB8"/>
    <w:rsid w:val="00E17286"/>
    <w:rsid w:val="00E17AD9"/>
    <w:rsid w:val="00E200F2"/>
    <w:rsid w:val="00E201ED"/>
    <w:rsid w:val="00E20A5D"/>
    <w:rsid w:val="00E20F84"/>
    <w:rsid w:val="00E21DE1"/>
    <w:rsid w:val="00E2234D"/>
    <w:rsid w:val="00E2264D"/>
    <w:rsid w:val="00E234FA"/>
    <w:rsid w:val="00E23B4B"/>
    <w:rsid w:val="00E23D17"/>
    <w:rsid w:val="00E23F7B"/>
    <w:rsid w:val="00E2494A"/>
    <w:rsid w:val="00E2622C"/>
    <w:rsid w:val="00E2710C"/>
    <w:rsid w:val="00E27ACA"/>
    <w:rsid w:val="00E27BE5"/>
    <w:rsid w:val="00E30CA6"/>
    <w:rsid w:val="00E30DE5"/>
    <w:rsid w:val="00E31479"/>
    <w:rsid w:val="00E31903"/>
    <w:rsid w:val="00E32C14"/>
    <w:rsid w:val="00E32E29"/>
    <w:rsid w:val="00E3331B"/>
    <w:rsid w:val="00E3352C"/>
    <w:rsid w:val="00E340AF"/>
    <w:rsid w:val="00E34F75"/>
    <w:rsid w:val="00E37019"/>
    <w:rsid w:val="00E3722C"/>
    <w:rsid w:val="00E373E2"/>
    <w:rsid w:val="00E37700"/>
    <w:rsid w:val="00E406FE"/>
    <w:rsid w:val="00E40863"/>
    <w:rsid w:val="00E40A92"/>
    <w:rsid w:val="00E41651"/>
    <w:rsid w:val="00E42390"/>
    <w:rsid w:val="00E42546"/>
    <w:rsid w:val="00E42B6E"/>
    <w:rsid w:val="00E42C92"/>
    <w:rsid w:val="00E43022"/>
    <w:rsid w:val="00E43918"/>
    <w:rsid w:val="00E43AF0"/>
    <w:rsid w:val="00E45493"/>
    <w:rsid w:val="00E455CE"/>
    <w:rsid w:val="00E45CC0"/>
    <w:rsid w:val="00E469B5"/>
    <w:rsid w:val="00E46BAB"/>
    <w:rsid w:val="00E50CE3"/>
    <w:rsid w:val="00E513A5"/>
    <w:rsid w:val="00E51F0B"/>
    <w:rsid w:val="00E52A1D"/>
    <w:rsid w:val="00E5473D"/>
    <w:rsid w:val="00E54CDD"/>
    <w:rsid w:val="00E55286"/>
    <w:rsid w:val="00E55FFC"/>
    <w:rsid w:val="00E564B3"/>
    <w:rsid w:val="00E60E51"/>
    <w:rsid w:val="00E615DA"/>
    <w:rsid w:val="00E61E57"/>
    <w:rsid w:val="00E61EC5"/>
    <w:rsid w:val="00E6243D"/>
    <w:rsid w:val="00E62748"/>
    <w:rsid w:val="00E627AA"/>
    <w:rsid w:val="00E63A7C"/>
    <w:rsid w:val="00E63B6E"/>
    <w:rsid w:val="00E66637"/>
    <w:rsid w:val="00E668A8"/>
    <w:rsid w:val="00E703A6"/>
    <w:rsid w:val="00E70AA8"/>
    <w:rsid w:val="00E72544"/>
    <w:rsid w:val="00E72DD4"/>
    <w:rsid w:val="00E73162"/>
    <w:rsid w:val="00E731E2"/>
    <w:rsid w:val="00E73A1C"/>
    <w:rsid w:val="00E740CA"/>
    <w:rsid w:val="00E74800"/>
    <w:rsid w:val="00E74882"/>
    <w:rsid w:val="00E75836"/>
    <w:rsid w:val="00E76E16"/>
    <w:rsid w:val="00E771E7"/>
    <w:rsid w:val="00E80F38"/>
    <w:rsid w:val="00E813E7"/>
    <w:rsid w:val="00E82D85"/>
    <w:rsid w:val="00E844D1"/>
    <w:rsid w:val="00E84724"/>
    <w:rsid w:val="00E8690C"/>
    <w:rsid w:val="00E90FB5"/>
    <w:rsid w:val="00E912AD"/>
    <w:rsid w:val="00E918C4"/>
    <w:rsid w:val="00E91ED8"/>
    <w:rsid w:val="00E92C11"/>
    <w:rsid w:val="00E93060"/>
    <w:rsid w:val="00E937F5"/>
    <w:rsid w:val="00E93E2D"/>
    <w:rsid w:val="00E94283"/>
    <w:rsid w:val="00E94554"/>
    <w:rsid w:val="00E94C14"/>
    <w:rsid w:val="00E967DF"/>
    <w:rsid w:val="00E96F45"/>
    <w:rsid w:val="00E97BD2"/>
    <w:rsid w:val="00E97D01"/>
    <w:rsid w:val="00EA1458"/>
    <w:rsid w:val="00EA1876"/>
    <w:rsid w:val="00EA2982"/>
    <w:rsid w:val="00EA32E1"/>
    <w:rsid w:val="00EA3740"/>
    <w:rsid w:val="00EA3E5A"/>
    <w:rsid w:val="00EA5231"/>
    <w:rsid w:val="00EA566B"/>
    <w:rsid w:val="00EA6E0C"/>
    <w:rsid w:val="00EB10FF"/>
    <w:rsid w:val="00EB15CF"/>
    <w:rsid w:val="00EB18BF"/>
    <w:rsid w:val="00EB19EC"/>
    <w:rsid w:val="00EB247B"/>
    <w:rsid w:val="00EB24CC"/>
    <w:rsid w:val="00EB3C44"/>
    <w:rsid w:val="00EB4708"/>
    <w:rsid w:val="00EB4B38"/>
    <w:rsid w:val="00EB59D2"/>
    <w:rsid w:val="00EB5FD0"/>
    <w:rsid w:val="00EB6985"/>
    <w:rsid w:val="00EB6D6B"/>
    <w:rsid w:val="00EB7C39"/>
    <w:rsid w:val="00EC016B"/>
    <w:rsid w:val="00EC0B1F"/>
    <w:rsid w:val="00EC0E37"/>
    <w:rsid w:val="00EC15A0"/>
    <w:rsid w:val="00EC16BC"/>
    <w:rsid w:val="00EC2C56"/>
    <w:rsid w:val="00EC3141"/>
    <w:rsid w:val="00EC4CCA"/>
    <w:rsid w:val="00EC55D2"/>
    <w:rsid w:val="00EC5DA5"/>
    <w:rsid w:val="00EC6667"/>
    <w:rsid w:val="00EC7534"/>
    <w:rsid w:val="00EC7C3A"/>
    <w:rsid w:val="00ED0A5B"/>
    <w:rsid w:val="00ED120D"/>
    <w:rsid w:val="00ED679E"/>
    <w:rsid w:val="00EE0402"/>
    <w:rsid w:val="00EE094D"/>
    <w:rsid w:val="00EE0B59"/>
    <w:rsid w:val="00EE2544"/>
    <w:rsid w:val="00EE2552"/>
    <w:rsid w:val="00EE2B81"/>
    <w:rsid w:val="00EE2DB8"/>
    <w:rsid w:val="00EE2DD6"/>
    <w:rsid w:val="00EE59FF"/>
    <w:rsid w:val="00EE6265"/>
    <w:rsid w:val="00EE64CC"/>
    <w:rsid w:val="00EE662A"/>
    <w:rsid w:val="00EE6A9A"/>
    <w:rsid w:val="00EE70D1"/>
    <w:rsid w:val="00EF28A2"/>
    <w:rsid w:val="00EF2EA2"/>
    <w:rsid w:val="00EF3B27"/>
    <w:rsid w:val="00EF41D4"/>
    <w:rsid w:val="00EF58A9"/>
    <w:rsid w:val="00EF6A2F"/>
    <w:rsid w:val="00EF7BC2"/>
    <w:rsid w:val="00F0042A"/>
    <w:rsid w:val="00F014D0"/>
    <w:rsid w:val="00F017E0"/>
    <w:rsid w:val="00F0216B"/>
    <w:rsid w:val="00F0229B"/>
    <w:rsid w:val="00F039F3"/>
    <w:rsid w:val="00F03DA9"/>
    <w:rsid w:val="00F04605"/>
    <w:rsid w:val="00F04BBF"/>
    <w:rsid w:val="00F05C69"/>
    <w:rsid w:val="00F06495"/>
    <w:rsid w:val="00F06865"/>
    <w:rsid w:val="00F06BEE"/>
    <w:rsid w:val="00F10CB6"/>
    <w:rsid w:val="00F11B3B"/>
    <w:rsid w:val="00F13C53"/>
    <w:rsid w:val="00F16508"/>
    <w:rsid w:val="00F173D4"/>
    <w:rsid w:val="00F175E5"/>
    <w:rsid w:val="00F17669"/>
    <w:rsid w:val="00F17DAF"/>
    <w:rsid w:val="00F20411"/>
    <w:rsid w:val="00F20685"/>
    <w:rsid w:val="00F21369"/>
    <w:rsid w:val="00F213F5"/>
    <w:rsid w:val="00F21E47"/>
    <w:rsid w:val="00F229A3"/>
    <w:rsid w:val="00F23831"/>
    <w:rsid w:val="00F23AD9"/>
    <w:rsid w:val="00F2475D"/>
    <w:rsid w:val="00F2686B"/>
    <w:rsid w:val="00F2744A"/>
    <w:rsid w:val="00F275B3"/>
    <w:rsid w:val="00F27623"/>
    <w:rsid w:val="00F27B8F"/>
    <w:rsid w:val="00F27D62"/>
    <w:rsid w:val="00F3066B"/>
    <w:rsid w:val="00F30AB1"/>
    <w:rsid w:val="00F3129F"/>
    <w:rsid w:val="00F31563"/>
    <w:rsid w:val="00F3164E"/>
    <w:rsid w:val="00F3169B"/>
    <w:rsid w:val="00F350FE"/>
    <w:rsid w:val="00F35B56"/>
    <w:rsid w:val="00F3652B"/>
    <w:rsid w:val="00F366CD"/>
    <w:rsid w:val="00F368F1"/>
    <w:rsid w:val="00F3695C"/>
    <w:rsid w:val="00F41A98"/>
    <w:rsid w:val="00F42AA4"/>
    <w:rsid w:val="00F45574"/>
    <w:rsid w:val="00F45E01"/>
    <w:rsid w:val="00F4680C"/>
    <w:rsid w:val="00F46D8E"/>
    <w:rsid w:val="00F475A2"/>
    <w:rsid w:val="00F4760C"/>
    <w:rsid w:val="00F50002"/>
    <w:rsid w:val="00F50796"/>
    <w:rsid w:val="00F51079"/>
    <w:rsid w:val="00F511BD"/>
    <w:rsid w:val="00F5229D"/>
    <w:rsid w:val="00F52803"/>
    <w:rsid w:val="00F52BD8"/>
    <w:rsid w:val="00F52EF8"/>
    <w:rsid w:val="00F53201"/>
    <w:rsid w:val="00F53653"/>
    <w:rsid w:val="00F54D79"/>
    <w:rsid w:val="00F54E47"/>
    <w:rsid w:val="00F55EBE"/>
    <w:rsid w:val="00F56AB8"/>
    <w:rsid w:val="00F57933"/>
    <w:rsid w:val="00F57E9E"/>
    <w:rsid w:val="00F603BB"/>
    <w:rsid w:val="00F60BB1"/>
    <w:rsid w:val="00F61935"/>
    <w:rsid w:val="00F61EC9"/>
    <w:rsid w:val="00F61FBC"/>
    <w:rsid w:val="00F62706"/>
    <w:rsid w:val="00F63EBF"/>
    <w:rsid w:val="00F63FE0"/>
    <w:rsid w:val="00F63FFE"/>
    <w:rsid w:val="00F642E3"/>
    <w:rsid w:val="00F65248"/>
    <w:rsid w:val="00F67D3C"/>
    <w:rsid w:val="00F700FF"/>
    <w:rsid w:val="00F70637"/>
    <w:rsid w:val="00F70C09"/>
    <w:rsid w:val="00F70D23"/>
    <w:rsid w:val="00F7132A"/>
    <w:rsid w:val="00F714AC"/>
    <w:rsid w:val="00F715FC"/>
    <w:rsid w:val="00F727DC"/>
    <w:rsid w:val="00F72A1E"/>
    <w:rsid w:val="00F7365D"/>
    <w:rsid w:val="00F7426D"/>
    <w:rsid w:val="00F74AA5"/>
    <w:rsid w:val="00F76891"/>
    <w:rsid w:val="00F76F55"/>
    <w:rsid w:val="00F82878"/>
    <w:rsid w:val="00F858E3"/>
    <w:rsid w:val="00F85D26"/>
    <w:rsid w:val="00F868A3"/>
    <w:rsid w:val="00F86DC6"/>
    <w:rsid w:val="00F8744E"/>
    <w:rsid w:val="00F90121"/>
    <w:rsid w:val="00F9032F"/>
    <w:rsid w:val="00F9087B"/>
    <w:rsid w:val="00F913E4"/>
    <w:rsid w:val="00F919A6"/>
    <w:rsid w:val="00F93299"/>
    <w:rsid w:val="00F93526"/>
    <w:rsid w:val="00F94B95"/>
    <w:rsid w:val="00F94F11"/>
    <w:rsid w:val="00F95818"/>
    <w:rsid w:val="00F95BFA"/>
    <w:rsid w:val="00F96948"/>
    <w:rsid w:val="00F97824"/>
    <w:rsid w:val="00F97A00"/>
    <w:rsid w:val="00F97ED9"/>
    <w:rsid w:val="00FA074C"/>
    <w:rsid w:val="00FA08B5"/>
    <w:rsid w:val="00FA0DE5"/>
    <w:rsid w:val="00FA0DE8"/>
    <w:rsid w:val="00FA181D"/>
    <w:rsid w:val="00FA1A3D"/>
    <w:rsid w:val="00FA1B9B"/>
    <w:rsid w:val="00FA2B77"/>
    <w:rsid w:val="00FA2EF1"/>
    <w:rsid w:val="00FA33CC"/>
    <w:rsid w:val="00FA378D"/>
    <w:rsid w:val="00FA379E"/>
    <w:rsid w:val="00FA516E"/>
    <w:rsid w:val="00FA5184"/>
    <w:rsid w:val="00FA5774"/>
    <w:rsid w:val="00FA5F22"/>
    <w:rsid w:val="00FA6716"/>
    <w:rsid w:val="00FA7ACE"/>
    <w:rsid w:val="00FB015F"/>
    <w:rsid w:val="00FB05E4"/>
    <w:rsid w:val="00FB07D0"/>
    <w:rsid w:val="00FB0D3C"/>
    <w:rsid w:val="00FB14AA"/>
    <w:rsid w:val="00FB1EC3"/>
    <w:rsid w:val="00FB2CBD"/>
    <w:rsid w:val="00FB3045"/>
    <w:rsid w:val="00FB333A"/>
    <w:rsid w:val="00FB3993"/>
    <w:rsid w:val="00FB3ED4"/>
    <w:rsid w:val="00FB4065"/>
    <w:rsid w:val="00FB43FD"/>
    <w:rsid w:val="00FB5F2C"/>
    <w:rsid w:val="00FB6A5F"/>
    <w:rsid w:val="00FB741D"/>
    <w:rsid w:val="00FC2FBE"/>
    <w:rsid w:val="00FC53D1"/>
    <w:rsid w:val="00FC58AA"/>
    <w:rsid w:val="00FC5A44"/>
    <w:rsid w:val="00FC6305"/>
    <w:rsid w:val="00FC6A3C"/>
    <w:rsid w:val="00FC6EDC"/>
    <w:rsid w:val="00FC7AC7"/>
    <w:rsid w:val="00FC7D41"/>
    <w:rsid w:val="00FD1043"/>
    <w:rsid w:val="00FD12A2"/>
    <w:rsid w:val="00FD1E26"/>
    <w:rsid w:val="00FD2EE1"/>
    <w:rsid w:val="00FD3007"/>
    <w:rsid w:val="00FD46C1"/>
    <w:rsid w:val="00FD4BD3"/>
    <w:rsid w:val="00FD56E7"/>
    <w:rsid w:val="00FD63A7"/>
    <w:rsid w:val="00FE0628"/>
    <w:rsid w:val="00FE0C04"/>
    <w:rsid w:val="00FE10BB"/>
    <w:rsid w:val="00FE125A"/>
    <w:rsid w:val="00FE2A51"/>
    <w:rsid w:val="00FE2BC0"/>
    <w:rsid w:val="00FE2C10"/>
    <w:rsid w:val="00FE30A0"/>
    <w:rsid w:val="00FE39D6"/>
    <w:rsid w:val="00FE41B4"/>
    <w:rsid w:val="00FE46D9"/>
    <w:rsid w:val="00FE4B1B"/>
    <w:rsid w:val="00FE4F4C"/>
    <w:rsid w:val="00FE51D4"/>
    <w:rsid w:val="00FE5688"/>
    <w:rsid w:val="00FE6168"/>
    <w:rsid w:val="00FE69E2"/>
    <w:rsid w:val="00FE7C3C"/>
    <w:rsid w:val="00FE7D28"/>
    <w:rsid w:val="00FF0C2E"/>
    <w:rsid w:val="00FF26CD"/>
    <w:rsid w:val="00FF2748"/>
    <w:rsid w:val="00FF2E60"/>
    <w:rsid w:val="00FF331C"/>
    <w:rsid w:val="00FF33ED"/>
    <w:rsid w:val="00FF34C7"/>
    <w:rsid w:val="00FF6407"/>
    <w:rsid w:val="00FF6837"/>
  </w:rsids>
  <m:mathPr>
    <m:mathFont m:val="Cambria Math"/>
    <m:brkBin m:val="before"/>
    <m:brkBinSub m:val="--"/>
    <m:smallFrac m:val="0"/>
    <m:dispDef/>
    <m:lMargin m:val="0"/>
    <m:rMargin m:val="0"/>
    <m:defJc m:val="centerGroup"/>
    <m:wrapIndent m:val="1440"/>
    <m:intLim m:val="subSup"/>
    <m:naryLim m:val="undOvr"/>
  </m:mathPr>
  <w:themeFontLang w:val="sq-AL"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62B705"/>
  <w15:chartTrackingRefBased/>
  <w15:docId w15:val="{988EE07E-E5E5-4F0B-956A-2B04F9B1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paragraph" w:styleId="BodyText">
    <w:name w:val="Body Text"/>
    <w:basedOn w:val="Normal"/>
    <w:link w:val="BodyTextChar"/>
    <w:uiPriority w:val="99"/>
    <w:unhideWhenUsed/>
    <w:rsid w:val="009529FE"/>
    <w:pPr>
      <w:spacing w:after="120" w:line="256" w:lineRule="auto"/>
    </w:pPr>
    <w:rPr>
      <w:rFonts w:asciiTheme="minorHAnsi" w:hAnsiTheme="minorHAnsi" w:cstheme="minorBidi"/>
      <w:sz w:val="22"/>
      <w:szCs w:val="22"/>
      <w:lang w:val="en-US"/>
    </w:rPr>
  </w:style>
  <w:style w:type="character" w:customStyle="1" w:styleId="BodyTextChar">
    <w:name w:val="Body Text Char"/>
    <w:basedOn w:val="DefaultParagraphFont"/>
    <w:link w:val="BodyText"/>
    <w:uiPriority w:val="99"/>
    <w:rsid w:val="009529FE"/>
    <w:rPr>
      <w:rFonts w:asciiTheme="minorHAnsi" w:hAnsiTheme="minorHAnsi" w:cstheme="minorBidi"/>
      <w:sz w:val="22"/>
      <w:szCs w:val="22"/>
      <w:lang w:val="en-US"/>
    </w:rPr>
  </w:style>
  <w:style w:type="character" w:customStyle="1" w:styleId="contentpasted0">
    <w:name w:val="contentpasted0"/>
    <w:basedOn w:val="DefaultParagraphFont"/>
    <w:rsid w:val="009529FE"/>
  </w:style>
  <w:style w:type="character" w:customStyle="1" w:styleId="markedcontent">
    <w:name w:val="markedcontent"/>
    <w:rsid w:val="009529FE"/>
  </w:style>
  <w:style w:type="paragraph" w:styleId="NormalWeb">
    <w:name w:val="Normal (Web)"/>
    <w:basedOn w:val="Normal"/>
    <w:uiPriority w:val="99"/>
    <w:semiHidden/>
    <w:unhideWhenUsed/>
    <w:rsid w:val="00D411E7"/>
    <w:pPr>
      <w:spacing w:before="100" w:beforeAutospacing="1" w:after="100" w:afterAutospacing="1" w:line="240" w:lineRule="auto"/>
    </w:pPr>
    <w:rPr>
      <w:rFonts w:eastAsia="Times New Roman"/>
      <w:lang w:val="en-US"/>
    </w:rPr>
  </w:style>
  <w:style w:type="character" w:customStyle="1" w:styleId="whitespace-normal">
    <w:name w:val="whitespace-normal"/>
    <w:basedOn w:val="DefaultParagraphFont"/>
    <w:rsid w:val="00D411E7"/>
  </w:style>
  <w:style w:type="character" w:styleId="CommentReference">
    <w:name w:val="annotation reference"/>
    <w:basedOn w:val="DefaultParagraphFont"/>
    <w:uiPriority w:val="99"/>
    <w:semiHidden/>
    <w:unhideWhenUsed/>
    <w:rsid w:val="002D650C"/>
    <w:rPr>
      <w:sz w:val="16"/>
      <w:szCs w:val="16"/>
    </w:rPr>
  </w:style>
  <w:style w:type="paragraph" w:styleId="CommentText">
    <w:name w:val="annotation text"/>
    <w:basedOn w:val="Normal"/>
    <w:link w:val="CommentTextChar"/>
    <w:uiPriority w:val="99"/>
    <w:semiHidden/>
    <w:unhideWhenUsed/>
    <w:rsid w:val="002D650C"/>
    <w:pPr>
      <w:spacing w:line="240" w:lineRule="auto"/>
    </w:pPr>
    <w:rPr>
      <w:sz w:val="20"/>
      <w:szCs w:val="20"/>
    </w:rPr>
  </w:style>
  <w:style w:type="character" w:customStyle="1" w:styleId="CommentTextChar">
    <w:name w:val="Comment Text Char"/>
    <w:basedOn w:val="DefaultParagraphFont"/>
    <w:link w:val="CommentText"/>
    <w:uiPriority w:val="99"/>
    <w:semiHidden/>
    <w:rsid w:val="002D650C"/>
    <w:rPr>
      <w:sz w:val="20"/>
      <w:szCs w:val="20"/>
    </w:rPr>
  </w:style>
  <w:style w:type="paragraph" w:styleId="CommentSubject">
    <w:name w:val="annotation subject"/>
    <w:basedOn w:val="CommentText"/>
    <w:next w:val="CommentText"/>
    <w:link w:val="CommentSubjectChar"/>
    <w:uiPriority w:val="99"/>
    <w:semiHidden/>
    <w:unhideWhenUsed/>
    <w:rsid w:val="002D650C"/>
    <w:rPr>
      <w:b/>
      <w:bCs/>
    </w:rPr>
  </w:style>
  <w:style w:type="character" w:customStyle="1" w:styleId="CommentSubjectChar">
    <w:name w:val="Comment Subject Char"/>
    <w:basedOn w:val="CommentTextChar"/>
    <w:link w:val="CommentSubject"/>
    <w:uiPriority w:val="99"/>
    <w:semiHidden/>
    <w:rsid w:val="002D650C"/>
    <w:rPr>
      <w:b/>
      <w:bCs/>
      <w:sz w:val="20"/>
      <w:szCs w:val="20"/>
    </w:rPr>
  </w:style>
  <w:style w:type="table" w:styleId="TableGrid">
    <w:name w:val="Table Grid"/>
    <w:basedOn w:val="TableNormal"/>
    <w:uiPriority w:val="39"/>
    <w:rsid w:val="00DB26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709882">
      <w:bodyDiv w:val="1"/>
      <w:marLeft w:val="0"/>
      <w:marRight w:val="0"/>
      <w:marTop w:val="0"/>
      <w:marBottom w:val="0"/>
      <w:divBdr>
        <w:top w:val="none" w:sz="0" w:space="0" w:color="auto"/>
        <w:left w:val="none" w:sz="0" w:space="0" w:color="auto"/>
        <w:bottom w:val="none" w:sz="0" w:space="0" w:color="auto"/>
        <w:right w:val="none" w:sz="0" w:space="0" w:color="auto"/>
      </w:divBdr>
    </w:div>
    <w:div w:id="410352963">
      <w:bodyDiv w:val="1"/>
      <w:marLeft w:val="0"/>
      <w:marRight w:val="0"/>
      <w:marTop w:val="0"/>
      <w:marBottom w:val="0"/>
      <w:divBdr>
        <w:top w:val="none" w:sz="0" w:space="0" w:color="auto"/>
        <w:left w:val="none" w:sz="0" w:space="0" w:color="auto"/>
        <w:bottom w:val="none" w:sz="0" w:space="0" w:color="auto"/>
        <w:right w:val="none" w:sz="0" w:space="0" w:color="auto"/>
      </w:divBdr>
      <w:divsChild>
        <w:div w:id="1009792438">
          <w:marLeft w:val="0"/>
          <w:marRight w:val="0"/>
          <w:marTop w:val="0"/>
          <w:marBottom w:val="0"/>
          <w:divBdr>
            <w:top w:val="none" w:sz="0" w:space="0" w:color="auto"/>
            <w:left w:val="none" w:sz="0" w:space="0" w:color="auto"/>
            <w:bottom w:val="none" w:sz="0" w:space="0" w:color="auto"/>
            <w:right w:val="none" w:sz="0" w:space="0" w:color="auto"/>
          </w:divBdr>
          <w:divsChild>
            <w:div w:id="1370179584">
              <w:marLeft w:val="0"/>
              <w:marRight w:val="0"/>
              <w:marTop w:val="0"/>
              <w:marBottom w:val="0"/>
              <w:divBdr>
                <w:top w:val="none" w:sz="0" w:space="0" w:color="auto"/>
                <w:left w:val="none" w:sz="0" w:space="0" w:color="auto"/>
                <w:bottom w:val="none" w:sz="0" w:space="0" w:color="auto"/>
                <w:right w:val="none" w:sz="0" w:space="0" w:color="auto"/>
              </w:divBdr>
              <w:divsChild>
                <w:div w:id="153377500">
                  <w:marLeft w:val="0"/>
                  <w:marRight w:val="0"/>
                  <w:marTop w:val="0"/>
                  <w:marBottom w:val="0"/>
                  <w:divBdr>
                    <w:top w:val="none" w:sz="0" w:space="0" w:color="auto"/>
                    <w:left w:val="none" w:sz="0" w:space="0" w:color="auto"/>
                    <w:bottom w:val="none" w:sz="0" w:space="0" w:color="auto"/>
                    <w:right w:val="none" w:sz="0" w:space="0" w:color="auto"/>
                  </w:divBdr>
                  <w:divsChild>
                    <w:div w:id="1623657196">
                      <w:marLeft w:val="0"/>
                      <w:marRight w:val="0"/>
                      <w:marTop w:val="0"/>
                      <w:marBottom w:val="0"/>
                      <w:divBdr>
                        <w:top w:val="none" w:sz="0" w:space="0" w:color="auto"/>
                        <w:left w:val="none" w:sz="0" w:space="0" w:color="auto"/>
                        <w:bottom w:val="none" w:sz="0" w:space="0" w:color="auto"/>
                        <w:right w:val="none" w:sz="0" w:space="0" w:color="auto"/>
                      </w:divBdr>
                      <w:divsChild>
                        <w:div w:id="621496161">
                          <w:marLeft w:val="0"/>
                          <w:marRight w:val="0"/>
                          <w:marTop w:val="0"/>
                          <w:marBottom w:val="0"/>
                          <w:divBdr>
                            <w:top w:val="none" w:sz="0" w:space="0" w:color="auto"/>
                            <w:left w:val="none" w:sz="0" w:space="0" w:color="auto"/>
                            <w:bottom w:val="none" w:sz="0" w:space="0" w:color="auto"/>
                            <w:right w:val="none" w:sz="0" w:space="0" w:color="auto"/>
                          </w:divBdr>
                          <w:divsChild>
                            <w:div w:id="3641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053766">
      <w:bodyDiv w:val="1"/>
      <w:marLeft w:val="0"/>
      <w:marRight w:val="0"/>
      <w:marTop w:val="0"/>
      <w:marBottom w:val="0"/>
      <w:divBdr>
        <w:top w:val="none" w:sz="0" w:space="0" w:color="auto"/>
        <w:left w:val="none" w:sz="0" w:space="0" w:color="auto"/>
        <w:bottom w:val="none" w:sz="0" w:space="0" w:color="auto"/>
        <w:right w:val="none" w:sz="0" w:space="0" w:color="auto"/>
      </w:divBdr>
    </w:div>
    <w:div w:id="802038800">
      <w:bodyDiv w:val="1"/>
      <w:marLeft w:val="0"/>
      <w:marRight w:val="0"/>
      <w:marTop w:val="0"/>
      <w:marBottom w:val="0"/>
      <w:divBdr>
        <w:top w:val="none" w:sz="0" w:space="0" w:color="auto"/>
        <w:left w:val="none" w:sz="0" w:space="0" w:color="auto"/>
        <w:bottom w:val="none" w:sz="0" w:space="0" w:color="auto"/>
        <w:right w:val="none" w:sz="0" w:space="0" w:color="auto"/>
      </w:divBdr>
    </w:div>
    <w:div w:id="863716822">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949319802">
      <w:bodyDiv w:val="1"/>
      <w:marLeft w:val="0"/>
      <w:marRight w:val="0"/>
      <w:marTop w:val="0"/>
      <w:marBottom w:val="0"/>
      <w:divBdr>
        <w:top w:val="none" w:sz="0" w:space="0" w:color="auto"/>
        <w:left w:val="none" w:sz="0" w:space="0" w:color="auto"/>
        <w:bottom w:val="none" w:sz="0" w:space="0" w:color="auto"/>
        <w:right w:val="none" w:sz="0" w:space="0" w:color="auto"/>
      </w:divBdr>
    </w:div>
    <w:div w:id="952831443">
      <w:bodyDiv w:val="1"/>
      <w:marLeft w:val="0"/>
      <w:marRight w:val="0"/>
      <w:marTop w:val="0"/>
      <w:marBottom w:val="0"/>
      <w:divBdr>
        <w:top w:val="none" w:sz="0" w:space="0" w:color="auto"/>
        <w:left w:val="none" w:sz="0" w:space="0" w:color="auto"/>
        <w:bottom w:val="none" w:sz="0" w:space="0" w:color="auto"/>
        <w:right w:val="none" w:sz="0" w:space="0" w:color="auto"/>
      </w:divBdr>
    </w:div>
    <w:div w:id="1171212802">
      <w:bodyDiv w:val="1"/>
      <w:marLeft w:val="0"/>
      <w:marRight w:val="0"/>
      <w:marTop w:val="0"/>
      <w:marBottom w:val="0"/>
      <w:divBdr>
        <w:top w:val="none" w:sz="0" w:space="0" w:color="auto"/>
        <w:left w:val="none" w:sz="0" w:space="0" w:color="auto"/>
        <w:bottom w:val="none" w:sz="0" w:space="0" w:color="auto"/>
        <w:right w:val="none" w:sz="0" w:space="0" w:color="auto"/>
      </w:divBdr>
    </w:div>
    <w:div w:id="1216046353">
      <w:bodyDiv w:val="1"/>
      <w:marLeft w:val="0"/>
      <w:marRight w:val="0"/>
      <w:marTop w:val="0"/>
      <w:marBottom w:val="0"/>
      <w:divBdr>
        <w:top w:val="none" w:sz="0" w:space="0" w:color="auto"/>
        <w:left w:val="none" w:sz="0" w:space="0" w:color="auto"/>
        <w:bottom w:val="none" w:sz="0" w:space="0" w:color="auto"/>
        <w:right w:val="none" w:sz="0" w:space="0" w:color="auto"/>
      </w:divBdr>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380401367">
      <w:bodyDiv w:val="1"/>
      <w:marLeft w:val="0"/>
      <w:marRight w:val="0"/>
      <w:marTop w:val="0"/>
      <w:marBottom w:val="0"/>
      <w:divBdr>
        <w:top w:val="none" w:sz="0" w:space="0" w:color="auto"/>
        <w:left w:val="none" w:sz="0" w:space="0" w:color="auto"/>
        <w:bottom w:val="none" w:sz="0" w:space="0" w:color="auto"/>
        <w:right w:val="none" w:sz="0" w:space="0" w:color="auto"/>
      </w:divBdr>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28828434">
      <w:bodyDiv w:val="1"/>
      <w:marLeft w:val="0"/>
      <w:marRight w:val="0"/>
      <w:marTop w:val="0"/>
      <w:marBottom w:val="0"/>
      <w:divBdr>
        <w:top w:val="none" w:sz="0" w:space="0" w:color="auto"/>
        <w:left w:val="none" w:sz="0" w:space="0" w:color="auto"/>
        <w:bottom w:val="none" w:sz="0" w:space="0" w:color="auto"/>
        <w:right w:val="none" w:sz="0" w:space="0" w:color="auto"/>
      </w:divBdr>
    </w:div>
    <w:div w:id="1553272823">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793741049">
      <w:bodyDiv w:val="1"/>
      <w:marLeft w:val="0"/>
      <w:marRight w:val="0"/>
      <w:marTop w:val="0"/>
      <w:marBottom w:val="0"/>
      <w:divBdr>
        <w:top w:val="none" w:sz="0" w:space="0" w:color="auto"/>
        <w:left w:val="none" w:sz="0" w:space="0" w:color="auto"/>
        <w:bottom w:val="none" w:sz="0" w:space="0" w:color="auto"/>
        <w:right w:val="none" w:sz="0" w:space="0" w:color="auto"/>
      </w:divBdr>
    </w:div>
    <w:div w:id="1874614656">
      <w:bodyDiv w:val="1"/>
      <w:marLeft w:val="0"/>
      <w:marRight w:val="0"/>
      <w:marTop w:val="0"/>
      <w:marBottom w:val="0"/>
      <w:divBdr>
        <w:top w:val="none" w:sz="0" w:space="0" w:color="auto"/>
        <w:left w:val="none" w:sz="0" w:space="0" w:color="auto"/>
        <w:bottom w:val="none" w:sz="0" w:space="0" w:color="auto"/>
        <w:right w:val="none" w:sz="0" w:space="0" w:color="auto"/>
      </w:divBdr>
    </w:div>
    <w:div w:id="1964924949">
      <w:bodyDiv w:val="1"/>
      <w:marLeft w:val="0"/>
      <w:marRight w:val="0"/>
      <w:marTop w:val="0"/>
      <w:marBottom w:val="0"/>
      <w:divBdr>
        <w:top w:val="none" w:sz="0" w:space="0" w:color="auto"/>
        <w:left w:val="none" w:sz="0" w:space="0" w:color="auto"/>
        <w:bottom w:val="none" w:sz="0" w:space="0" w:color="auto"/>
        <w:right w:val="none" w:sz="0" w:space="0" w:color="auto"/>
      </w:divBdr>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15302273">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2026-05-07T12:16:18Z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__.12.2025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2026-05-07T00:00:00Z</Date_x0020_protokolli>
    <Titulli xmlns="0e656187-b300-4fb0-8bf4-3a50f872073c">Me objekt shfuqizimin e vendimit nr. 00-2024-1923 (290), datë 21.11.2024 të Kolegjit Penal të Gjykatës së Lartë, si i papajtueshëm me Kushtetutën e Republikës së Shqipërisë</Titulli>
    <Modifikuesi xmlns="0e656187-b300-4fb0-8bf4-3a50f872073c">valeta.kaftalli</Modifikuesi>
    <Nr_x002e__x0020_prot_x0020_QBZ xmlns="0e656187-b300-4fb0-8bf4-3a50f872073c">983/1</Nr_x002e__x0020_prot_x0020_QBZ>
    <Data_x0020_e_x0020_Modifikimit xmlns="0e656187-b300-4fb0-8bf4-3a50f872073c">2026-05-08T09:20:04Z</Data_x0020_e_x0020_Modifikimit>
    <Dekretuar xmlns="0e656187-b300-4fb0-8bf4-3a50f872073c">false</Dekretuar>
    <Data xmlns="0e656187-b300-4fb0-8bf4-3a50f872073c">2026-03-09T00:00:00Z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6C91680BE4D4F5D8B65081E8F8986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6C91680BE4D4F5D8B65081E8F8986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3CD9A-909C-4B69-8F46-41A73E110493}">
  <ds:schemaRefs>
    <ds:schemaRef ds:uri="http://schemas.microsoft.com/office/2006/documentManagement/types"/>
    <ds:schemaRef ds:uri="http://purl.org/dc/dcmitype/"/>
    <ds:schemaRef ds:uri="http://www.w3.org/XML/1998/namespace"/>
    <ds:schemaRef ds:uri="http://purl.org/dc/elements/1.1/"/>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C4C408CB-DD85-4C55-A449-A61D87CB08F6}">
  <ds:schemaRefs>
    <ds:schemaRef ds:uri="http://schemas.microsoft.com/sharepoint/v3/contenttype/forms"/>
  </ds:schemaRefs>
</ds:datastoreItem>
</file>

<file path=customXml/itemProps3.xml><?xml version="1.0" encoding="utf-8"?>
<ds:datastoreItem xmlns:ds="http://schemas.openxmlformats.org/officeDocument/2006/customXml" ds:itemID="{E21B6796-A076-46D2-BE92-51DFECFCB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A98309-E249-4A09-8904-5231619404B5}">
  <ds:schemaRefs>
    <ds:schemaRef ds:uri="http://schemas.microsoft.com/sharepoint/v3/contenttype/forms"/>
  </ds:schemaRefs>
</ds:datastoreItem>
</file>

<file path=customXml/itemProps5.xml><?xml version="1.0" encoding="utf-8"?>
<ds:datastoreItem xmlns:ds="http://schemas.openxmlformats.org/officeDocument/2006/customXml" ds:itemID="{E77AE1E1-16C3-4865-8A39-D72D7BDE6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C85FB72-FDF7-4863-8DEB-CFAA4C04E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6102</Words>
  <Characters>34787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Me objekt shfuqizimin e vendimit nr. 00-2024-1923 (290), datë 21.11.2024 të Kolegjit Penal të Gjykatës së Lartë, si i papajtueshëm me Kushtetutën e Republikës së Shqipërisë</vt:lpstr>
    </vt:vector>
  </TitlesOfParts>
  <Company>User</Company>
  <LinksUpToDate>false</LinksUpToDate>
  <CharactersWithSpaces>40808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00-2024-1923 (290), datë 21.11.2024 të Kolegjit Penal të Gjykatës së Lartë, si i papajtueshëm me Kushtetutën e Republikës së Shqipërisë</dc:title>
  <dc:subject>Dt. __.12.2025</dc:subject>
  <dc:creator>Genti IBRAHIMI</dc:creator>
  <cp:keywords>Drita Shkurti</cp:keywords>
  <cp:lastModifiedBy>Amarilda Muja</cp:lastModifiedBy>
  <cp:revision>20</cp:revision>
  <cp:lastPrinted>2026-04-29T07:31:00Z</cp:lastPrinted>
  <dcterms:created xsi:type="dcterms:W3CDTF">2026-05-07T11:24:00Z</dcterms:created>
  <dcterms:modified xsi:type="dcterms:W3CDTF">2026-05-08T08:44:00Z</dcterms:modified>
  <cp:category>Penale</cp:category>
</cp:coreProperties>
</file>