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D06D50" w14:textId="77777777" w:rsidR="00D75CEB" w:rsidRPr="0075086C" w:rsidRDefault="00D75CEB" w:rsidP="00D75CEB">
      <w:pPr>
        <w:spacing w:after="0" w:line="240" w:lineRule="auto"/>
        <w:ind w:firstLine="284"/>
        <w:jc w:val="center"/>
        <w:rPr>
          <w:rFonts w:ascii="Garamond" w:hAnsi="Garamond" w:cs="Times New Roman"/>
          <w:b/>
          <w:sz w:val="24"/>
          <w:szCs w:val="24"/>
        </w:rPr>
      </w:pPr>
      <w:bookmarkStart w:id="0" w:name="_Hlk178843267"/>
      <w:bookmarkStart w:id="1" w:name="_Hlk196474750"/>
      <w:bookmarkStart w:id="2" w:name="_Hlk209694090"/>
      <w:bookmarkStart w:id="3" w:name="_Hlk211416955"/>
      <w:bookmarkStart w:id="4" w:name="_Hlk223429812"/>
      <w:r w:rsidRPr="0075086C">
        <w:rPr>
          <w:rFonts w:ascii="Garamond" w:hAnsi="Garamond" w:cs="Times New Roman"/>
          <w:b/>
          <w:sz w:val="24"/>
          <w:szCs w:val="24"/>
        </w:rPr>
        <w:t>VENDIM</w:t>
      </w:r>
    </w:p>
    <w:p w14:paraId="5FFE4EC8" w14:textId="48453475" w:rsidR="00D75CEB" w:rsidRDefault="00D75CEB" w:rsidP="00D75CEB">
      <w:pPr>
        <w:spacing w:after="0" w:line="240" w:lineRule="auto"/>
        <w:ind w:firstLine="284"/>
        <w:jc w:val="center"/>
        <w:rPr>
          <w:rFonts w:ascii="Garamond" w:hAnsi="Garamond" w:cs="Times New Roman"/>
          <w:b/>
          <w:sz w:val="24"/>
          <w:szCs w:val="24"/>
        </w:rPr>
      </w:pPr>
      <w:r w:rsidRPr="0075086C">
        <w:rPr>
          <w:rFonts w:ascii="Garamond" w:hAnsi="Garamond" w:cs="Times New Roman"/>
          <w:b/>
          <w:sz w:val="24"/>
          <w:szCs w:val="24"/>
        </w:rPr>
        <w:t>Nr.</w:t>
      </w:r>
      <w:r w:rsidR="003218EE">
        <w:rPr>
          <w:rFonts w:ascii="Garamond" w:hAnsi="Garamond" w:cs="Times New Roman"/>
          <w:b/>
          <w:sz w:val="24"/>
          <w:szCs w:val="24"/>
        </w:rPr>
        <w:t xml:space="preserve"> </w:t>
      </w:r>
      <w:r w:rsidRPr="0075086C">
        <w:rPr>
          <w:rFonts w:ascii="Garamond" w:hAnsi="Garamond" w:cs="Times New Roman"/>
          <w:b/>
          <w:sz w:val="24"/>
          <w:szCs w:val="24"/>
        </w:rPr>
        <w:t>30, datë 10.3.2026</w:t>
      </w:r>
    </w:p>
    <w:p w14:paraId="3A213BC1" w14:textId="77777777" w:rsidR="00D75CEB" w:rsidRPr="0075086C" w:rsidRDefault="00D75CEB" w:rsidP="00D75CEB">
      <w:pPr>
        <w:spacing w:after="0" w:line="240" w:lineRule="auto"/>
        <w:ind w:firstLine="284"/>
        <w:jc w:val="center"/>
        <w:rPr>
          <w:rFonts w:ascii="Garamond" w:hAnsi="Garamond" w:cs="Times New Roman"/>
          <w:b/>
          <w:sz w:val="24"/>
          <w:szCs w:val="24"/>
        </w:rPr>
      </w:pPr>
    </w:p>
    <w:p w14:paraId="27FE2093" w14:textId="77777777" w:rsidR="00D75CEB" w:rsidRDefault="00D75CEB" w:rsidP="00D75CEB">
      <w:pPr>
        <w:spacing w:after="0" w:line="240" w:lineRule="auto"/>
        <w:ind w:firstLine="284"/>
        <w:jc w:val="center"/>
        <w:rPr>
          <w:rFonts w:ascii="Garamond" w:hAnsi="Garamond" w:cs="Times New Roman"/>
          <w:b/>
          <w:sz w:val="24"/>
          <w:szCs w:val="24"/>
        </w:rPr>
      </w:pPr>
      <w:r w:rsidRPr="0075086C">
        <w:rPr>
          <w:rFonts w:ascii="Garamond" w:hAnsi="Garamond" w:cs="Times New Roman"/>
          <w:b/>
          <w:sz w:val="24"/>
          <w:szCs w:val="24"/>
        </w:rPr>
        <w:t>NË EMËR TË REPUBLIKËS SË SHQIPËRISË</w:t>
      </w:r>
    </w:p>
    <w:p w14:paraId="5B34697D" w14:textId="77777777" w:rsidR="00D75CEB" w:rsidRPr="0075086C" w:rsidRDefault="00D75CEB" w:rsidP="00D75CEB">
      <w:pPr>
        <w:spacing w:after="0" w:line="240" w:lineRule="auto"/>
        <w:ind w:firstLine="284"/>
        <w:jc w:val="center"/>
        <w:rPr>
          <w:rFonts w:ascii="Garamond" w:hAnsi="Garamond" w:cs="Times New Roman"/>
          <w:b/>
          <w:sz w:val="24"/>
          <w:szCs w:val="24"/>
        </w:rPr>
      </w:pPr>
    </w:p>
    <w:p w14:paraId="04BFC232" w14:textId="77777777" w:rsidR="00D75CEB" w:rsidRPr="0075086C" w:rsidRDefault="00D75CEB" w:rsidP="00D75CEB">
      <w:pPr>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Gjykata Kushtetuese e Republikës së Shqipërisë, e përbërë nga:</w:t>
      </w:r>
    </w:p>
    <w:tbl>
      <w:tblPr>
        <w:tblStyle w:val="TableGrid"/>
        <w:tblW w:w="0" w:type="auto"/>
        <w:tblInd w:w="18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3"/>
        <w:gridCol w:w="3119"/>
      </w:tblGrid>
      <w:tr w:rsidR="00D75CEB" w:rsidRPr="0075086C" w14:paraId="17C71459" w14:textId="77777777" w:rsidTr="00CD03CD">
        <w:tc>
          <w:tcPr>
            <w:tcW w:w="2693" w:type="dxa"/>
          </w:tcPr>
          <w:p w14:paraId="4B89AD37" w14:textId="2F070D0A" w:rsidR="00D75CEB" w:rsidRPr="0075086C" w:rsidRDefault="00D75CEB" w:rsidP="003218EE">
            <w:pPr>
              <w:jc w:val="both"/>
              <w:rPr>
                <w:rFonts w:ascii="Garamond" w:hAnsi="Garamond" w:cs="Times New Roman"/>
                <w:sz w:val="24"/>
                <w:szCs w:val="24"/>
              </w:rPr>
            </w:pPr>
            <w:proofErr w:type="spellStart"/>
            <w:r w:rsidRPr="0075086C">
              <w:rPr>
                <w:rFonts w:ascii="Garamond" w:hAnsi="Garamond" w:cs="Times New Roman"/>
                <w:sz w:val="24"/>
                <w:szCs w:val="24"/>
              </w:rPr>
              <w:t>Fiona</w:t>
            </w:r>
            <w:proofErr w:type="spellEnd"/>
            <w:r w:rsidRPr="0075086C">
              <w:rPr>
                <w:rFonts w:ascii="Garamond" w:hAnsi="Garamond" w:cs="Times New Roman"/>
                <w:sz w:val="24"/>
                <w:szCs w:val="24"/>
              </w:rPr>
              <w:t xml:space="preserve"> </w:t>
            </w:r>
            <w:proofErr w:type="spellStart"/>
            <w:r w:rsidRPr="0075086C">
              <w:rPr>
                <w:rFonts w:ascii="Garamond" w:hAnsi="Garamond" w:cs="Times New Roman"/>
                <w:sz w:val="24"/>
                <w:szCs w:val="24"/>
              </w:rPr>
              <w:t>Papajorgji</w:t>
            </w:r>
            <w:proofErr w:type="spellEnd"/>
          </w:p>
        </w:tc>
        <w:tc>
          <w:tcPr>
            <w:tcW w:w="3119" w:type="dxa"/>
          </w:tcPr>
          <w:p w14:paraId="7BC6E188" w14:textId="01FEBABE" w:rsidR="00D75CEB" w:rsidRPr="0075086C" w:rsidRDefault="003218EE" w:rsidP="003218EE">
            <w:pPr>
              <w:ind w:firstLine="284"/>
              <w:jc w:val="both"/>
              <w:rPr>
                <w:rFonts w:ascii="Garamond" w:hAnsi="Garamond" w:cs="Times New Roman"/>
                <w:sz w:val="24"/>
                <w:szCs w:val="24"/>
              </w:rPr>
            </w:pPr>
            <w:r w:rsidRPr="0075086C">
              <w:rPr>
                <w:rFonts w:ascii="Garamond" w:hAnsi="Garamond" w:cs="Times New Roman"/>
                <w:sz w:val="24"/>
                <w:szCs w:val="24"/>
              </w:rPr>
              <w:t>kryetare</w:t>
            </w:r>
            <w:r>
              <w:rPr>
                <w:rFonts w:ascii="Garamond" w:hAnsi="Garamond" w:cs="Times New Roman"/>
                <w:sz w:val="24"/>
                <w:szCs w:val="24"/>
              </w:rPr>
              <w:t>;</w:t>
            </w:r>
          </w:p>
        </w:tc>
      </w:tr>
      <w:tr w:rsidR="00D75CEB" w:rsidRPr="0075086C" w14:paraId="00449CA7" w14:textId="77777777" w:rsidTr="00CD03CD">
        <w:tc>
          <w:tcPr>
            <w:tcW w:w="2693" w:type="dxa"/>
          </w:tcPr>
          <w:p w14:paraId="4B644A36" w14:textId="3C8C165E" w:rsidR="00D75CEB" w:rsidRPr="0075086C" w:rsidRDefault="00D75CEB" w:rsidP="003218EE">
            <w:pPr>
              <w:jc w:val="both"/>
              <w:rPr>
                <w:rFonts w:ascii="Garamond" w:hAnsi="Garamond" w:cs="Times New Roman"/>
                <w:sz w:val="24"/>
                <w:szCs w:val="24"/>
              </w:rPr>
            </w:pPr>
            <w:proofErr w:type="spellStart"/>
            <w:r w:rsidRPr="0075086C">
              <w:rPr>
                <w:rFonts w:ascii="Garamond" w:hAnsi="Garamond" w:cs="Times New Roman"/>
                <w:sz w:val="24"/>
                <w:szCs w:val="24"/>
              </w:rPr>
              <w:t>Marsida</w:t>
            </w:r>
            <w:proofErr w:type="spellEnd"/>
            <w:r w:rsidRPr="0075086C">
              <w:rPr>
                <w:rFonts w:ascii="Garamond" w:hAnsi="Garamond" w:cs="Times New Roman"/>
                <w:sz w:val="24"/>
                <w:szCs w:val="24"/>
              </w:rPr>
              <w:t xml:space="preserve"> </w:t>
            </w:r>
            <w:proofErr w:type="spellStart"/>
            <w:r w:rsidRPr="0075086C">
              <w:rPr>
                <w:rFonts w:ascii="Garamond" w:hAnsi="Garamond" w:cs="Times New Roman"/>
                <w:sz w:val="24"/>
                <w:szCs w:val="24"/>
              </w:rPr>
              <w:t>Xhaferllari</w:t>
            </w:r>
            <w:proofErr w:type="spellEnd"/>
          </w:p>
        </w:tc>
        <w:tc>
          <w:tcPr>
            <w:tcW w:w="3119" w:type="dxa"/>
          </w:tcPr>
          <w:p w14:paraId="617FD614" w14:textId="6925D0E5" w:rsidR="00D75CEB" w:rsidRPr="0075086C" w:rsidRDefault="003218EE" w:rsidP="003218EE">
            <w:pPr>
              <w:tabs>
                <w:tab w:val="left" w:pos="720"/>
                <w:tab w:val="left" w:pos="1440"/>
                <w:tab w:val="left" w:pos="2160"/>
                <w:tab w:val="left" w:pos="2880"/>
                <w:tab w:val="left" w:pos="3600"/>
                <w:tab w:val="left" w:pos="4320"/>
                <w:tab w:val="left" w:pos="5040"/>
                <w:tab w:val="left" w:pos="7710"/>
              </w:tabs>
              <w:ind w:firstLine="284"/>
              <w:jc w:val="both"/>
              <w:rPr>
                <w:rFonts w:ascii="Garamond" w:hAnsi="Garamond" w:cs="Times New Roman"/>
                <w:sz w:val="24"/>
                <w:szCs w:val="24"/>
              </w:rPr>
            </w:pPr>
            <w:r w:rsidRPr="0075086C">
              <w:rPr>
                <w:rFonts w:ascii="Garamond" w:hAnsi="Garamond" w:cs="Times New Roman"/>
                <w:sz w:val="24"/>
                <w:szCs w:val="24"/>
              </w:rPr>
              <w:t>anëtare</w:t>
            </w:r>
            <w:r>
              <w:rPr>
                <w:rFonts w:ascii="Garamond" w:hAnsi="Garamond" w:cs="Times New Roman"/>
                <w:sz w:val="24"/>
                <w:szCs w:val="24"/>
              </w:rPr>
              <w:t>;</w:t>
            </w:r>
          </w:p>
        </w:tc>
      </w:tr>
      <w:tr w:rsidR="00D75CEB" w:rsidRPr="0075086C" w14:paraId="30E18485" w14:textId="77777777" w:rsidTr="00CD03CD">
        <w:tc>
          <w:tcPr>
            <w:tcW w:w="2693" w:type="dxa"/>
          </w:tcPr>
          <w:p w14:paraId="633A6EE9" w14:textId="5506E531" w:rsidR="00D75CEB" w:rsidRPr="0075086C" w:rsidRDefault="00D75CEB" w:rsidP="003218EE">
            <w:pPr>
              <w:jc w:val="both"/>
              <w:rPr>
                <w:rFonts w:ascii="Garamond" w:hAnsi="Garamond" w:cs="Times New Roman"/>
                <w:sz w:val="24"/>
                <w:szCs w:val="24"/>
              </w:rPr>
            </w:pPr>
            <w:proofErr w:type="spellStart"/>
            <w:r w:rsidRPr="0075086C">
              <w:rPr>
                <w:rFonts w:ascii="Garamond" w:hAnsi="Garamond" w:cs="Times New Roman"/>
                <w:sz w:val="24"/>
                <w:szCs w:val="24"/>
              </w:rPr>
              <w:t>Sonila</w:t>
            </w:r>
            <w:proofErr w:type="spellEnd"/>
            <w:r w:rsidRPr="0075086C">
              <w:rPr>
                <w:rFonts w:ascii="Garamond" w:hAnsi="Garamond" w:cs="Times New Roman"/>
                <w:sz w:val="24"/>
                <w:szCs w:val="24"/>
              </w:rPr>
              <w:t xml:space="preserve"> Bejtja </w:t>
            </w:r>
          </w:p>
        </w:tc>
        <w:tc>
          <w:tcPr>
            <w:tcW w:w="3119" w:type="dxa"/>
          </w:tcPr>
          <w:p w14:paraId="53BDBBFC" w14:textId="7ADA0036" w:rsidR="00D75CEB" w:rsidRPr="0075086C" w:rsidRDefault="003218EE" w:rsidP="003218EE">
            <w:pPr>
              <w:ind w:firstLine="284"/>
              <w:jc w:val="both"/>
              <w:rPr>
                <w:rFonts w:ascii="Garamond" w:hAnsi="Garamond" w:cs="Times New Roman"/>
                <w:sz w:val="24"/>
                <w:szCs w:val="24"/>
              </w:rPr>
            </w:pPr>
            <w:r w:rsidRPr="0075086C">
              <w:rPr>
                <w:rFonts w:ascii="Garamond" w:hAnsi="Garamond" w:cs="Times New Roman"/>
                <w:sz w:val="24"/>
                <w:szCs w:val="24"/>
              </w:rPr>
              <w:t>anëtare</w:t>
            </w:r>
            <w:r>
              <w:rPr>
                <w:rFonts w:ascii="Garamond" w:hAnsi="Garamond" w:cs="Times New Roman"/>
                <w:sz w:val="24"/>
                <w:szCs w:val="24"/>
              </w:rPr>
              <w:t>;</w:t>
            </w:r>
          </w:p>
        </w:tc>
      </w:tr>
      <w:tr w:rsidR="00D75CEB" w:rsidRPr="0075086C" w14:paraId="7F8E6C3D" w14:textId="77777777" w:rsidTr="00CD03CD">
        <w:tc>
          <w:tcPr>
            <w:tcW w:w="2693" w:type="dxa"/>
          </w:tcPr>
          <w:p w14:paraId="56A5B137" w14:textId="2D7DEF48" w:rsidR="00D75CEB" w:rsidRPr="0075086C" w:rsidRDefault="00D75CEB" w:rsidP="003218EE">
            <w:pPr>
              <w:jc w:val="both"/>
              <w:rPr>
                <w:rFonts w:ascii="Garamond" w:hAnsi="Garamond" w:cs="Times New Roman"/>
                <w:sz w:val="24"/>
                <w:szCs w:val="24"/>
              </w:rPr>
            </w:pPr>
            <w:proofErr w:type="spellStart"/>
            <w:r w:rsidRPr="0075086C">
              <w:rPr>
                <w:rFonts w:ascii="Garamond" w:hAnsi="Garamond" w:cs="Times New Roman"/>
                <w:sz w:val="24"/>
                <w:szCs w:val="24"/>
              </w:rPr>
              <w:t>Sandër</w:t>
            </w:r>
            <w:proofErr w:type="spellEnd"/>
            <w:r w:rsidRPr="0075086C">
              <w:rPr>
                <w:rFonts w:ascii="Garamond" w:hAnsi="Garamond" w:cs="Times New Roman"/>
                <w:sz w:val="24"/>
                <w:szCs w:val="24"/>
              </w:rPr>
              <w:t xml:space="preserve"> Beci</w:t>
            </w:r>
            <w:r w:rsidR="003218EE">
              <w:rPr>
                <w:rFonts w:ascii="Garamond" w:hAnsi="Garamond" w:cs="Times New Roman"/>
                <w:sz w:val="24"/>
                <w:szCs w:val="24"/>
              </w:rPr>
              <w:t xml:space="preserve"> </w:t>
            </w:r>
          </w:p>
        </w:tc>
        <w:tc>
          <w:tcPr>
            <w:tcW w:w="3119" w:type="dxa"/>
          </w:tcPr>
          <w:p w14:paraId="2D8C6F16" w14:textId="2324EBDC" w:rsidR="00D75CEB" w:rsidRPr="0075086C" w:rsidRDefault="003218EE" w:rsidP="003218EE">
            <w:pPr>
              <w:ind w:firstLine="284"/>
              <w:jc w:val="both"/>
              <w:rPr>
                <w:rFonts w:ascii="Garamond" w:hAnsi="Garamond" w:cs="Times New Roman"/>
                <w:sz w:val="24"/>
                <w:szCs w:val="24"/>
              </w:rPr>
            </w:pPr>
            <w:r w:rsidRPr="0075086C">
              <w:rPr>
                <w:rFonts w:ascii="Garamond" w:hAnsi="Garamond" w:cs="Times New Roman"/>
                <w:sz w:val="24"/>
                <w:szCs w:val="24"/>
              </w:rPr>
              <w:t>anëtar</w:t>
            </w:r>
            <w:r>
              <w:rPr>
                <w:rFonts w:ascii="Garamond" w:hAnsi="Garamond" w:cs="Times New Roman"/>
                <w:sz w:val="24"/>
                <w:szCs w:val="24"/>
              </w:rPr>
              <w:t>;</w:t>
            </w:r>
          </w:p>
        </w:tc>
      </w:tr>
      <w:tr w:rsidR="00D75CEB" w:rsidRPr="0075086C" w14:paraId="0BDC1D71" w14:textId="77777777" w:rsidTr="00CD03CD">
        <w:tc>
          <w:tcPr>
            <w:tcW w:w="2693" w:type="dxa"/>
          </w:tcPr>
          <w:p w14:paraId="15DB6AC8" w14:textId="2669D1AC" w:rsidR="00D75CEB" w:rsidRPr="0075086C" w:rsidRDefault="00D75CEB" w:rsidP="003218EE">
            <w:pPr>
              <w:jc w:val="both"/>
              <w:rPr>
                <w:rFonts w:ascii="Garamond" w:hAnsi="Garamond" w:cs="Times New Roman"/>
                <w:sz w:val="24"/>
                <w:szCs w:val="24"/>
              </w:rPr>
            </w:pPr>
            <w:r w:rsidRPr="0075086C">
              <w:rPr>
                <w:rFonts w:ascii="Garamond" w:hAnsi="Garamond" w:cs="Times New Roman"/>
                <w:sz w:val="24"/>
                <w:szCs w:val="24"/>
              </w:rPr>
              <w:t>Genti Ibrahimi</w:t>
            </w:r>
          </w:p>
        </w:tc>
        <w:tc>
          <w:tcPr>
            <w:tcW w:w="3119" w:type="dxa"/>
          </w:tcPr>
          <w:p w14:paraId="1D9C2FA2" w14:textId="07DD3723" w:rsidR="00D75CEB" w:rsidRPr="0075086C" w:rsidRDefault="003218EE" w:rsidP="003218EE">
            <w:pPr>
              <w:ind w:firstLine="284"/>
              <w:jc w:val="both"/>
              <w:rPr>
                <w:rFonts w:ascii="Garamond" w:hAnsi="Garamond" w:cs="Times New Roman"/>
                <w:sz w:val="24"/>
                <w:szCs w:val="24"/>
              </w:rPr>
            </w:pPr>
            <w:r w:rsidRPr="0075086C">
              <w:rPr>
                <w:rFonts w:ascii="Garamond" w:hAnsi="Garamond" w:cs="Times New Roman"/>
                <w:sz w:val="24"/>
                <w:szCs w:val="24"/>
              </w:rPr>
              <w:t>anëtar</w:t>
            </w:r>
            <w:r>
              <w:rPr>
                <w:rFonts w:ascii="Garamond" w:hAnsi="Garamond" w:cs="Times New Roman"/>
                <w:sz w:val="24"/>
                <w:szCs w:val="24"/>
              </w:rPr>
              <w:t>;</w:t>
            </w:r>
          </w:p>
        </w:tc>
      </w:tr>
      <w:tr w:rsidR="00D75CEB" w:rsidRPr="0075086C" w14:paraId="2D3679D6" w14:textId="77777777" w:rsidTr="00CD03CD">
        <w:tc>
          <w:tcPr>
            <w:tcW w:w="2693" w:type="dxa"/>
          </w:tcPr>
          <w:p w14:paraId="16622563" w14:textId="4913BA7B" w:rsidR="00D75CEB" w:rsidRPr="0075086C" w:rsidRDefault="00D75CEB" w:rsidP="003218EE">
            <w:pPr>
              <w:jc w:val="both"/>
              <w:rPr>
                <w:rFonts w:ascii="Garamond" w:hAnsi="Garamond" w:cs="Times New Roman"/>
                <w:sz w:val="24"/>
                <w:szCs w:val="24"/>
              </w:rPr>
            </w:pPr>
            <w:proofErr w:type="spellStart"/>
            <w:r w:rsidRPr="0075086C">
              <w:rPr>
                <w:rFonts w:ascii="Garamond" w:hAnsi="Garamond" w:cs="Times New Roman"/>
                <w:sz w:val="24"/>
                <w:szCs w:val="24"/>
              </w:rPr>
              <w:t>Marjana</w:t>
            </w:r>
            <w:proofErr w:type="spellEnd"/>
            <w:r w:rsidRPr="0075086C">
              <w:rPr>
                <w:rFonts w:ascii="Garamond" w:hAnsi="Garamond" w:cs="Times New Roman"/>
                <w:sz w:val="24"/>
                <w:szCs w:val="24"/>
              </w:rPr>
              <w:t xml:space="preserve"> </w:t>
            </w:r>
            <w:proofErr w:type="spellStart"/>
            <w:r w:rsidRPr="0075086C">
              <w:rPr>
                <w:rFonts w:ascii="Garamond" w:hAnsi="Garamond" w:cs="Times New Roman"/>
                <w:sz w:val="24"/>
                <w:szCs w:val="24"/>
              </w:rPr>
              <w:t>Semini</w:t>
            </w:r>
            <w:proofErr w:type="spellEnd"/>
          </w:p>
        </w:tc>
        <w:tc>
          <w:tcPr>
            <w:tcW w:w="3119" w:type="dxa"/>
          </w:tcPr>
          <w:p w14:paraId="4E40F652" w14:textId="4719FC18" w:rsidR="00D75CEB" w:rsidRPr="0075086C" w:rsidRDefault="003218EE" w:rsidP="003218EE">
            <w:pPr>
              <w:ind w:firstLine="284"/>
              <w:jc w:val="both"/>
              <w:rPr>
                <w:rFonts w:ascii="Garamond" w:hAnsi="Garamond" w:cs="Times New Roman"/>
                <w:sz w:val="24"/>
                <w:szCs w:val="24"/>
              </w:rPr>
            </w:pPr>
            <w:r w:rsidRPr="0075086C">
              <w:rPr>
                <w:rFonts w:ascii="Garamond" w:hAnsi="Garamond" w:cs="Times New Roman"/>
                <w:sz w:val="24"/>
                <w:szCs w:val="24"/>
              </w:rPr>
              <w:t>anëtare</w:t>
            </w:r>
            <w:r>
              <w:rPr>
                <w:rFonts w:ascii="Garamond" w:hAnsi="Garamond" w:cs="Times New Roman"/>
                <w:sz w:val="24"/>
                <w:szCs w:val="24"/>
              </w:rPr>
              <w:t>;</w:t>
            </w:r>
            <w:r w:rsidRPr="0075086C">
              <w:rPr>
                <w:rFonts w:ascii="Garamond" w:hAnsi="Garamond" w:cs="Times New Roman"/>
                <w:sz w:val="24"/>
                <w:szCs w:val="24"/>
              </w:rPr>
              <w:t xml:space="preserve"> </w:t>
            </w:r>
          </w:p>
        </w:tc>
      </w:tr>
      <w:tr w:rsidR="00D75CEB" w:rsidRPr="0075086C" w14:paraId="5A35F6A8" w14:textId="77777777" w:rsidTr="00CD03CD">
        <w:tc>
          <w:tcPr>
            <w:tcW w:w="2693" w:type="dxa"/>
          </w:tcPr>
          <w:p w14:paraId="1DECDC9D" w14:textId="67D02855" w:rsidR="00D75CEB" w:rsidRPr="0075086C" w:rsidRDefault="00D75CEB" w:rsidP="003218EE">
            <w:pPr>
              <w:jc w:val="both"/>
              <w:rPr>
                <w:rFonts w:ascii="Garamond" w:hAnsi="Garamond" w:cs="Times New Roman"/>
                <w:sz w:val="24"/>
                <w:szCs w:val="24"/>
              </w:rPr>
            </w:pPr>
            <w:proofErr w:type="spellStart"/>
            <w:r w:rsidRPr="0075086C">
              <w:rPr>
                <w:rFonts w:ascii="Garamond" w:hAnsi="Garamond" w:cs="Times New Roman"/>
                <w:sz w:val="24"/>
                <w:szCs w:val="24"/>
              </w:rPr>
              <w:t>Asim</w:t>
            </w:r>
            <w:proofErr w:type="spellEnd"/>
            <w:r w:rsidRPr="0075086C">
              <w:rPr>
                <w:rFonts w:ascii="Garamond" w:hAnsi="Garamond" w:cs="Times New Roman"/>
                <w:sz w:val="24"/>
                <w:szCs w:val="24"/>
              </w:rPr>
              <w:t xml:space="preserve"> </w:t>
            </w:r>
            <w:proofErr w:type="spellStart"/>
            <w:r w:rsidRPr="0075086C">
              <w:rPr>
                <w:rFonts w:ascii="Garamond" w:hAnsi="Garamond" w:cs="Times New Roman"/>
                <w:sz w:val="24"/>
                <w:szCs w:val="24"/>
              </w:rPr>
              <w:t>Vokshi</w:t>
            </w:r>
            <w:proofErr w:type="spellEnd"/>
            <w:r w:rsidRPr="0075086C">
              <w:rPr>
                <w:rFonts w:ascii="Garamond" w:hAnsi="Garamond" w:cs="Times New Roman"/>
                <w:sz w:val="24"/>
                <w:szCs w:val="24"/>
              </w:rPr>
              <w:t xml:space="preserve"> </w:t>
            </w:r>
          </w:p>
        </w:tc>
        <w:tc>
          <w:tcPr>
            <w:tcW w:w="3119" w:type="dxa"/>
          </w:tcPr>
          <w:p w14:paraId="22D82CA8" w14:textId="12269962" w:rsidR="00D75CEB" w:rsidRPr="0075086C" w:rsidRDefault="003218EE" w:rsidP="003218EE">
            <w:pPr>
              <w:ind w:firstLine="284"/>
              <w:jc w:val="both"/>
              <w:rPr>
                <w:rFonts w:ascii="Garamond" w:hAnsi="Garamond" w:cs="Times New Roman"/>
                <w:sz w:val="24"/>
                <w:szCs w:val="24"/>
              </w:rPr>
            </w:pPr>
            <w:r w:rsidRPr="0075086C">
              <w:rPr>
                <w:rFonts w:ascii="Garamond" w:hAnsi="Garamond" w:cs="Times New Roman"/>
                <w:sz w:val="24"/>
                <w:szCs w:val="24"/>
              </w:rPr>
              <w:t>anëtar</w:t>
            </w:r>
            <w:r>
              <w:rPr>
                <w:rFonts w:ascii="Garamond" w:hAnsi="Garamond" w:cs="Times New Roman"/>
                <w:sz w:val="24"/>
                <w:szCs w:val="24"/>
              </w:rPr>
              <w:t>;</w:t>
            </w:r>
          </w:p>
        </w:tc>
      </w:tr>
      <w:tr w:rsidR="00D75CEB" w:rsidRPr="0075086C" w14:paraId="03AF70E9" w14:textId="77777777" w:rsidTr="00CD03CD">
        <w:tc>
          <w:tcPr>
            <w:tcW w:w="2693" w:type="dxa"/>
          </w:tcPr>
          <w:p w14:paraId="63446BC3" w14:textId="14E5CDCA" w:rsidR="00D75CEB" w:rsidRPr="0075086C" w:rsidRDefault="00D75CEB" w:rsidP="003218EE">
            <w:pPr>
              <w:jc w:val="both"/>
              <w:rPr>
                <w:rFonts w:ascii="Garamond" w:hAnsi="Garamond" w:cs="Times New Roman"/>
                <w:sz w:val="24"/>
                <w:szCs w:val="24"/>
              </w:rPr>
            </w:pPr>
            <w:r w:rsidRPr="0075086C">
              <w:rPr>
                <w:rFonts w:ascii="Garamond" w:hAnsi="Garamond" w:cs="Times New Roman"/>
                <w:sz w:val="24"/>
                <w:szCs w:val="24"/>
              </w:rPr>
              <w:t>Ilir Toska</w:t>
            </w:r>
          </w:p>
        </w:tc>
        <w:tc>
          <w:tcPr>
            <w:tcW w:w="3119" w:type="dxa"/>
          </w:tcPr>
          <w:p w14:paraId="52E704C9" w14:textId="11AC6F7F" w:rsidR="00D75CEB" w:rsidRPr="0075086C" w:rsidRDefault="003218EE" w:rsidP="003218EE">
            <w:pPr>
              <w:ind w:firstLine="284"/>
              <w:jc w:val="both"/>
              <w:rPr>
                <w:rFonts w:ascii="Garamond" w:hAnsi="Garamond" w:cs="Times New Roman"/>
                <w:sz w:val="24"/>
                <w:szCs w:val="24"/>
              </w:rPr>
            </w:pPr>
            <w:r w:rsidRPr="0075086C">
              <w:rPr>
                <w:rFonts w:ascii="Garamond" w:hAnsi="Garamond" w:cs="Times New Roman"/>
                <w:sz w:val="24"/>
                <w:szCs w:val="24"/>
              </w:rPr>
              <w:t>anëtar</w:t>
            </w:r>
            <w:r>
              <w:rPr>
                <w:rFonts w:ascii="Garamond" w:hAnsi="Garamond" w:cs="Times New Roman"/>
                <w:sz w:val="24"/>
                <w:szCs w:val="24"/>
              </w:rPr>
              <w:t>,</w:t>
            </w:r>
          </w:p>
        </w:tc>
      </w:tr>
    </w:tbl>
    <w:p w14:paraId="7C8B3E9B" w14:textId="4F146E56" w:rsidR="00D75CEB" w:rsidRPr="0075086C" w:rsidRDefault="00D75CEB" w:rsidP="00D75CEB">
      <w:pPr>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 xml:space="preserve">me sekretare </w:t>
      </w:r>
      <w:proofErr w:type="spellStart"/>
      <w:r w:rsidRPr="0075086C">
        <w:rPr>
          <w:rFonts w:ascii="Garamond" w:hAnsi="Garamond" w:cs="Times New Roman"/>
          <w:sz w:val="24"/>
          <w:szCs w:val="24"/>
        </w:rPr>
        <w:t>Farisja</w:t>
      </w:r>
      <w:proofErr w:type="spellEnd"/>
      <w:r w:rsidRPr="0075086C">
        <w:rPr>
          <w:rFonts w:ascii="Garamond" w:hAnsi="Garamond" w:cs="Times New Roman"/>
          <w:sz w:val="24"/>
          <w:szCs w:val="24"/>
        </w:rPr>
        <w:t xml:space="preserve"> </w:t>
      </w:r>
      <w:proofErr w:type="spellStart"/>
      <w:r w:rsidRPr="0075086C">
        <w:rPr>
          <w:rFonts w:ascii="Garamond" w:hAnsi="Garamond" w:cs="Times New Roman"/>
          <w:sz w:val="24"/>
          <w:szCs w:val="24"/>
        </w:rPr>
        <w:t>Idrizaj</w:t>
      </w:r>
      <w:proofErr w:type="spellEnd"/>
      <w:r w:rsidRPr="0075086C">
        <w:rPr>
          <w:rFonts w:ascii="Garamond" w:hAnsi="Garamond" w:cs="Times New Roman"/>
          <w:sz w:val="24"/>
          <w:szCs w:val="24"/>
        </w:rPr>
        <w:t>, në datën 10.3.2026 mori në shqyrtim në seancë plenare mbi bazë të dokumenteve çështjen nr. 30 (B) 2025</w:t>
      </w:r>
      <w:r w:rsidRPr="0075086C">
        <w:rPr>
          <w:rFonts w:ascii="Garamond" w:hAnsi="Garamond" w:cs="Times New Roman"/>
          <w:b/>
          <w:bCs/>
          <w:sz w:val="24"/>
          <w:szCs w:val="24"/>
        </w:rPr>
        <w:t xml:space="preserve"> </w:t>
      </w:r>
      <w:r w:rsidRPr="0075086C">
        <w:rPr>
          <w:rFonts w:ascii="Garamond" w:hAnsi="Garamond" w:cs="Times New Roman"/>
          <w:sz w:val="24"/>
          <w:szCs w:val="24"/>
        </w:rPr>
        <w:t>të</w:t>
      </w:r>
      <w:r w:rsidRPr="0075086C">
        <w:rPr>
          <w:rFonts w:ascii="Garamond" w:hAnsi="Garamond" w:cs="Times New Roman"/>
          <w:b/>
          <w:bCs/>
          <w:sz w:val="24"/>
          <w:szCs w:val="24"/>
        </w:rPr>
        <w:t xml:space="preserve"> </w:t>
      </w:r>
      <w:r w:rsidRPr="0075086C">
        <w:rPr>
          <w:rFonts w:ascii="Garamond" w:hAnsi="Garamond" w:cs="Times New Roman"/>
          <w:sz w:val="24"/>
          <w:szCs w:val="24"/>
        </w:rPr>
        <w:t>Regjistrit Themeltar,</w:t>
      </w:r>
      <w:r w:rsidRPr="0075086C">
        <w:rPr>
          <w:rFonts w:ascii="Garamond" w:hAnsi="Garamond" w:cs="Times New Roman"/>
          <w:b/>
          <w:bCs/>
          <w:sz w:val="24"/>
          <w:szCs w:val="24"/>
        </w:rPr>
        <w:t xml:space="preserve"> </w:t>
      </w:r>
      <w:r w:rsidRPr="0075086C">
        <w:rPr>
          <w:rFonts w:ascii="Garamond" w:hAnsi="Garamond" w:cs="Times New Roman"/>
          <w:sz w:val="24"/>
          <w:szCs w:val="24"/>
        </w:rPr>
        <w:t>që i përket:</w:t>
      </w:r>
    </w:p>
    <w:p w14:paraId="04EDC7B5" w14:textId="77777777" w:rsidR="00D75CEB" w:rsidRPr="0075086C" w:rsidRDefault="00D75CEB" w:rsidP="00D75CEB">
      <w:pPr>
        <w:spacing w:after="0" w:line="240" w:lineRule="auto"/>
        <w:ind w:firstLine="284"/>
        <w:jc w:val="both"/>
        <w:rPr>
          <w:rFonts w:ascii="Garamond" w:hAnsi="Garamond" w:cs="Times New Roman"/>
          <w:sz w:val="24"/>
          <w:szCs w:val="24"/>
        </w:rPr>
      </w:pPr>
      <w:r w:rsidRPr="0075086C">
        <w:rPr>
          <w:rFonts w:ascii="Garamond" w:hAnsi="Garamond" w:cs="Times New Roman"/>
          <w:bCs/>
          <w:sz w:val="24"/>
          <w:szCs w:val="24"/>
        </w:rPr>
        <w:t xml:space="preserve">KËRKUESE: </w:t>
      </w:r>
      <w:proofErr w:type="spellStart"/>
      <w:r w:rsidRPr="0075086C">
        <w:rPr>
          <w:rFonts w:ascii="Garamond" w:hAnsi="Garamond" w:cs="Times New Roman"/>
          <w:bCs/>
          <w:sz w:val="24"/>
          <w:szCs w:val="24"/>
        </w:rPr>
        <w:t>Bedrie</w:t>
      </w:r>
      <w:proofErr w:type="spellEnd"/>
      <w:r w:rsidRPr="0075086C">
        <w:rPr>
          <w:rFonts w:ascii="Garamond" w:hAnsi="Garamond" w:cs="Times New Roman"/>
          <w:bCs/>
          <w:sz w:val="24"/>
          <w:szCs w:val="24"/>
        </w:rPr>
        <w:t xml:space="preserve"> </w:t>
      </w:r>
      <w:proofErr w:type="spellStart"/>
      <w:r w:rsidRPr="0075086C">
        <w:rPr>
          <w:rFonts w:ascii="Garamond" w:hAnsi="Garamond" w:cs="Times New Roman"/>
          <w:bCs/>
          <w:sz w:val="24"/>
          <w:szCs w:val="24"/>
        </w:rPr>
        <w:t>Pana</w:t>
      </w:r>
      <w:proofErr w:type="spellEnd"/>
      <w:r w:rsidRPr="0075086C">
        <w:rPr>
          <w:rFonts w:ascii="Garamond" w:hAnsi="Garamond" w:cs="Times New Roman"/>
          <w:bCs/>
          <w:sz w:val="24"/>
          <w:szCs w:val="24"/>
        </w:rPr>
        <w:t xml:space="preserve"> </w:t>
      </w:r>
      <w:r w:rsidRPr="0075086C">
        <w:rPr>
          <w:rFonts w:ascii="Garamond" w:hAnsi="Garamond" w:cs="Times New Roman"/>
          <w:bCs/>
          <w:caps/>
          <w:sz w:val="24"/>
          <w:szCs w:val="24"/>
        </w:rPr>
        <w:t>(</w:t>
      </w:r>
      <w:r w:rsidRPr="0075086C">
        <w:rPr>
          <w:rFonts w:ascii="Garamond" w:hAnsi="Garamond" w:cs="Times New Roman"/>
          <w:bCs/>
          <w:sz w:val="24"/>
          <w:szCs w:val="24"/>
        </w:rPr>
        <w:t>Ruci</w:t>
      </w:r>
      <w:r w:rsidRPr="0075086C">
        <w:rPr>
          <w:rFonts w:ascii="Garamond" w:hAnsi="Garamond" w:cs="Times New Roman"/>
          <w:bCs/>
          <w:caps/>
          <w:sz w:val="24"/>
          <w:szCs w:val="24"/>
        </w:rPr>
        <w:t>),</w:t>
      </w:r>
      <w:r w:rsidRPr="0075086C">
        <w:rPr>
          <w:rFonts w:ascii="Garamond" w:hAnsi="Garamond" w:cs="Times New Roman"/>
          <w:bCs/>
          <w:sz w:val="24"/>
          <w:szCs w:val="24"/>
        </w:rPr>
        <w:t xml:space="preserve"> </w:t>
      </w:r>
      <w:r w:rsidRPr="0075086C">
        <w:rPr>
          <w:rFonts w:ascii="Garamond" w:hAnsi="Garamond" w:cs="Times New Roman"/>
          <w:sz w:val="24"/>
          <w:szCs w:val="24"/>
        </w:rPr>
        <w:t xml:space="preserve">përfaqësuar nga avokatët Adriatik </w:t>
      </w:r>
      <w:proofErr w:type="spellStart"/>
      <w:r w:rsidRPr="0075086C">
        <w:rPr>
          <w:rFonts w:ascii="Garamond" w:hAnsi="Garamond" w:cs="Times New Roman"/>
          <w:sz w:val="24"/>
          <w:szCs w:val="24"/>
        </w:rPr>
        <w:t>Sallahu</w:t>
      </w:r>
      <w:proofErr w:type="spellEnd"/>
      <w:r w:rsidRPr="0075086C">
        <w:rPr>
          <w:rFonts w:ascii="Garamond" w:hAnsi="Garamond" w:cs="Times New Roman"/>
          <w:sz w:val="24"/>
          <w:szCs w:val="24"/>
        </w:rPr>
        <w:t xml:space="preserve"> dhe Bashkim Rusi, me prokurë të posaçme.</w:t>
      </w:r>
    </w:p>
    <w:p w14:paraId="311326EC" w14:textId="43B85289" w:rsidR="00D75CEB" w:rsidRPr="0075086C" w:rsidRDefault="00D75CEB" w:rsidP="00D75CEB">
      <w:pPr>
        <w:spacing w:after="0" w:line="240" w:lineRule="auto"/>
        <w:ind w:firstLine="284"/>
        <w:jc w:val="both"/>
        <w:rPr>
          <w:rFonts w:ascii="Garamond" w:hAnsi="Garamond" w:cs="Times New Roman"/>
          <w:bCs/>
          <w:sz w:val="24"/>
          <w:szCs w:val="24"/>
        </w:rPr>
      </w:pPr>
      <w:r w:rsidRPr="0075086C">
        <w:rPr>
          <w:rFonts w:ascii="Garamond" w:hAnsi="Garamond" w:cs="Times New Roman"/>
          <w:bCs/>
          <w:sz w:val="24"/>
          <w:szCs w:val="24"/>
        </w:rPr>
        <w:t>OBJEKTI: Shfuqizimi i vendimit nr. 00-2025-1235, datë 9.4.2025</w:t>
      </w:r>
      <w:r w:rsidR="003218EE">
        <w:rPr>
          <w:rFonts w:ascii="Garamond" w:hAnsi="Garamond" w:cs="Times New Roman"/>
          <w:bCs/>
          <w:sz w:val="24"/>
          <w:szCs w:val="24"/>
        </w:rPr>
        <w:t>,</w:t>
      </w:r>
      <w:r w:rsidRPr="0075086C">
        <w:rPr>
          <w:rFonts w:ascii="Garamond" w:hAnsi="Garamond" w:cs="Times New Roman"/>
          <w:bCs/>
          <w:sz w:val="24"/>
          <w:szCs w:val="24"/>
        </w:rPr>
        <w:t xml:space="preserve"> </w:t>
      </w:r>
      <w:r w:rsidRPr="0075086C">
        <w:rPr>
          <w:rFonts w:ascii="Garamond" w:hAnsi="Garamond" w:cs="Times New Roman"/>
          <w:bCs/>
          <w:spacing w:val="-15"/>
          <w:sz w:val="24"/>
          <w:szCs w:val="24"/>
        </w:rPr>
        <w:t>t</w:t>
      </w:r>
      <w:r w:rsidRPr="0075086C">
        <w:rPr>
          <w:rFonts w:ascii="Garamond" w:hAnsi="Garamond" w:cs="Times New Roman"/>
          <w:bCs/>
          <w:sz w:val="24"/>
          <w:szCs w:val="24"/>
        </w:rPr>
        <w:t>ë Kolegjit Civil të Gjykatës së Lartë, si i papajtueshëm me Kushtetutën e Republikës së Shqipërisë.</w:t>
      </w:r>
    </w:p>
    <w:p w14:paraId="46C9001B" w14:textId="2315EE7F" w:rsidR="00D75CEB" w:rsidRPr="0075086C" w:rsidRDefault="00D75CEB" w:rsidP="00D75CEB">
      <w:pPr>
        <w:tabs>
          <w:tab w:val="left" w:pos="1080"/>
        </w:tabs>
        <w:spacing w:after="0" w:line="240" w:lineRule="auto"/>
        <w:ind w:firstLine="284"/>
        <w:jc w:val="both"/>
        <w:rPr>
          <w:rFonts w:ascii="Garamond" w:hAnsi="Garamond" w:cs="Times New Roman"/>
          <w:bCs/>
          <w:i/>
          <w:iCs/>
          <w:sz w:val="24"/>
          <w:szCs w:val="24"/>
        </w:rPr>
      </w:pPr>
      <w:r w:rsidRPr="0075086C">
        <w:rPr>
          <w:rFonts w:ascii="Garamond" w:hAnsi="Garamond" w:cs="Times New Roman"/>
          <w:bCs/>
          <w:sz w:val="24"/>
          <w:szCs w:val="24"/>
        </w:rPr>
        <w:t xml:space="preserve">BAZA LIGJORE: Nenet 42, 131, pika 1, shkronja “f” dhe 134, pika 1, shkronja “i”, të Kushtetutës së Republikës së Shqipërisë </w:t>
      </w:r>
      <w:r w:rsidRPr="0075086C">
        <w:rPr>
          <w:rFonts w:ascii="Garamond" w:hAnsi="Garamond" w:cs="Times New Roman"/>
          <w:bCs/>
          <w:i/>
          <w:iCs/>
          <w:sz w:val="24"/>
          <w:szCs w:val="24"/>
        </w:rPr>
        <w:t>(Kushtetuta)</w:t>
      </w:r>
      <w:r w:rsidRPr="0075086C">
        <w:rPr>
          <w:rFonts w:ascii="Garamond" w:hAnsi="Garamond" w:cs="Times New Roman"/>
          <w:bCs/>
          <w:sz w:val="24"/>
          <w:szCs w:val="24"/>
        </w:rPr>
        <w:t xml:space="preserve">; neni 6 i Konventës Evropiane për të Drejtat e Njeriut </w:t>
      </w:r>
      <w:r w:rsidRPr="0075086C">
        <w:rPr>
          <w:rFonts w:ascii="Garamond" w:hAnsi="Garamond" w:cs="Times New Roman"/>
          <w:bCs/>
          <w:i/>
          <w:iCs/>
          <w:sz w:val="24"/>
          <w:szCs w:val="24"/>
        </w:rPr>
        <w:t>(KEDNJ)</w:t>
      </w:r>
      <w:r w:rsidRPr="0075086C">
        <w:rPr>
          <w:rFonts w:ascii="Garamond" w:hAnsi="Garamond" w:cs="Times New Roman"/>
          <w:bCs/>
          <w:sz w:val="24"/>
          <w:szCs w:val="24"/>
        </w:rPr>
        <w:t>; ligji nr. 8577, datë 10.2.2000</w:t>
      </w:r>
      <w:r w:rsidR="006A3C0F">
        <w:rPr>
          <w:rFonts w:ascii="Garamond" w:hAnsi="Garamond" w:cs="Times New Roman"/>
          <w:bCs/>
          <w:sz w:val="24"/>
          <w:szCs w:val="24"/>
        </w:rPr>
        <w:t>,</w:t>
      </w:r>
      <w:r w:rsidRPr="0075086C">
        <w:rPr>
          <w:rFonts w:ascii="Garamond" w:hAnsi="Garamond" w:cs="Times New Roman"/>
          <w:bCs/>
          <w:sz w:val="24"/>
          <w:szCs w:val="24"/>
        </w:rPr>
        <w:t xml:space="preserve"> “Për organizimin dhe funksionimin e Gjykatës Kushtetuese të Republikës së Shqipërisë”, i ndryshuar </w:t>
      </w:r>
      <w:r w:rsidRPr="0075086C">
        <w:rPr>
          <w:rFonts w:ascii="Garamond" w:hAnsi="Garamond" w:cs="Times New Roman"/>
          <w:bCs/>
          <w:i/>
          <w:iCs/>
          <w:sz w:val="24"/>
          <w:szCs w:val="24"/>
        </w:rPr>
        <w:t>(Ligji Organik i Gjykatës).</w:t>
      </w:r>
    </w:p>
    <w:p w14:paraId="2815D384" w14:textId="77777777" w:rsidR="00D75CEB" w:rsidRPr="0075086C" w:rsidRDefault="00D75CEB" w:rsidP="00D75CEB">
      <w:pPr>
        <w:spacing w:after="0" w:line="240" w:lineRule="auto"/>
        <w:ind w:firstLine="284"/>
        <w:jc w:val="center"/>
        <w:rPr>
          <w:rFonts w:ascii="Garamond" w:hAnsi="Garamond"/>
          <w:b/>
          <w:bCs/>
          <w:sz w:val="24"/>
          <w:szCs w:val="24"/>
        </w:rPr>
      </w:pPr>
    </w:p>
    <w:p w14:paraId="68604245" w14:textId="77777777" w:rsidR="00D75CEB" w:rsidRPr="0075086C" w:rsidRDefault="00D75CEB" w:rsidP="00D75CEB">
      <w:pPr>
        <w:spacing w:after="0" w:line="240" w:lineRule="auto"/>
        <w:ind w:firstLine="284"/>
        <w:jc w:val="center"/>
        <w:rPr>
          <w:rFonts w:ascii="Garamond" w:hAnsi="Garamond" w:cs="Times New Roman"/>
          <w:bCs/>
          <w:sz w:val="24"/>
          <w:szCs w:val="24"/>
        </w:rPr>
      </w:pPr>
      <w:r w:rsidRPr="0075086C">
        <w:rPr>
          <w:rFonts w:ascii="Garamond" w:hAnsi="Garamond" w:cs="Times New Roman"/>
          <w:bCs/>
          <w:sz w:val="24"/>
          <w:szCs w:val="24"/>
        </w:rPr>
        <w:t>GJYKATA KUSHTETUESE,</w:t>
      </w:r>
    </w:p>
    <w:p w14:paraId="4FDB50AB" w14:textId="77777777" w:rsidR="00D75CEB" w:rsidRPr="0075086C" w:rsidRDefault="00D75CEB" w:rsidP="00D75CEB">
      <w:pPr>
        <w:spacing w:after="0" w:line="240" w:lineRule="auto"/>
        <w:ind w:firstLine="284"/>
        <w:jc w:val="center"/>
        <w:rPr>
          <w:rFonts w:ascii="Garamond" w:hAnsi="Garamond" w:cs="Times New Roman"/>
          <w:b/>
          <w:bCs/>
          <w:sz w:val="24"/>
          <w:szCs w:val="24"/>
        </w:rPr>
      </w:pPr>
    </w:p>
    <w:p w14:paraId="2BB296C6" w14:textId="77777777"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 xml:space="preserve">pasi dëgjoi relatorin e çështjes Ilir Toska, mori në shqyrtim pretendimet e kërkueses </w:t>
      </w:r>
      <w:proofErr w:type="spellStart"/>
      <w:r w:rsidRPr="0075086C">
        <w:rPr>
          <w:rFonts w:ascii="Garamond" w:hAnsi="Garamond" w:cs="Times New Roman"/>
          <w:sz w:val="24"/>
          <w:szCs w:val="24"/>
        </w:rPr>
        <w:t>Bedrie</w:t>
      </w:r>
      <w:proofErr w:type="spellEnd"/>
      <w:r w:rsidRPr="0075086C">
        <w:rPr>
          <w:rFonts w:ascii="Garamond" w:hAnsi="Garamond" w:cs="Times New Roman"/>
          <w:sz w:val="24"/>
          <w:szCs w:val="24"/>
        </w:rPr>
        <w:t xml:space="preserve"> </w:t>
      </w:r>
      <w:proofErr w:type="spellStart"/>
      <w:r w:rsidRPr="0075086C">
        <w:rPr>
          <w:rFonts w:ascii="Garamond" w:hAnsi="Garamond" w:cs="Times New Roman"/>
          <w:sz w:val="24"/>
          <w:szCs w:val="24"/>
        </w:rPr>
        <w:t>Pana</w:t>
      </w:r>
      <w:proofErr w:type="spellEnd"/>
      <w:r w:rsidRPr="0075086C">
        <w:rPr>
          <w:rFonts w:ascii="Garamond" w:hAnsi="Garamond" w:cs="Times New Roman"/>
          <w:sz w:val="24"/>
          <w:szCs w:val="24"/>
        </w:rPr>
        <w:t xml:space="preserve"> </w:t>
      </w:r>
      <w:r w:rsidRPr="0075086C">
        <w:rPr>
          <w:rFonts w:ascii="Garamond" w:hAnsi="Garamond" w:cs="Times New Roman"/>
          <w:i/>
          <w:iCs/>
          <w:sz w:val="24"/>
          <w:szCs w:val="24"/>
        </w:rPr>
        <w:t>(kërkuesja)</w:t>
      </w:r>
      <w:r w:rsidRPr="0075086C">
        <w:rPr>
          <w:rFonts w:ascii="Garamond" w:hAnsi="Garamond" w:cs="Times New Roman"/>
          <w:sz w:val="24"/>
          <w:szCs w:val="24"/>
        </w:rPr>
        <w:t>, e cila ka kërkuar pranimin e kërkesës, si dhe diskutoi çështjen në tërësi,</w:t>
      </w:r>
    </w:p>
    <w:p w14:paraId="7D4EFDEC" w14:textId="77777777" w:rsidR="00D75CEB" w:rsidRPr="0075086C" w:rsidRDefault="00D75CEB" w:rsidP="00D75CEB">
      <w:pPr>
        <w:tabs>
          <w:tab w:val="left" w:pos="1080"/>
        </w:tabs>
        <w:spacing w:after="0" w:line="240" w:lineRule="auto"/>
        <w:ind w:firstLine="284"/>
        <w:jc w:val="both"/>
        <w:rPr>
          <w:rFonts w:ascii="Garamond" w:hAnsi="Garamond" w:cs="Times New Roman"/>
          <w:sz w:val="24"/>
          <w:szCs w:val="24"/>
        </w:rPr>
      </w:pPr>
    </w:p>
    <w:p w14:paraId="5A703853" w14:textId="77777777" w:rsidR="00D75CEB" w:rsidRDefault="00D75CEB" w:rsidP="00D75CEB">
      <w:pPr>
        <w:tabs>
          <w:tab w:val="left" w:pos="4520"/>
        </w:tabs>
        <w:spacing w:after="0" w:line="240" w:lineRule="auto"/>
        <w:ind w:firstLine="284"/>
        <w:jc w:val="center"/>
        <w:rPr>
          <w:rFonts w:ascii="Garamond" w:hAnsi="Garamond" w:cs="Times New Roman"/>
          <w:b/>
          <w:bCs/>
          <w:sz w:val="24"/>
          <w:szCs w:val="24"/>
        </w:rPr>
      </w:pPr>
      <w:r w:rsidRPr="0075086C">
        <w:rPr>
          <w:rFonts w:ascii="Garamond" w:hAnsi="Garamond" w:cs="Times New Roman"/>
          <w:bCs/>
          <w:sz w:val="24"/>
          <w:szCs w:val="24"/>
        </w:rPr>
        <w:t>VËREN</w:t>
      </w:r>
      <w:r w:rsidRPr="006A3C0F">
        <w:rPr>
          <w:rFonts w:ascii="Garamond" w:hAnsi="Garamond" w:cs="Times New Roman"/>
          <w:sz w:val="24"/>
          <w:szCs w:val="24"/>
        </w:rPr>
        <w:t>:</w:t>
      </w:r>
    </w:p>
    <w:p w14:paraId="1E2DB015" w14:textId="77777777" w:rsidR="00D75CEB" w:rsidRPr="0075086C" w:rsidRDefault="00D75CEB" w:rsidP="00D75CEB">
      <w:pPr>
        <w:tabs>
          <w:tab w:val="left" w:pos="4520"/>
        </w:tabs>
        <w:spacing w:after="0" w:line="240" w:lineRule="auto"/>
        <w:ind w:firstLine="284"/>
        <w:jc w:val="center"/>
        <w:rPr>
          <w:rFonts w:ascii="Garamond" w:hAnsi="Garamond"/>
          <w:sz w:val="24"/>
          <w:szCs w:val="24"/>
        </w:rPr>
      </w:pPr>
    </w:p>
    <w:p w14:paraId="59C8C6A1" w14:textId="77777777" w:rsidR="00D75CEB" w:rsidRPr="0075086C" w:rsidRDefault="00D75CEB" w:rsidP="00D75CEB">
      <w:pPr>
        <w:spacing w:after="0" w:line="240" w:lineRule="auto"/>
        <w:ind w:firstLine="284"/>
        <w:jc w:val="center"/>
        <w:rPr>
          <w:rFonts w:ascii="Garamond" w:hAnsi="Garamond" w:cs="Times New Roman"/>
          <w:b/>
          <w:bCs/>
          <w:sz w:val="24"/>
          <w:szCs w:val="24"/>
        </w:rPr>
      </w:pPr>
      <w:r w:rsidRPr="0075086C">
        <w:rPr>
          <w:rFonts w:ascii="Garamond" w:hAnsi="Garamond" w:cs="Times New Roman"/>
          <w:b/>
          <w:bCs/>
          <w:sz w:val="24"/>
          <w:szCs w:val="24"/>
        </w:rPr>
        <w:t>I</w:t>
      </w:r>
    </w:p>
    <w:p w14:paraId="067906C1" w14:textId="77777777" w:rsidR="00D75CEB" w:rsidRDefault="00D75CEB" w:rsidP="00D75CEB">
      <w:pPr>
        <w:spacing w:after="0" w:line="240" w:lineRule="auto"/>
        <w:ind w:firstLine="284"/>
        <w:jc w:val="center"/>
        <w:rPr>
          <w:rFonts w:ascii="Garamond" w:hAnsi="Garamond" w:cs="Times New Roman"/>
          <w:b/>
          <w:bCs/>
          <w:sz w:val="24"/>
          <w:szCs w:val="24"/>
        </w:rPr>
      </w:pPr>
      <w:r w:rsidRPr="0075086C">
        <w:rPr>
          <w:rFonts w:ascii="Garamond" w:hAnsi="Garamond" w:cs="Times New Roman"/>
          <w:b/>
          <w:bCs/>
          <w:sz w:val="24"/>
          <w:szCs w:val="24"/>
        </w:rPr>
        <w:t>Rrethanat e çështjes</w:t>
      </w:r>
    </w:p>
    <w:p w14:paraId="6C04BBAE" w14:textId="77777777" w:rsidR="00D75CEB" w:rsidRPr="0075086C" w:rsidRDefault="00D75CEB" w:rsidP="00D75CEB">
      <w:pPr>
        <w:spacing w:after="0" w:line="240" w:lineRule="auto"/>
        <w:ind w:firstLine="284"/>
        <w:jc w:val="center"/>
        <w:rPr>
          <w:rFonts w:ascii="Garamond" w:hAnsi="Garamond" w:cs="Times New Roman"/>
          <w:b/>
          <w:bCs/>
          <w:sz w:val="24"/>
          <w:szCs w:val="24"/>
        </w:rPr>
      </w:pPr>
    </w:p>
    <w:p w14:paraId="0CA0EA71" w14:textId="76A54DF0"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1. Në datën 27.11.2018 kërkuesja bashkë me vajzën e saj A.R. i janë drejtuar gjykatës me një padi, me objekt pjesëtimin e disa pasurive të paluajtshme, konkretisht të një apartamenti me sipërfaqe 20 m</w:t>
      </w:r>
      <w:r w:rsidRPr="003218EE">
        <w:rPr>
          <w:rFonts w:ascii="Garamond" w:hAnsi="Garamond"/>
          <w:sz w:val="24"/>
          <w:szCs w:val="24"/>
          <w:vertAlign w:val="superscript"/>
        </w:rPr>
        <w:t>2</w:t>
      </w:r>
      <w:r w:rsidRPr="0075086C">
        <w:rPr>
          <w:rFonts w:ascii="Garamond" w:hAnsi="Garamond" w:cs="Times New Roman"/>
          <w:sz w:val="24"/>
          <w:szCs w:val="24"/>
        </w:rPr>
        <w:t xml:space="preserve"> dhe</w:t>
      </w:r>
      <w:r w:rsidR="003218EE">
        <w:rPr>
          <w:rFonts w:ascii="Garamond" w:hAnsi="Garamond" w:cs="Times New Roman"/>
          <w:sz w:val="24"/>
          <w:szCs w:val="24"/>
        </w:rPr>
        <w:t xml:space="preserve"> </w:t>
      </w:r>
      <w:r w:rsidRPr="0075086C">
        <w:rPr>
          <w:rFonts w:ascii="Garamond" w:hAnsi="Garamond" w:cs="Times New Roman"/>
          <w:sz w:val="24"/>
          <w:szCs w:val="24"/>
        </w:rPr>
        <w:t>dy parcelave të llojit “tokë-arë”, me sipërfaqe 1080 m</w:t>
      </w:r>
      <w:r w:rsidRPr="003218EE">
        <w:rPr>
          <w:rFonts w:ascii="Garamond" w:hAnsi="Garamond"/>
          <w:sz w:val="24"/>
          <w:szCs w:val="24"/>
          <w:vertAlign w:val="superscript"/>
        </w:rPr>
        <w:t>2</w:t>
      </w:r>
      <w:r w:rsidRPr="0075086C">
        <w:rPr>
          <w:rFonts w:ascii="Garamond" w:hAnsi="Garamond" w:cs="Times New Roman"/>
          <w:position w:val="7"/>
          <w:sz w:val="24"/>
          <w:szCs w:val="24"/>
        </w:rPr>
        <w:t xml:space="preserve"> </w:t>
      </w:r>
      <w:r w:rsidRPr="0075086C">
        <w:rPr>
          <w:rFonts w:ascii="Garamond" w:hAnsi="Garamond" w:cs="Times New Roman"/>
          <w:sz w:val="24"/>
          <w:szCs w:val="24"/>
        </w:rPr>
        <w:t>dhe 1071 m</w:t>
      </w:r>
      <w:r w:rsidRPr="003218EE">
        <w:rPr>
          <w:rFonts w:ascii="Garamond" w:hAnsi="Garamond"/>
          <w:sz w:val="24"/>
          <w:szCs w:val="24"/>
          <w:vertAlign w:val="superscript"/>
        </w:rPr>
        <w:t>2</w:t>
      </w:r>
      <w:r w:rsidRPr="0075086C">
        <w:rPr>
          <w:rFonts w:ascii="Garamond" w:hAnsi="Garamond" w:cs="Times New Roman"/>
          <w:sz w:val="24"/>
          <w:szCs w:val="24"/>
        </w:rPr>
        <w:t>, duke paditur për këtë bashkëpronarët e tjerë, shtetasit I.R. dhe I.R., respektivisht ish-bashkëshorti dhe djali i kërkueses. Në përfundim të fazës së parë të pjesëtimit, Gjykata e Rrethit Gjyqësor Durrës, me vendimin nr. 276, datë 29.10.2019, ka vendosur lejimin e pjesëtimit, duke përcaktuar rrethin e bashkëpjesëtarëve, sendet që do të pjesëtohen, si dhe pjesët takuese të secilit prej tyre. Ky vendim ka marrë formë të prerë, pasi nuk është paraqitur ankim.</w:t>
      </w:r>
    </w:p>
    <w:p w14:paraId="144E97A4" w14:textId="29F6B163"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2. Në fazën e dytë të pjesëtimit Gjykata e Rrethit Gjyqësor, me vendimin nr. (11-2020-5670), datë 27.11.2020, ka vendosur pjesëtimin e pasurive në këtë mënyrë: i</w:t>
      </w:r>
      <w:r w:rsidR="003218EE">
        <w:rPr>
          <w:rFonts w:ascii="Garamond" w:hAnsi="Garamond" w:cs="Times New Roman"/>
          <w:sz w:val="24"/>
          <w:szCs w:val="24"/>
        </w:rPr>
        <w:t>.</w:t>
      </w:r>
      <w:r w:rsidRPr="0075086C">
        <w:rPr>
          <w:rFonts w:ascii="Garamond" w:hAnsi="Garamond" w:cs="Times New Roman"/>
          <w:sz w:val="24"/>
          <w:szCs w:val="24"/>
        </w:rPr>
        <w:t xml:space="preserve"> apartamenti i është lënë në pronësi kërkueses përkundrejt kompensimit të bashkëpronarëve të tjerë, ish-bashkëshortit dhe djalit, për pjesët e tyre takuese, secili në vlerën 100.000 lekë; </w:t>
      </w:r>
      <w:proofErr w:type="spellStart"/>
      <w:r w:rsidRPr="0075086C">
        <w:rPr>
          <w:rFonts w:ascii="Garamond" w:hAnsi="Garamond" w:cs="Times New Roman"/>
          <w:sz w:val="24"/>
          <w:szCs w:val="24"/>
        </w:rPr>
        <w:t>ii</w:t>
      </w:r>
      <w:proofErr w:type="spellEnd"/>
      <w:r w:rsidR="003218EE">
        <w:rPr>
          <w:rFonts w:ascii="Garamond" w:hAnsi="Garamond" w:cs="Times New Roman"/>
          <w:sz w:val="24"/>
          <w:szCs w:val="24"/>
        </w:rPr>
        <w:t>.</w:t>
      </w:r>
      <w:r w:rsidRPr="0075086C">
        <w:rPr>
          <w:rFonts w:ascii="Garamond" w:hAnsi="Garamond" w:cs="Times New Roman"/>
          <w:sz w:val="24"/>
          <w:szCs w:val="24"/>
        </w:rPr>
        <w:t xml:space="preserve"> parcela e</w:t>
      </w:r>
      <w:r w:rsidRPr="0075086C">
        <w:rPr>
          <w:rFonts w:ascii="Garamond" w:hAnsi="Garamond" w:cs="Times New Roman"/>
          <w:color w:val="FF0000"/>
          <w:sz w:val="24"/>
          <w:szCs w:val="24"/>
        </w:rPr>
        <w:t xml:space="preserve"> </w:t>
      </w:r>
      <w:r w:rsidRPr="0075086C">
        <w:rPr>
          <w:rFonts w:ascii="Garamond" w:hAnsi="Garamond" w:cs="Times New Roman"/>
          <w:sz w:val="24"/>
          <w:szCs w:val="24"/>
        </w:rPr>
        <w:t>tokës arë me sipërfaqe 1080 m</w:t>
      </w:r>
      <w:r w:rsidRPr="00CC221A">
        <w:rPr>
          <w:rFonts w:ascii="Garamond" w:hAnsi="Garamond"/>
          <w:sz w:val="24"/>
          <w:szCs w:val="24"/>
          <w:vertAlign w:val="superscript"/>
        </w:rPr>
        <w:t>2</w:t>
      </w:r>
      <w:r w:rsidRPr="0075086C">
        <w:rPr>
          <w:rFonts w:ascii="Garamond" w:hAnsi="Garamond" w:cs="Times New Roman"/>
          <w:sz w:val="24"/>
          <w:szCs w:val="24"/>
        </w:rPr>
        <w:t xml:space="preserve"> i është lënë në bashkëpronësi kërkueses dhe vajzës përkundrejt kompensimit të bashkëpronarit tjetër, ish-bashkëshortit të kërkueses, për pjesën e tij takuese në vlerën 287.733,33 lekë; </w:t>
      </w:r>
      <w:proofErr w:type="spellStart"/>
      <w:r w:rsidRPr="0075086C">
        <w:rPr>
          <w:rFonts w:ascii="Garamond" w:hAnsi="Garamond" w:cs="Times New Roman"/>
          <w:sz w:val="24"/>
          <w:szCs w:val="24"/>
        </w:rPr>
        <w:t>iii</w:t>
      </w:r>
      <w:proofErr w:type="spellEnd"/>
      <w:r w:rsidR="00CC221A">
        <w:rPr>
          <w:rFonts w:ascii="Garamond" w:hAnsi="Garamond" w:cs="Times New Roman"/>
          <w:sz w:val="24"/>
          <w:szCs w:val="24"/>
        </w:rPr>
        <w:t>.</w:t>
      </w:r>
      <w:r w:rsidRPr="0075086C">
        <w:rPr>
          <w:rFonts w:ascii="Garamond" w:hAnsi="Garamond" w:cs="Times New Roman"/>
          <w:sz w:val="24"/>
          <w:szCs w:val="24"/>
        </w:rPr>
        <w:t xml:space="preserve"> parcela tjetër e tokës arë me sipërfaqe 1071 m</w:t>
      </w:r>
      <w:r w:rsidRPr="003218EE">
        <w:rPr>
          <w:rFonts w:ascii="Garamond" w:hAnsi="Garamond"/>
          <w:sz w:val="24"/>
          <w:szCs w:val="24"/>
          <w:vertAlign w:val="superscript"/>
        </w:rPr>
        <w:t>2</w:t>
      </w:r>
      <w:r w:rsidRPr="0075086C">
        <w:rPr>
          <w:rFonts w:ascii="Garamond" w:hAnsi="Garamond" w:cs="Times New Roman"/>
          <w:sz w:val="24"/>
          <w:szCs w:val="24"/>
        </w:rPr>
        <w:t xml:space="preserve"> i është lënë në pronësi ish-bashkëshortit të kërkueses përkundrejt kompensimit të kërkueses dhe vajzës për pjesët e tyre takuese, secila në vlerën 285.600 lekë. Kundër këtij vendimi është paraqitur ankim nga i padituri I.R. (ish-bashkëshorti i kërkueses) dhe çështja është regjistruar në Gjykatën e Apelit Durrës me nr. 21376-00590-10-2021, në datën 10.5.2021. </w:t>
      </w:r>
    </w:p>
    <w:p w14:paraId="261C36F6" w14:textId="4F49F922"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lastRenderedPageBreak/>
        <w:t>3. Çështja nuk është gjykuar deri në datën 1.2.2023, kur gjykatat e apelit të juridiksionit të përgjithshëm janë riorganizuar sipas vendimit të Këshillit të Ministrave nr. 495, datë 21.7.2022</w:t>
      </w:r>
      <w:r w:rsidR="00CC221A">
        <w:rPr>
          <w:rFonts w:ascii="Garamond" w:hAnsi="Garamond" w:cs="Times New Roman"/>
          <w:sz w:val="24"/>
          <w:szCs w:val="24"/>
        </w:rPr>
        <w:t>,</w:t>
      </w:r>
      <w:r w:rsidRPr="0075086C">
        <w:rPr>
          <w:rFonts w:ascii="Garamond" w:hAnsi="Garamond" w:cs="Times New Roman"/>
          <w:sz w:val="24"/>
          <w:szCs w:val="24"/>
        </w:rPr>
        <w:t xml:space="preserve"> “Për riorganizimin e rretheve gjyqësore dhe kompetencave tokësore të gjykatave”. Pas riorganizimit gjyqësor, në datën 3.2.2023, çështja e kërkueses është regjistruar tashmë në Gjykatën e Apelit të Juridiksionit të Përgjithshëm. </w:t>
      </w:r>
    </w:p>
    <w:p w14:paraId="237540AE" w14:textId="3C36E843"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4. Në datën 4.12.2024, në rrethanat kur për shqyrtimin e çështjes nuk ishte kryer asnjë veprim gjyqësor, kërkuesja, bazuar në nenet 399/1 e vijues</w:t>
      </w:r>
      <w:r w:rsidR="00AD3C9E">
        <w:rPr>
          <w:rFonts w:ascii="Garamond" w:hAnsi="Garamond" w:cs="Times New Roman"/>
          <w:sz w:val="24"/>
          <w:szCs w:val="24"/>
        </w:rPr>
        <w:t>e</w:t>
      </w:r>
      <w:r w:rsidRPr="0075086C">
        <w:rPr>
          <w:rFonts w:ascii="Garamond" w:hAnsi="Garamond" w:cs="Times New Roman"/>
          <w:sz w:val="24"/>
          <w:szCs w:val="24"/>
        </w:rPr>
        <w:t xml:space="preserve"> të Kodit të Procedurës Civile </w:t>
      </w:r>
      <w:r w:rsidRPr="0075086C">
        <w:rPr>
          <w:rFonts w:ascii="Garamond" w:hAnsi="Garamond" w:cs="Times New Roman"/>
          <w:i/>
          <w:iCs/>
          <w:sz w:val="24"/>
          <w:szCs w:val="24"/>
        </w:rPr>
        <w:t>(KPC),</w:t>
      </w:r>
      <w:r w:rsidRPr="0075086C">
        <w:rPr>
          <w:rFonts w:ascii="Garamond" w:hAnsi="Garamond" w:cs="Times New Roman"/>
          <w:sz w:val="24"/>
          <w:szCs w:val="24"/>
        </w:rPr>
        <w:t xml:space="preserve"> ka paraqitur një kërkesë përpara Gjykatës së Apelit të Juridiksionit të Përgjithshëm për konstatimin e shkeljes së afatit të arsyeshëm dhe përshpejtimin e procedurës për shqyrtimin e çështjes. Kërkesa e kërkueses, bashkë me informacionin e gjyqtarit relator të çështjes, i është përcjellë Gjykatës së Lartë, si gjykata kompetente për shqyrtimin e saj, ku është regjistruar në datën 28.2.2025. </w:t>
      </w:r>
    </w:p>
    <w:p w14:paraId="643F075C" w14:textId="46AA599C"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 xml:space="preserve">5. Për kërkesën e kërkueses Kolegji Civil i Gjykatës së Lartë, me vendimin nr. 00-2025-1235, datë 9.4.2025, ka vendosur rrëzimin e saj, duke arsyetuar, në mënyrë të përmbledhur, se mosveprimi i Gjykatës së Apelit të Juridiksionit të Përgjithshëm nuk ka ndodhur për shkaqe subjektive që lidhen me vlerësimin dhe qëndrimin abuziv të gjyqtarit relator, por për shkak të pamundësisë objektive të asaj gjykate si rezultat i ngarkesës së madhe nga akumulimi ndër vite i dosjeve dhe shkurtimit të numrit të gjyqtarëve në sistem, një problematikë e përgjithshme kjo, që tejkalonte rastin konkret dhe që është shkaktuar nga reforma në drejtësi, e cila ka sjellë natyrshëm edhe kosto për qytetarët në formën e </w:t>
      </w:r>
      <w:proofErr w:type="spellStart"/>
      <w:r w:rsidRPr="0075086C">
        <w:rPr>
          <w:rFonts w:ascii="Garamond" w:hAnsi="Garamond" w:cs="Times New Roman"/>
          <w:sz w:val="24"/>
          <w:szCs w:val="24"/>
        </w:rPr>
        <w:t>tejzgjatjes</w:t>
      </w:r>
      <w:proofErr w:type="spellEnd"/>
      <w:r w:rsidRPr="0075086C">
        <w:rPr>
          <w:rFonts w:ascii="Garamond" w:hAnsi="Garamond" w:cs="Times New Roman"/>
          <w:sz w:val="24"/>
          <w:szCs w:val="24"/>
        </w:rPr>
        <w:t xml:space="preserve"> së afateve të gjykimit të çështjeve gjyqësore. </w:t>
      </w:r>
    </w:p>
    <w:p w14:paraId="610A3E72" w14:textId="4F4C2F1B"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 xml:space="preserve">6. Në datën 10.9.2025 </w:t>
      </w:r>
      <w:r w:rsidRPr="0075086C">
        <w:rPr>
          <w:rFonts w:ascii="Garamond" w:hAnsi="Garamond" w:cs="Times New Roman"/>
          <w:i/>
          <w:iCs/>
          <w:sz w:val="24"/>
          <w:szCs w:val="24"/>
        </w:rPr>
        <w:t>(data e shërbimit postar),</w:t>
      </w:r>
      <w:r w:rsidRPr="0075086C">
        <w:rPr>
          <w:rFonts w:ascii="Garamond" w:hAnsi="Garamond" w:cs="Times New Roman"/>
          <w:sz w:val="24"/>
          <w:szCs w:val="24"/>
        </w:rPr>
        <w:t xml:space="preserve"> kërkuesja i është drejtuar Gjykatës Kushtetuese </w:t>
      </w:r>
      <w:r w:rsidRPr="0075086C">
        <w:rPr>
          <w:rFonts w:ascii="Garamond" w:hAnsi="Garamond" w:cs="Times New Roman"/>
          <w:i/>
          <w:iCs/>
          <w:sz w:val="24"/>
          <w:szCs w:val="24"/>
        </w:rPr>
        <w:t>(Gjykata)</w:t>
      </w:r>
      <w:r w:rsidRPr="0075086C">
        <w:rPr>
          <w:rFonts w:ascii="Garamond" w:hAnsi="Garamond" w:cs="Times New Roman"/>
          <w:sz w:val="24"/>
          <w:szCs w:val="24"/>
        </w:rPr>
        <w:t xml:space="preserve"> me kërkesë, sipas objektit, e cila, pas plotësimit të dokumenteve sipas nenit 27 të Ligjit Organik të Gjykatës, është regjistruar në datën 22.9.2025. Në datën 30.10.2025</w:t>
      </w:r>
      <w:r w:rsidR="00EC527A">
        <w:rPr>
          <w:rFonts w:ascii="Garamond" w:hAnsi="Garamond" w:cs="Times New Roman"/>
          <w:sz w:val="24"/>
          <w:szCs w:val="24"/>
        </w:rPr>
        <w:t>,</w:t>
      </w:r>
      <w:r w:rsidRPr="0075086C">
        <w:rPr>
          <w:rFonts w:ascii="Garamond" w:hAnsi="Garamond" w:cs="Times New Roman"/>
          <w:sz w:val="24"/>
          <w:szCs w:val="24"/>
        </w:rPr>
        <w:t xml:space="preserve"> Kolegji i Gjykatës ka vendosur kalimin e çështjes për shqyrtim në seancë plenare mbi bazë të dokumenteve. </w:t>
      </w:r>
    </w:p>
    <w:p w14:paraId="610A7613" w14:textId="77777777" w:rsidR="00D75CEB" w:rsidRPr="0075086C" w:rsidRDefault="00D75CEB" w:rsidP="00D75CEB">
      <w:pPr>
        <w:tabs>
          <w:tab w:val="left" w:pos="1080"/>
        </w:tabs>
        <w:spacing w:after="0" w:line="240" w:lineRule="auto"/>
        <w:ind w:firstLine="284"/>
        <w:jc w:val="both"/>
        <w:rPr>
          <w:rFonts w:ascii="Garamond" w:hAnsi="Garamond" w:cs="Times New Roman"/>
          <w:sz w:val="24"/>
          <w:szCs w:val="24"/>
        </w:rPr>
      </w:pPr>
    </w:p>
    <w:p w14:paraId="6960AEDC" w14:textId="77777777" w:rsidR="00D75CEB" w:rsidRPr="0075086C" w:rsidRDefault="00D75CEB" w:rsidP="00D75CEB">
      <w:pPr>
        <w:spacing w:after="0" w:line="240" w:lineRule="auto"/>
        <w:ind w:firstLine="284"/>
        <w:jc w:val="center"/>
        <w:rPr>
          <w:rFonts w:ascii="Garamond" w:hAnsi="Garamond" w:cs="Times New Roman"/>
          <w:b/>
          <w:bCs/>
          <w:sz w:val="24"/>
          <w:szCs w:val="24"/>
        </w:rPr>
      </w:pPr>
      <w:r w:rsidRPr="0075086C">
        <w:rPr>
          <w:rFonts w:ascii="Garamond" w:hAnsi="Garamond" w:cs="Times New Roman"/>
          <w:b/>
          <w:bCs/>
          <w:sz w:val="24"/>
          <w:szCs w:val="24"/>
        </w:rPr>
        <w:t>II</w:t>
      </w:r>
    </w:p>
    <w:p w14:paraId="3D2126B5" w14:textId="77777777" w:rsidR="00D75CEB" w:rsidRDefault="00D75CEB" w:rsidP="00D75CEB">
      <w:pPr>
        <w:tabs>
          <w:tab w:val="left" w:pos="1080"/>
        </w:tabs>
        <w:spacing w:after="0" w:line="240" w:lineRule="auto"/>
        <w:ind w:firstLine="284"/>
        <w:jc w:val="center"/>
        <w:rPr>
          <w:rFonts w:ascii="Garamond" w:hAnsi="Garamond" w:cs="Times New Roman"/>
          <w:b/>
          <w:bCs/>
          <w:sz w:val="24"/>
          <w:szCs w:val="24"/>
        </w:rPr>
      </w:pPr>
      <w:r w:rsidRPr="0075086C">
        <w:rPr>
          <w:rFonts w:ascii="Garamond" w:hAnsi="Garamond" w:cs="Times New Roman"/>
          <w:b/>
          <w:bCs/>
          <w:sz w:val="24"/>
          <w:szCs w:val="24"/>
        </w:rPr>
        <w:t>Pretendimet në Gjykatën Kushtetuese</w:t>
      </w:r>
    </w:p>
    <w:p w14:paraId="3BD6C01A" w14:textId="77777777" w:rsidR="00D75CEB" w:rsidRPr="0075086C" w:rsidRDefault="00D75CEB" w:rsidP="00D75CEB">
      <w:pPr>
        <w:tabs>
          <w:tab w:val="left" w:pos="1080"/>
        </w:tabs>
        <w:spacing w:after="0" w:line="240" w:lineRule="auto"/>
        <w:ind w:firstLine="284"/>
        <w:jc w:val="center"/>
        <w:rPr>
          <w:rFonts w:ascii="Garamond" w:hAnsi="Garamond" w:cs="Times New Roman"/>
          <w:b/>
          <w:bCs/>
          <w:sz w:val="24"/>
          <w:szCs w:val="24"/>
        </w:rPr>
      </w:pPr>
    </w:p>
    <w:p w14:paraId="389470D3" w14:textId="77777777" w:rsidR="00D75CEB" w:rsidRPr="0075086C" w:rsidRDefault="00D75CEB" w:rsidP="00D75CEB">
      <w:pPr>
        <w:pStyle w:val="BodyText"/>
        <w:tabs>
          <w:tab w:val="left" w:pos="1080"/>
        </w:tabs>
        <w:spacing w:after="0" w:line="240" w:lineRule="auto"/>
        <w:ind w:firstLine="284"/>
        <w:jc w:val="both"/>
        <w:rPr>
          <w:rFonts w:ascii="Garamond" w:hAnsi="Garamond"/>
          <w:i/>
          <w:iCs/>
          <w:sz w:val="24"/>
          <w:szCs w:val="24"/>
        </w:rPr>
      </w:pPr>
      <w:r w:rsidRPr="0075086C">
        <w:rPr>
          <w:rFonts w:ascii="Garamond" w:hAnsi="Garamond"/>
          <w:b/>
          <w:bCs/>
          <w:color w:val="222222"/>
          <w:sz w:val="24"/>
          <w:szCs w:val="24"/>
        </w:rPr>
        <w:t xml:space="preserve">7. </w:t>
      </w:r>
      <w:r w:rsidRPr="0075086C">
        <w:rPr>
          <w:rFonts w:ascii="Garamond" w:hAnsi="Garamond"/>
          <w:b/>
          <w:bCs/>
          <w:i/>
          <w:iCs/>
          <w:color w:val="222222"/>
          <w:sz w:val="24"/>
          <w:szCs w:val="24"/>
        </w:rPr>
        <w:t>Kërkuesja</w:t>
      </w:r>
      <w:r w:rsidRPr="0075086C">
        <w:rPr>
          <w:rFonts w:ascii="Garamond" w:hAnsi="Garamond"/>
          <w:b/>
          <w:bCs/>
          <w:color w:val="222222"/>
          <w:sz w:val="24"/>
          <w:szCs w:val="24"/>
        </w:rPr>
        <w:t>,</w:t>
      </w:r>
      <w:r w:rsidRPr="0075086C">
        <w:rPr>
          <w:rFonts w:ascii="Garamond" w:hAnsi="Garamond"/>
          <w:color w:val="222222"/>
          <w:sz w:val="24"/>
          <w:szCs w:val="24"/>
        </w:rPr>
        <w:t xml:space="preserve"> në mënyrë të përmbledhur, ka pretenduar cenimin</w:t>
      </w:r>
      <w:r w:rsidRPr="0075086C">
        <w:rPr>
          <w:rFonts w:ascii="Garamond" w:hAnsi="Garamond"/>
          <w:i/>
          <w:iCs/>
          <w:color w:val="222222"/>
          <w:sz w:val="24"/>
          <w:szCs w:val="24"/>
        </w:rPr>
        <w:t xml:space="preserve"> e së drejtës për proces të rregullt ligjor </w:t>
      </w:r>
      <w:r w:rsidRPr="0075086C">
        <w:rPr>
          <w:rFonts w:ascii="Garamond" w:hAnsi="Garamond"/>
          <w:color w:val="222222"/>
          <w:sz w:val="24"/>
          <w:szCs w:val="24"/>
        </w:rPr>
        <w:t xml:space="preserve">në drejtim të </w:t>
      </w:r>
      <w:r w:rsidRPr="0075086C">
        <w:rPr>
          <w:rFonts w:ascii="Garamond" w:hAnsi="Garamond"/>
          <w:i/>
          <w:iCs/>
          <w:color w:val="222222"/>
          <w:sz w:val="24"/>
          <w:szCs w:val="24"/>
        </w:rPr>
        <w:t>së drejtës për gjykim brenda një afati të arsyeshëm,</w:t>
      </w:r>
      <w:r w:rsidRPr="0075086C">
        <w:rPr>
          <w:rFonts w:ascii="Garamond" w:hAnsi="Garamond"/>
          <w:color w:val="222222"/>
          <w:sz w:val="24"/>
          <w:szCs w:val="24"/>
        </w:rPr>
        <w:t xml:space="preserve"> për shkak se n</w:t>
      </w:r>
      <w:r w:rsidRPr="0075086C">
        <w:rPr>
          <w:rFonts w:ascii="Garamond" w:hAnsi="Garamond"/>
          <w:sz w:val="24"/>
          <w:szCs w:val="24"/>
        </w:rPr>
        <w:t xml:space="preserve">ga momenti i regjistrimit të çështjes në Gjykatën e Apelit Durrës (sot Gjykata e Apelit të Juridiksionit të Përgjithshëm) dhe deri më sot, në momentin e paraqitjes së ankimit kushtetues individual, kanë kaluar 4 vjet e 4 muaj dhe ende nuk ka një datë për shqyrtimin e çështjes, në kundërshtim me nenin 399/2 të KPC-së. Gjykata e Lartë, në mënyrë arbitrare, ka vendosur rrëzimin e kërkesës për konstatimin e shkeljes së afatit të arsyeshëm, duke mos marrë parasysh, për më tepër, faktin se i padituri, ish-bashkëshorti i saj I.R., i cili ka paraqitur edhe ankimin, ka ndërruar jetë, fakt për të cilin ka depozituar edhe certifikatën e vdekjes. Po kështu, Gjykata e Lartë nuk ka respektuar as afatin ligjor 45-ditor për shqyrtimin e kërkesës, sipas nenit 399/7 të KPC-së. Në këtë mënyrë, me vendimin e saj, Gjykata e Lartë i ka mohuar edhe të drejtën për të kërkuar dëmshpërblim sipas neneve 399/3 dhe 399/6 të KPC-së. </w:t>
      </w:r>
    </w:p>
    <w:p w14:paraId="31B91E27" w14:textId="77777777" w:rsidR="00D75CEB" w:rsidRPr="0075086C" w:rsidRDefault="00D75CEB" w:rsidP="00D75CEB">
      <w:pPr>
        <w:pStyle w:val="BodyText"/>
        <w:tabs>
          <w:tab w:val="left" w:pos="1620"/>
        </w:tabs>
        <w:spacing w:after="0" w:line="240" w:lineRule="auto"/>
        <w:ind w:firstLine="284"/>
        <w:jc w:val="both"/>
        <w:rPr>
          <w:rFonts w:ascii="Garamond" w:hAnsi="Garamond"/>
          <w:b/>
          <w:bCs/>
          <w:sz w:val="24"/>
          <w:szCs w:val="24"/>
        </w:rPr>
      </w:pPr>
    </w:p>
    <w:p w14:paraId="25C68D4B" w14:textId="77777777" w:rsidR="00D75CEB" w:rsidRPr="0075086C" w:rsidRDefault="00D75CEB" w:rsidP="00D75CEB">
      <w:pPr>
        <w:pStyle w:val="BodyText"/>
        <w:tabs>
          <w:tab w:val="left" w:pos="1620"/>
        </w:tabs>
        <w:spacing w:after="0" w:line="240" w:lineRule="auto"/>
        <w:ind w:firstLine="284"/>
        <w:jc w:val="center"/>
        <w:rPr>
          <w:rFonts w:ascii="Garamond" w:hAnsi="Garamond"/>
          <w:b/>
          <w:bCs/>
          <w:sz w:val="24"/>
          <w:szCs w:val="24"/>
        </w:rPr>
      </w:pPr>
      <w:r w:rsidRPr="0075086C">
        <w:rPr>
          <w:rFonts w:ascii="Garamond" w:hAnsi="Garamond"/>
          <w:b/>
          <w:bCs/>
          <w:sz w:val="24"/>
          <w:szCs w:val="24"/>
        </w:rPr>
        <w:t>III</w:t>
      </w:r>
    </w:p>
    <w:p w14:paraId="4D2748E4" w14:textId="77777777" w:rsidR="00D75CEB" w:rsidRDefault="00D75CEB" w:rsidP="00D75CEB">
      <w:pPr>
        <w:tabs>
          <w:tab w:val="left" w:pos="1080"/>
        </w:tabs>
        <w:spacing w:after="0" w:line="240" w:lineRule="auto"/>
        <w:ind w:firstLine="284"/>
        <w:jc w:val="center"/>
        <w:rPr>
          <w:rFonts w:ascii="Garamond" w:hAnsi="Garamond" w:cs="Times New Roman"/>
          <w:b/>
          <w:bCs/>
          <w:sz w:val="24"/>
          <w:szCs w:val="24"/>
        </w:rPr>
      </w:pPr>
      <w:r w:rsidRPr="0075086C">
        <w:rPr>
          <w:rFonts w:ascii="Garamond" w:hAnsi="Garamond" w:cs="Times New Roman"/>
          <w:b/>
          <w:bCs/>
          <w:sz w:val="24"/>
          <w:szCs w:val="24"/>
        </w:rPr>
        <w:t>Vlerësimi i Gjykatës Kushtetuese</w:t>
      </w:r>
    </w:p>
    <w:p w14:paraId="77243A14" w14:textId="77777777" w:rsidR="00D75CEB" w:rsidRPr="0075086C" w:rsidRDefault="00D75CEB" w:rsidP="00D75CEB">
      <w:pPr>
        <w:tabs>
          <w:tab w:val="left" w:pos="1080"/>
        </w:tabs>
        <w:spacing w:after="0" w:line="240" w:lineRule="auto"/>
        <w:ind w:firstLine="284"/>
        <w:jc w:val="center"/>
        <w:rPr>
          <w:rFonts w:ascii="Garamond" w:hAnsi="Garamond" w:cs="Times New Roman"/>
          <w:b/>
          <w:bCs/>
          <w:sz w:val="24"/>
          <w:szCs w:val="24"/>
        </w:rPr>
      </w:pPr>
    </w:p>
    <w:p w14:paraId="43D4F6A5" w14:textId="77777777" w:rsidR="00D75CEB" w:rsidRPr="0075086C" w:rsidRDefault="00D75CEB" w:rsidP="00D75CEB">
      <w:pPr>
        <w:tabs>
          <w:tab w:val="left" w:pos="1080"/>
        </w:tabs>
        <w:spacing w:after="0" w:line="240" w:lineRule="auto"/>
        <w:ind w:firstLine="284"/>
        <w:rPr>
          <w:rFonts w:ascii="Garamond" w:hAnsi="Garamond" w:cs="Times New Roman"/>
          <w:i/>
          <w:iCs/>
          <w:sz w:val="24"/>
          <w:szCs w:val="24"/>
        </w:rPr>
      </w:pPr>
      <w:r w:rsidRPr="0075086C">
        <w:rPr>
          <w:rFonts w:ascii="Garamond" w:hAnsi="Garamond" w:cs="Times New Roman"/>
          <w:i/>
          <w:iCs/>
          <w:sz w:val="24"/>
          <w:szCs w:val="24"/>
        </w:rPr>
        <w:t>A. Për legjitimimin e kërkueses</w:t>
      </w:r>
    </w:p>
    <w:p w14:paraId="5C06E8A3" w14:textId="77777777"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 xml:space="preserve">8. Çështja e legjitimimit </w:t>
      </w:r>
      <w:r w:rsidRPr="003218EE">
        <w:rPr>
          <w:rFonts w:ascii="Garamond" w:hAnsi="Garamond" w:cs="Times New Roman"/>
          <w:i/>
          <w:iCs/>
          <w:sz w:val="24"/>
          <w:szCs w:val="24"/>
        </w:rPr>
        <w:t>(</w:t>
      </w:r>
      <w:proofErr w:type="spellStart"/>
      <w:r w:rsidRPr="003218EE">
        <w:rPr>
          <w:rFonts w:ascii="Garamond" w:hAnsi="Garamond" w:cs="Times New Roman"/>
          <w:i/>
          <w:iCs/>
          <w:sz w:val="24"/>
          <w:szCs w:val="24"/>
        </w:rPr>
        <w:t>locus</w:t>
      </w:r>
      <w:proofErr w:type="spellEnd"/>
      <w:r w:rsidRPr="003218EE">
        <w:rPr>
          <w:rFonts w:ascii="Garamond" w:hAnsi="Garamond" w:cs="Times New Roman"/>
          <w:i/>
          <w:iCs/>
          <w:sz w:val="24"/>
          <w:szCs w:val="24"/>
        </w:rPr>
        <w:t xml:space="preserve"> </w:t>
      </w:r>
      <w:proofErr w:type="spellStart"/>
      <w:r w:rsidRPr="003218EE">
        <w:rPr>
          <w:rFonts w:ascii="Garamond" w:hAnsi="Garamond" w:cs="Times New Roman"/>
          <w:i/>
          <w:iCs/>
          <w:sz w:val="24"/>
          <w:szCs w:val="24"/>
        </w:rPr>
        <w:t>standi</w:t>
      </w:r>
      <w:proofErr w:type="spellEnd"/>
      <w:r w:rsidRPr="003218EE">
        <w:rPr>
          <w:rFonts w:ascii="Garamond" w:hAnsi="Garamond" w:cs="Times New Roman"/>
          <w:i/>
          <w:iCs/>
          <w:sz w:val="24"/>
          <w:szCs w:val="24"/>
        </w:rPr>
        <w:t>)</w:t>
      </w:r>
      <w:r w:rsidRPr="0075086C">
        <w:rPr>
          <w:rFonts w:ascii="Garamond" w:hAnsi="Garamond" w:cs="Times New Roman"/>
          <w:sz w:val="24"/>
          <w:szCs w:val="24"/>
        </w:rPr>
        <w:t xml:space="preserve"> është një ndër aspektet kryesore që lidhet me nisjen e një procesi kushtetues. Sipas neneve 131, pika 1, shkronja “f” dhe 134, pikat 1, shkronja “i” dhe 2, të Kushtetutës, si dhe nenit 71 të Ligjit Organik të Gjykatës, çdo individ, person fizik ose juridik, subjekt i së drejtës private dhe publike, mund të vërë në lëvizje Gjykatën për gjykimin përfundimtar të ankesave kundër çdo akti të pushtetit publik ose vendimi gjyqësor që cenon të drejtat dhe liritë themelore të garantuara në Kushtetutë. Ankimi kushtetues individual, në çdo rast, duhet të plotësojë kriteret </w:t>
      </w:r>
      <w:proofErr w:type="spellStart"/>
      <w:r w:rsidRPr="0075086C">
        <w:rPr>
          <w:rFonts w:ascii="Garamond" w:hAnsi="Garamond" w:cs="Times New Roman"/>
          <w:sz w:val="24"/>
          <w:szCs w:val="24"/>
        </w:rPr>
        <w:t>kumulative</w:t>
      </w:r>
      <w:proofErr w:type="spellEnd"/>
      <w:r w:rsidRPr="0075086C">
        <w:rPr>
          <w:rFonts w:ascii="Garamond" w:hAnsi="Garamond" w:cs="Times New Roman"/>
          <w:sz w:val="24"/>
          <w:szCs w:val="24"/>
        </w:rPr>
        <w:t xml:space="preserve"> të nenit 71/a të Ligjit Organik të Gjykatës, që lidhen me shterimin e mjeteve juridike, afatin e paraqitjes së kërkesës, pasojat negative të pësuara në mënyrë të drejtpërdrejtë e reale dhe mundësinë për rivendosjen e së drejtës së shkelur.</w:t>
      </w:r>
    </w:p>
    <w:p w14:paraId="1017A71C" w14:textId="77777777"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lastRenderedPageBreak/>
        <w:t xml:space="preserve">9. Gjykata vlerëson se kërkuesja, si bartëse e të drejtave dhe lirive themelore të parashikuara nga Kushtetuta, legjitimohet </w:t>
      </w:r>
      <w:proofErr w:type="spellStart"/>
      <w:r w:rsidRPr="0075086C">
        <w:rPr>
          <w:rFonts w:ascii="Garamond" w:hAnsi="Garamond" w:cs="Times New Roman"/>
          <w:i/>
          <w:iCs/>
          <w:sz w:val="24"/>
          <w:szCs w:val="24"/>
        </w:rPr>
        <w:t>ratione</w:t>
      </w:r>
      <w:proofErr w:type="spellEnd"/>
      <w:r w:rsidRPr="0075086C">
        <w:rPr>
          <w:rFonts w:ascii="Garamond" w:hAnsi="Garamond" w:cs="Times New Roman"/>
          <w:i/>
          <w:iCs/>
          <w:sz w:val="24"/>
          <w:szCs w:val="24"/>
        </w:rPr>
        <w:t xml:space="preserve"> </w:t>
      </w:r>
      <w:proofErr w:type="spellStart"/>
      <w:r w:rsidRPr="0075086C">
        <w:rPr>
          <w:rFonts w:ascii="Garamond" w:hAnsi="Garamond" w:cs="Times New Roman"/>
          <w:i/>
          <w:iCs/>
          <w:sz w:val="24"/>
          <w:szCs w:val="24"/>
        </w:rPr>
        <w:t>personae</w:t>
      </w:r>
      <w:proofErr w:type="spellEnd"/>
      <w:r w:rsidRPr="0075086C">
        <w:rPr>
          <w:rFonts w:ascii="Garamond" w:hAnsi="Garamond" w:cs="Times New Roman"/>
          <w:sz w:val="24"/>
          <w:szCs w:val="24"/>
        </w:rPr>
        <w:t xml:space="preserve">, bazuar në nenet 131, pika 1, shkronja “f” dhe 134, pika 1, shkronja “i”, të Kushtetutës, pasi është palë </w:t>
      </w:r>
      <w:proofErr w:type="spellStart"/>
      <w:r w:rsidRPr="0075086C">
        <w:rPr>
          <w:rFonts w:ascii="Garamond" w:hAnsi="Garamond" w:cs="Times New Roman"/>
          <w:sz w:val="24"/>
          <w:szCs w:val="24"/>
        </w:rPr>
        <w:t>ndërgjyqëse</w:t>
      </w:r>
      <w:proofErr w:type="spellEnd"/>
      <w:r w:rsidRPr="0075086C">
        <w:rPr>
          <w:rFonts w:ascii="Garamond" w:hAnsi="Garamond" w:cs="Times New Roman"/>
          <w:sz w:val="24"/>
          <w:szCs w:val="24"/>
        </w:rPr>
        <w:t xml:space="preserve"> në procesin gjyqësor ndaj të cilit ka ngritur pretendime në këtë Gjykatë dhe ka interes të drejtpërdrejtë në çështjen e parashtruar.</w:t>
      </w:r>
    </w:p>
    <w:p w14:paraId="7672943E" w14:textId="77777777"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 xml:space="preserve">10. Po kështu, kërkuesja ka </w:t>
      </w:r>
      <w:r w:rsidRPr="0075086C">
        <w:rPr>
          <w:rFonts w:ascii="Garamond" w:hAnsi="Garamond" w:cs="Times New Roman"/>
          <w:i/>
          <w:iCs/>
          <w:sz w:val="24"/>
          <w:szCs w:val="24"/>
        </w:rPr>
        <w:t>shteruar mjetet juridike efektive që ka pasur në dispozicion</w:t>
      </w:r>
      <w:r w:rsidRPr="0075086C">
        <w:rPr>
          <w:rFonts w:ascii="Garamond" w:hAnsi="Garamond" w:cs="Times New Roman"/>
          <w:sz w:val="24"/>
          <w:szCs w:val="24"/>
        </w:rPr>
        <w:t>, pasi ka kundërshtuar vendimin e Gjykatës së Lartë, i cili ka vendosur rrëzimin e kërkesës për konstatimin e shkeljes së afatit të arsyeshëm dhe përshpejtimin e procedurave të gjykimit nga gjykata e apelit, ndaj i vetmi mjet në dispozicion është ankimi kushtetues individual.</w:t>
      </w:r>
    </w:p>
    <w:p w14:paraId="24ADFBC5" w14:textId="54B2ED9E"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 xml:space="preserve">11. Kërkuesja legjitimohet edhe </w:t>
      </w:r>
      <w:proofErr w:type="spellStart"/>
      <w:r w:rsidRPr="0075086C">
        <w:rPr>
          <w:rFonts w:ascii="Garamond" w:hAnsi="Garamond" w:cs="Times New Roman"/>
          <w:i/>
          <w:iCs/>
          <w:sz w:val="24"/>
          <w:szCs w:val="24"/>
        </w:rPr>
        <w:t>ratione</w:t>
      </w:r>
      <w:proofErr w:type="spellEnd"/>
      <w:r w:rsidRPr="0075086C">
        <w:rPr>
          <w:rFonts w:ascii="Garamond" w:hAnsi="Garamond" w:cs="Times New Roman"/>
          <w:i/>
          <w:iCs/>
          <w:sz w:val="24"/>
          <w:szCs w:val="24"/>
        </w:rPr>
        <w:t xml:space="preserve"> </w:t>
      </w:r>
      <w:proofErr w:type="spellStart"/>
      <w:r w:rsidRPr="0075086C">
        <w:rPr>
          <w:rFonts w:ascii="Garamond" w:hAnsi="Garamond" w:cs="Times New Roman"/>
          <w:i/>
          <w:iCs/>
          <w:sz w:val="24"/>
          <w:szCs w:val="24"/>
        </w:rPr>
        <w:t>temporis</w:t>
      </w:r>
      <w:proofErr w:type="spellEnd"/>
      <w:r w:rsidRPr="0075086C">
        <w:rPr>
          <w:rFonts w:ascii="Garamond" w:hAnsi="Garamond" w:cs="Times New Roman"/>
          <w:sz w:val="24"/>
          <w:szCs w:val="24"/>
        </w:rPr>
        <w:t xml:space="preserve">, pasi jo vetëm që shkelja është vazhduese, por edhe se vendimi i kundërshtuar i Gjykatës së Lartë, ndonëse mban datën 9.4.2025, i është komunikuar avokatit të saj nëpërmjet postës elektronike në datën 1.8.2025, ndërkohë që kërkesa është depozituar në Gjykatë në datën 10.9.2025, pra brenda afatit ligjor 4-mujor të parashikuar nga neni 71/a, pika 1, shkronja “b”, i Ligjit Organik të Gjykatës. </w:t>
      </w:r>
    </w:p>
    <w:p w14:paraId="41A0881D" w14:textId="77777777"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 xml:space="preserve">12. Për sa i takon legjitimimit </w:t>
      </w:r>
      <w:proofErr w:type="spellStart"/>
      <w:r w:rsidRPr="0075086C">
        <w:rPr>
          <w:rFonts w:ascii="Garamond" w:hAnsi="Garamond" w:cs="Times New Roman"/>
          <w:i/>
          <w:iCs/>
          <w:sz w:val="24"/>
          <w:szCs w:val="24"/>
        </w:rPr>
        <w:t>ratione</w:t>
      </w:r>
      <w:proofErr w:type="spellEnd"/>
      <w:r w:rsidRPr="0075086C">
        <w:rPr>
          <w:rFonts w:ascii="Garamond" w:hAnsi="Garamond" w:cs="Times New Roman"/>
          <w:i/>
          <w:iCs/>
          <w:sz w:val="24"/>
          <w:szCs w:val="24"/>
        </w:rPr>
        <w:t xml:space="preserve"> </w:t>
      </w:r>
      <w:proofErr w:type="spellStart"/>
      <w:r w:rsidRPr="0075086C">
        <w:rPr>
          <w:rFonts w:ascii="Garamond" w:hAnsi="Garamond" w:cs="Times New Roman"/>
          <w:i/>
          <w:iCs/>
          <w:sz w:val="24"/>
          <w:szCs w:val="24"/>
        </w:rPr>
        <w:t>materiae</w:t>
      </w:r>
      <w:proofErr w:type="spellEnd"/>
      <w:r w:rsidRPr="0075086C">
        <w:rPr>
          <w:rFonts w:ascii="Garamond" w:hAnsi="Garamond" w:cs="Times New Roman"/>
          <w:sz w:val="24"/>
          <w:szCs w:val="24"/>
        </w:rPr>
        <w:t>, Gjykata vëren se kërkuesja pretendon cenimin e së drejtës për proces të rregullt ligjor në aspektin e së drejtës për gjykim brenda një afati të arsyeshëm, i cili, në kuptim të neneve 42 dhe 131, pika 1, shkronja “f”, të Kushtetutës, bën pjesë në juridiksionin kushtetues, ndaj do të analizohet në vijim.</w:t>
      </w:r>
    </w:p>
    <w:p w14:paraId="46928851" w14:textId="77777777" w:rsidR="00D75CEB" w:rsidRPr="0075086C" w:rsidRDefault="00D75CEB" w:rsidP="00D75CEB">
      <w:pPr>
        <w:pStyle w:val="BodyTextIndent2"/>
        <w:tabs>
          <w:tab w:val="left" w:pos="1080"/>
        </w:tabs>
        <w:spacing w:after="0" w:line="240" w:lineRule="auto"/>
        <w:ind w:left="0" w:firstLine="284"/>
        <w:jc w:val="both"/>
        <w:rPr>
          <w:rFonts w:ascii="Garamond" w:hAnsi="Garamond" w:cs="Times New Roman"/>
          <w:i/>
          <w:iCs/>
          <w:sz w:val="24"/>
          <w:szCs w:val="24"/>
        </w:rPr>
      </w:pPr>
      <w:r w:rsidRPr="0075086C">
        <w:rPr>
          <w:rFonts w:ascii="Garamond" w:hAnsi="Garamond" w:cs="Times New Roman"/>
          <w:i/>
          <w:iCs/>
          <w:sz w:val="24"/>
          <w:szCs w:val="24"/>
        </w:rPr>
        <w:t>B. Për themelin e pretendimeve</w:t>
      </w:r>
    </w:p>
    <w:p w14:paraId="7E8465B6" w14:textId="77777777" w:rsidR="00D75CEB" w:rsidRPr="0075086C" w:rsidRDefault="00D75CEB" w:rsidP="00D75CEB">
      <w:pPr>
        <w:pStyle w:val="BodyTextIndent2"/>
        <w:tabs>
          <w:tab w:val="left" w:pos="1080"/>
        </w:tabs>
        <w:spacing w:after="0" w:line="240" w:lineRule="auto"/>
        <w:ind w:left="0" w:firstLine="284"/>
        <w:rPr>
          <w:rFonts w:ascii="Garamond" w:hAnsi="Garamond" w:cs="Times New Roman"/>
          <w:i/>
          <w:iCs/>
          <w:sz w:val="24"/>
          <w:szCs w:val="24"/>
        </w:rPr>
      </w:pPr>
      <w:r w:rsidRPr="0075086C">
        <w:rPr>
          <w:rFonts w:ascii="Garamond" w:hAnsi="Garamond" w:cs="Times New Roman"/>
          <w:i/>
          <w:iCs/>
          <w:sz w:val="24"/>
          <w:szCs w:val="24"/>
        </w:rPr>
        <w:t>B.1. Për cenimin e së drejtës për gjykim brenda një afati të arsyeshëm</w:t>
      </w:r>
    </w:p>
    <w:p w14:paraId="383EF29A" w14:textId="61524AC4" w:rsidR="00D75CEB" w:rsidRPr="0075086C" w:rsidRDefault="00D75CEB" w:rsidP="00D75CEB">
      <w:pPr>
        <w:pStyle w:val="BodyTextIndent2"/>
        <w:tabs>
          <w:tab w:val="left" w:pos="1080"/>
        </w:tabs>
        <w:spacing w:after="0" w:line="240" w:lineRule="auto"/>
        <w:ind w:left="0" w:firstLine="284"/>
        <w:jc w:val="both"/>
        <w:rPr>
          <w:rFonts w:ascii="Garamond" w:hAnsi="Garamond" w:cs="Times New Roman"/>
          <w:sz w:val="24"/>
          <w:szCs w:val="24"/>
        </w:rPr>
      </w:pPr>
      <w:r w:rsidRPr="0075086C">
        <w:rPr>
          <w:rFonts w:ascii="Garamond" w:hAnsi="Garamond" w:cs="Times New Roman"/>
          <w:sz w:val="24"/>
          <w:szCs w:val="24"/>
        </w:rPr>
        <w:t xml:space="preserve">13. Kërkuesja ka pretenduar se </w:t>
      </w:r>
      <w:r w:rsidRPr="0075086C">
        <w:rPr>
          <w:rFonts w:ascii="Garamond" w:hAnsi="Garamond" w:cs="Times New Roman"/>
          <w:color w:val="222222"/>
          <w:sz w:val="24"/>
          <w:szCs w:val="24"/>
        </w:rPr>
        <w:t>n</w:t>
      </w:r>
      <w:r w:rsidRPr="0075086C">
        <w:rPr>
          <w:rFonts w:ascii="Garamond" w:hAnsi="Garamond" w:cs="Times New Roman"/>
          <w:sz w:val="24"/>
          <w:szCs w:val="24"/>
        </w:rPr>
        <w:t>ga momenti i regjistrimit të çështjes në Gjykatën e Apelit Durrës (sot Gjykata e Apelit e Juridiksionit të Përgjithshëm) dhe deri më sot, në momentin e paraqitjes së ankimit kushtetues individual</w:t>
      </w:r>
      <w:r w:rsidR="003218EE">
        <w:rPr>
          <w:rFonts w:ascii="Garamond" w:hAnsi="Garamond" w:cs="Times New Roman"/>
          <w:sz w:val="24"/>
          <w:szCs w:val="24"/>
        </w:rPr>
        <w:t xml:space="preserve"> </w:t>
      </w:r>
      <w:r w:rsidRPr="0075086C">
        <w:rPr>
          <w:rFonts w:ascii="Garamond" w:hAnsi="Garamond" w:cs="Times New Roman"/>
          <w:sz w:val="24"/>
          <w:szCs w:val="24"/>
        </w:rPr>
        <w:t xml:space="preserve">kanë kaluar 4 vjet e 4 muaj dhe ende nuk ka një datë për shqyrtimin e çështjes, në kundërshtim me nenin 399/2 të KPC-së. Sipas saj, Gjykata e Lartë, në mënyrë arbitrare, ka vendosur rrëzimin e kërkesës për konstatimin e shkeljes së afatit të arsyeshëm, duke mos marrë parasysh, për më tepër, faktin se i padituri, ish-bashkëshorti i saj I.R., i cili ka paraqitur edhe ankimin, ka ndërruar jetë, fakt për të cilin ka depozituar edhe certifikatën e tij të vdekjes. Po kështu, vijon ajo, Gjykata e Lartë nuk ka respektuar as afatin ligjor 45-ditor për shqyrtimin e kërkesës, sipas nenit 399/7 të KPC-së. Në këtë mënyrë, shprehet kërkuesja, me vendimin e saj Gjykata e Lartë i ka mohuar edhe të drejtën për të kërkuar dëmshpërblim sipas neneve 399/3 dhe 399/6 të KPC-së. </w:t>
      </w:r>
    </w:p>
    <w:p w14:paraId="61EDBE9B" w14:textId="02C9D90A" w:rsidR="00D75CEB" w:rsidRPr="003218EE" w:rsidRDefault="00D75CEB" w:rsidP="003218EE">
      <w:pPr>
        <w:spacing w:after="0"/>
        <w:ind w:firstLine="288"/>
        <w:jc w:val="both"/>
        <w:rPr>
          <w:rFonts w:ascii="Garamond" w:hAnsi="Garamond"/>
          <w:i/>
          <w:iCs/>
        </w:rPr>
      </w:pPr>
      <w:r w:rsidRPr="003218EE">
        <w:rPr>
          <w:rFonts w:ascii="Garamond" w:hAnsi="Garamond"/>
        </w:rPr>
        <w:t xml:space="preserve">14. Neni 42 i Kushtetutës parashikon, ndër të tjera, se kushdo për mbrojtjen e të drejtave të tij kushtetuese dhe ligjore ka të drejtën e një gjykimi brenda një afati të arsyeshëm. Në jurisprudencën e saj Gjykata ka vlerësuar se kohëzgjatja e gjykimit, normalisht, llogaritet nga momenti i fillimit të procesit gjyqësor deri në dhënien e vendimit dhe se në kohëzgjatjen e përgjithshme të gjykimit nuk përjashtohen vonesat e shkaktuara nga zbatimi i reformës në drejtësi, pasi barra e këtyre vonesave nuk duhet të zhvendoset te palët </w:t>
      </w:r>
      <w:proofErr w:type="spellStart"/>
      <w:r w:rsidRPr="003218EE">
        <w:rPr>
          <w:rFonts w:ascii="Garamond" w:hAnsi="Garamond"/>
        </w:rPr>
        <w:t>ndërgjyqëse</w:t>
      </w:r>
      <w:proofErr w:type="spellEnd"/>
      <w:r w:rsidRPr="003218EE">
        <w:rPr>
          <w:rFonts w:ascii="Garamond" w:hAnsi="Garamond"/>
        </w:rPr>
        <w:t xml:space="preserve"> </w:t>
      </w:r>
      <w:r w:rsidRPr="003218EE">
        <w:rPr>
          <w:rFonts w:ascii="Garamond" w:hAnsi="Garamond"/>
          <w:i/>
          <w:iCs/>
        </w:rPr>
        <w:t>(shih vendimet nr. 61, datë 21.10.2025; nr. 57, datë 17.9.2024; nr. 33, datë 1.11.2021</w:t>
      </w:r>
      <w:r w:rsidR="003218EE">
        <w:rPr>
          <w:rFonts w:ascii="Garamond" w:hAnsi="Garamond"/>
          <w:i/>
          <w:iCs/>
        </w:rPr>
        <w:t>,</w:t>
      </w:r>
      <w:r w:rsidRPr="003218EE">
        <w:rPr>
          <w:rFonts w:ascii="Garamond" w:hAnsi="Garamond"/>
          <w:i/>
          <w:iCs/>
        </w:rPr>
        <w:t xml:space="preserve"> të Gjykatës Kushtetuese).</w:t>
      </w:r>
    </w:p>
    <w:p w14:paraId="78B63724" w14:textId="2B3C21A0" w:rsidR="00D75CEB" w:rsidRPr="0075086C" w:rsidRDefault="00D75CEB" w:rsidP="00D75CEB">
      <w:pPr>
        <w:pStyle w:val="BodyTextIndent2"/>
        <w:tabs>
          <w:tab w:val="left" w:pos="1080"/>
        </w:tabs>
        <w:spacing w:after="0" w:line="240" w:lineRule="auto"/>
        <w:ind w:left="0" w:firstLine="284"/>
        <w:jc w:val="both"/>
        <w:rPr>
          <w:rFonts w:ascii="Garamond" w:hAnsi="Garamond" w:cs="Times New Roman"/>
          <w:sz w:val="24"/>
          <w:szCs w:val="24"/>
        </w:rPr>
      </w:pPr>
      <w:r w:rsidRPr="0075086C">
        <w:rPr>
          <w:rFonts w:ascii="Garamond" w:hAnsi="Garamond" w:cs="Times New Roman"/>
          <w:sz w:val="24"/>
          <w:szCs w:val="24"/>
        </w:rPr>
        <w:t xml:space="preserve">15. Në rastin konkret, Gjykata vëren se procesi gjyqësor është vënë në lëvizje, në datën 27.11.2018, me padinë e paraqitur edhe nga kërkuesja, nëpërmjet së cilës ka kërkuar pjesëtimin e pasurisë, të një apartamenti dhe dy parcelave tokë arë, ndërmjet saj dhe vajzës, nga njëra anë, si dhe ish-bashkëshortit dhe djalit të tyre, nga ana tjetër. Në gjykatën e shkallës së parë faza e parë e gjykimit të pjesëtimit ka përfunduar në datën 29.10.2019 dhe, në kushtet e mosparaqitjes së ankimit ndaj vendimit të kësaj faze, gjykimi ka vijuar në fazën e dytë të pjesëtimit, e cila ka përfunduar në datën 27.11.2020, pra 2 vjet pas paraqitjes së padisë. Më pas, mbi ankimin e një prej palëve </w:t>
      </w:r>
      <w:proofErr w:type="spellStart"/>
      <w:r w:rsidRPr="0075086C">
        <w:rPr>
          <w:rFonts w:ascii="Garamond" w:hAnsi="Garamond" w:cs="Times New Roman"/>
          <w:sz w:val="24"/>
          <w:szCs w:val="24"/>
        </w:rPr>
        <w:t>ndërgjyqëse</w:t>
      </w:r>
      <w:proofErr w:type="spellEnd"/>
      <w:r w:rsidRPr="0075086C">
        <w:rPr>
          <w:rFonts w:ascii="Garamond" w:hAnsi="Garamond" w:cs="Times New Roman"/>
          <w:sz w:val="24"/>
          <w:szCs w:val="24"/>
        </w:rPr>
        <w:t xml:space="preserve">, çështja është regjistruar në gjykatën e apelit në datën 10.5.2021. Pas më shumë se 3 vjetësh e 7 muajsh nga regjistrimi i çështjes në gjykatën e apelit, ndonëse kërkuesja ka kërkuar konstatimin e shkeljes së afatit të arsyeshëm dhe përshpejtimin e procedurave të shqyrtimit të çështjes, Gjykata e Lartë, me vendimin e datës 9.4.2025, ka vendosur rrëzimin e kërkesës. Aktualisht, deri në momentin e shqyrtimit të ankimit kushtetues individual, kohëzgjatja e procesit gjyqësor vijon prej më shumë se 7 vjetësh e 2 muajsh, ndërsa vetëm në gjykatën e apelit çështja ka mbetur në pritje për t’u shqyrtuar përreth 4 vjet e 10 muaj. </w:t>
      </w:r>
    </w:p>
    <w:p w14:paraId="016E636E" w14:textId="77777777" w:rsidR="00D75CEB" w:rsidRPr="0075086C" w:rsidRDefault="00D75CEB" w:rsidP="00D75CEB">
      <w:pPr>
        <w:pStyle w:val="BodyTextIndent2"/>
        <w:tabs>
          <w:tab w:val="left" w:pos="1080"/>
        </w:tabs>
        <w:spacing w:after="0" w:line="240" w:lineRule="auto"/>
        <w:ind w:left="0" w:firstLine="284"/>
        <w:jc w:val="both"/>
        <w:rPr>
          <w:rFonts w:ascii="Garamond" w:hAnsi="Garamond" w:cs="Times New Roman"/>
          <w:sz w:val="24"/>
          <w:szCs w:val="24"/>
        </w:rPr>
      </w:pPr>
      <w:r w:rsidRPr="0075086C">
        <w:rPr>
          <w:rFonts w:ascii="Garamond" w:hAnsi="Garamond" w:cs="Times New Roman"/>
          <w:sz w:val="24"/>
          <w:szCs w:val="24"/>
        </w:rPr>
        <w:t>16. Lidhur me afatet e gjykimit të çështjeve civile, KPC-ja,</w:t>
      </w:r>
      <w:r w:rsidRPr="0075086C">
        <w:rPr>
          <w:rFonts w:ascii="Garamond" w:hAnsi="Garamond" w:cs="Times New Roman"/>
          <w:i/>
          <w:iCs/>
          <w:sz w:val="24"/>
          <w:szCs w:val="24"/>
        </w:rPr>
        <w:t xml:space="preserve"> </w:t>
      </w:r>
      <w:r w:rsidRPr="0075086C">
        <w:rPr>
          <w:rFonts w:ascii="Garamond" w:hAnsi="Garamond" w:cs="Times New Roman"/>
          <w:sz w:val="24"/>
          <w:szCs w:val="24"/>
        </w:rPr>
        <w:t xml:space="preserve">me ndryshimet e vitit 2017, në grupin e rregullave për mjetet e ankimit për konstatimin e shkeljeve të gjykimit brenda afatit të arsyeshëm, ka përcaktuar afatin ligjor 2-vjeçar për përfundimin e gjykimit në gjykatën e apelit (neni 399/2, pika </w:t>
      </w:r>
      <w:r w:rsidRPr="0075086C">
        <w:rPr>
          <w:rFonts w:ascii="Garamond" w:hAnsi="Garamond" w:cs="Times New Roman"/>
          <w:sz w:val="24"/>
          <w:szCs w:val="24"/>
        </w:rPr>
        <w:lastRenderedPageBreak/>
        <w:t xml:space="preserve">1, shkronja “b”, i KPC-së). Nisur nga kjo, formalisht, gjykimi i çështjes së kërkueses në Gjykatën e Apelit të Juridiksionit të Përgjithshëm ka tejkaluar afatin e përcaktuar ligjor. </w:t>
      </w:r>
    </w:p>
    <w:p w14:paraId="02E9367A" w14:textId="3F4CE72D" w:rsidR="00D75CEB" w:rsidRPr="003218EE" w:rsidRDefault="00D75CEB" w:rsidP="003218EE">
      <w:pPr>
        <w:spacing w:after="0"/>
        <w:ind w:firstLine="288"/>
        <w:jc w:val="both"/>
        <w:rPr>
          <w:rFonts w:ascii="Garamond" w:hAnsi="Garamond"/>
          <w:i/>
          <w:iCs/>
          <w:sz w:val="24"/>
          <w:szCs w:val="24"/>
        </w:rPr>
      </w:pPr>
      <w:r w:rsidRPr="0075086C">
        <w:rPr>
          <w:rFonts w:ascii="Garamond" w:hAnsi="Garamond" w:cs="Times New Roman"/>
          <w:sz w:val="24"/>
          <w:szCs w:val="24"/>
        </w:rPr>
        <w:t xml:space="preserve">17. Për pasojë, është rasti që ky tejkalim i afatit të gjykimit të çështjes të vlerësohet në raport me kriteret e vendosura nga jurisprudenca kushtetuese për </w:t>
      </w:r>
      <w:proofErr w:type="spellStart"/>
      <w:r w:rsidRPr="0075086C">
        <w:rPr>
          <w:rFonts w:ascii="Garamond" w:hAnsi="Garamond" w:cs="Times New Roman"/>
          <w:sz w:val="24"/>
          <w:szCs w:val="24"/>
        </w:rPr>
        <w:t>tejzgjatjen</w:t>
      </w:r>
      <w:proofErr w:type="spellEnd"/>
      <w:r w:rsidRPr="0075086C">
        <w:rPr>
          <w:rFonts w:ascii="Garamond" w:hAnsi="Garamond" w:cs="Times New Roman"/>
          <w:sz w:val="24"/>
          <w:szCs w:val="24"/>
        </w:rPr>
        <w:t xml:space="preserve"> e paarsyeshme të gjykimit, të cilat konsistojnë në: </w:t>
      </w:r>
      <w:r w:rsidRPr="003218EE">
        <w:rPr>
          <w:rFonts w:ascii="Garamond" w:hAnsi="Garamond"/>
          <w:sz w:val="24"/>
          <w:szCs w:val="24"/>
        </w:rPr>
        <w:t>i</w:t>
      </w:r>
      <w:r w:rsidR="003218EE" w:rsidRPr="003218EE">
        <w:rPr>
          <w:rFonts w:ascii="Garamond" w:hAnsi="Garamond"/>
          <w:sz w:val="24"/>
          <w:szCs w:val="24"/>
        </w:rPr>
        <w:t>.</w:t>
      </w:r>
      <w:r w:rsidRPr="003218EE">
        <w:rPr>
          <w:rFonts w:ascii="Garamond" w:hAnsi="Garamond"/>
          <w:sz w:val="24"/>
          <w:szCs w:val="24"/>
        </w:rPr>
        <w:t xml:space="preserve"> sjelljen e kërkuesit; </w:t>
      </w:r>
      <w:proofErr w:type="spellStart"/>
      <w:r w:rsidRPr="003218EE">
        <w:rPr>
          <w:rFonts w:ascii="Garamond" w:hAnsi="Garamond"/>
          <w:sz w:val="24"/>
          <w:szCs w:val="24"/>
        </w:rPr>
        <w:t>ii</w:t>
      </w:r>
      <w:proofErr w:type="spellEnd"/>
      <w:r w:rsidR="003218EE" w:rsidRPr="003218EE">
        <w:rPr>
          <w:rFonts w:ascii="Garamond" w:hAnsi="Garamond"/>
          <w:sz w:val="24"/>
          <w:szCs w:val="24"/>
        </w:rPr>
        <w:t>.</w:t>
      </w:r>
      <w:r w:rsidRPr="003218EE">
        <w:rPr>
          <w:rFonts w:ascii="Garamond" w:hAnsi="Garamond"/>
          <w:sz w:val="24"/>
          <w:szCs w:val="24"/>
        </w:rPr>
        <w:t xml:space="preserve"> </w:t>
      </w:r>
      <w:proofErr w:type="spellStart"/>
      <w:r w:rsidRPr="003218EE">
        <w:rPr>
          <w:rFonts w:ascii="Garamond" w:hAnsi="Garamond"/>
          <w:sz w:val="24"/>
          <w:szCs w:val="24"/>
        </w:rPr>
        <w:t>kompleksitetin</w:t>
      </w:r>
      <w:proofErr w:type="spellEnd"/>
      <w:r w:rsidRPr="003218EE">
        <w:rPr>
          <w:rFonts w:ascii="Garamond" w:hAnsi="Garamond"/>
          <w:sz w:val="24"/>
          <w:szCs w:val="24"/>
        </w:rPr>
        <w:t xml:space="preserve"> e çështjes; </w:t>
      </w:r>
      <w:proofErr w:type="spellStart"/>
      <w:r w:rsidRPr="003218EE">
        <w:rPr>
          <w:rFonts w:ascii="Garamond" w:hAnsi="Garamond"/>
          <w:sz w:val="24"/>
          <w:szCs w:val="24"/>
        </w:rPr>
        <w:t>iii</w:t>
      </w:r>
      <w:proofErr w:type="spellEnd"/>
      <w:r w:rsidR="003218EE" w:rsidRPr="003218EE">
        <w:rPr>
          <w:rFonts w:ascii="Garamond" w:hAnsi="Garamond"/>
          <w:sz w:val="24"/>
          <w:szCs w:val="24"/>
        </w:rPr>
        <w:t>.</w:t>
      </w:r>
      <w:r w:rsidRPr="003218EE">
        <w:rPr>
          <w:rFonts w:ascii="Garamond" w:hAnsi="Garamond"/>
          <w:sz w:val="24"/>
          <w:szCs w:val="24"/>
        </w:rPr>
        <w:t xml:space="preserve"> sjelljen e autoriteteve; </w:t>
      </w:r>
      <w:proofErr w:type="spellStart"/>
      <w:r w:rsidRPr="003218EE">
        <w:rPr>
          <w:rFonts w:ascii="Garamond" w:hAnsi="Garamond"/>
          <w:sz w:val="24"/>
          <w:szCs w:val="24"/>
        </w:rPr>
        <w:t>iv</w:t>
      </w:r>
      <w:proofErr w:type="spellEnd"/>
      <w:r w:rsidR="003218EE" w:rsidRPr="003218EE">
        <w:rPr>
          <w:rFonts w:ascii="Garamond" w:hAnsi="Garamond"/>
          <w:sz w:val="24"/>
          <w:szCs w:val="24"/>
        </w:rPr>
        <w:t>.</w:t>
      </w:r>
      <w:r w:rsidRPr="003218EE">
        <w:rPr>
          <w:rFonts w:ascii="Garamond" w:hAnsi="Garamond"/>
          <w:sz w:val="24"/>
          <w:szCs w:val="24"/>
        </w:rPr>
        <w:t xml:space="preserve"> rëndësinë e asaj çfarë rrezikon kërkuesi </w:t>
      </w:r>
      <w:r w:rsidRPr="003218EE">
        <w:rPr>
          <w:rFonts w:ascii="Garamond" w:hAnsi="Garamond"/>
          <w:i/>
          <w:iCs/>
          <w:sz w:val="24"/>
          <w:szCs w:val="24"/>
        </w:rPr>
        <w:t xml:space="preserve">(shih vendimet </w:t>
      </w:r>
      <w:r w:rsidRPr="0075086C">
        <w:rPr>
          <w:rFonts w:ascii="Garamond" w:hAnsi="Garamond" w:cs="Times New Roman"/>
          <w:i/>
          <w:iCs/>
          <w:sz w:val="24"/>
          <w:szCs w:val="24"/>
        </w:rPr>
        <w:t xml:space="preserve">nr. 21, datë 4.4.2024; </w:t>
      </w:r>
      <w:r w:rsidRPr="003218EE">
        <w:rPr>
          <w:rFonts w:ascii="Garamond" w:hAnsi="Garamond"/>
          <w:i/>
          <w:iCs/>
          <w:sz w:val="24"/>
          <w:szCs w:val="24"/>
        </w:rPr>
        <w:t>nr. 68, datë 7.12.2023; nr. 6, datë 16.2.2023</w:t>
      </w:r>
      <w:r w:rsidR="003218EE" w:rsidRPr="003218EE">
        <w:rPr>
          <w:rFonts w:ascii="Garamond" w:hAnsi="Garamond"/>
          <w:i/>
          <w:iCs/>
          <w:sz w:val="24"/>
          <w:szCs w:val="24"/>
        </w:rPr>
        <w:t>,</w:t>
      </w:r>
      <w:r w:rsidRPr="003218EE">
        <w:rPr>
          <w:rFonts w:ascii="Garamond" w:hAnsi="Garamond"/>
          <w:i/>
          <w:iCs/>
          <w:sz w:val="24"/>
          <w:szCs w:val="24"/>
        </w:rPr>
        <w:t xml:space="preserve"> </w:t>
      </w:r>
      <w:r w:rsidRPr="0075086C">
        <w:rPr>
          <w:rFonts w:ascii="Garamond" w:hAnsi="Garamond" w:cs="Times New Roman"/>
          <w:i/>
          <w:iCs/>
          <w:sz w:val="24"/>
          <w:szCs w:val="24"/>
        </w:rPr>
        <w:t>të Gjykatës Kushtetuese)</w:t>
      </w:r>
      <w:r w:rsidRPr="003218EE">
        <w:rPr>
          <w:rFonts w:ascii="Garamond" w:hAnsi="Garamond"/>
          <w:i/>
          <w:iCs/>
          <w:sz w:val="24"/>
          <w:szCs w:val="24"/>
        </w:rPr>
        <w:t xml:space="preserve">. </w:t>
      </w:r>
    </w:p>
    <w:p w14:paraId="47DB8CAF" w14:textId="044D7C39" w:rsidR="00D75CEB" w:rsidRPr="0075086C" w:rsidRDefault="00D75CEB" w:rsidP="00D75CEB">
      <w:pPr>
        <w:pStyle w:val="BodyTextIndent2"/>
        <w:tabs>
          <w:tab w:val="left" w:pos="1080"/>
        </w:tabs>
        <w:spacing w:after="0" w:line="240" w:lineRule="auto"/>
        <w:ind w:left="0" w:firstLine="284"/>
        <w:jc w:val="both"/>
        <w:rPr>
          <w:rFonts w:ascii="Garamond" w:hAnsi="Garamond" w:cs="Times New Roman"/>
          <w:sz w:val="24"/>
          <w:szCs w:val="24"/>
        </w:rPr>
      </w:pPr>
      <w:r w:rsidRPr="0075086C">
        <w:rPr>
          <w:rFonts w:ascii="Garamond" w:hAnsi="Garamond" w:cs="Times New Roman"/>
          <w:sz w:val="24"/>
          <w:szCs w:val="24"/>
        </w:rPr>
        <w:t xml:space="preserve">18. Gjykata thekson se, për sa u përket kritereve që kanë të bëjnë me sjelljen e kërkuesit, </w:t>
      </w:r>
      <w:proofErr w:type="spellStart"/>
      <w:r w:rsidRPr="0075086C">
        <w:rPr>
          <w:rFonts w:ascii="Garamond" w:hAnsi="Garamond" w:cs="Times New Roman"/>
          <w:sz w:val="24"/>
          <w:szCs w:val="24"/>
        </w:rPr>
        <w:t>kompleksitetin</w:t>
      </w:r>
      <w:proofErr w:type="spellEnd"/>
      <w:r w:rsidRPr="0075086C">
        <w:rPr>
          <w:rFonts w:ascii="Garamond" w:hAnsi="Garamond" w:cs="Times New Roman"/>
          <w:sz w:val="24"/>
          <w:szCs w:val="24"/>
        </w:rPr>
        <w:t xml:space="preserve"> e çështjes dhe sjelljen e autoriteteve, bazuar në qëndrimin e konsoliduar të saj për vlerësimin e tyre </w:t>
      </w:r>
      <w:r w:rsidRPr="003218EE">
        <w:rPr>
          <w:rFonts w:ascii="Garamond" w:hAnsi="Garamond" w:cs="Times New Roman"/>
          <w:i/>
          <w:iCs/>
          <w:sz w:val="24"/>
          <w:szCs w:val="24"/>
        </w:rPr>
        <w:t xml:space="preserve">(shih vendimet </w:t>
      </w:r>
      <w:r w:rsidRPr="003218EE">
        <w:rPr>
          <w:rFonts w:ascii="Garamond" w:hAnsi="Garamond" w:cs="Times New Roman"/>
          <w:i/>
          <w:iCs/>
          <w:spacing w:val="15"/>
          <w:sz w:val="24"/>
          <w:szCs w:val="24"/>
        </w:rPr>
        <w:t xml:space="preserve">nr. 61, datë 21.10.2025; </w:t>
      </w:r>
      <w:r w:rsidRPr="003218EE">
        <w:rPr>
          <w:rFonts w:ascii="Garamond" w:hAnsi="Garamond" w:cs="Times New Roman"/>
          <w:i/>
          <w:iCs/>
          <w:sz w:val="24"/>
          <w:szCs w:val="24"/>
        </w:rPr>
        <w:t>nr. 15, datë 3.4.2025; nr. 57, datë 17.9.2024</w:t>
      </w:r>
      <w:r w:rsidR="003218EE">
        <w:rPr>
          <w:rFonts w:ascii="Garamond" w:hAnsi="Garamond" w:cs="Times New Roman"/>
          <w:i/>
          <w:iCs/>
          <w:sz w:val="24"/>
          <w:szCs w:val="24"/>
        </w:rPr>
        <w:t>,</w:t>
      </w:r>
      <w:r w:rsidRPr="003218EE">
        <w:rPr>
          <w:rFonts w:ascii="Garamond" w:hAnsi="Garamond" w:cs="Times New Roman"/>
          <w:i/>
          <w:iCs/>
          <w:sz w:val="24"/>
          <w:szCs w:val="24"/>
        </w:rPr>
        <w:t xml:space="preserve"> të Gjykatës Kushtetuese),</w:t>
      </w:r>
      <w:r w:rsidRPr="0075086C">
        <w:rPr>
          <w:rFonts w:ascii="Garamond" w:hAnsi="Garamond" w:cs="Times New Roman"/>
          <w:sz w:val="24"/>
          <w:szCs w:val="24"/>
        </w:rPr>
        <w:t xml:space="preserve"> në rastin konkret nuk konstatohet ndonjë shkak ose rrethanë që të justifikojë një qëndrim të ndryshëm për sa i përket respektimit të tyre. Për rrjedhojë, për të vlerësuar </w:t>
      </w:r>
      <w:proofErr w:type="spellStart"/>
      <w:r w:rsidRPr="0075086C">
        <w:rPr>
          <w:rFonts w:ascii="Garamond" w:hAnsi="Garamond" w:cs="Times New Roman"/>
          <w:sz w:val="24"/>
          <w:szCs w:val="24"/>
        </w:rPr>
        <w:t>arsyeshmërinë</w:t>
      </w:r>
      <w:proofErr w:type="spellEnd"/>
      <w:r w:rsidRPr="0075086C">
        <w:rPr>
          <w:rFonts w:ascii="Garamond" w:hAnsi="Garamond" w:cs="Times New Roman"/>
          <w:sz w:val="24"/>
          <w:szCs w:val="24"/>
        </w:rPr>
        <w:t xml:space="preserve"> e kohëzgjatjes së procesit gjyqësor, Gjykata vlerëson të ndalet në vijim vetëm në analizën e kriterit të </w:t>
      </w:r>
      <w:r w:rsidRPr="0075086C">
        <w:rPr>
          <w:rFonts w:ascii="Garamond" w:hAnsi="Garamond" w:cs="Times New Roman"/>
          <w:i/>
          <w:iCs/>
          <w:sz w:val="24"/>
          <w:szCs w:val="24"/>
        </w:rPr>
        <w:t>asaj se çfarë rrezikon kërkuesja,</w:t>
      </w:r>
      <w:r w:rsidRPr="0075086C">
        <w:rPr>
          <w:rFonts w:ascii="Garamond" w:hAnsi="Garamond" w:cs="Times New Roman"/>
          <w:sz w:val="24"/>
          <w:szCs w:val="24"/>
        </w:rPr>
        <w:t xml:space="preserve"> në rastin konkret, për shkak të vonesave në gjykimin e çështjes së saj.</w:t>
      </w:r>
    </w:p>
    <w:p w14:paraId="4CB0FAE9" w14:textId="051E6664" w:rsidR="00D75CEB" w:rsidRPr="0075086C" w:rsidRDefault="00D75CEB" w:rsidP="00D75CEB">
      <w:pPr>
        <w:pStyle w:val="BodyTextIndent2"/>
        <w:tabs>
          <w:tab w:val="left" w:pos="1080"/>
        </w:tabs>
        <w:spacing w:after="0" w:line="240" w:lineRule="auto"/>
        <w:ind w:left="0" w:firstLine="284"/>
        <w:jc w:val="both"/>
        <w:rPr>
          <w:rFonts w:ascii="Garamond" w:hAnsi="Garamond" w:cs="Times New Roman"/>
          <w:sz w:val="24"/>
          <w:szCs w:val="24"/>
        </w:rPr>
      </w:pPr>
      <w:r w:rsidRPr="0075086C">
        <w:rPr>
          <w:rFonts w:ascii="Garamond" w:hAnsi="Garamond" w:cs="Times New Roman"/>
          <w:sz w:val="24"/>
          <w:szCs w:val="24"/>
        </w:rPr>
        <w:t xml:space="preserve">19. Në jurisprudencën kushtetuese është theksuar se disa çështje që lidhen me interesa “vetjakë e jetësorë” duhet të trajtohen me shpejtësi e përparësi, të tilla si ato që lidhen me statusin civil, kujdestarinë e fëmijëve, marrëdhëniet e punësimit, sëmundjet e pashërueshme, pensionin etj., edhe pse kjo listë nuk mund të jetë shteruese dhe interesi i kërkuesit verifikohet rast pas rasti </w:t>
      </w:r>
      <w:r w:rsidRPr="003218EE">
        <w:rPr>
          <w:rFonts w:ascii="Garamond" w:hAnsi="Garamond" w:cs="Times New Roman"/>
          <w:i/>
          <w:iCs/>
          <w:sz w:val="24"/>
          <w:szCs w:val="24"/>
        </w:rPr>
        <w:t>(shih vendimet nr. 54, datë 9.10.2025; nr. 43, datë 4.6.2024; nr. 21, datë 4.4.2024</w:t>
      </w:r>
      <w:r w:rsidR="003218EE">
        <w:rPr>
          <w:rFonts w:ascii="Garamond" w:hAnsi="Garamond" w:cs="Times New Roman"/>
          <w:i/>
          <w:iCs/>
          <w:sz w:val="24"/>
          <w:szCs w:val="24"/>
        </w:rPr>
        <w:t>,</w:t>
      </w:r>
      <w:r w:rsidRPr="003218EE">
        <w:rPr>
          <w:rFonts w:ascii="Garamond" w:hAnsi="Garamond" w:cs="Times New Roman"/>
          <w:i/>
          <w:iCs/>
          <w:sz w:val="24"/>
          <w:szCs w:val="24"/>
        </w:rPr>
        <w:t xml:space="preserve"> të Gjykatës Kushtetuese).</w:t>
      </w:r>
      <w:r w:rsidRPr="0075086C">
        <w:rPr>
          <w:rFonts w:ascii="Garamond" w:hAnsi="Garamond" w:cs="Times New Roman"/>
          <w:sz w:val="24"/>
          <w:szCs w:val="24"/>
        </w:rPr>
        <w:t xml:space="preserve"> </w:t>
      </w:r>
    </w:p>
    <w:p w14:paraId="3C96AC5D" w14:textId="2077CB62" w:rsidR="00D75CEB" w:rsidRPr="0075086C" w:rsidRDefault="00D75CEB" w:rsidP="00D75CEB">
      <w:pPr>
        <w:pStyle w:val="BodyTextIndent2"/>
        <w:tabs>
          <w:tab w:val="left" w:pos="1080"/>
        </w:tabs>
        <w:spacing w:after="0" w:line="240" w:lineRule="auto"/>
        <w:ind w:left="0" w:firstLine="284"/>
        <w:jc w:val="both"/>
        <w:rPr>
          <w:rFonts w:ascii="Garamond" w:hAnsi="Garamond" w:cs="Times New Roman"/>
          <w:sz w:val="24"/>
          <w:szCs w:val="24"/>
        </w:rPr>
      </w:pPr>
      <w:r w:rsidRPr="0075086C">
        <w:rPr>
          <w:rFonts w:ascii="Garamond" w:hAnsi="Garamond" w:cs="Times New Roman"/>
          <w:sz w:val="24"/>
          <w:szCs w:val="24"/>
        </w:rPr>
        <w:t xml:space="preserve">20. Në konsideratë të kësaj jurisprudence, Gjykata vëren se në rastin konkret mosmarrëveshja, për të cilën edhe kërkuesja ka vënë lëvizje gjykatën e juridiksionit të zakonshëm, ka të bëjë me pjesëtimin e pasurisë ndërmjet saj, dy fëmijëve dhe ish-bashkëshortit, i cili rezulton të ketë ndërruar jetë (në datën 25.11.2022). Pra, në thelb, mosmarrëveshja lidhet me të drejtën e pronës, si dhe me përdorimin e saj, e cila, në kontekst të rastit konkret, ndërsa ka të bëjë me një apartament dhe dy sipërfaqe tokë arë, duke pasur në konsideratë edhe moshën e kërkueses (rreth 72 vjeçe), për nga natyra e saj, mund të kualifikohet se ka të bëjë me interesa </w:t>
      </w:r>
      <w:r w:rsidRPr="0075086C">
        <w:rPr>
          <w:rFonts w:ascii="Garamond" w:hAnsi="Garamond" w:cs="Times New Roman"/>
          <w:i/>
          <w:iCs/>
          <w:sz w:val="24"/>
          <w:szCs w:val="24"/>
        </w:rPr>
        <w:t xml:space="preserve">vetjakë </w:t>
      </w:r>
      <w:r w:rsidRPr="0075086C">
        <w:rPr>
          <w:rFonts w:ascii="Garamond" w:hAnsi="Garamond" w:cs="Times New Roman"/>
          <w:sz w:val="24"/>
          <w:szCs w:val="24"/>
        </w:rPr>
        <w:t>dhe</w:t>
      </w:r>
      <w:r w:rsidRPr="0075086C">
        <w:rPr>
          <w:rFonts w:ascii="Garamond" w:hAnsi="Garamond" w:cs="Times New Roman"/>
          <w:i/>
          <w:iCs/>
          <w:sz w:val="24"/>
          <w:szCs w:val="24"/>
        </w:rPr>
        <w:t xml:space="preserve"> jetësorë</w:t>
      </w:r>
      <w:r w:rsidRPr="0075086C">
        <w:rPr>
          <w:rFonts w:ascii="Garamond" w:hAnsi="Garamond" w:cs="Times New Roman"/>
          <w:sz w:val="24"/>
          <w:szCs w:val="24"/>
        </w:rPr>
        <w:t xml:space="preserve"> që, si rregull, kërkojnë trajtim me përparësi. Fakti që ish-bashkëshorti i kërkueses, me të cilin ajo ka qenë në mosmarrëveshje për përdorimin e pasurive në bashkëpronësi, tashmë ka ndërruar jetë, nuk mund të </w:t>
      </w:r>
      <w:bookmarkStart w:id="5" w:name="_GoBack"/>
      <w:r w:rsidRPr="00E16411">
        <w:rPr>
          <w:rFonts w:ascii="Garamond" w:hAnsi="Garamond" w:cs="Times New Roman"/>
          <w:sz w:val="24"/>
          <w:szCs w:val="24"/>
        </w:rPr>
        <w:t xml:space="preserve">zbehë </w:t>
      </w:r>
      <w:r w:rsidRPr="00E16411">
        <w:rPr>
          <w:rFonts w:ascii="Garamond" w:hAnsi="Garamond" w:cs="Times New Roman"/>
          <w:bCs/>
          <w:sz w:val="24"/>
          <w:szCs w:val="24"/>
        </w:rPr>
        <w:t xml:space="preserve">interesin aktual të kërkueses për përfundimin e shpejtë të procesit </w:t>
      </w:r>
      <w:r w:rsidRPr="00E16411">
        <w:rPr>
          <w:rFonts w:ascii="Garamond" w:hAnsi="Garamond" w:cs="Times New Roman"/>
          <w:sz w:val="24"/>
          <w:szCs w:val="24"/>
        </w:rPr>
        <w:t>gjyqësor, i cili aktualisht</w:t>
      </w:r>
      <w:r w:rsidR="003218EE" w:rsidRPr="00E16411">
        <w:rPr>
          <w:rFonts w:ascii="Garamond" w:hAnsi="Garamond" w:cs="Times New Roman"/>
          <w:sz w:val="24"/>
          <w:szCs w:val="24"/>
        </w:rPr>
        <w:t xml:space="preserve"> </w:t>
      </w:r>
      <w:r w:rsidRPr="00E16411">
        <w:rPr>
          <w:rFonts w:ascii="Garamond" w:hAnsi="Garamond" w:cs="Times New Roman"/>
          <w:sz w:val="24"/>
          <w:szCs w:val="24"/>
        </w:rPr>
        <w:t xml:space="preserve">duket se konsiston </w:t>
      </w:r>
      <w:r w:rsidRPr="00E16411">
        <w:rPr>
          <w:rFonts w:ascii="Garamond" w:hAnsi="Garamond" w:cs="Times New Roman"/>
          <w:bCs/>
          <w:sz w:val="24"/>
          <w:szCs w:val="24"/>
        </w:rPr>
        <w:t>në qartësimin dhe konfirmimin e situatës së saj pasurore</w:t>
      </w:r>
      <w:r w:rsidRPr="00E16411">
        <w:rPr>
          <w:rFonts w:ascii="Garamond" w:hAnsi="Garamond" w:cs="Times New Roman"/>
          <w:sz w:val="24"/>
          <w:szCs w:val="24"/>
        </w:rPr>
        <w:t xml:space="preserve">. Në këto kushte, Gjykata, në kontekst të rrethanave të çështjes konkrete, si dhe </w:t>
      </w:r>
      <w:r w:rsidRPr="00E16411">
        <w:rPr>
          <w:rFonts w:ascii="Garamond" w:hAnsi="Garamond" w:cs="Times New Roman"/>
          <w:spacing w:val="15"/>
          <w:sz w:val="24"/>
          <w:szCs w:val="24"/>
        </w:rPr>
        <w:t xml:space="preserve">në drejtim të </w:t>
      </w:r>
      <w:r w:rsidRPr="00E16411">
        <w:rPr>
          <w:rFonts w:ascii="Garamond" w:hAnsi="Garamond" w:cs="Times New Roman"/>
          <w:sz w:val="24"/>
          <w:szCs w:val="24"/>
        </w:rPr>
        <w:t>rëndësisë së asaj çfarë rrezikon kërkuesja nga vonesa në gjykim, çmon se evidentohet rreziku për interesin e saj, natyra dhe rëndësia e të cilit justifikon trajtimin me përparësi</w:t>
      </w:r>
      <w:r w:rsidRPr="0075086C">
        <w:rPr>
          <w:rFonts w:ascii="Garamond" w:hAnsi="Garamond" w:cs="Times New Roman"/>
          <w:sz w:val="24"/>
          <w:szCs w:val="24"/>
        </w:rPr>
        <w:t xml:space="preserve"> </w:t>
      </w:r>
      <w:bookmarkEnd w:id="5"/>
      <w:r w:rsidRPr="0075086C">
        <w:rPr>
          <w:rFonts w:ascii="Garamond" w:hAnsi="Garamond" w:cs="Times New Roman"/>
          <w:sz w:val="24"/>
          <w:szCs w:val="24"/>
        </w:rPr>
        <w:t>të çështjes nga Gjykata e Apelit e Juridiksionit të Përgjithshëm.</w:t>
      </w:r>
    </w:p>
    <w:p w14:paraId="7B5F3EF4" w14:textId="2317FA37" w:rsidR="00D75CEB" w:rsidRPr="003218EE" w:rsidRDefault="00D75CEB" w:rsidP="00D75CEB">
      <w:pPr>
        <w:pStyle w:val="BodyTextIndent2"/>
        <w:tabs>
          <w:tab w:val="left" w:pos="1080"/>
        </w:tabs>
        <w:spacing w:after="0" w:line="240" w:lineRule="auto"/>
        <w:ind w:left="0" w:firstLine="284"/>
        <w:jc w:val="both"/>
        <w:rPr>
          <w:rFonts w:ascii="Garamond" w:hAnsi="Garamond" w:cs="Times New Roman"/>
          <w:i/>
          <w:iCs/>
          <w:sz w:val="24"/>
          <w:szCs w:val="24"/>
        </w:rPr>
      </w:pPr>
      <w:r w:rsidRPr="0075086C">
        <w:rPr>
          <w:rFonts w:ascii="Garamond" w:hAnsi="Garamond" w:cs="Times New Roman"/>
          <w:sz w:val="24"/>
          <w:szCs w:val="24"/>
        </w:rPr>
        <w:t xml:space="preserve">21. Për më tepër, referuar qëndrimit të Gjykatës Evropiane për të Drejtat e Njeriut, Gjykata është shprehur se një periudhë e gjatë mosveprimi nuk mund të konsiderohet si një kohë e arsyeshme dhe se palët në mosmarrëveshjet civile, edhe kur çështja nuk kërkon ndonjë trajtim të veçantë </w:t>
      </w:r>
      <w:proofErr w:type="spellStart"/>
      <w:r w:rsidRPr="0075086C">
        <w:rPr>
          <w:rFonts w:ascii="Garamond" w:hAnsi="Garamond" w:cs="Times New Roman"/>
          <w:sz w:val="24"/>
          <w:szCs w:val="24"/>
        </w:rPr>
        <w:t>prioritar</w:t>
      </w:r>
      <w:proofErr w:type="spellEnd"/>
      <w:r w:rsidRPr="0075086C">
        <w:rPr>
          <w:rFonts w:ascii="Garamond" w:hAnsi="Garamond" w:cs="Times New Roman"/>
          <w:sz w:val="24"/>
          <w:szCs w:val="24"/>
        </w:rPr>
        <w:t xml:space="preserve">, kanë megjithatë të drejtën, sipas nenit 6, pika 1, të KEDNJ-së, për një proces brenda një afati të arsyeshëm dhe nuk janë të detyruara të tregojnë, për këtë qëllim, se u është shkaktuar ndonjë dëm i veçantë ose shtesë nga vonesat procedurale. Gjithashtu, ajo ka theksuar se një periudhë e gjatë mosveprimi nuk mund të konsiderohet e arsyeshme kur argumenti i vetëm për vonesën është reforma në sistemin e drejtësisë dhe ngarkesa e gjyqtarëve e krijuar për këtë shkak. Faktorë të tillë, të një natyre të përgjithshme, mund të merren parasysh në një masë të përshtatshme në vlerësimin e kohëzgjatjes së procedurave në një çështje të veçantë, por nuk janë të aftë, në vetvete, të justifikojnë vonesa të një mase të tillë </w:t>
      </w:r>
      <w:r w:rsidRPr="003218EE">
        <w:rPr>
          <w:rFonts w:ascii="Garamond" w:hAnsi="Garamond" w:cs="Times New Roman"/>
          <w:i/>
          <w:iCs/>
          <w:sz w:val="24"/>
          <w:szCs w:val="24"/>
        </w:rPr>
        <w:t>(shih vendimin nr. 54, datë 9.10.2025</w:t>
      </w:r>
      <w:r w:rsidR="003218EE">
        <w:rPr>
          <w:rFonts w:ascii="Garamond" w:hAnsi="Garamond" w:cs="Times New Roman"/>
          <w:i/>
          <w:iCs/>
          <w:sz w:val="24"/>
          <w:szCs w:val="24"/>
        </w:rPr>
        <w:t>,</w:t>
      </w:r>
      <w:r w:rsidRPr="003218EE">
        <w:rPr>
          <w:rFonts w:ascii="Garamond" w:hAnsi="Garamond" w:cs="Times New Roman"/>
          <w:i/>
          <w:iCs/>
          <w:sz w:val="24"/>
          <w:szCs w:val="24"/>
        </w:rPr>
        <w:t xml:space="preserve"> të Gjykatës Kushtetuese).</w:t>
      </w:r>
    </w:p>
    <w:p w14:paraId="0FFF084F" w14:textId="2BA34623" w:rsidR="00D75CEB" w:rsidRPr="0075086C" w:rsidRDefault="00D75CEB" w:rsidP="00D75CEB">
      <w:pPr>
        <w:pStyle w:val="BodyTextIndent2"/>
        <w:tabs>
          <w:tab w:val="left" w:pos="1080"/>
        </w:tabs>
        <w:spacing w:after="0" w:line="240" w:lineRule="auto"/>
        <w:ind w:left="0" w:firstLine="284"/>
        <w:jc w:val="both"/>
        <w:rPr>
          <w:rFonts w:ascii="Garamond" w:hAnsi="Garamond" w:cs="Times New Roman"/>
          <w:sz w:val="24"/>
          <w:szCs w:val="24"/>
        </w:rPr>
      </w:pPr>
      <w:r w:rsidRPr="0075086C">
        <w:rPr>
          <w:rFonts w:ascii="Garamond" w:hAnsi="Garamond" w:cs="Times New Roman"/>
          <w:sz w:val="24"/>
          <w:szCs w:val="24"/>
        </w:rPr>
        <w:t>22. Në këtë këndvështrim, Gjykata, duke pasur parasysh se procesi gjyqësor tashmë vijon prej më shumë se 7 vjetësh e 2 muajsh, ndërsa vetëm në Gjykatën e Apelit të Juridiksionit të Përgjithshëm çështja është në pritje të shqyrtohet përreth 4 vjet e 10 muaj, arrin në përfundimin se ka pasur shkelje të së drejtës së kërkueses për gjykim brenda afatit të arsyeshëm, në kuptim të nenit 42 të Kushtetutës. Për rrjedhojë, vendimi nr. 00-2025-1235, datë 9.4.2025</w:t>
      </w:r>
      <w:r w:rsidR="006A3C0F">
        <w:rPr>
          <w:rFonts w:ascii="Garamond" w:hAnsi="Garamond" w:cs="Times New Roman"/>
          <w:sz w:val="24"/>
          <w:szCs w:val="24"/>
        </w:rPr>
        <w:t>,</w:t>
      </w:r>
      <w:r w:rsidRPr="0075086C">
        <w:rPr>
          <w:rFonts w:ascii="Garamond" w:hAnsi="Garamond" w:cs="Times New Roman"/>
          <w:sz w:val="24"/>
          <w:szCs w:val="24"/>
        </w:rPr>
        <w:t xml:space="preserve"> i Kolegjit Civil të Gjykatës së Lartë duhet të shfuqizohet. Gjithashtu, për arsyet e mësipërme, Gjykata vlerëson se </w:t>
      </w:r>
      <w:r w:rsidRPr="0075086C">
        <w:rPr>
          <w:rFonts w:ascii="Garamond" w:hAnsi="Garamond" w:cs="Times New Roman"/>
          <w:sz w:val="24"/>
          <w:szCs w:val="24"/>
        </w:rPr>
        <w:lastRenderedPageBreak/>
        <w:t>çështja e kërkueses duhet të shqyrtohet me përparësi nga Gjykata e Apelit e Juridiksionit të Përgjithshëm.</w:t>
      </w:r>
    </w:p>
    <w:p w14:paraId="45EE874E" w14:textId="77777777" w:rsidR="00D75CEB" w:rsidRPr="0075086C" w:rsidRDefault="00D75CEB" w:rsidP="00D75CEB">
      <w:pPr>
        <w:pStyle w:val="BodyTextIndent2"/>
        <w:tabs>
          <w:tab w:val="left" w:pos="1080"/>
        </w:tabs>
        <w:spacing w:after="0" w:line="240" w:lineRule="auto"/>
        <w:ind w:left="0" w:firstLine="284"/>
        <w:jc w:val="both"/>
        <w:rPr>
          <w:rFonts w:ascii="Garamond" w:hAnsi="Garamond" w:cs="Times New Roman"/>
          <w:sz w:val="24"/>
          <w:szCs w:val="24"/>
        </w:rPr>
      </w:pPr>
      <w:r w:rsidRPr="0075086C">
        <w:rPr>
          <w:rFonts w:ascii="Garamond" w:hAnsi="Garamond" w:cs="Times New Roman"/>
          <w:sz w:val="24"/>
          <w:szCs w:val="24"/>
        </w:rPr>
        <w:t>23. Në përfundim, Gjykata çmon se kërkesa e kërkueses duhet të pranohet sipas arsyetimit të mësipërm të këtij vendimi.</w:t>
      </w:r>
    </w:p>
    <w:p w14:paraId="6AC9958C" w14:textId="77777777" w:rsidR="00D75CEB" w:rsidRPr="0075086C" w:rsidRDefault="00D75CEB" w:rsidP="00D75CEB">
      <w:pPr>
        <w:pStyle w:val="BodyTextIndent2"/>
        <w:tabs>
          <w:tab w:val="left" w:pos="0"/>
          <w:tab w:val="left" w:pos="540"/>
          <w:tab w:val="left" w:pos="840"/>
          <w:tab w:val="left" w:pos="980"/>
          <w:tab w:val="left" w:pos="1080"/>
          <w:tab w:val="left" w:pos="1160"/>
          <w:tab w:val="left" w:pos="1260"/>
        </w:tabs>
        <w:spacing w:after="0" w:line="240" w:lineRule="auto"/>
        <w:ind w:left="0" w:firstLine="284"/>
        <w:rPr>
          <w:rFonts w:ascii="Garamond" w:hAnsi="Garamond"/>
          <w:sz w:val="24"/>
          <w:szCs w:val="24"/>
        </w:rPr>
      </w:pPr>
    </w:p>
    <w:p w14:paraId="527B105F" w14:textId="77777777" w:rsidR="00D75CEB" w:rsidRPr="0075086C" w:rsidRDefault="00D75CEB" w:rsidP="00D75CEB">
      <w:pPr>
        <w:pStyle w:val="BodyTextIndent2"/>
        <w:tabs>
          <w:tab w:val="left" w:pos="0"/>
          <w:tab w:val="left" w:pos="540"/>
          <w:tab w:val="left" w:pos="840"/>
          <w:tab w:val="left" w:pos="980"/>
          <w:tab w:val="left" w:pos="1080"/>
          <w:tab w:val="left" w:pos="1160"/>
          <w:tab w:val="left" w:pos="1260"/>
        </w:tabs>
        <w:spacing w:after="0" w:line="240" w:lineRule="auto"/>
        <w:ind w:left="0" w:firstLine="284"/>
        <w:jc w:val="center"/>
        <w:rPr>
          <w:rFonts w:ascii="Garamond" w:hAnsi="Garamond" w:cs="Times New Roman"/>
          <w:bCs/>
          <w:sz w:val="24"/>
          <w:szCs w:val="24"/>
        </w:rPr>
      </w:pPr>
      <w:r w:rsidRPr="0075086C">
        <w:rPr>
          <w:rFonts w:ascii="Garamond" w:hAnsi="Garamond" w:cs="Times New Roman"/>
          <w:bCs/>
          <w:sz w:val="24"/>
          <w:szCs w:val="24"/>
        </w:rPr>
        <w:t>PËR KËTO ARSYE,</w:t>
      </w:r>
    </w:p>
    <w:p w14:paraId="562FF7BC" w14:textId="77777777" w:rsidR="00D75CEB" w:rsidRPr="0075086C" w:rsidRDefault="00D75CEB" w:rsidP="00D75CEB">
      <w:pPr>
        <w:pStyle w:val="BodyTextIndent2"/>
        <w:tabs>
          <w:tab w:val="left" w:pos="0"/>
          <w:tab w:val="left" w:pos="540"/>
          <w:tab w:val="left" w:pos="840"/>
          <w:tab w:val="left" w:pos="980"/>
          <w:tab w:val="left" w:pos="1080"/>
          <w:tab w:val="left" w:pos="1160"/>
          <w:tab w:val="left" w:pos="1260"/>
        </w:tabs>
        <w:spacing w:after="0" w:line="240" w:lineRule="auto"/>
        <w:ind w:left="0" w:firstLine="284"/>
        <w:jc w:val="center"/>
        <w:rPr>
          <w:rFonts w:ascii="Garamond" w:hAnsi="Garamond"/>
          <w:sz w:val="24"/>
          <w:szCs w:val="24"/>
        </w:rPr>
      </w:pPr>
    </w:p>
    <w:p w14:paraId="093FBE5E" w14:textId="280528AF" w:rsidR="00D75CEB" w:rsidRPr="0075086C" w:rsidRDefault="00D75CEB" w:rsidP="00D75CEB">
      <w:pPr>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Gjykata Kushtetuese, në mbështetje të neneve 131, pika 1, shkronja “f” dhe 134, pika 1, shkronja “i”, të Kushtetutës, si dhe nenit 72 të ligjit nr. 8577, datë 10.2.2000</w:t>
      </w:r>
      <w:r w:rsidR="006A3C0F">
        <w:rPr>
          <w:rFonts w:ascii="Garamond" w:hAnsi="Garamond" w:cs="Times New Roman"/>
          <w:sz w:val="24"/>
          <w:szCs w:val="24"/>
        </w:rPr>
        <w:t>,</w:t>
      </w:r>
      <w:r w:rsidRPr="0075086C">
        <w:rPr>
          <w:rFonts w:ascii="Garamond" w:hAnsi="Garamond" w:cs="Times New Roman"/>
          <w:sz w:val="24"/>
          <w:szCs w:val="24"/>
        </w:rPr>
        <w:t xml:space="preserve"> “Për organizimin dhe funksionimin e Gjykatës Kushtetuese të Republikës së Shqipërisë”, të ndryshuar, njëzëri,</w:t>
      </w:r>
    </w:p>
    <w:p w14:paraId="6D76D22B" w14:textId="77777777" w:rsidR="00D75CEB" w:rsidRPr="0075086C" w:rsidRDefault="00D75CEB" w:rsidP="00D75CEB">
      <w:pPr>
        <w:spacing w:after="0" w:line="240" w:lineRule="auto"/>
        <w:ind w:firstLine="284"/>
        <w:jc w:val="both"/>
        <w:rPr>
          <w:rFonts w:ascii="Garamond" w:hAnsi="Garamond" w:cs="Times New Roman"/>
          <w:sz w:val="24"/>
          <w:szCs w:val="24"/>
        </w:rPr>
      </w:pPr>
    </w:p>
    <w:p w14:paraId="0269BA67" w14:textId="77777777" w:rsidR="00D75CEB" w:rsidRDefault="00D75CEB" w:rsidP="00D75CEB">
      <w:pPr>
        <w:spacing w:after="0" w:line="240" w:lineRule="auto"/>
        <w:ind w:firstLine="284"/>
        <w:jc w:val="center"/>
        <w:rPr>
          <w:rFonts w:ascii="Garamond" w:hAnsi="Garamond" w:cs="Times New Roman"/>
          <w:b/>
          <w:bCs/>
          <w:sz w:val="24"/>
          <w:szCs w:val="24"/>
        </w:rPr>
      </w:pPr>
      <w:r w:rsidRPr="0075086C">
        <w:rPr>
          <w:rFonts w:ascii="Garamond" w:hAnsi="Garamond" w:cs="Times New Roman"/>
          <w:bCs/>
          <w:sz w:val="24"/>
          <w:szCs w:val="24"/>
        </w:rPr>
        <w:t>VENDOSI:</w:t>
      </w:r>
    </w:p>
    <w:p w14:paraId="2D20C1C8" w14:textId="77777777" w:rsidR="00D75CEB" w:rsidRPr="0075086C" w:rsidRDefault="00D75CEB" w:rsidP="00D75CEB">
      <w:pPr>
        <w:spacing w:after="0" w:line="240" w:lineRule="auto"/>
        <w:ind w:firstLine="284"/>
        <w:jc w:val="center"/>
        <w:rPr>
          <w:rFonts w:ascii="Garamond" w:hAnsi="Garamond" w:cs="Times New Roman"/>
          <w:b/>
          <w:bCs/>
          <w:sz w:val="24"/>
          <w:szCs w:val="24"/>
        </w:rPr>
      </w:pPr>
    </w:p>
    <w:p w14:paraId="5CB6F09F" w14:textId="77777777" w:rsidR="00D75CEB" w:rsidRPr="0075086C" w:rsidRDefault="00D75CEB" w:rsidP="00D75CEB">
      <w:pPr>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1. Pranimin e kërkesës.</w:t>
      </w:r>
    </w:p>
    <w:p w14:paraId="7139E1DE" w14:textId="74FA96BD" w:rsidR="00D75CEB" w:rsidRPr="0075086C" w:rsidRDefault="00D75CEB" w:rsidP="00D75CEB">
      <w:pPr>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2. Shfuqizimin e vendimit nr. 00-2025-1235, datë 9.4.2025</w:t>
      </w:r>
      <w:r w:rsidR="003218EE">
        <w:rPr>
          <w:rFonts w:ascii="Garamond" w:hAnsi="Garamond" w:cs="Times New Roman"/>
          <w:sz w:val="24"/>
          <w:szCs w:val="24"/>
        </w:rPr>
        <w:t>,</w:t>
      </w:r>
      <w:r w:rsidRPr="0075086C">
        <w:rPr>
          <w:rFonts w:ascii="Garamond" w:hAnsi="Garamond" w:cs="Times New Roman"/>
          <w:sz w:val="24"/>
          <w:szCs w:val="24"/>
        </w:rPr>
        <w:t xml:space="preserve"> të Kolegjit Civil të Gjykatës së Lartë, si të papajtueshëm me Kushtetutën.</w:t>
      </w:r>
    </w:p>
    <w:p w14:paraId="549B073F" w14:textId="5DA12E34"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3. Konstatimin e shkeljes së afatit të arsyeshëm në gjykimin e çështjes civile nr. 21376-00590-10-2021, datë 10.5.2021</w:t>
      </w:r>
      <w:r w:rsidR="003218EE">
        <w:rPr>
          <w:rFonts w:ascii="Garamond" w:hAnsi="Garamond" w:cs="Times New Roman"/>
          <w:sz w:val="24"/>
          <w:szCs w:val="24"/>
        </w:rPr>
        <w:t>,</w:t>
      </w:r>
      <w:r w:rsidRPr="0075086C">
        <w:rPr>
          <w:rFonts w:ascii="Garamond" w:hAnsi="Garamond" w:cs="Times New Roman"/>
          <w:sz w:val="24"/>
          <w:szCs w:val="24"/>
        </w:rPr>
        <w:t xml:space="preserve"> në Gjykatën e Apelit të Juridiksionit të Përgjithshëm.</w:t>
      </w:r>
    </w:p>
    <w:p w14:paraId="5A71D0A1" w14:textId="77777777" w:rsidR="00D75CEB" w:rsidRPr="0075086C" w:rsidRDefault="00D75CEB" w:rsidP="00D75CEB">
      <w:pPr>
        <w:tabs>
          <w:tab w:val="left" w:pos="1800"/>
        </w:tabs>
        <w:spacing w:after="0" w:line="240" w:lineRule="auto"/>
        <w:ind w:firstLine="284"/>
        <w:jc w:val="both"/>
        <w:rPr>
          <w:rFonts w:ascii="Garamond" w:hAnsi="Garamond" w:cs="Times New Roman"/>
          <w:sz w:val="24"/>
          <w:szCs w:val="24"/>
        </w:rPr>
      </w:pPr>
      <w:r w:rsidRPr="0075086C">
        <w:rPr>
          <w:rFonts w:ascii="Garamond" w:hAnsi="Garamond" w:cs="Times New Roman"/>
          <w:sz w:val="24"/>
          <w:szCs w:val="24"/>
        </w:rPr>
        <w:t>Ky vendim është përfundimtar dhe hyn në fuqi ditën e botimit në Fletoren Zyrtare.</w:t>
      </w:r>
    </w:p>
    <w:p w14:paraId="4F0B6260" w14:textId="77777777" w:rsidR="003218EE" w:rsidRDefault="003218EE" w:rsidP="00D75CEB">
      <w:pPr>
        <w:keepNext/>
        <w:spacing w:after="0" w:line="240" w:lineRule="auto"/>
        <w:ind w:firstLine="284"/>
        <w:contextualSpacing/>
        <w:jc w:val="both"/>
        <w:outlineLvl w:val="3"/>
        <w:rPr>
          <w:rFonts w:ascii="Garamond" w:hAnsi="Garamond" w:cs="Times New Roman"/>
          <w:b/>
          <w:bCs/>
          <w:sz w:val="24"/>
          <w:szCs w:val="24"/>
        </w:rPr>
      </w:pPr>
    </w:p>
    <w:p w14:paraId="5B5D9B09" w14:textId="24CFB2CF" w:rsidR="00D75CEB" w:rsidRPr="0075086C" w:rsidRDefault="00D75CEB" w:rsidP="00D75CEB">
      <w:pPr>
        <w:keepNext/>
        <w:spacing w:after="0" w:line="240" w:lineRule="auto"/>
        <w:ind w:firstLine="284"/>
        <w:contextualSpacing/>
        <w:jc w:val="both"/>
        <w:outlineLvl w:val="3"/>
        <w:rPr>
          <w:rFonts w:ascii="Garamond" w:hAnsi="Garamond" w:cs="Times New Roman"/>
          <w:b/>
          <w:bCs/>
          <w:sz w:val="24"/>
          <w:szCs w:val="24"/>
        </w:rPr>
      </w:pPr>
      <w:r w:rsidRPr="0075086C">
        <w:rPr>
          <w:rFonts w:ascii="Garamond" w:hAnsi="Garamond" w:cs="Times New Roman"/>
          <w:b/>
          <w:bCs/>
          <w:sz w:val="24"/>
          <w:szCs w:val="24"/>
        </w:rPr>
        <w:t>Marrë më 10.3.2026</w:t>
      </w:r>
      <w:r w:rsidR="003218EE">
        <w:rPr>
          <w:rFonts w:ascii="Garamond" w:hAnsi="Garamond" w:cs="Times New Roman"/>
          <w:b/>
          <w:bCs/>
          <w:sz w:val="24"/>
          <w:szCs w:val="24"/>
        </w:rPr>
        <w:t>.</w:t>
      </w:r>
    </w:p>
    <w:p w14:paraId="31118D59" w14:textId="78BDCF89" w:rsidR="00D75CEB" w:rsidRPr="0075086C" w:rsidRDefault="00D75CEB" w:rsidP="00D75CEB">
      <w:pPr>
        <w:keepNext/>
        <w:spacing w:after="0" w:line="240" w:lineRule="auto"/>
        <w:ind w:firstLine="284"/>
        <w:contextualSpacing/>
        <w:jc w:val="both"/>
        <w:outlineLvl w:val="3"/>
        <w:rPr>
          <w:rFonts w:ascii="Garamond" w:hAnsi="Garamond" w:cs="Times New Roman"/>
          <w:b/>
          <w:bCs/>
          <w:sz w:val="24"/>
          <w:szCs w:val="24"/>
        </w:rPr>
      </w:pPr>
      <w:r w:rsidRPr="0075086C">
        <w:rPr>
          <w:rFonts w:ascii="Garamond" w:hAnsi="Garamond" w:cs="Times New Roman"/>
          <w:b/>
          <w:bCs/>
          <w:sz w:val="24"/>
          <w:szCs w:val="24"/>
        </w:rPr>
        <w:t>Shpallur më 30.3.2026</w:t>
      </w:r>
      <w:r w:rsidR="003218EE">
        <w:rPr>
          <w:rFonts w:ascii="Garamond" w:hAnsi="Garamond" w:cs="Times New Roman"/>
          <w:b/>
          <w:bCs/>
          <w:sz w:val="24"/>
          <w:szCs w:val="24"/>
        </w:rPr>
        <w:t>.</w:t>
      </w:r>
    </w:p>
    <w:p w14:paraId="09686A73" w14:textId="77777777" w:rsidR="00D75CEB" w:rsidRDefault="00D75CEB" w:rsidP="00D75CEB">
      <w:pPr>
        <w:spacing w:after="0" w:line="240" w:lineRule="auto"/>
        <w:ind w:firstLine="284"/>
        <w:jc w:val="both"/>
        <w:rPr>
          <w:rFonts w:ascii="Garamond" w:hAnsi="Garamond" w:cs="Times New Roman"/>
          <w:b/>
          <w:bCs/>
          <w:sz w:val="24"/>
          <w:szCs w:val="24"/>
        </w:rPr>
      </w:pPr>
    </w:p>
    <w:p w14:paraId="05C86C76" w14:textId="77777777" w:rsidR="00D75CEB" w:rsidRPr="0075086C" w:rsidRDefault="00D75CEB" w:rsidP="00D75CEB">
      <w:pPr>
        <w:spacing w:after="0" w:line="240" w:lineRule="auto"/>
        <w:ind w:firstLine="284"/>
        <w:jc w:val="both"/>
        <w:rPr>
          <w:rFonts w:ascii="Garamond" w:hAnsi="Garamond" w:cs="Times New Roman"/>
          <w:b/>
          <w:bCs/>
          <w:sz w:val="24"/>
          <w:szCs w:val="24"/>
        </w:rPr>
      </w:pPr>
      <w:r w:rsidRPr="0075086C">
        <w:rPr>
          <w:rFonts w:ascii="Garamond" w:hAnsi="Garamond" w:cs="Times New Roman"/>
          <w:b/>
          <w:bCs/>
          <w:sz w:val="24"/>
          <w:szCs w:val="24"/>
        </w:rPr>
        <w:t>Kryetare</w:t>
      </w:r>
      <w:r>
        <w:rPr>
          <w:rFonts w:ascii="Garamond" w:hAnsi="Garamond" w:cs="Times New Roman"/>
          <w:b/>
          <w:bCs/>
          <w:sz w:val="24"/>
          <w:szCs w:val="24"/>
        </w:rPr>
        <w:t>:</w:t>
      </w:r>
      <w:r w:rsidRPr="0075086C">
        <w:rPr>
          <w:rFonts w:ascii="Garamond" w:hAnsi="Garamond" w:cs="Times New Roman"/>
          <w:b/>
          <w:bCs/>
          <w:sz w:val="24"/>
          <w:szCs w:val="24"/>
        </w:rPr>
        <w:t xml:space="preserve"> </w:t>
      </w:r>
      <w:proofErr w:type="spellStart"/>
      <w:r w:rsidRPr="0075086C">
        <w:rPr>
          <w:rFonts w:ascii="Garamond" w:hAnsi="Garamond" w:cs="Times New Roman"/>
          <w:bCs/>
          <w:sz w:val="24"/>
          <w:szCs w:val="24"/>
        </w:rPr>
        <w:t>Fiona</w:t>
      </w:r>
      <w:proofErr w:type="spellEnd"/>
      <w:r w:rsidRPr="0075086C">
        <w:rPr>
          <w:rFonts w:ascii="Garamond" w:hAnsi="Garamond" w:cs="Times New Roman"/>
          <w:bCs/>
          <w:sz w:val="24"/>
          <w:szCs w:val="24"/>
        </w:rPr>
        <w:t xml:space="preserve"> </w:t>
      </w:r>
      <w:proofErr w:type="spellStart"/>
      <w:r w:rsidRPr="0075086C">
        <w:rPr>
          <w:rFonts w:ascii="Garamond" w:hAnsi="Garamond" w:cs="Times New Roman"/>
          <w:bCs/>
          <w:sz w:val="24"/>
          <w:szCs w:val="24"/>
        </w:rPr>
        <w:t>Papajorgji</w:t>
      </w:r>
      <w:proofErr w:type="spellEnd"/>
    </w:p>
    <w:p w14:paraId="74F5A48F" w14:textId="77777777" w:rsidR="00D75CEB" w:rsidRPr="0075086C" w:rsidRDefault="00D75CEB" w:rsidP="00D75CEB">
      <w:pPr>
        <w:spacing w:after="0" w:line="240" w:lineRule="auto"/>
        <w:ind w:firstLine="284"/>
        <w:jc w:val="both"/>
        <w:rPr>
          <w:rFonts w:ascii="Garamond" w:hAnsi="Garamond" w:cs="Times New Roman"/>
          <w:b/>
          <w:bCs/>
          <w:sz w:val="24"/>
          <w:szCs w:val="24"/>
        </w:rPr>
      </w:pPr>
      <w:r w:rsidRPr="0075086C">
        <w:rPr>
          <w:rFonts w:ascii="Garamond" w:hAnsi="Garamond" w:cs="Times New Roman"/>
          <w:b/>
          <w:bCs/>
          <w:sz w:val="24"/>
          <w:szCs w:val="24"/>
        </w:rPr>
        <w:t>Anëtar</w:t>
      </w:r>
      <w:r>
        <w:rPr>
          <w:rFonts w:ascii="Garamond" w:hAnsi="Garamond" w:cs="Times New Roman"/>
          <w:b/>
          <w:bCs/>
          <w:sz w:val="24"/>
          <w:szCs w:val="24"/>
        </w:rPr>
        <w:t>ë:</w:t>
      </w:r>
      <w:r w:rsidRPr="0075086C">
        <w:rPr>
          <w:rFonts w:ascii="Garamond" w:hAnsi="Garamond" w:cs="Times New Roman"/>
          <w:b/>
          <w:bCs/>
          <w:sz w:val="24"/>
          <w:szCs w:val="24"/>
        </w:rPr>
        <w:t xml:space="preserve"> </w:t>
      </w:r>
      <w:proofErr w:type="spellStart"/>
      <w:r w:rsidRPr="0075086C">
        <w:rPr>
          <w:rFonts w:ascii="Garamond" w:hAnsi="Garamond" w:cs="Times New Roman"/>
          <w:bCs/>
          <w:sz w:val="24"/>
          <w:szCs w:val="24"/>
        </w:rPr>
        <w:t>Sonila</w:t>
      </w:r>
      <w:proofErr w:type="spellEnd"/>
      <w:r w:rsidRPr="0075086C">
        <w:rPr>
          <w:rFonts w:ascii="Garamond" w:hAnsi="Garamond" w:cs="Times New Roman"/>
          <w:bCs/>
          <w:sz w:val="24"/>
          <w:szCs w:val="24"/>
        </w:rPr>
        <w:t xml:space="preserve"> Bejtja, </w:t>
      </w:r>
      <w:proofErr w:type="spellStart"/>
      <w:r w:rsidRPr="0075086C">
        <w:rPr>
          <w:rFonts w:ascii="Garamond" w:hAnsi="Garamond" w:cs="Times New Roman"/>
          <w:bCs/>
          <w:sz w:val="24"/>
          <w:szCs w:val="24"/>
        </w:rPr>
        <w:t>Marsida</w:t>
      </w:r>
      <w:proofErr w:type="spellEnd"/>
      <w:r w:rsidRPr="0075086C">
        <w:rPr>
          <w:rFonts w:ascii="Garamond" w:hAnsi="Garamond" w:cs="Times New Roman"/>
          <w:bCs/>
          <w:sz w:val="24"/>
          <w:szCs w:val="24"/>
        </w:rPr>
        <w:t xml:space="preserve"> </w:t>
      </w:r>
      <w:proofErr w:type="spellStart"/>
      <w:r w:rsidRPr="0075086C">
        <w:rPr>
          <w:rFonts w:ascii="Garamond" w:hAnsi="Garamond" w:cs="Times New Roman"/>
          <w:bCs/>
          <w:sz w:val="24"/>
          <w:szCs w:val="24"/>
        </w:rPr>
        <w:t>Xhaferllari</w:t>
      </w:r>
      <w:proofErr w:type="spellEnd"/>
      <w:r w:rsidRPr="0075086C">
        <w:rPr>
          <w:rFonts w:ascii="Garamond" w:hAnsi="Garamond" w:cs="Times New Roman"/>
          <w:bCs/>
          <w:sz w:val="24"/>
          <w:szCs w:val="24"/>
        </w:rPr>
        <w:t xml:space="preserve">, </w:t>
      </w:r>
      <w:proofErr w:type="spellStart"/>
      <w:r w:rsidRPr="0075086C">
        <w:rPr>
          <w:rFonts w:ascii="Garamond" w:hAnsi="Garamond" w:cs="Times New Roman"/>
          <w:sz w:val="24"/>
          <w:szCs w:val="24"/>
        </w:rPr>
        <w:t>Marjana</w:t>
      </w:r>
      <w:proofErr w:type="spellEnd"/>
      <w:r w:rsidRPr="0075086C">
        <w:rPr>
          <w:rFonts w:ascii="Garamond" w:hAnsi="Garamond" w:cs="Times New Roman"/>
          <w:sz w:val="24"/>
          <w:szCs w:val="24"/>
        </w:rPr>
        <w:t xml:space="preserve"> </w:t>
      </w:r>
      <w:proofErr w:type="spellStart"/>
      <w:r w:rsidRPr="0075086C">
        <w:rPr>
          <w:rFonts w:ascii="Garamond" w:hAnsi="Garamond" w:cs="Times New Roman"/>
          <w:sz w:val="24"/>
          <w:szCs w:val="24"/>
        </w:rPr>
        <w:t>Semini</w:t>
      </w:r>
      <w:proofErr w:type="spellEnd"/>
      <w:r w:rsidRPr="0075086C">
        <w:rPr>
          <w:rFonts w:ascii="Garamond" w:hAnsi="Garamond" w:cs="Times New Roman"/>
          <w:sz w:val="24"/>
          <w:szCs w:val="24"/>
        </w:rPr>
        <w:t xml:space="preserve">, Genti Ibrahimi, </w:t>
      </w:r>
      <w:proofErr w:type="spellStart"/>
      <w:r w:rsidRPr="0075086C">
        <w:rPr>
          <w:rFonts w:ascii="Garamond" w:hAnsi="Garamond" w:cs="Times New Roman"/>
          <w:sz w:val="24"/>
          <w:szCs w:val="24"/>
        </w:rPr>
        <w:t>Sandër</w:t>
      </w:r>
      <w:proofErr w:type="spellEnd"/>
      <w:r w:rsidRPr="0075086C">
        <w:rPr>
          <w:rFonts w:ascii="Garamond" w:hAnsi="Garamond" w:cs="Times New Roman"/>
          <w:sz w:val="24"/>
          <w:szCs w:val="24"/>
        </w:rPr>
        <w:t xml:space="preserve"> Beci, </w:t>
      </w:r>
      <w:r w:rsidRPr="0075086C">
        <w:rPr>
          <w:rFonts w:ascii="Garamond" w:hAnsi="Garamond" w:cs="Times New Roman"/>
          <w:bCs/>
          <w:sz w:val="24"/>
          <w:szCs w:val="24"/>
        </w:rPr>
        <w:t xml:space="preserve">Ilir Toska, </w:t>
      </w:r>
      <w:proofErr w:type="spellStart"/>
      <w:r w:rsidRPr="0075086C">
        <w:rPr>
          <w:rFonts w:ascii="Garamond" w:hAnsi="Garamond" w:cs="Times New Roman"/>
          <w:bCs/>
          <w:sz w:val="24"/>
          <w:szCs w:val="24"/>
        </w:rPr>
        <w:t>Asim</w:t>
      </w:r>
      <w:proofErr w:type="spellEnd"/>
      <w:r w:rsidRPr="0075086C">
        <w:rPr>
          <w:rFonts w:ascii="Garamond" w:hAnsi="Garamond" w:cs="Times New Roman"/>
          <w:bCs/>
          <w:sz w:val="24"/>
          <w:szCs w:val="24"/>
        </w:rPr>
        <w:t xml:space="preserve"> </w:t>
      </w:r>
      <w:proofErr w:type="spellStart"/>
      <w:r w:rsidRPr="0075086C">
        <w:rPr>
          <w:rFonts w:ascii="Garamond" w:hAnsi="Garamond" w:cs="Times New Roman"/>
          <w:bCs/>
          <w:sz w:val="24"/>
          <w:szCs w:val="24"/>
        </w:rPr>
        <w:t>Vokshi</w:t>
      </w:r>
      <w:proofErr w:type="spellEnd"/>
    </w:p>
    <w:p w14:paraId="0EB6FCE9" w14:textId="77777777" w:rsidR="00D75CEB" w:rsidRPr="0075086C" w:rsidRDefault="00D75CEB" w:rsidP="00D75CEB">
      <w:pPr>
        <w:tabs>
          <w:tab w:val="left" w:pos="1080"/>
        </w:tabs>
        <w:spacing w:after="0" w:line="240" w:lineRule="auto"/>
        <w:ind w:firstLine="284"/>
        <w:jc w:val="both"/>
        <w:rPr>
          <w:rFonts w:ascii="Garamond" w:hAnsi="Garamond" w:cs="Times New Roman"/>
          <w:sz w:val="24"/>
          <w:szCs w:val="24"/>
        </w:rPr>
      </w:pPr>
      <w:r w:rsidRPr="0075086C">
        <w:rPr>
          <w:rFonts w:ascii="Garamond" w:hAnsi="Garamond" w:cs="Times New Roman"/>
          <w:b/>
          <w:bCs/>
          <w:sz w:val="24"/>
          <w:szCs w:val="24"/>
        </w:rPr>
        <w:t xml:space="preserve"> </w:t>
      </w:r>
      <w:bookmarkEnd w:id="0"/>
      <w:bookmarkEnd w:id="1"/>
      <w:bookmarkEnd w:id="2"/>
      <w:bookmarkEnd w:id="3"/>
      <w:bookmarkEnd w:id="4"/>
    </w:p>
    <w:p w14:paraId="37714991" w14:textId="731C4001" w:rsidR="00FD16D1" w:rsidRPr="00D75CEB" w:rsidRDefault="00FD16D1" w:rsidP="00D75CEB">
      <w:pPr>
        <w:ind w:left="2880" w:firstLine="720"/>
        <w:rPr>
          <w:rFonts w:ascii="Times New Roman" w:hAnsi="Times New Roman"/>
          <w:sz w:val="24"/>
        </w:rPr>
      </w:pPr>
    </w:p>
    <w:sectPr w:rsidR="00FD16D1" w:rsidRPr="00D75CEB" w:rsidSect="00CE2087">
      <w:pgSz w:w="11909" w:h="16834" w:code="9"/>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EA641B6" w14:textId="77777777" w:rsidR="00E16411" w:rsidRDefault="00E16411">
      <w:pPr>
        <w:spacing w:after="0" w:line="240" w:lineRule="auto"/>
      </w:pPr>
      <w:r>
        <w:separator/>
      </w:r>
    </w:p>
  </w:endnote>
  <w:endnote w:type="continuationSeparator" w:id="0">
    <w:p w14:paraId="5C5D63BC" w14:textId="77777777" w:rsidR="00E16411" w:rsidRDefault="00E16411">
      <w:pPr>
        <w:spacing w:after="0" w:line="240" w:lineRule="auto"/>
      </w:pPr>
      <w:r>
        <w:continuationSeparator/>
      </w:r>
    </w:p>
  </w:endnote>
  <w:endnote w:type="continuationNotice" w:id="1">
    <w:p w14:paraId="63CB5EF2" w14:textId="77777777" w:rsidR="00E16411" w:rsidRDefault="00E1641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DFF35B" w14:textId="77777777" w:rsidR="00E16411" w:rsidRDefault="00E16411">
      <w:pPr>
        <w:spacing w:after="0" w:line="240" w:lineRule="auto"/>
      </w:pPr>
      <w:r>
        <w:separator/>
      </w:r>
    </w:p>
  </w:footnote>
  <w:footnote w:type="continuationSeparator" w:id="0">
    <w:p w14:paraId="063C82B0" w14:textId="77777777" w:rsidR="00E16411" w:rsidRDefault="00E16411">
      <w:pPr>
        <w:spacing w:after="0" w:line="240" w:lineRule="auto"/>
      </w:pPr>
      <w:r>
        <w:continuationSeparator/>
      </w:r>
    </w:p>
  </w:footnote>
  <w:footnote w:type="continuationNotice" w:id="1">
    <w:p w14:paraId="54C7CB3D" w14:textId="77777777" w:rsidR="00E16411" w:rsidRDefault="00E16411">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8D4487"/>
    <w:multiLevelType w:val="multilevel"/>
    <w:tmpl w:val="2BA481D0"/>
    <w:lvl w:ilvl="0">
      <w:start w:val="15"/>
      <w:numFmt w:val="decimal"/>
      <w:lvlText w:val="%1."/>
      <w:lvlJc w:val="left"/>
      <w:pPr>
        <w:ind w:left="360" w:hanging="360"/>
      </w:pPr>
      <w:rPr>
        <w:rFonts w:eastAsia="MS Mincho" w:hint="default"/>
        <w:b w:val="0"/>
        <w:i w:val="0"/>
      </w:rPr>
    </w:lvl>
    <w:lvl w:ilvl="1">
      <w:start w:val="1"/>
      <w:numFmt w:val="decimal"/>
      <w:lvlText w:val="%1.%2."/>
      <w:lvlJc w:val="left"/>
      <w:pPr>
        <w:ind w:left="1440" w:hanging="360"/>
      </w:pPr>
      <w:rPr>
        <w:rFonts w:eastAsia="MS Mincho" w:hint="default"/>
      </w:rPr>
    </w:lvl>
    <w:lvl w:ilvl="2">
      <w:start w:val="1"/>
      <w:numFmt w:val="decimal"/>
      <w:lvlText w:val="%1.%2.%3."/>
      <w:lvlJc w:val="left"/>
      <w:pPr>
        <w:ind w:left="2880" w:hanging="720"/>
      </w:pPr>
      <w:rPr>
        <w:rFonts w:eastAsia="MS Mincho" w:hint="default"/>
      </w:rPr>
    </w:lvl>
    <w:lvl w:ilvl="3">
      <w:start w:val="1"/>
      <w:numFmt w:val="decimal"/>
      <w:lvlText w:val="%1.%2.%3.%4."/>
      <w:lvlJc w:val="left"/>
      <w:pPr>
        <w:ind w:left="3960" w:hanging="720"/>
      </w:pPr>
      <w:rPr>
        <w:rFonts w:eastAsia="MS Mincho" w:hint="default"/>
      </w:rPr>
    </w:lvl>
    <w:lvl w:ilvl="4">
      <w:start w:val="1"/>
      <w:numFmt w:val="decimal"/>
      <w:lvlText w:val="%1.%2.%3.%4.%5."/>
      <w:lvlJc w:val="left"/>
      <w:pPr>
        <w:ind w:left="5400" w:hanging="1080"/>
      </w:pPr>
      <w:rPr>
        <w:rFonts w:eastAsia="MS Mincho" w:hint="default"/>
      </w:rPr>
    </w:lvl>
    <w:lvl w:ilvl="5">
      <w:start w:val="1"/>
      <w:numFmt w:val="decimal"/>
      <w:lvlText w:val="%1.%2.%3.%4.%5.%6."/>
      <w:lvlJc w:val="left"/>
      <w:pPr>
        <w:ind w:left="6480" w:hanging="1080"/>
      </w:pPr>
      <w:rPr>
        <w:rFonts w:eastAsia="MS Mincho" w:hint="default"/>
      </w:rPr>
    </w:lvl>
    <w:lvl w:ilvl="6">
      <w:start w:val="1"/>
      <w:numFmt w:val="decimal"/>
      <w:lvlText w:val="%1.%2.%3.%4.%5.%6.%7."/>
      <w:lvlJc w:val="left"/>
      <w:pPr>
        <w:ind w:left="7920" w:hanging="1440"/>
      </w:pPr>
      <w:rPr>
        <w:rFonts w:eastAsia="MS Mincho" w:hint="default"/>
      </w:rPr>
    </w:lvl>
    <w:lvl w:ilvl="7">
      <w:start w:val="1"/>
      <w:numFmt w:val="decimal"/>
      <w:lvlText w:val="%1.%2.%3.%4.%5.%6.%7.%8."/>
      <w:lvlJc w:val="left"/>
      <w:pPr>
        <w:ind w:left="9000" w:hanging="1440"/>
      </w:pPr>
      <w:rPr>
        <w:rFonts w:eastAsia="MS Mincho" w:hint="default"/>
      </w:rPr>
    </w:lvl>
    <w:lvl w:ilvl="8">
      <w:start w:val="1"/>
      <w:numFmt w:val="decimal"/>
      <w:lvlText w:val="%1.%2.%3.%4.%5.%6.%7.%8.%9."/>
      <w:lvlJc w:val="left"/>
      <w:pPr>
        <w:ind w:left="10440" w:hanging="1800"/>
      </w:pPr>
      <w:rPr>
        <w:rFonts w:eastAsia="MS Mincho" w:hint="default"/>
      </w:rPr>
    </w:lvl>
  </w:abstractNum>
  <w:abstractNum w:abstractNumId="1" w15:restartNumberingAfterBreak="0">
    <w:nsid w:val="0CBA5EBE"/>
    <w:multiLevelType w:val="hybridMultilevel"/>
    <w:tmpl w:val="92924EAC"/>
    <w:lvl w:ilvl="0" w:tplc="97E0FECA">
      <w:start w:val="1"/>
      <w:numFmt w:val="decimal"/>
      <w:lvlText w:val="%1."/>
      <w:lvlJc w:val="left"/>
      <w:pPr>
        <w:ind w:left="720" w:hanging="360"/>
      </w:pPr>
      <w:rPr>
        <w:rFonts w:ascii="Times New Roman" w:hAnsi="Times New Roman" w:cs="Times New Roman" w:hint="default"/>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2" w15:restartNumberingAfterBreak="0">
    <w:nsid w:val="12DD6E1B"/>
    <w:multiLevelType w:val="multilevel"/>
    <w:tmpl w:val="7E48256E"/>
    <w:lvl w:ilvl="0">
      <w:start w:val="8"/>
      <w:numFmt w:val="decimal"/>
      <w:lvlText w:val="%1."/>
      <w:lvlJc w:val="left"/>
      <w:pPr>
        <w:ind w:left="360" w:hanging="360"/>
      </w:pPr>
      <w:rPr>
        <w:rFonts w:eastAsia="MS Mincho" w:hint="default"/>
      </w:rPr>
    </w:lvl>
    <w:lvl w:ilvl="1">
      <w:start w:val="1"/>
      <w:numFmt w:val="decimal"/>
      <w:lvlText w:val="%1.%2."/>
      <w:lvlJc w:val="left"/>
      <w:pPr>
        <w:ind w:left="1440" w:hanging="360"/>
      </w:pPr>
      <w:rPr>
        <w:rFonts w:eastAsia="MS Mincho" w:hint="default"/>
      </w:rPr>
    </w:lvl>
    <w:lvl w:ilvl="2">
      <w:start w:val="1"/>
      <w:numFmt w:val="decimal"/>
      <w:lvlText w:val="%1.%2.%3."/>
      <w:lvlJc w:val="left"/>
      <w:pPr>
        <w:ind w:left="2880" w:hanging="720"/>
      </w:pPr>
      <w:rPr>
        <w:rFonts w:eastAsia="MS Mincho" w:hint="default"/>
      </w:rPr>
    </w:lvl>
    <w:lvl w:ilvl="3">
      <w:start w:val="1"/>
      <w:numFmt w:val="decimal"/>
      <w:lvlText w:val="%1.%2.%3.%4."/>
      <w:lvlJc w:val="left"/>
      <w:pPr>
        <w:ind w:left="3960" w:hanging="720"/>
      </w:pPr>
      <w:rPr>
        <w:rFonts w:eastAsia="MS Mincho" w:hint="default"/>
      </w:rPr>
    </w:lvl>
    <w:lvl w:ilvl="4">
      <w:start w:val="1"/>
      <w:numFmt w:val="decimal"/>
      <w:lvlText w:val="%1.%2.%3.%4.%5."/>
      <w:lvlJc w:val="left"/>
      <w:pPr>
        <w:ind w:left="5400" w:hanging="1080"/>
      </w:pPr>
      <w:rPr>
        <w:rFonts w:eastAsia="MS Mincho" w:hint="default"/>
      </w:rPr>
    </w:lvl>
    <w:lvl w:ilvl="5">
      <w:start w:val="1"/>
      <w:numFmt w:val="decimal"/>
      <w:lvlText w:val="%1.%2.%3.%4.%5.%6."/>
      <w:lvlJc w:val="left"/>
      <w:pPr>
        <w:ind w:left="6480" w:hanging="1080"/>
      </w:pPr>
      <w:rPr>
        <w:rFonts w:eastAsia="MS Mincho" w:hint="default"/>
      </w:rPr>
    </w:lvl>
    <w:lvl w:ilvl="6">
      <w:start w:val="1"/>
      <w:numFmt w:val="decimal"/>
      <w:lvlText w:val="%1.%2.%3.%4.%5.%6.%7."/>
      <w:lvlJc w:val="left"/>
      <w:pPr>
        <w:ind w:left="7920" w:hanging="1440"/>
      </w:pPr>
      <w:rPr>
        <w:rFonts w:eastAsia="MS Mincho" w:hint="default"/>
      </w:rPr>
    </w:lvl>
    <w:lvl w:ilvl="7">
      <w:start w:val="1"/>
      <w:numFmt w:val="decimal"/>
      <w:lvlText w:val="%1.%2.%3.%4.%5.%6.%7.%8."/>
      <w:lvlJc w:val="left"/>
      <w:pPr>
        <w:ind w:left="9000" w:hanging="1440"/>
      </w:pPr>
      <w:rPr>
        <w:rFonts w:eastAsia="MS Mincho" w:hint="default"/>
      </w:rPr>
    </w:lvl>
    <w:lvl w:ilvl="8">
      <w:start w:val="1"/>
      <w:numFmt w:val="decimal"/>
      <w:lvlText w:val="%1.%2.%3.%4.%5.%6.%7.%8.%9."/>
      <w:lvlJc w:val="left"/>
      <w:pPr>
        <w:ind w:left="10440" w:hanging="1800"/>
      </w:pPr>
      <w:rPr>
        <w:rFonts w:eastAsia="MS Mincho" w:hint="default"/>
      </w:rPr>
    </w:lvl>
  </w:abstractNum>
  <w:abstractNum w:abstractNumId="3" w15:restartNumberingAfterBreak="0">
    <w:nsid w:val="1C8D0CB4"/>
    <w:multiLevelType w:val="hybridMultilevel"/>
    <w:tmpl w:val="114CE9C0"/>
    <w:lvl w:ilvl="0" w:tplc="7C14831A">
      <w:start w:val="1"/>
      <w:numFmt w:val="upperLetter"/>
      <w:lvlText w:val="%1."/>
      <w:lvlJc w:val="left"/>
      <w:pPr>
        <w:ind w:left="1440" w:hanging="360"/>
      </w:pPr>
      <w:rPr>
        <w:rFonts w:hint="default"/>
      </w:rPr>
    </w:lvl>
    <w:lvl w:ilvl="1" w:tplc="041C0019" w:tentative="1">
      <w:start w:val="1"/>
      <w:numFmt w:val="lowerLetter"/>
      <w:lvlText w:val="%2."/>
      <w:lvlJc w:val="left"/>
      <w:pPr>
        <w:ind w:left="2160" w:hanging="360"/>
      </w:pPr>
    </w:lvl>
    <w:lvl w:ilvl="2" w:tplc="041C001B" w:tentative="1">
      <w:start w:val="1"/>
      <w:numFmt w:val="lowerRoman"/>
      <w:lvlText w:val="%3."/>
      <w:lvlJc w:val="right"/>
      <w:pPr>
        <w:ind w:left="2880" w:hanging="180"/>
      </w:pPr>
    </w:lvl>
    <w:lvl w:ilvl="3" w:tplc="041C000F" w:tentative="1">
      <w:start w:val="1"/>
      <w:numFmt w:val="decimal"/>
      <w:lvlText w:val="%4."/>
      <w:lvlJc w:val="left"/>
      <w:pPr>
        <w:ind w:left="3600" w:hanging="360"/>
      </w:pPr>
    </w:lvl>
    <w:lvl w:ilvl="4" w:tplc="041C0019" w:tentative="1">
      <w:start w:val="1"/>
      <w:numFmt w:val="lowerLetter"/>
      <w:lvlText w:val="%5."/>
      <w:lvlJc w:val="left"/>
      <w:pPr>
        <w:ind w:left="4320" w:hanging="360"/>
      </w:pPr>
    </w:lvl>
    <w:lvl w:ilvl="5" w:tplc="041C001B" w:tentative="1">
      <w:start w:val="1"/>
      <w:numFmt w:val="lowerRoman"/>
      <w:lvlText w:val="%6."/>
      <w:lvlJc w:val="right"/>
      <w:pPr>
        <w:ind w:left="5040" w:hanging="180"/>
      </w:pPr>
    </w:lvl>
    <w:lvl w:ilvl="6" w:tplc="041C000F" w:tentative="1">
      <w:start w:val="1"/>
      <w:numFmt w:val="decimal"/>
      <w:lvlText w:val="%7."/>
      <w:lvlJc w:val="left"/>
      <w:pPr>
        <w:ind w:left="5760" w:hanging="360"/>
      </w:pPr>
    </w:lvl>
    <w:lvl w:ilvl="7" w:tplc="041C0019" w:tentative="1">
      <w:start w:val="1"/>
      <w:numFmt w:val="lowerLetter"/>
      <w:lvlText w:val="%8."/>
      <w:lvlJc w:val="left"/>
      <w:pPr>
        <w:ind w:left="6480" w:hanging="360"/>
      </w:pPr>
    </w:lvl>
    <w:lvl w:ilvl="8" w:tplc="041C001B" w:tentative="1">
      <w:start w:val="1"/>
      <w:numFmt w:val="lowerRoman"/>
      <w:lvlText w:val="%9."/>
      <w:lvlJc w:val="right"/>
      <w:pPr>
        <w:ind w:left="7200" w:hanging="180"/>
      </w:pPr>
    </w:lvl>
  </w:abstractNum>
  <w:abstractNum w:abstractNumId="4" w15:restartNumberingAfterBreak="0">
    <w:nsid w:val="262B6A73"/>
    <w:multiLevelType w:val="multilevel"/>
    <w:tmpl w:val="70806F1C"/>
    <w:lvl w:ilvl="0">
      <w:start w:val="6"/>
      <w:numFmt w:val="decimal"/>
      <w:lvlText w:val="%1."/>
      <w:lvlJc w:val="left"/>
      <w:pPr>
        <w:ind w:left="360" w:hanging="360"/>
      </w:pPr>
      <w:rPr>
        <w:rFonts w:eastAsiaTheme="minorHAnsi" w:hint="default"/>
        <w:i w:val="0"/>
      </w:rPr>
    </w:lvl>
    <w:lvl w:ilvl="1">
      <w:start w:val="1"/>
      <w:numFmt w:val="decimal"/>
      <w:lvlText w:val="%1.%2."/>
      <w:lvlJc w:val="left"/>
      <w:pPr>
        <w:ind w:left="1350" w:hanging="360"/>
      </w:pPr>
      <w:rPr>
        <w:rFonts w:eastAsiaTheme="minorHAnsi" w:hint="default"/>
        <w:i w:val="0"/>
      </w:rPr>
    </w:lvl>
    <w:lvl w:ilvl="2">
      <w:start w:val="1"/>
      <w:numFmt w:val="decimal"/>
      <w:lvlText w:val="%1.%2.%3."/>
      <w:lvlJc w:val="left"/>
      <w:pPr>
        <w:ind w:left="2700" w:hanging="720"/>
      </w:pPr>
      <w:rPr>
        <w:rFonts w:eastAsiaTheme="minorHAnsi" w:hint="default"/>
        <w:i/>
      </w:rPr>
    </w:lvl>
    <w:lvl w:ilvl="3">
      <w:start w:val="1"/>
      <w:numFmt w:val="decimal"/>
      <w:lvlText w:val="%1.%2.%3.%4."/>
      <w:lvlJc w:val="left"/>
      <w:pPr>
        <w:ind w:left="3690" w:hanging="720"/>
      </w:pPr>
      <w:rPr>
        <w:rFonts w:eastAsiaTheme="minorHAnsi" w:hint="default"/>
        <w:i/>
      </w:rPr>
    </w:lvl>
    <w:lvl w:ilvl="4">
      <w:start w:val="1"/>
      <w:numFmt w:val="decimal"/>
      <w:lvlText w:val="%1.%2.%3.%4.%5."/>
      <w:lvlJc w:val="left"/>
      <w:pPr>
        <w:ind w:left="5040" w:hanging="1080"/>
      </w:pPr>
      <w:rPr>
        <w:rFonts w:eastAsiaTheme="minorHAnsi" w:hint="default"/>
        <w:i/>
      </w:rPr>
    </w:lvl>
    <w:lvl w:ilvl="5">
      <w:start w:val="1"/>
      <w:numFmt w:val="decimal"/>
      <w:lvlText w:val="%1.%2.%3.%4.%5.%6."/>
      <w:lvlJc w:val="left"/>
      <w:pPr>
        <w:ind w:left="6030" w:hanging="1080"/>
      </w:pPr>
      <w:rPr>
        <w:rFonts w:eastAsiaTheme="minorHAnsi" w:hint="default"/>
        <w:i/>
      </w:rPr>
    </w:lvl>
    <w:lvl w:ilvl="6">
      <w:start w:val="1"/>
      <w:numFmt w:val="decimal"/>
      <w:lvlText w:val="%1.%2.%3.%4.%5.%6.%7."/>
      <w:lvlJc w:val="left"/>
      <w:pPr>
        <w:ind w:left="7380" w:hanging="1440"/>
      </w:pPr>
      <w:rPr>
        <w:rFonts w:eastAsiaTheme="minorHAnsi" w:hint="default"/>
        <w:i/>
      </w:rPr>
    </w:lvl>
    <w:lvl w:ilvl="7">
      <w:start w:val="1"/>
      <w:numFmt w:val="decimal"/>
      <w:lvlText w:val="%1.%2.%3.%4.%5.%6.%7.%8."/>
      <w:lvlJc w:val="left"/>
      <w:pPr>
        <w:ind w:left="8370" w:hanging="1440"/>
      </w:pPr>
      <w:rPr>
        <w:rFonts w:eastAsiaTheme="minorHAnsi" w:hint="default"/>
        <w:i/>
      </w:rPr>
    </w:lvl>
    <w:lvl w:ilvl="8">
      <w:start w:val="1"/>
      <w:numFmt w:val="decimal"/>
      <w:lvlText w:val="%1.%2.%3.%4.%5.%6.%7.%8.%9."/>
      <w:lvlJc w:val="left"/>
      <w:pPr>
        <w:ind w:left="9720" w:hanging="1800"/>
      </w:pPr>
      <w:rPr>
        <w:rFonts w:eastAsiaTheme="minorHAnsi" w:hint="default"/>
        <w:i/>
      </w:rPr>
    </w:lvl>
  </w:abstractNum>
  <w:abstractNum w:abstractNumId="5" w15:restartNumberingAfterBreak="0">
    <w:nsid w:val="2C225618"/>
    <w:multiLevelType w:val="hybridMultilevel"/>
    <w:tmpl w:val="49441C18"/>
    <w:lvl w:ilvl="0" w:tplc="3EAA6D1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310D0298"/>
    <w:multiLevelType w:val="multilevel"/>
    <w:tmpl w:val="8F424DF4"/>
    <w:lvl w:ilvl="0">
      <w:start w:val="8"/>
      <w:numFmt w:val="decimal"/>
      <w:lvlText w:val="%1."/>
      <w:lvlJc w:val="left"/>
      <w:pPr>
        <w:ind w:left="720" w:hanging="360"/>
      </w:pPr>
      <w:rPr>
        <w:rFonts w:hint="default"/>
        <w:i w:val="0"/>
      </w:rPr>
    </w:lvl>
    <w:lvl w:ilvl="1">
      <w:start w:val="1"/>
      <w:numFmt w:val="decimal"/>
      <w:isLgl/>
      <w:lvlText w:val="%1.%2."/>
      <w:lvlJc w:val="left"/>
      <w:pPr>
        <w:ind w:left="1125" w:hanging="405"/>
      </w:pPr>
      <w:rPr>
        <w:rFonts w:hint="default"/>
        <w:i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6"/>
  </w:num>
  <w:num w:numId="2">
    <w:abstractNumId w:val="3"/>
  </w:num>
  <w:num w:numId="3">
    <w:abstractNumId w:val="1"/>
  </w:num>
  <w:num w:numId="4">
    <w:abstractNumId w:val="2"/>
  </w:num>
  <w:num w:numId="5">
    <w:abstractNumId w:val="0"/>
  </w:num>
  <w:num w:numId="6">
    <w:abstractNumId w:val="5"/>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revisionView w:inkAnnotations="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16D1"/>
    <w:rsid w:val="0006049A"/>
    <w:rsid w:val="000628DC"/>
    <w:rsid w:val="00072049"/>
    <w:rsid w:val="00075674"/>
    <w:rsid w:val="000A3FCF"/>
    <w:rsid w:val="000D6A22"/>
    <w:rsid w:val="000F3779"/>
    <w:rsid w:val="000F5D85"/>
    <w:rsid w:val="00135C80"/>
    <w:rsid w:val="00145498"/>
    <w:rsid w:val="001659B9"/>
    <w:rsid w:val="001A203F"/>
    <w:rsid w:val="001B6DEB"/>
    <w:rsid w:val="00224D96"/>
    <w:rsid w:val="002450DD"/>
    <w:rsid w:val="00251848"/>
    <w:rsid w:val="002C0498"/>
    <w:rsid w:val="002C16E2"/>
    <w:rsid w:val="002D3E53"/>
    <w:rsid w:val="003011D4"/>
    <w:rsid w:val="00304354"/>
    <w:rsid w:val="0031451D"/>
    <w:rsid w:val="003218EE"/>
    <w:rsid w:val="00321E35"/>
    <w:rsid w:val="003C0882"/>
    <w:rsid w:val="003D22D0"/>
    <w:rsid w:val="003E09FB"/>
    <w:rsid w:val="00466DC1"/>
    <w:rsid w:val="004717F8"/>
    <w:rsid w:val="004A03A8"/>
    <w:rsid w:val="004C2164"/>
    <w:rsid w:val="004C2233"/>
    <w:rsid w:val="005048C5"/>
    <w:rsid w:val="00544ECF"/>
    <w:rsid w:val="005D2D64"/>
    <w:rsid w:val="00630AA7"/>
    <w:rsid w:val="00683EFB"/>
    <w:rsid w:val="006A1DB4"/>
    <w:rsid w:val="006A3C0F"/>
    <w:rsid w:val="006A6974"/>
    <w:rsid w:val="006B75AC"/>
    <w:rsid w:val="006E2916"/>
    <w:rsid w:val="006F415E"/>
    <w:rsid w:val="007052B8"/>
    <w:rsid w:val="0075086C"/>
    <w:rsid w:val="007E62BE"/>
    <w:rsid w:val="0083111C"/>
    <w:rsid w:val="008341CE"/>
    <w:rsid w:val="00891247"/>
    <w:rsid w:val="008C4BF0"/>
    <w:rsid w:val="00957339"/>
    <w:rsid w:val="009741F8"/>
    <w:rsid w:val="00983043"/>
    <w:rsid w:val="00984B2C"/>
    <w:rsid w:val="009A1F9E"/>
    <w:rsid w:val="00A2705D"/>
    <w:rsid w:val="00A27738"/>
    <w:rsid w:val="00A6218F"/>
    <w:rsid w:val="00A840C8"/>
    <w:rsid w:val="00A84D23"/>
    <w:rsid w:val="00A96AF9"/>
    <w:rsid w:val="00AD3C9E"/>
    <w:rsid w:val="00AD4FAD"/>
    <w:rsid w:val="00B50A55"/>
    <w:rsid w:val="00B671FF"/>
    <w:rsid w:val="00B87672"/>
    <w:rsid w:val="00BA4E46"/>
    <w:rsid w:val="00BC60F7"/>
    <w:rsid w:val="00C20975"/>
    <w:rsid w:val="00C25EC4"/>
    <w:rsid w:val="00C35AE0"/>
    <w:rsid w:val="00C56F56"/>
    <w:rsid w:val="00CB7258"/>
    <w:rsid w:val="00CC0D55"/>
    <w:rsid w:val="00CC221A"/>
    <w:rsid w:val="00CD03CD"/>
    <w:rsid w:val="00CE2087"/>
    <w:rsid w:val="00CE56B0"/>
    <w:rsid w:val="00D108C4"/>
    <w:rsid w:val="00D27C52"/>
    <w:rsid w:val="00D34171"/>
    <w:rsid w:val="00D61F56"/>
    <w:rsid w:val="00D75CEB"/>
    <w:rsid w:val="00DA5C19"/>
    <w:rsid w:val="00DB0436"/>
    <w:rsid w:val="00DD449A"/>
    <w:rsid w:val="00E16411"/>
    <w:rsid w:val="00E46A5E"/>
    <w:rsid w:val="00E509D3"/>
    <w:rsid w:val="00E56C06"/>
    <w:rsid w:val="00E87F02"/>
    <w:rsid w:val="00E93F72"/>
    <w:rsid w:val="00E96403"/>
    <w:rsid w:val="00EB4FE3"/>
    <w:rsid w:val="00EB7E52"/>
    <w:rsid w:val="00EC3C35"/>
    <w:rsid w:val="00EC527A"/>
    <w:rsid w:val="00ED5A29"/>
    <w:rsid w:val="00EF7468"/>
    <w:rsid w:val="00F32269"/>
    <w:rsid w:val="00F4204B"/>
    <w:rsid w:val="00F50625"/>
    <w:rsid w:val="00F52E93"/>
    <w:rsid w:val="00F95CEB"/>
    <w:rsid w:val="00FA40D2"/>
    <w:rsid w:val="00FA52CB"/>
    <w:rsid w:val="00FD16D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71493F"/>
  <w15:chartTrackingRefBased/>
  <w15:docId w15:val="{A33760A9-D3A5-4C0F-B300-84E0D93F9B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D16D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FD16D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D16D1"/>
  </w:style>
  <w:style w:type="paragraph" w:styleId="ListParagraph">
    <w:name w:val="List Paragraph"/>
    <w:aliases w:val="List Paragraph2,Normal 1,Dot pt,List Paragraph1,F5 List Paragraph,List Paragraph Char Char Char,Indicator Text,Colorful List - Accent 11,Numbered Para 1,Bullet 1,Bullet Points,MAIN CONTENT,Párrafo de lista,Recommendation,List Paragraph 1"/>
    <w:basedOn w:val="Normal"/>
    <w:link w:val="ListParagraphChar"/>
    <w:uiPriority w:val="34"/>
    <w:qFormat/>
    <w:rsid w:val="00FD16D1"/>
    <w:pPr>
      <w:ind w:left="720"/>
      <w:contextualSpacing/>
    </w:pPr>
  </w:style>
  <w:style w:type="character" w:customStyle="1" w:styleId="ListParagraphChar">
    <w:name w:val="List Paragraph Char"/>
    <w:aliases w:val="List Paragraph2 Char,Normal 1 Char,Dot pt Char,List Paragraph1 Char,F5 List Paragraph Char,List Paragraph Char Char Char Char,Indicator Text Char,Colorful List - Accent 11 Char,Numbered Para 1 Char,Bullet 1 Char,Bullet Points Char"/>
    <w:basedOn w:val="DefaultParagraphFont"/>
    <w:link w:val="ListParagraph"/>
    <w:uiPriority w:val="34"/>
    <w:qFormat/>
    <w:locked/>
    <w:rsid w:val="00FD16D1"/>
  </w:style>
  <w:style w:type="paragraph" w:styleId="BodyText">
    <w:name w:val="Body Text"/>
    <w:basedOn w:val="Normal"/>
    <w:link w:val="BodyTextChar"/>
    <w:uiPriority w:val="99"/>
    <w:unhideWhenUsed/>
    <w:rsid w:val="00FD16D1"/>
    <w:pPr>
      <w:spacing w:after="120"/>
    </w:pPr>
  </w:style>
  <w:style w:type="character" w:customStyle="1" w:styleId="BodyTextChar">
    <w:name w:val="Body Text Char"/>
    <w:basedOn w:val="DefaultParagraphFont"/>
    <w:link w:val="BodyText"/>
    <w:uiPriority w:val="99"/>
    <w:rsid w:val="00FD16D1"/>
  </w:style>
  <w:style w:type="paragraph" w:styleId="BodyTextIndent2">
    <w:name w:val="Body Text Indent 2"/>
    <w:basedOn w:val="Normal"/>
    <w:link w:val="BodyTextIndent2Char"/>
    <w:uiPriority w:val="99"/>
    <w:unhideWhenUsed/>
    <w:rsid w:val="00FD16D1"/>
    <w:pPr>
      <w:spacing w:after="120" w:line="480" w:lineRule="auto"/>
      <w:ind w:left="360"/>
    </w:pPr>
  </w:style>
  <w:style w:type="character" w:customStyle="1" w:styleId="BodyTextIndent2Char">
    <w:name w:val="Body Text Indent 2 Char"/>
    <w:basedOn w:val="DefaultParagraphFont"/>
    <w:link w:val="BodyTextIndent2"/>
    <w:uiPriority w:val="99"/>
    <w:rsid w:val="00FD16D1"/>
  </w:style>
  <w:style w:type="character" w:customStyle="1" w:styleId="s68f5eaef">
    <w:name w:val="s68f5eaef"/>
    <w:basedOn w:val="DefaultParagraphFont"/>
    <w:rsid w:val="00FD16D1"/>
  </w:style>
  <w:style w:type="character" w:styleId="Strong">
    <w:name w:val="Strong"/>
    <w:basedOn w:val="DefaultParagraphFont"/>
    <w:uiPriority w:val="22"/>
    <w:qFormat/>
    <w:rsid w:val="00FD16D1"/>
    <w:rPr>
      <w:b/>
      <w:bCs/>
    </w:rPr>
  </w:style>
  <w:style w:type="paragraph" w:styleId="BalloonText">
    <w:name w:val="Balloon Text"/>
    <w:basedOn w:val="Normal"/>
    <w:link w:val="BalloonTextChar"/>
    <w:uiPriority w:val="99"/>
    <w:semiHidden/>
    <w:unhideWhenUsed/>
    <w:rsid w:val="003E09F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E09FB"/>
    <w:rPr>
      <w:rFonts w:ascii="Segoe UI" w:hAnsi="Segoe UI" w:cs="Segoe UI"/>
      <w:sz w:val="18"/>
      <w:szCs w:val="18"/>
    </w:rPr>
  </w:style>
  <w:style w:type="character" w:styleId="CommentReference">
    <w:name w:val="annotation reference"/>
    <w:basedOn w:val="DefaultParagraphFont"/>
    <w:uiPriority w:val="99"/>
    <w:semiHidden/>
    <w:unhideWhenUsed/>
    <w:rsid w:val="000628DC"/>
    <w:rPr>
      <w:sz w:val="16"/>
      <w:szCs w:val="16"/>
    </w:rPr>
  </w:style>
  <w:style w:type="paragraph" w:styleId="CommentText">
    <w:name w:val="annotation text"/>
    <w:basedOn w:val="Normal"/>
    <w:link w:val="CommentTextChar"/>
    <w:uiPriority w:val="99"/>
    <w:semiHidden/>
    <w:unhideWhenUsed/>
    <w:rsid w:val="000628DC"/>
    <w:pPr>
      <w:spacing w:line="240" w:lineRule="auto"/>
    </w:pPr>
    <w:rPr>
      <w:sz w:val="20"/>
      <w:szCs w:val="20"/>
    </w:rPr>
  </w:style>
  <w:style w:type="character" w:customStyle="1" w:styleId="CommentTextChar">
    <w:name w:val="Comment Text Char"/>
    <w:basedOn w:val="DefaultParagraphFont"/>
    <w:link w:val="CommentText"/>
    <w:uiPriority w:val="99"/>
    <w:semiHidden/>
    <w:rsid w:val="000628DC"/>
    <w:rPr>
      <w:sz w:val="20"/>
      <w:szCs w:val="20"/>
    </w:rPr>
  </w:style>
  <w:style w:type="paragraph" w:styleId="CommentSubject">
    <w:name w:val="annotation subject"/>
    <w:basedOn w:val="CommentText"/>
    <w:next w:val="CommentText"/>
    <w:link w:val="CommentSubjectChar"/>
    <w:uiPriority w:val="99"/>
    <w:semiHidden/>
    <w:unhideWhenUsed/>
    <w:rsid w:val="000628DC"/>
    <w:rPr>
      <w:b/>
      <w:bCs/>
    </w:rPr>
  </w:style>
  <w:style w:type="character" w:customStyle="1" w:styleId="CommentSubjectChar">
    <w:name w:val="Comment Subject Char"/>
    <w:basedOn w:val="CommentTextChar"/>
    <w:link w:val="CommentSubject"/>
    <w:uiPriority w:val="99"/>
    <w:semiHidden/>
    <w:rsid w:val="000628DC"/>
    <w:rPr>
      <w:b/>
      <w:bCs/>
      <w:sz w:val="20"/>
      <w:szCs w:val="20"/>
    </w:rPr>
  </w:style>
  <w:style w:type="paragraph" w:styleId="Header">
    <w:name w:val="header"/>
    <w:basedOn w:val="Normal"/>
    <w:link w:val="HeaderChar"/>
    <w:uiPriority w:val="99"/>
    <w:unhideWhenUsed/>
    <w:rsid w:val="001B6DE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B6DEB"/>
  </w:style>
  <w:style w:type="paragraph" w:styleId="NoSpacing">
    <w:name w:val="No Spacing"/>
    <w:uiPriority w:val="1"/>
    <w:qFormat/>
    <w:rsid w:val="004A03A8"/>
    <w:pPr>
      <w:spacing w:after="0" w:line="240" w:lineRule="auto"/>
    </w:pPr>
  </w:style>
  <w:style w:type="table" w:styleId="TableGrid">
    <w:name w:val="Table Grid"/>
    <w:basedOn w:val="TableNormal"/>
    <w:uiPriority w:val="39"/>
    <w:rsid w:val="0075086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F08AAA757A4E4D63B2D003B173A4F5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30</Nr_x002e__x0020_akti>
    <Data_x0020_e_x0020_Krijimit xmlns="0e656187-b300-4fb0-8bf4-3a50f872073c">2026-04-01T10:10:15Z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2026-03-31T00:00:00Z</Date_x0020_protokolli>
    <Titulli xmlns="0e656187-b300-4fb0-8bf4-3a50f872073c">Me objekt shfuqizimin e vendimit nr. 00-2025-1235, datë 9.4.2025 të Kolegjit Civil të Gjykatës së Lartë, si i papajtueshëm me Kushtetutën e Republikës së Shqipërisë</Titulli>
    <Modifikuesi xmlns="0e656187-b300-4fb0-8bf4-3a50f872073c">alma.lisaku</Modifikuesi>
    <Nr_x002e__x0020_prot_x0020_QBZ xmlns="0e656187-b300-4fb0-8bf4-3a50f872073c">643/1</Nr_x002e__x0020_prot_x0020_QBZ>
    <Data_x0020_e_x0020_Modifikimit xmlns="0e656187-b300-4fb0-8bf4-3a50f872073c">2026-04-01T11:15:11Z</Data_x0020_e_x0020_Modifikimit>
    <Dekretuar xmlns="0e656187-b300-4fb0-8bf4-3a50f872073c">false</Dekretuar>
    <Data xmlns="0e656187-b300-4fb0-8bf4-3a50f872073c">2026-03-10T00:00:00Z</Data>
    <Nr_x002e__x0020_protokolli_x0020_i_x0020_aktit xmlns="0e656187-b300-4fb0-8bf4-3a50f872073c">30</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F08AAA757A4E4D63B2D003B173A4F557"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88886B3F-7469-4EB3-9B88-BE703F67F6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B684312B-3146-48AD-A1C3-7D99EE9CF2BE}">
  <ds:schemaRefs>
    <ds:schemaRef ds:uri="http://purl.org/dc/terms/"/>
    <ds:schemaRef ds:uri="0e656187-b300-4fb0-8bf4-3a50f872073c"/>
    <ds:schemaRef ds:uri="http://www.w3.org/XML/1998/namespace"/>
    <ds:schemaRef ds:uri="http://schemas.microsoft.com/office/2006/documentManagement/types"/>
    <ds:schemaRef ds:uri="http://schemas.microsoft.com/office/2006/metadata/properties"/>
    <ds:schemaRef ds:uri="http://schemas.openxmlformats.org/package/2006/metadata/core-properties"/>
    <ds:schemaRef ds:uri="http://purl.org/dc/dcmitype/"/>
    <ds:schemaRef ds:uri="http://purl.org/dc/elements/1.1/"/>
  </ds:schemaRefs>
</ds:datastoreItem>
</file>

<file path=customXml/itemProps3.xml><?xml version="1.0" encoding="utf-8"?>
<ds:datastoreItem xmlns:ds="http://schemas.openxmlformats.org/officeDocument/2006/customXml" ds:itemID="{4829229B-7808-4A15-9659-22CCE75765AC}">
  <ds:schemaRefs>
    <ds:schemaRef ds:uri="http://schemas.microsoft.com/sharepoint/v3/contenttype/forms"/>
  </ds:schemaRefs>
</ds:datastoreItem>
</file>

<file path=customXml/itemProps4.xml><?xml version="1.0" encoding="utf-8"?>
<ds:datastoreItem xmlns:ds="http://schemas.openxmlformats.org/officeDocument/2006/customXml" ds:itemID="{2A37E596-2CA8-4121-BBFB-0F387E855CDC}">
  <ds:schemaRefs>
    <ds:schemaRef ds:uri="http://schemas.microsoft.com/sharepoint/v3/contenttype/forms"/>
  </ds:schemaRefs>
</ds:datastoreItem>
</file>

<file path=customXml/itemProps5.xml><?xml version="1.0" encoding="utf-8"?>
<ds:datastoreItem xmlns:ds="http://schemas.openxmlformats.org/officeDocument/2006/customXml" ds:itemID="{8FB079E0-F4A9-4097-89BA-D08E78BA9D4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docProps/app.xml><?xml version="1.0" encoding="utf-8"?>
<Properties xmlns="http://schemas.openxmlformats.org/officeDocument/2006/extended-properties" xmlns:vt="http://schemas.openxmlformats.org/officeDocument/2006/docPropsVTypes">
  <Template>Normal</Template>
  <TotalTime>25</TotalTime>
  <Pages>5</Pages>
  <Words>2736</Words>
  <Characters>15598</Characters>
  <Application>Microsoft Office Word</Application>
  <DocSecurity>0</DocSecurity>
  <Lines>129</Lines>
  <Paragraphs>36</Paragraphs>
  <ScaleCrop>false</ScaleCrop>
  <HeadingPairs>
    <vt:vector size="2" baseType="variant">
      <vt:variant>
        <vt:lpstr>Title</vt:lpstr>
      </vt:variant>
      <vt:variant>
        <vt:i4>1</vt:i4>
      </vt:variant>
    </vt:vector>
  </HeadingPairs>
  <TitlesOfParts>
    <vt:vector size="1" baseType="lpstr">
      <vt:lpstr>Me objekt shfuqizimin e vendimit nr. 00-2025-1235, datë 9.4.2025 të Kolegjit Civil të Gjykatës së Lartë, si i papajtueshëm me Kushtetutën e Republikës së Shqipërisë</vt:lpstr>
    </vt:vector>
  </TitlesOfParts>
  <Company>User</Company>
  <LinksUpToDate>false</LinksUpToDate>
  <CharactersWithSpaces>18298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shfuqizimin e vendimit nr. 00-2025-1235, datë 9.4.2025 të Kolegjit Civil të Gjykatës së Lartë, si i papajtueshëm me Kushtetutën e Republikës së Shqipërisë</dc:title>
  <dc:creator>Ilir Toska</dc:creator>
  <cp:lastModifiedBy>Amarilda Muja</cp:lastModifiedBy>
  <cp:revision>25</cp:revision>
  <cp:lastPrinted>2026-03-27T08:24:00Z</cp:lastPrinted>
  <dcterms:created xsi:type="dcterms:W3CDTF">2026-04-01T08:45:00Z</dcterms:created>
  <dcterms:modified xsi:type="dcterms:W3CDTF">2026-04-01T10:29:00Z</dcterms:modified>
</cp:coreProperties>
</file>