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0EACB" w14:textId="77777777" w:rsidR="005C06DF" w:rsidRPr="005C06DF" w:rsidRDefault="005C06DF" w:rsidP="001B16A9">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VENDIM</w:t>
      </w:r>
    </w:p>
    <w:p w14:paraId="7E9C79EF" w14:textId="77777777" w:rsidR="005C06DF" w:rsidRPr="005C06DF" w:rsidRDefault="005C06DF" w:rsidP="001B16A9">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Nr. 33, datë 17.3.2026</w:t>
      </w:r>
    </w:p>
    <w:p w14:paraId="7E3571BD" w14:textId="77777777" w:rsidR="001B16A9" w:rsidRDefault="001B16A9" w:rsidP="001B16A9">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53FEC055" w14:textId="6B7051D0" w:rsidR="005C06DF" w:rsidRPr="005C06DF" w:rsidRDefault="005C06DF" w:rsidP="001B16A9">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NË EMËR TË REPUBLIKËS SË SHQIPËRISË</w:t>
      </w:r>
    </w:p>
    <w:p w14:paraId="6F25561E" w14:textId="77777777"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p>
    <w:p w14:paraId="0665A38E" w14:textId="77777777"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01"/>
      </w:tblGrid>
      <w:tr w:rsidR="001B16A9" w:rsidRPr="005C06DF" w14:paraId="13A42085" w14:textId="77777777" w:rsidTr="001B16A9">
        <w:tc>
          <w:tcPr>
            <w:tcW w:w="2263" w:type="dxa"/>
          </w:tcPr>
          <w:p w14:paraId="1E258D60"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proofErr w:type="spellStart"/>
            <w:r w:rsidRPr="005C06DF">
              <w:rPr>
                <w:rFonts w:ascii="Garamond" w:eastAsiaTheme="minorHAnsi" w:hAnsi="Garamond"/>
                <w:color w:val="000000"/>
              </w:rPr>
              <w:t>Fiona</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Papajorgji</w:t>
            </w:r>
            <w:proofErr w:type="spellEnd"/>
          </w:p>
        </w:tc>
        <w:tc>
          <w:tcPr>
            <w:tcW w:w="1701" w:type="dxa"/>
          </w:tcPr>
          <w:p w14:paraId="21AD6262" w14:textId="3033469D"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kryetare</w:t>
            </w:r>
            <w:r>
              <w:rPr>
                <w:rFonts w:ascii="Garamond" w:eastAsiaTheme="minorHAnsi" w:hAnsi="Garamond"/>
                <w:color w:val="000000"/>
              </w:rPr>
              <w:t>;</w:t>
            </w:r>
          </w:p>
        </w:tc>
      </w:tr>
      <w:tr w:rsidR="001B16A9" w:rsidRPr="005C06DF" w14:paraId="7594FCE5" w14:textId="77777777" w:rsidTr="001B16A9">
        <w:tc>
          <w:tcPr>
            <w:tcW w:w="2263" w:type="dxa"/>
          </w:tcPr>
          <w:p w14:paraId="1A805CC5"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proofErr w:type="spellStart"/>
            <w:r w:rsidRPr="005C06DF">
              <w:rPr>
                <w:rFonts w:ascii="Garamond" w:eastAsiaTheme="minorHAnsi" w:hAnsi="Garamond"/>
                <w:color w:val="000000"/>
              </w:rPr>
              <w:t>Marsida</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Xhaferllari</w:t>
            </w:r>
            <w:proofErr w:type="spellEnd"/>
          </w:p>
        </w:tc>
        <w:tc>
          <w:tcPr>
            <w:tcW w:w="1701" w:type="dxa"/>
          </w:tcPr>
          <w:p w14:paraId="4973ABDC" w14:textId="4A0E9CAB"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anëtare</w:t>
            </w:r>
            <w:r>
              <w:rPr>
                <w:rFonts w:ascii="Garamond" w:eastAsiaTheme="minorHAnsi" w:hAnsi="Garamond"/>
                <w:color w:val="000000"/>
              </w:rPr>
              <w:t>;</w:t>
            </w:r>
          </w:p>
        </w:tc>
      </w:tr>
      <w:tr w:rsidR="001B16A9" w:rsidRPr="005C06DF" w14:paraId="29320855" w14:textId="77777777" w:rsidTr="001B16A9">
        <w:tc>
          <w:tcPr>
            <w:tcW w:w="2263" w:type="dxa"/>
          </w:tcPr>
          <w:p w14:paraId="6FB6E58F"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proofErr w:type="spellStart"/>
            <w:r w:rsidRPr="005C06DF">
              <w:rPr>
                <w:rFonts w:ascii="Garamond" w:eastAsiaTheme="minorHAnsi" w:hAnsi="Garamond"/>
                <w:color w:val="000000"/>
              </w:rPr>
              <w:t>Sonila</w:t>
            </w:r>
            <w:proofErr w:type="spellEnd"/>
            <w:r w:rsidRPr="005C06DF">
              <w:rPr>
                <w:rFonts w:ascii="Garamond" w:eastAsiaTheme="minorHAnsi" w:hAnsi="Garamond"/>
                <w:color w:val="000000"/>
              </w:rPr>
              <w:t xml:space="preserve"> Bejtja</w:t>
            </w:r>
          </w:p>
        </w:tc>
        <w:tc>
          <w:tcPr>
            <w:tcW w:w="1701" w:type="dxa"/>
          </w:tcPr>
          <w:p w14:paraId="56918F44" w14:textId="34259065"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anëtare</w:t>
            </w:r>
            <w:r>
              <w:rPr>
                <w:rFonts w:ascii="Garamond" w:eastAsiaTheme="minorHAnsi" w:hAnsi="Garamond"/>
                <w:color w:val="000000"/>
              </w:rPr>
              <w:t>;</w:t>
            </w:r>
          </w:p>
        </w:tc>
      </w:tr>
      <w:tr w:rsidR="001B16A9" w:rsidRPr="005C06DF" w14:paraId="0AB9E498" w14:textId="77777777" w:rsidTr="001B16A9">
        <w:tc>
          <w:tcPr>
            <w:tcW w:w="2263" w:type="dxa"/>
          </w:tcPr>
          <w:p w14:paraId="7F767C8B"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proofErr w:type="spellStart"/>
            <w:r w:rsidRPr="005C06DF">
              <w:rPr>
                <w:rFonts w:ascii="Garamond" w:eastAsiaTheme="minorHAnsi" w:hAnsi="Garamond"/>
                <w:color w:val="000000"/>
              </w:rPr>
              <w:t>Sandër</w:t>
            </w:r>
            <w:proofErr w:type="spellEnd"/>
            <w:r w:rsidRPr="005C06DF">
              <w:rPr>
                <w:rFonts w:ascii="Garamond" w:eastAsiaTheme="minorHAnsi" w:hAnsi="Garamond"/>
                <w:color w:val="000000"/>
              </w:rPr>
              <w:t xml:space="preserve"> Beci</w:t>
            </w:r>
          </w:p>
        </w:tc>
        <w:tc>
          <w:tcPr>
            <w:tcW w:w="1701" w:type="dxa"/>
          </w:tcPr>
          <w:p w14:paraId="7F94CE43" w14:textId="2957298A"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w:t>
            </w:r>
            <w:r>
              <w:rPr>
                <w:rFonts w:ascii="Garamond" w:eastAsiaTheme="minorHAnsi" w:hAnsi="Garamond"/>
                <w:color w:val="000000"/>
              </w:rPr>
              <w:t>;</w:t>
            </w:r>
            <w:r w:rsidRPr="005C06DF">
              <w:rPr>
                <w:rFonts w:ascii="Garamond" w:eastAsiaTheme="minorHAnsi" w:hAnsi="Garamond"/>
                <w:color w:val="000000"/>
              </w:rPr>
              <w:t xml:space="preserve">   </w:t>
            </w:r>
          </w:p>
        </w:tc>
      </w:tr>
      <w:tr w:rsidR="001B16A9" w:rsidRPr="005C06DF" w14:paraId="7A2B8B27" w14:textId="77777777" w:rsidTr="001B16A9">
        <w:tc>
          <w:tcPr>
            <w:tcW w:w="2263" w:type="dxa"/>
          </w:tcPr>
          <w:p w14:paraId="18833F43"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Ilir Toska</w:t>
            </w:r>
          </w:p>
        </w:tc>
        <w:tc>
          <w:tcPr>
            <w:tcW w:w="1701" w:type="dxa"/>
          </w:tcPr>
          <w:p w14:paraId="7E1EAEF9" w14:textId="74B6E7B4"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w:t>
            </w:r>
            <w:r>
              <w:rPr>
                <w:rFonts w:ascii="Garamond" w:eastAsiaTheme="minorHAnsi" w:hAnsi="Garamond"/>
                <w:color w:val="000000"/>
              </w:rPr>
              <w:t>;</w:t>
            </w:r>
          </w:p>
        </w:tc>
      </w:tr>
      <w:tr w:rsidR="001B16A9" w:rsidRPr="005C06DF" w14:paraId="57B1FAE7" w14:textId="77777777" w:rsidTr="001B16A9">
        <w:tc>
          <w:tcPr>
            <w:tcW w:w="2263" w:type="dxa"/>
          </w:tcPr>
          <w:p w14:paraId="73864B61"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Genti Ibrahimi</w:t>
            </w:r>
          </w:p>
        </w:tc>
        <w:tc>
          <w:tcPr>
            <w:tcW w:w="1701" w:type="dxa"/>
          </w:tcPr>
          <w:p w14:paraId="0206BDF4" w14:textId="34D02DA5"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w:t>
            </w:r>
            <w:r>
              <w:rPr>
                <w:rFonts w:ascii="Garamond" w:eastAsiaTheme="minorHAnsi" w:hAnsi="Garamond"/>
                <w:color w:val="000000"/>
              </w:rPr>
              <w:t>;</w:t>
            </w:r>
          </w:p>
        </w:tc>
      </w:tr>
      <w:tr w:rsidR="001B16A9" w:rsidRPr="005C06DF" w14:paraId="47EC6ACB" w14:textId="77777777" w:rsidTr="001B16A9">
        <w:tc>
          <w:tcPr>
            <w:tcW w:w="2263" w:type="dxa"/>
          </w:tcPr>
          <w:p w14:paraId="61F351C6"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proofErr w:type="spellStart"/>
            <w:r w:rsidRPr="005C06DF">
              <w:rPr>
                <w:rFonts w:ascii="Garamond" w:eastAsiaTheme="minorHAnsi" w:hAnsi="Garamond"/>
                <w:color w:val="000000"/>
              </w:rPr>
              <w:t>Asim</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Vokshi</w:t>
            </w:r>
            <w:proofErr w:type="spellEnd"/>
          </w:p>
        </w:tc>
        <w:tc>
          <w:tcPr>
            <w:tcW w:w="1701" w:type="dxa"/>
          </w:tcPr>
          <w:p w14:paraId="4E951250" w14:textId="674CB0EF"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w:t>
            </w:r>
            <w:r>
              <w:rPr>
                <w:rFonts w:ascii="Garamond" w:eastAsiaTheme="minorHAnsi" w:hAnsi="Garamond"/>
                <w:color w:val="000000"/>
              </w:rPr>
              <w:t>;</w:t>
            </w:r>
            <w:r w:rsidRPr="005C06DF">
              <w:rPr>
                <w:rFonts w:ascii="Garamond" w:eastAsiaTheme="minorHAnsi" w:hAnsi="Garamond"/>
                <w:color w:val="000000"/>
              </w:rPr>
              <w:t xml:space="preserve"> </w:t>
            </w:r>
          </w:p>
        </w:tc>
      </w:tr>
      <w:tr w:rsidR="001B16A9" w:rsidRPr="005C06DF" w14:paraId="4F3DF2E0" w14:textId="77777777" w:rsidTr="001B16A9">
        <w:tc>
          <w:tcPr>
            <w:tcW w:w="2263" w:type="dxa"/>
          </w:tcPr>
          <w:p w14:paraId="53C9BE85" w14:textId="77777777" w:rsidR="001B16A9" w:rsidRPr="005C06DF" w:rsidRDefault="001B16A9" w:rsidP="004207C1">
            <w:pPr>
              <w:autoSpaceDE w:val="0"/>
              <w:autoSpaceDN w:val="0"/>
              <w:adjustRightInd w:val="0"/>
              <w:spacing w:line="240" w:lineRule="auto"/>
              <w:jc w:val="both"/>
              <w:rPr>
                <w:rFonts w:ascii="Garamond" w:eastAsiaTheme="minorHAnsi" w:hAnsi="Garamond"/>
                <w:color w:val="000000"/>
              </w:rPr>
            </w:pPr>
            <w:proofErr w:type="spellStart"/>
            <w:r w:rsidRPr="005C06DF">
              <w:rPr>
                <w:rFonts w:ascii="Garamond" w:eastAsiaTheme="minorHAnsi" w:hAnsi="Garamond"/>
                <w:color w:val="000000"/>
              </w:rPr>
              <w:t>Marjana</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Semini</w:t>
            </w:r>
            <w:proofErr w:type="spellEnd"/>
          </w:p>
        </w:tc>
        <w:tc>
          <w:tcPr>
            <w:tcW w:w="1701" w:type="dxa"/>
          </w:tcPr>
          <w:p w14:paraId="7D9EC6CF" w14:textId="61F45AB5" w:rsidR="001B16A9" w:rsidRPr="005C06DF" w:rsidRDefault="00010668" w:rsidP="004207C1">
            <w:pPr>
              <w:autoSpaceDE w:val="0"/>
              <w:autoSpaceDN w:val="0"/>
              <w:adjustRightInd w:val="0"/>
              <w:spacing w:line="240" w:lineRule="auto"/>
              <w:jc w:val="both"/>
              <w:rPr>
                <w:rFonts w:ascii="Garamond" w:eastAsiaTheme="minorHAnsi" w:hAnsi="Garamond"/>
                <w:color w:val="000000"/>
              </w:rPr>
            </w:pPr>
            <w:r w:rsidRPr="005C06DF">
              <w:rPr>
                <w:rFonts w:ascii="Garamond" w:eastAsiaTheme="minorHAnsi" w:hAnsi="Garamond"/>
                <w:color w:val="000000"/>
              </w:rPr>
              <w:t>anëtare</w:t>
            </w:r>
            <w:r>
              <w:rPr>
                <w:rFonts w:ascii="Garamond" w:eastAsiaTheme="minorHAnsi" w:hAnsi="Garamond"/>
                <w:color w:val="000000"/>
              </w:rPr>
              <w:t>,</w:t>
            </w:r>
          </w:p>
        </w:tc>
      </w:tr>
    </w:tbl>
    <w:p w14:paraId="7C9F925B" w14:textId="14DA66D8"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me sekretare </w:t>
      </w:r>
      <w:proofErr w:type="spellStart"/>
      <w:r w:rsidRPr="005C06DF">
        <w:rPr>
          <w:rFonts w:ascii="Garamond" w:eastAsiaTheme="minorHAnsi" w:hAnsi="Garamond"/>
          <w:color w:val="000000"/>
        </w:rPr>
        <w:t>Farisja</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Idrizaj</w:t>
      </w:r>
      <w:proofErr w:type="spellEnd"/>
      <w:r w:rsidRPr="005C06DF">
        <w:rPr>
          <w:rFonts w:ascii="Garamond" w:eastAsiaTheme="minorHAnsi" w:hAnsi="Garamond"/>
          <w:color w:val="000000"/>
        </w:rPr>
        <w:t>, në datën 17.3.2026 mori në shqyrtim në seancë plenare mbi bazë të dokumenteve çështjen nr. 8 (Gj) 2025 të Regjistrit Themeltar, që i përket:</w:t>
      </w:r>
    </w:p>
    <w:p w14:paraId="7AB11B9F" w14:textId="15658204"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bCs/>
          <w:color w:val="000000"/>
        </w:rPr>
        <w:t>KËRKUES:</w:t>
      </w:r>
      <w:r w:rsidRPr="001B16A9">
        <w:rPr>
          <w:rFonts w:ascii="Garamond" w:eastAsiaTheme="minorHAnsi" w:hAnsi="Garamond"/>
          <w:bCs/>
          <w:color w:val="000000"/>
        </w:rPr>
        <w:t xml:space="preserve"> </w:t>
      </w:r>
      <w:r w:rsidRPr="005C06DF">
        <w:rPr>
          <w:rFonts w:ascii="Garamond" w:eastAsiaTheme="minorHAnsi" w:hAnsi="Garamond"/>
          <w:bCs/>
          <w:color w:val="000000"/>
        </w:rPr>
        <w:t xml:space="preserve">GJON SHKAMBI, </w:t>
      </w:r>
      <w:r w:rsidRPr="005C06DF">
        <w:rPr>
          <w:rFonts w:ascii="Garamond" w:eastAsiaTheme="minorHAnsi" w:hAnsi="Garamond"/>
          <w:color w:val="000000"/>
        </w:rPr>
        <w:t xml:space="preserve">përfaqësuar nga avokati </w:t>
      </w:r>
      <w:proofErr w:type="spellStart"/>
      <w:r w:rsidRPr="005C06DF">
        <w:rPr>
          <w:rFonts w:ascii="Garamond" w:eastAsiaTheme="minorHAnsi" w:hAnsi="Garamond"/>
          <w:color w:val="000000"/>
        </w:rPr>
        <w:t>Gjetan</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Gjetani</w:t>
      </w:r>
      <w:proofErr w:type="spellEnd"/>
      <w:r w:rsidRPr="005C06DF">
        <w:rPr>
          <w:rFonts w:ascii="Garamond" w:eastAsiaTheme="minorHAnsi" w:hAnsi="Garamond"/>
          <w:color w:val="000000"/>
        </w:rPr>
        <w:t>, me prokurë.</w:t>
      </w:r>
    </w:p>
    <w:p w14:paraId="2AED0360" w14:textId="6279919A" w:rsidR="005C06DF" w:rsidRPr="005C06DF" w:rsidRDefault="005C06DF" w:rsidP="005C06DF">
      <w:pPr>
        <w:autoSpaceDE w:val="0"/>
        <w:autoSpaceDN w:val="0"/>
        <w:adjustRightInd w:val="0"/>
        <w:spacing w:line="240" w:lineRule="auto"/>
        <w:ind w:firstLine="284"/>
        <w:jc w:val="both"/>
        <w:rPr>
          <w:rFonts w:ascii="Garamond" w:eastAsiaTheme="minorHAnsi" w:hAnsi="Garamond"/>
          <w:bCs/>
          <w:color w:val="000000"/>
        </w:rPr>
      </w:pPr>
      <w:r w:rsidRPr="005C06DF">
        <w:rPr>
          <w:rFonts w:ascii="Garamond" w:eastAsiaTheme="minorHAnsi" w:hAnsi="Garamond"/>
          <w:bCs/>
          <w:color w:val="000000"/>
        </w:rPr>
        <w:t>OBJEKTI:</w:t>
      </w:r>
      <w:r w:rsidRPr="001B16A9">
        <w:rPr>
          <w:rFonts w:ascii="Garamond" w:eastAsiaTheme="minorHAnsi" w:hAnsi="Garamond"/>
          <w:bCs/>
          <w:color w:val="000000"/>
        </w:rPr>
        <w:t xml:space="preserve"> </w:t>
      </w:r>
      <w:r w:rsidRPr="005C06DF">
        <w:rPr>
          <w:rFonts w:ascii="Garamond" w:eastAsiaTheme="minorHAnsi" w:hAnsi="Garamond"/>
          <w:bCs/>
          <w:color w:val="000000"/>
        </w:rPr>
        <w:t>Shfuqizimi i vendimit nr. 00-2025-975, datë 18.3.2025</w:t>
      </w:r>
      <w:r w:rsidR="004207C1">
        <w:rPr>
          <w:rFonts w:ascii="Garamond" w:eastAsiaTheme="minorHAnsi" w:hAnsi="Garamond"/>
          <w:bCs/>
          <w:color w:val="000000"/>
        </w:rPr>
        <w:t>,</w:t>
      </w:r>
      <w:r w:rsidRPr="005C06DF">
        <w:rPr>
          <w:rFonts w:ascii="Garamond" w:eastAsiaTheme="minorHAnsi" w:hAnsi="Garamond"/>
          <w:bCs/>
          <w:color w:val="000000"/>
        </w:rPr>
        <w:t xml:space="preserve"> të Kolegjit Civil të Gjykatës së Lartë, si i papajtueshëm me Kushtetutën e Republikës së Shqipërisë.</w:t>
      </w:r>
    </w:p>
    <w:p w14:paraId="61A753B6" w14:textId="0DF9D648" w:rsidR="005C06DF" w:rsidRPr="005C06DF" w:rsidRDefault="005C06DF" w:rsidP="005C06DF">
      <w:pPr>
        <w:autoSpaceDE w:val="0"/>
        <w:autoSpaceDN w:val="0"/>
        <w:adjustRightInd w:val="0"/>
        <w:spacing w:line="240" w:lineRule="auto"/>
        <w:ind w:firstLine="284"/>
        <w:jc w:val="both"/>
        <w:rPr>
          <w:rFonts w:ascii="Garamond" w:eastAsiaTheme="minorHAnsi" w:hAnsi="Garamond"/>
          <w:bCs/>
          <w:color w:val="000000"/>
        </w:rPr>
      </w:pPr>
      <w:r w:rsidRPr="005C06DF">
        <w:rPr>
          <w:rFonts w:ascii="Garamond" w:eastAsiaTheme="minorHAnsi" w:hAnsi="Garamond"/>
          <w:bCs/>
          <w:color w:val="000000"/>
        </w:rPr>
        <w:t>Konstatimi i shkeljes së afatit të arsyeshëm dhe përshpejtimi i procedurave për çështjen nr. 11216-01487-00-2018 regjistri, datë 3.5.2018, në shqyrtim në Gjykatën e Lartë.</w:t>
      </w:r>
    </w:p>
    <w:p w14:paraId="138C628F" w14:textId="038B1CBD" w:rsidR="005C06DF" w:rsidRPr="005C06DF" w:rsidRDefault="005C06DF" w:rsidP="005C06DF">
      <w:pPr>
        <w:tabs>
          <w:tab w:val="left" w:pos="840"/>
          <w:tab w:val="left" w:pos="3500"/>
        </w:tabs>
        <w:autoSpaceDE w:val="0"/>
        <w:autoSpaceDN w:val="0"/>
        <w:adjustRightInd w:val="0"/>
        <w:spacing w:line="240" w:lineRule="auto"/>
        <w:ind w:firstLine="284"/>
        <w:jc w:val="both"/>
        <w:rPr>
          <w:rFonts w:ascii="Garamond" w:eastAsiaTheme="minorHAnsi" w:hAnsi="Garamond"/>
          <w:bCs/>
          <w:i/>
          <w:iCs/>
          <w:color w:val="000000"/>
        </w:rPr>
      </w:pPr>
      <w:r w:rsidRPr="005C06DF">
        <w:rPr>
          <w:rFonts w:ascii="Garamond" w:eastAsiaTheme="minorHAnsi" w:hAnsi="Garamond"/>
          <w:bCs/>
          <w:color w:val="000000"/>
        </w:rPr>
        <w:t>BAZA LIGJORE:</w:t>
      </w:r>
      <w:r w:rsidRPr="001B16A9">
        <w:rPr>
          <w:rFonts w:ascii="Garamond" w:eastAsiaTheme="minorHAnsi" w:hAnsi="Garamond"/>
          <w:bCs/>
          <w:color w:val="000000"/>
        </w:rPr>
        <w:t xml:space="preserve"> </w:t>
      </w:r>
      <w:r w:rsidRPr="005C06DF">
        <w:rPr>
          <w:rFonts w:ascii="Garamond" w:eastAsiaTheme="minorHAnsi" w:hAnsi="Garamond"/>
          <w:bCs/>
          <w:color w:val="000000"/>
        </w:rPr>
        <w:t xml:space="preserve">Nenet 41, 42, 43, 124, 131, pika 1, shkronja “f” dhe 134, pika 1, shkronja “i”, të Kushtetutës së Republikës së Shqipërisë </w:t>
      </w:r>
      <w:r w:rsidRPr="005C06DF">
        <w:rPr>
          <w:rFonts w:ascii="Garamond" w:eastAsiaTheme="minorHAnsi" w:hAnsi="Garamond"/>
          <w:bCs/>
          <w:i/>
          <w:iCs/>
          <w:color w:val="000000"/>
        </w:rPr>
        <w:t>(Kushtetuta)</w:t>
      </w:r>
      <w:r w:rsidRPr="005C06DF">
        <w:rPr>
          <w:rFonts w:ascii="Garamond" w:eastAsiaTheme="minorHAnsi" w:hAnsi="Garamond"/>
          <w:bCs/>
          <w:color w:val="000000"/>
        </w:rPr>
        <w:t xml:space="preserve">; nenet 1 dhe 6 të Konventës Evropiane për të Drejtat e Njeriut </w:t>
      </w:r>
      <w:r w:rsidRPr="005C06DF">
        <w:rPr>
          <w:rFonts w:ascii="Garamond" w:eastAsiaTheme="minorHAnsi" w:hAnsi="Garamond"/>
          <w:bCs/>
          <w:i/>
          <w:iCs/>
          <w:color w:val="000000"/>
        </w:rPr>
        <w:t>(KEDNJ)</w:t>
      </w:r>
      <w:r w:rsidRPr="005C06DF">
        <w:rPr>
          <w:rFonts w:ascii="Garamond" w:eastAsiaTheme="minorHAnsi" w:hAnsi="Garamond"/>
          <w:bCs/>
          <w:color w:val="000000"/>
        </w:rPr>
        <w:t>; ligji nr. 8577, datë 10.2.2000</w:t>
      </w:r>
      <w:r w:rsidR="004207C1">
        <w:rPr>
          <w:rFonts w:ascii="Garamond" w:eastAsiaTheme="minorHAnsi" w:hAnsi="Garamond"/>
          <w:bCs/>
          <w:color w:val="000000"/>
        </w:rPr>
        <w:t>,</w:t>
      </w:r>
      <w:r w:rsidRPr="005C06DF">
        <w:rPr>
          <w:rFonts w:ascii="Garamond" w:eastAsiaTheme="minorHAnsi" w:hAnsi="Garamond"/>
          <w:bCs/>
          <w:color w:val="000000"/>
        </w:rPr>
        <w:t xml:space="preserve"> “Për organizimin dhe funksionimin e Gjykatës Kushtetuese të Republikës së Shqipërisë”, i ndryshuar</w:t>
      </w:r>
      <w:r w:rsidRPr="005C06DF">
        <w:rPr>
          <w:rFonts w:ascii="Garamond" w:eastAsiaTheme="minorHAnsi" w:hAnsi="Garamond"/>
          <w:bCs/>
          <w:i/>
          <w:iCs/>
          <w:color w:val="000000"/>
        </w:rPr>
        <w:t xml:space="preserve">  </w:t>
      </w:r>
      <w:r w:rsidRPr="00607155">
        <w:rPr>
          <w:rFonts w:ascii="Garamond" w:eastAsiaTheme="minorHAnsi" w:hAnsi="Garamond"/>
          <w:bCs/>
          <w:i/>
          <w:iCs/>
          <w:color w:val="000000"/>
        </w:rPr>
        <w:t>(Ligji Organik i Gjykatës).</w:t>
      </w:r>
    </w:p>
    <w:p w14:paraId="0BADD641" w14:textId="77777777" w:rsidR="005C06DF" w:rsidRPr="005C06DF" w:rsidRDefault="005C06DF" w:rsidP="005C06DF">
      <w:pPr>
        <w:tabs>
          <w:tab w:val="left" w:pos="840"/>
          <w:tab w:val="left" w:pos="3500"/>
        </w:tabs>
        <w:autoSpaceDE w:val="0"/>
        <w:autoSpaceDN w:val="0"/>
        <w:adjustRightInd w:val="0"/>
        <w:spacing w:line="240" w:lineRule="auto"/>
        <w:ind w:firstLine="284"/>
        <w:jc w:val="both"/>
        <w:rPr>
          <w:rFonts w:ascii="Garamond" w:eastAsiaTheme="minorHAnsi" w:hAnsi="Garamond"/>
          <w:bCs/>
          <w:color w:val="000000"/>
        </w:rPr>
      </w:pPr>
    </w:p>
    <w:p w14:paraId="270127F9" w14:textId="77777777" w:rsidR="005C06DF" w:rsidRPr="005C06DF" w:rsidRDefault="005C06DF" w:rsidP="001B16A9">
      <w:pPr>
        <w:tabs>
          <w:tab w:val="left" w:pos="840"/>
          <w:tab w:val="left" w:pos="3500"/>
        </w:tabs>
        <w:autoSpaceDE w:val="0"/>
        <w:autoSpaceDN w:val="0"/>
        <w:adjustRightInd w:val="0"/>
        <w:spacing w:line="240" w:lineRule="auto"/>
        <w:ind w:firstLine="284"/>
        <w:jc w:val="center"/>
        <w:rPr>
          <w:rFonts w:ascii="Garamond" w:eastAsiaTheme="minorHAnsi" w:hAnsi="Garamond"/>
          <w:bCs/>
          <w:color w:val="000000"/>
        </w:rPr>
      </w:pPr>
      <w:r w:rsidRPr="005C06DF">
        <w:rPr>
          <w:rFonts w:ascii="Garamond" w:eastAsiaTheme="minorHAnsi" w:hAnsi="Garamond"/>
          <w:bCs/>
          <w:color w:val="000000"/>
        </w:rPr>
        <w:t>GJYKATA KUSHTETUESE,</w:t>
      </w:r>
    </w:p>
    <w:p w14:paraId="76C4CA88" w14:textId="77777777" w:rsidR="001B16A9" w:rsidRDefault="001B16A9" w:rsidP="005C06DF">
      <w:pPr>
        <w:tabs>
          <w:tab w:val="left" w:pos="1080"/>
        </w:tabs>
        <w:autoSpaceDE w:val="0"/>
        <w:autoSpaceDN w:val="0"/>
        <w:adjustRightInd w:val="0"/>
        <w:spacing w:line="240" w:lineRule="auto"/>
        <w:ind w:firstLine="284"/>
        <w:jc w:val="both"/>
        <w:rPr>
          <w:rFonts w:ascii="Garamond" w:eastAsiaTheme="minorHAnsi" w:hAnsi="Garamond"/>
          <w:color w:val="000000"/>
        </w:rPr>
      </w:pPr>
    </w:p>
    <w:p w14:paraId="7267434F" w14:textId="60ECC815"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pasi dëgjoi </w:t>
      </w:r>
      <w:proofErr w:type="spellStart"/>
      <w:r w:rsidRPr="005C06DF">
        <w:rPr>
          <w:rFonts w:ascii="Garamond" w:eastAsiaTheme="minorHAnsi" w:hAnsi="Garamond"/>
          <w:color w:val="000000"/>
        </w:rPr>
        <w:t>relatoren</w:t>
      </w:r>
      <w:proofErr w:type="spellEnd"/>
      <w:r w:rsidRPr="005C06DF">
        <w:rPr>
          <w:rFonts w:ascii="Garamond" w:eastAsiaTheme="minorHAnsi" w:hAnsi="Garamond"/>
          <w:color w:val="000000"/>
        </w:rPr>
        <w:t xml:space="preserve"> e çështjes </w:t>
      </w:r>
      <w:proofErr w:type="spellStart"/>
      <w:r w:rsidRPr="005C06DF">
        <w:rPr>
          <w:rFonts w:ascii="Garamond" w:eastAsiaTheme="minorHAnsi" w:hAnsi="Garamond"/>
          <w:color w:val="000000"/>
        </w:rPr>
        <w:t>Marjana</w:t>
      </w:r>
      <w:proofErr w:type="spellEnd"/>
      <w:r w:rsidRPr="005C06DF">
        <w:rPr>
          <w:rFonts w:ascii="Garamond" w:eastAsiaTheme="minorHAnsi" w:hAnsi="Garamond"/>
          <w:color w:val="000000"/>
        </w:rPr>
        <w:t xml:space="preserve"> </w:t>
      </w:r>
      <w:proofErr w:type="spellStart"/>
      <w:r w:rsidRPr="005C06DF">
        <w:rPr>
          <w:rFonts w:ascii="Garamond" w:eastAsiaTheme="minorHAnsi" w:hAnsi="Garamond"/>
          <w:color w:val="000000"/>
        </w:rPr>
        <w:t>Semini</w:t>
      </w:r>
      <w:proofErr w:type="spellEnd"/>
      <w:r w:rsidRPr="005C06DF">
        <w:rPr>
          <w:rFonts w:ascii="Garamond" w:eastAsiaTheme="minorHAnsi" w:hAnsi="Garamond"/>
          <w:color w:val="000000"/>
        </w:rPr>
        <w:t xml:space="preserve">, pretendimet e kërkuesit Gjon </w:t>
      </w:r>
      <w:proofErr w:type="spellStart"/>
      <w:r w:rsidRPr="005C06DF">
        <w:rPr>
          <w:rFonts w:ascii="Garamond" w:eastAsiaTheme="minorHAnsi" w:hAnsi="Garamond"/>
          <w:color w:val="000000"/>
        </w:rPr>
        <w:t>Shkambi</w:t>
      </w:r>
      <w:proofErr w:type="spellEnd"/>
      <w:r w:rsidRPr="005C06DF">
        <w:rPr>
          <w:rFonts w:ascii="Garamond" w:eastAsiaTheme="minorHAnsi" w:hAnsi="Garamond"/>
          <w:color w:val="000000"/>
        </w:rPr>
        <w:t xml:space="preserve"> </w:t>
      </w:r>
      <w:r w:rsidRPr="0002288A">
        <w:rPr>
          <w:rFonts w:ascii="Garamond" w:eastAsiaTheme="minorHAnsi" w:hAnsi="Garamond"/>
          <w:i/>
          <w:iCs/>
          <w:color w:val="000000"/>
        </w:rPr>
        <w:t xml:space="preserve">(kërkuesi), </w:t>
      </w:r>
      <w:r w:rsidRPr="005C06DF">
        <w:rPr>
          <w:rFonts w:ascii="Garamond" w:eastAsiaTheme="minorHAnsi" w:hAnsi="Garamond"/>
          <w:color w:val="000000"/>
        </w:rPr>
        <w:t>i cili ka kërkuar pranimin e kërkesës, si dhe diskutoi çështjen në tërësi,</w:t>
      </w:r>
    </w:p>
    <w:p w14:paraId="7E8E3551" w14:textId="77777777"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p>
    <w:p w14:paraId="30A05BF0" w14:textId="1CB9D3E6" w:rsidR="005C06DF" w:rsidRPr="005C06DF" w:rsidRDefault="005C06DF" w:rsidP="001B16A9">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5C06DF">
        <w:rPr>
          <w:rFonts w:ascii="Garamond" w:eastAsiaTheme="minorHAnsi" w:hAnsi="Garamond"/>
          <w:bCs/>
          <w:color w:val="000000"/>
        </w:rPr>
        <w:t>VËREN:</w:t>
      </w:r>
    </w:p>
    <w:p w14:paraId="1BDBBC03" w14:textId="77777777" w:rsidR="001B16A9" w:rsidRDefault="001B16A9" w:rsidP="001B16A9">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12F3D53D" w14:textId="7A4A9FA7" w:rsidR="005C06DF" w:rsidRPr="005C06DF" w:rsidRDefault="005C06DF" w:rsidP="001B16A9">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I</w:t>
      </w:r>
    </w:p>
    <w:p w14:paraId="2F4850D7" w14:textId="77777777" w:rsidR="005C06DF" w:rsidRPr="005C06DF" w:rsidRDefault="005C06DF" w:rsidP="001B16A9">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Rrethanat e çështjes</w:t>
      </w:r>
    </w:p>
    <w:p w14:paraId="29213713" w14:textId="77777777" w:rsidR="001B16A9" w:rsidRDefault="001B16A9" w:rsidP="005C06DF">
      <w:pPr>
        <w:tabs>
          <w:tab w:val="left" w:pos="800"/>
        </w:tabs>
        <w:autoSpaceDE w:val="0"/>
        <w:autoSpaceDN w:val="0"/>
        <w:adjustRightInd w:val="0"/>
        <w:spacing w:line="240" w:lineRule="auto"/>
        <w:ind w:firstLine="284"/>
        <w:jc w:val="both"/>
        <w:rPr>
          <w:rFonts w:ascii="Garamond" w:eastAsiaTheme="minorHAnsi" w:hAnsi="Garamond"/>
          <w:color w:val="000000"/>
        </w:rPr>
      </w:pPr>
    </w:p>
    <w:p w14:paraId="04520D1E" w14:textId="769ABBBD"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 Kërkuesi  është pronar i një sipërfaqeje toke të fituar me vendim të Komisionit të Kthimit dhe Kompensimit të Pronave </w:t>
      </w:r>
      <w:r w:rsidRPr="005C06DF">
        <w:rPr>
          <w:rFonts w:ascii="Garamond" w:eastAsiaTheme="minorHAnsi" w:hAnsi="Garamond"/>
          <w:i/>
          <w:iCs/>
          <w:color w:val="000000"/>
        </w:rPr>
        <w:t>(KKKP)</w:t>
      </w:r>
      <w:r w:rsidRPr="005C06DF">
        <w:rPr>
          <w:rFonts w:ascii="Garamond" w:eastAsiaTheme="minorHAnsi" w:hAnsi="Garamond"/>
          <w:color w:val="000000"/>
        </w:rPr>
        <w:t xml:space="preserve">, Shkodër. Sipas tij, kjo sipërfaqe ka qenë pjesërisht e zënë me objekte, si dhe pjesërisht e lirë dhe në lidhje me të, bazuar në parashikimet ligjore në fuqi, ka ushtruar pa pengesë të drejtën e parablerjes. </w:t>
      </w:r>
    </w:p>
    <w:p w14:paraId="5ACDF68A" w14:textId="6D7D9482"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 Në kushtet kur vendimi i KKKP-së kishte pasaktësi, kërkuesi i është drejtuar Gjykatës së Rrethit Gjyqësor Shkodër me kërkesëpadi për saktësimin e tij. Me vendimin nr. 119, datë 11.2.2002, kjo gjykatë ka vendosur pranimin e kërkesëpadisë, duke saktësuar vendimin e KKKP-së. Në vijim, me vendimin nr. 20, datë 28.6.2010 </w:t>
      </w:r>
      <w:r w:rsidRPr="005C06DF">
        <w:rPr>
          <w:rFonts w:ascii="Garamond" w:eastAsiaTheme="minorHAnsi" w:hAnsi="Garamond"/>
          <w:i/>
          <w:iCs/>
          <w:color w:val="000000"/>
        </w:rPr>
        <w:t>(vendim nr. 20/2010)</w:t>
      </w:r>
      <w:r w:rsidRPr="005C06DF">
        <w:rPr>
          <w:rFonts w:ascii="Garamond" w:eastAsiaTheme="minorHAnsi" w:hAnsi="Garamond"/>
          <w:color w:val="000000"/>
        </w:rPr>
        <w:t>, Gjykata e Apelit Shkodër ka vendosur lëshimin e urdhrit të ekzekutimit për vendimin e Gjykatës së Rrethit Gjyqësor Shkodër.</w:t>
      </w:r>
    </w:p>
    <w:p w14:paraId="2A77E047" w14:textId="3E96647D"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3. Në kushtet kur objekti në sipërfaqen e pronës së kërkuesit, konkretisht ish-Shkolla e Rezervave, Shkodër, ishte zënë nga posedues të paligjshëm, ai i është drejtuar përmbaruesit gjyqësor M.T. për ekzekutimin e vendimit gjyqësor.  Bazuar në kërkesën e kërkuesit dhe vendimin e Gjykatës së Apelit Shkodër nr. 20/2010, përmbaruesi gjyqësor M.T. u është drejtuar individëve që jetonin në pasurinë e kërkuesit për lirimin vullnetarisht të banesave dhe ekzekutimin vullnetar të titullit ekzekutiv.</w:t>
      </w:r>
    </w:p>
    <w:p w14:paraId="53E3DCF5" w14:textId="05B73372"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lastRenderedPageBreak/>
        <w:t xml:space="preserve">4. Në vijim, një grup banorësh të godinës së ish-Shkollës së Rezervave, Shkodër, i është drejtuar Gjykatës së Rrethit Gjyqësor Shkodër me kërkesë për kundërshtimin e veprimeve përmbarimore, vendimit nr. 34 </w:t>
      </w:r>
      <w:proofErr w:type="spellStart"/>
      <w:r w:rsidRPr="005C06DF">
        <w:rPr>
          <w:rFonts w:ascii="Garamond" w:eastAsiaTheme="minorHAnsi" w:hAnsi="Garamond"/>
          <w:color w:val="000000"/>
        </w:rPr>
        <w:t>prot</w:t>
      </w:r>
      <w:proofErr w:type="spellEnd"/>
      <w:r w:rsidRPr="005C06DF">
        <w:rPr>
          <w:rFonts w:ascii="Garamond" w:eastAsiaTheme="minorHAnsi" w:hAnsi="Garamond"/>
          <w:color w:val="000000"/>
        </w:rPr>
        <w:t>., datë 21.1.2013 të përmbaruesit gjyqësor. Po kështu, një pjesë e tyre kanë paraqitur edhe kërkesë për sigurimin e padisë dhe pezullimin e këtyre veprimeve përmbarimore.</w:t>
      </w:r>
    </w:p>
    <w:p w14:paraId="67A082AF" w14:textId="6A8DB232"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5. Me vendimin nr. 11, datë 7.2.2013, Gjykata e Rrethit Gjyqësor Shkodër ka vendosur sigurimin e padisë për një afat 6-mujor, duke pezulluar veprimet përmbarimore kundrejt pagesës së garancisë prej 20.000 lekësh në muaj secili kërkues për këtë afat. Ndaj këtij vendimi është ushtruar ankim nga kërkuesi dhe Gjykata e Apelit Shkodër, me vendimin nr. 52, datë 10.6.2013, ka vendosur lënien e tij në fuqi.</w:t>
      </w:r>
    </w:p>
    <w:p w14:paraId="13C2720E" w14:textId="0EC48753"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6. Po kështu, edhe disa nga të paditurit e tjerë në proces i janë drejtuar Gjykatës së Rrethit Gjyqësor Shkodër me kërkesë për sigurimin e padisë dhe pezullimin e veprimeve përmbarimore deri në përfundim të procesit gjyqësor. Me vendimin nr. 16, datë 21.2.2013, kjo gjykatë ka vendosur pranimin e kërkesës dhe sigurimin e padisë për një afat 6-mujor, duke pezulluar veprimet përmbarimore në emër të tyre kundrejt pagesës së garancisë prej 20.000 lekësh në muaj secili kërkues për këtë afat në shumën totale 360.000 lekë. Kundër këtij vendimi ka ushtruar ankim kërkuesi dhe Gjykata e Apelit Shkodër, me vendimin nr. 56, datë 20.6.2013, ka vendosur lënien në fuqi të tij.</w:t>
      </w:r>
    </w:p>
    <w:p w14:paraId="259E4DF1" w14:textId="1ACD217F"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7. Ndërkohë lidhur me themelin e çështjes, me objekt kundërshtimin e veprimeve përmbarimore, Gjykata e Rrethit Gjyqësor Shkodër, me vendimin nr. 778, datë 27.3.2013, ka vendosur rrëzimin e kërkesës dhe heqjen e masës së sigurimit të padisë për pezullimin e veprimeve përmbarimore dhënë me vendimet nr. 11, datë 7.2.2013 dhe nr. 16, datë 21.2.2013 të kësaj gjykate. Kundër këtij vendimi është ushtruar ankim nga palët ndërgjyqëse dhe Gjykata e Apelit Shkodër, me vendimin nr. 1073, datë 12.6.2014, ka vendosur lënien në fuqi të tij. Nga verifikimi në faqen elektronike të Gjykatës së Lartë rezulton se me vendimin nr. 00-2023-4208, datë 25.10.2023, kjo gjykatë ka vendosur prishjen e vendimit nr. 1073, datë 12.6.2014 të Gjykatës së Apelit Shkodër dhe dërgimin për rishqyrtim në Gjykatën e Apelit të Juridiksionit të Përgjithshëm.</w:t>
      </w:r>
    </w:p>
    <w:p w14:paraId="4520DBA2" w14:textId="4A8AB398"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8. Në datë 26.6.2014 kërkuesi i është drejtuar Gjykatës së Rrethit Gjyqësor Shkodër me padi për detyrimin e të paditurve ta dëmshpërblejnë në vlerën e qerasë 20.000 lekë secili i paditur që nga dita 7.2.2013, kur është bërë kërkesa për sigurimin e padisë, deri ditën e ekzekutimit të vendimit të gjykatës, bllokimin e shumës që i përket vendimit nr. 11, datë 7.2.2013, si dhe bllokimin e shumës 360.000 lekë që i përket vendimit nr. 16, datë 21.2.2013 të Gjykatës së Rrethit Gjyqësor Shkodër. Në përfundim të gjykimit, kjo gjykatë, me vendimin nr. 809, datë 25.5.2015, ka vendosur rrëzimin e kërkesëpadisë. </w:t>
      </w:r>
    </w:p>
    <w:p w14:paraId="1896C1D3" w14:textId="4B42A839" w:rsidR="005C06DF" w:rsidRPr="005C06DF" w:rsidRDefault="005C06DF" w:rsidP="005C06DF">
      <w:pPr>
        <w:tabs>
          <w:tab w:val="left" w:pos="8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9. Mbi ankimin e kërkuesit, Gjykata e Apelit Shkodër, me vendimin nr. 766, datë 6.11.2017, ka vendosur lënien në fuqi të vendimit të gjykatës së shkallës së parë. Kundër vendimit kërkuesi ka paraqitur rekurs në Gjykatën e Lartë, çështje e cila është regjistruar me nr. 11216-01487-00-2018, datë 3.5.2018.</w:t>
      </w:r>
    </w:p>
    <w:p w14:paraId="6A968BAC" w14:textId="10D9110A" w:rsidR="005C06DF" w:rsidRPr="005C06DF" w:rsidRDefault="005C06DF" w:rsidP="005C06DF">
      <w:pPr>
        <w:tabs>
          <w:tab w:val="left" w:pos="-80"/>
          <w:tab w:val="left" w:pos="9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10. Në pritje të shqyrtimit të çështjes së tij, në datën 10.2.2024 kërkuesi i është drejtuar Gjykatës së Lartë me kërkesë për konstatimin e shkeljes së afatit të arsyeshëm dhe përshpejtimin e gjykimit. Kolegji Civil i Gjykatës së Lartë, me vendimin nr. 00-2025-975, datë 18.3.2025, ka vendosur rrëzimin e kërkesës, duke vlerësuar se edhe pse çështja e ka kaluar afatin e shqyrtimit, siç përcaktohet në nenin 399/2, pika 1, shkronja “d”, të Kodit të Procedurës Civile </w:t>
      </w:r>
      <w:r w:rsidRPr="005C06DF">
        <w:rPr>
          <w:rFonts w:ascii="Garamond" w:eastAsiaTheme="minorHAnsi" w:hAnsi="Garamond"/>
          <w:i/>
          <w:iCs/>
          <w:color w:val="000000"/>
        </w:rPr>
        <w:t>(KPC)</w:t>
      </w:r>
      <w:r w:rsidRPr="005C06DF">
        <w:rPr>
          <w:rFonts w:ascii="Garamond" w:eastAsiaTheme="minorHAnsi" w:hAnsi="Garamond"/>
          <w:color w:val="000000"/>
        </w:rPr>
        <w:t xml:space="preserve">, vonesa e gjatë në shqyrtimin e mosmarrëveshjes konkrete objekt gjykimi është rrjedhojë e një problematike të përgjithshme që tejkalon rastin konkret. Sipas atij kolegji, mosveprimi i Gjykatës së Lartë nuk ka ndodhur për shkaqe subjektive që lidhen me vlerësime dhe qëndrime abuzive të gjyqtarit relator, i cili ka marrë të gjitha masat e nevojshme, duke përcaktuar edhe kritere transparente për marrjen sipas radhës së vjetërsisë të çështjeve që i janë caktuar në cilësinë e gjyqtarit relator. Në përfundim, Kolegji Civil ka vendosur rrëzimin e kërkesës, pasi nuk vërehet ndonjë zvarritje e qëllimshme nga gjyqtari relator. </w:t>
      </w:r>
    </w:p>
    <w:p w14:paraId="2C794563" w14:textId="4253FD18" w:rsidR="005C06DF" w:rsidRPr="005C06DF" w:rsidRDefault="005C06DF" w:rsidP="005C06DF">
      <w:pPr>
        <w:tabs>
          <w:tab w:val="left" w:pos="9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11. Në datën 25.8.2025 kërkuesi i është drejtuar Gjykatës Kushtetuese (</w:t>
      </w:r>
      <w:r w:rsidRPr="005C06DF">
        <w:rPr>
          <w:rFonts w:ascii="Garamond" w:eastAsiaTheme="minorHAnsi" w:hAnsi="Garamond"/>
          <w:i/>
          <w:iCs/>
          <w:color w:val="000000"/>
        </w:rPr>
        <w:t xml:space="preserve">Gjykata) </w:t>
      </w:r>
      <w:r w:rsidRPr="005C06DF">
        <w:rPr>
          <w:rFonts w:ascii="Garamond" w:eastAsiaTheme="minorHAnsi" w:hAnsi="Garamond"/>
          <w:color w:val="000000"/>
        </w:rPr>
        <w:t xml:space="preserve">me ankim kushtetues individual, sipas objektit të tij. Kolegji i Gjykatës, me vendimin e datës 29.10.2025, ka vendosur kalimin e çështjes për shqyrtim në seancë plenare mbi bazë të dokumenteve. </w:t>
      </w:r>
    </w:p>
    <w:p w14:paraId="4367C320" w14:textId="77777777"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7EB58C7F" w14:textId="77777777" w:rsidR="005C06DF" w:rsidRPr="005C06DF" w:rsidRDefault="005C06DF" w:rsidP="0098101D">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II</w:t>
      </w:r>
    </w:p>
    <w:p w14:paraId="15DBD73B" w14:textId="02F34BE7" w:rsidR="005C06DF" w:rsidRPr="005C06DF" w:rsidRDefault="005C06DF" w:rsidP="0098101D">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5C06DF">
        <w:rPr>
          <w:rFonts w:ascii="Garamond" w:eastAsiaTheme="minorHAnsi" w:hAnsi="Garamond"/>
          <w:b/>
          <w:bCs/>
          <w:color w:val="000000"/>
        </w:rPr>
        <w:t>Pretendimet në Gjykatën Kushtetuese</w:t>
      </w:r>
    </w:p>
    <w:p w14:paraId="236C0B1E" w14:textId="77777777" w:rsidR="0098101D" w:rsidRDefault="0098101D"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2DDCA5E9" w14:textId="4A045635"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b/>
          <w:bCs/>
          <w:color w:val="000000"/>
        </w:rPr>
        <w:t xml:space="preserve">12. </w:t>
      </w:r>
      <w:r w:rsidRPr="005C06DF">
        <w:rPr>
          <w:rFonts w:ascii="Garamond" w:eastAsiaTheme="minorHAnsi" w:hAnsi="Garamond"/>
          <w:b/>
          <w:bCs/>
          <w:i/>
          <w:iCs/>
          <w:color w:val="000000"/>
        </w:rPr>
        <w:t>Kërkuesi</w:t>
      </w:r>
      <w:r w:rsidRPr="005C06DF">
        <w:rPr>
          <w:rFonts w:ascii="Garamond" w:eastAsiaTheme="minorHAnsi" w:hAnsi="Garamond"/>
          <w:color w:val="000000"/>
        </w:rPr>
        <w:t xml:space="preserve">, në mënyrë të përmbledhur, ka pretenduar se i është cenuar </w:t>
      </w:r>
      <w:r w:rsidRPr="005C06DF">
        <w:rPr>
          <w:rFonts w:ascii="Garamond" w:eastAsiaTheme="minorHAnsi" w:hAnsi="Garamond"/>
          <w:i/>
          <w:iCs/>
          <w:color w:val="000000"/>
        </w:rPr>
        <w:t>e drejta për proces të rregullt ligjor</w:t>
      </w:r>
      <w:r w:rsidRPr="005C06DF">
        <w:rPr>
          <w:rFonts w:ascii="Garamond" w:eastAsiaTheme="minorHAnsi" w:hAnsi="Garamond"/>
          <w:color w:val="000000"/>
        </w:rPr>
        <w:t>, e parashikuar në nenin 42 të Kushtetutës, në drejtim të:</w:t>
      </w:r>
    </w:p>
    <w:p w14:paraId="04D5AD52" w14:textId="3A26EA18"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12.1.</w:t>
      </w:r>
      <w:r w:rsidRPr="005C06DF">
        <w:rPr>
          <w:rFonts w:ascii="Garamond" w:eastAsiaTheme="minorHAnsi" w:hAnsi="Garamond"/>
          <w:i/>
          <w:iCs/>
          <w:color w:val="000000"/>
        </w:rPr>
        <w:t xml:space="preserve"> Standardit të gjykimit brenda një afati të arsyeshëm, </w:t>
      </w:r>
      <w:r w:rsidRPr="005C06DF">
        <w:rPr>
          <w:rFonts w:ascii="Garamond" w:eastAsiaTheme="minorHAnsi" w:hAnsi="Garamond"/>
          <w:color w:val="000000"/>
        </w:rPr>
        <w:t xml:space="preserve">për shkak se çështja e kërkuesit edhe pse është regjistruar në Gjykatën e Lartë në datën 3.5.2018 nuk është gjykuar ende, në kundërshtim me afatin për gjykimin e çështjeve në atë gjykatë, që është dy vjet sipas nenit 399 të KPC-së. Kjo çështje, megjithëse ka shumë palë të paditura, nuk është komplekse, dhe ai nuk ka paraqitur ndonjë kërkesë për shtyrje të gjykimit, pra nuk është bërë shkak për vonesat. Çështja në pritje të gjykimit ka rëndësi të veçantë, pasi ka për objekt të drejta që rrjedhin nga prona, për të cilën janë zhvilluar një sërë procesesh që nga viti 1993 për ta marrë në posedim. </w:t>
      </w:r>
    </w:p>
    <w:p w14:paraId="1466D5D1" w14:textId="77777777"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12.2. </w:t>
      </w:r>
      <w:r w:rsidRPr="005C06DF">
        <w:rPr>
          <w:rFonts w:ascii="Garamond" w:eastAsiaTheme="minorHAnsi" w:hAnsi="Garamond"/>
          <w:i/>
          <w:iCs/>
          <w:color w:val="000000"/>
        </w:rPr>
        <w:t xml:space="preserve">Së drejtës për t’u gjykuar nga një gjykatë e caktuar me ligj dhe e paanshme, </w:t>
      </w:r>
      <w:r w:rsidRPr="005C06DF">
        <w:rPr>
          <w:rFonts w:ascii="Garamond" w:eastAsiaTheme="minorHAnsi" w:hAnsi="Garamond"/>
          <w:color w:val="000000"/>
        </w:rPr>
        <w:t>pasi Kolegji Penal i referohet në mënyrë të gabuar nenit 399/2, pika 3, të KPC-së, sipas të cilit nuk konsiderohet shkelje e afatit të arsyeshëm kur shfaqen rrethana të pamundësisë objektive në procedim.</w:t>
      </w:r>
    </w:p>
    <w:p w14:paraId="48258127" w14:textId="77777777"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b/>
          <w:bCs/>
          <w:color w:val="000000"/>
        </w:rPr>
      </w:pPr>
    </w:p>
    <w:p w14:paraId="61D880EB" w14:textId="77777777" w:rsidR="005C06DF" w:rsidRPr="005C06DF" w:rsidRDefault="005C06DF" w:rsidP="0098101D">
      <w:pPr>
        <w:tabs>
          <w:tab w:val="left" w:pos="80"/>
          <w:tab w:val="left" w:pos="980"/>
          <w:tab w:val="left" w:pos="1080"/>
        </w:tabs>
        <w:autoSpaceDE w:val="0"/>
        <w:autoSpaceDN w:val="0"/>
        <w:adjustRightInd w:val="0"/>
        <w:spacing w:line="240" w:lineRule="auto"/>
        <w:ind w:firstLine="284"/>
        <w:jc w:val="center"/>
        <w:rPr>
          <w:rFonts w:ascii="Garamond" w:eastAsiaTheme="minorHAnsi" w:hAnsi="Garamond"/>
          <w:color w:val="000000"/>
        </w:rPr>
      </w:pPr>
      <w:r w:rsidRPr="005C06DF">
        <w:rPr>
          <w:rFonts w:ascii="Garamond" w:eastAsiaTheme="minorHAnsi" w:hAnsi="Garamond"/>
          <w:b/>
          <w:bCs/>
          <w:color w:val="000000"/>
        </w:rPr>
        <w:t>III</w:t>
      </w:r>
    </w:p>
    <w:p w14:paraId="49D6A9B6" w14:textId="77777777" w:rsidR="005C06DF" w:rsidRPr="005C06DF" w:rsidRDefault="005C06DF" w:rsidP="0098101D">
      <w:pPr>
        <w:tabs>
          <w:tab w:val="left" w:pos="80"/>
          <w:tab w:val="left" w:pos="980"/>
          <w:tab w:val="left" w:pos="1080"/>
        </w:tabs>
        <w:autoSpaceDE w:val="0"/>
        <w:autoSpaceDN w:val="0"/>
        <w:adjustRightInd w:val="0"/>
        <w:spacing w:line="240" w:lineRule="auto"/>
        <w:ind w:firstLine="284"/>
        <w:jc w:val="center"/>
        <w:rPr>
          <w:rFonts w:ascii="Garamond" w:eastAsiaTheme="minorHAnsi" w:hAnsi="Garamond"/>
          <w:color w:val="000000"/>
        </w:rPr>
      </w:pPr>
      <w:r w:rsidRPr="005C06DF">
        <w:rPr>
          <w:rFonts w:ascii="Garamond" w:eastAsiaTheme="minorHAnsi" w:hAnsi="Garamond"/>
          <w:b/>
          <w:bCs/>
          <w:color w:val="000000"/>
        </w:rPr>
        <w:t>Vlerësimi i Gjykatës Kushtetuese</w:t>
      </w:r>
    </w:p>
    <w:p w14:paraId="66389E8B" w14:textId="77777777" w:rsidR="0098101D" w:rsidRDefault="0098101D" w:rsidP="0098101D">
      <w:pPr>
        <w:tabs>
          <w:tab w:val="left" w:pos="80"/>
          <w:tab w:val="left" w:pos="980"/>
          <w:tab w:val="left" w:pos="1080"/>
        </w:tabs>
        <w:autoSpaceDE w:val="0"/>
        <w:autoSpaceDN w:val="0"/>
        <w:adjustRightInd w:val="0"/>
        <w:spacing w:line="240" w:lineRule="auto"/>
        <w:ind w:firstLine="284"/>
        <w:jc w:val="center"/>
        <w:rPr>
          <w:rFonts w:ascii="Garamond" w:eastAsiaTheme="minorHAnsi" w:hAnsi="Garamond"/>
          <w:i/>
          <w:iCs/>
          <w:color w:val="000000"/>
        </w:rPr>
      </w:pPr>
    </w:p>
    <w:p w14:paraId="4B398C00" w14:textId="4AB393C4"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i/>
          <w:iCs/>
          <w:color w:val="000000"/>
        </w:rPr>
        <w:t>A. Për legjitimimin e kërkuesit</w:t>
      </w:r>
    </w:p>
    <w:p w14:paraId="79BCB084" w14:textId="2BEC5DDF"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13. Çështja e legjitimimit </w:t>
      </w:r>
      <w:r w:rsidRPr="0002288A">
        <w:rPr>
          <w:rFonts w:ascii="Garamond" w:eastAsiaTheme="minorHAnsi" w:hAnsi="Garamond"/>
          <w:i/>
          <w:iCs/>
          <w:color w:val="000000"/>
        </w:rPr>
        <w:t>(</w:t>
      </w:r>
      <w:proofErr w:type="spellStart"/>
      <w:r w:rsidRPr="0002288A">
        <w:rPr>
          <w:rFonts w:ascii="Garamond" w:eastAsiaTheme="minorHAnsi" w:hAnsi="Garamond"/>
          <w:i/>
          <w:iCs/>
          <w:color w:val="000000"/>
        </w:rPr>
        <w:t>locus</w:t>
      </w:r>
      <w:proofErr w:type="spellEnd"/>
      <w:r w:rsidRPr="0002288A">
        <w:rPr>
          <w:rFonts w:ascii="Garamond" w:eastAsiaTheme="minorHAnsi" w:hAnsi="Garamond"/>
          <w:i/>
          <w:iCs/>
          <w:color w:val="000000"/>
        </w:rPr>
        <w:t xml:space="preserve"> </w:t>
      </w:r>
      <w:proofErr w:type="spellStart"/>
      <w:r w:rsidRPr="0002288A">
        <w:rPr>
          <w:rFonts w:ascii="Garamond" w:eastAsiaTheme="minorHAnsi" w:hAnsi="Garamond"/>
          <w:i/>
          <w:iCs/>
          <w:color w:val="000000"/>
        </w:rPr>
        <w:t>standi</w:t>
      </w:r>
      <w:proofErr w:type="spellEnd"/>
      <w:r w:rsidRPr="0002288A">
        <w:rPr>
          <w:rFonts w:ascii="Garamond" w:eastAsiaTheme="minorHAnsi" w:hAnsi="Garamond"/>
          <w:i/>
          <w:iCs/>
          <w:color w:val="000000"/>
        </w:rPr>
        <w:t>)</w:t>
      </w:r>
      <w:r w:rsidRPr="005C06DF">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5C06DF">
        <w:rPr>
          <w:rFonts w:ascii="Garamond" w:eastAsiaTheme="minorHAnsi" w:hAnsi="Garamond"/>
          <w:color w:val="000000"/>
        </w:rPr>
        <w:t>kumulative</w:t>
      </w:r>
      <w:proofErr w:type="spellEnd"/>
      <w:r w:rsidRPr="005C06DF">
        <w:rPr>
          <w:rFonts w:ascii="Garamond" w:eastAsiaTheme="minorHAnsi" w:hAnsi="Garamond"/>
          <w:color w:val="000000"/>
        </w:rPr>
        <w:t xml:space="preserve"> të nenit 71/a të Ligjit Organik të Gjykatës, që lidhen me shterimin e mjeteve juridike, afatin e paraqitjes së kërkesës, pasojat negative të pësuara në mënyrë të drejtpërdrejtë e reale, si dhe mundësinë për rivendosjen e së drejtës së shkelur.  </w:t>
      </w:r>
    </w:p>
    <w:p w14:paraId="56CCB3F5" w14:textId="399452E5" w:rsidR="005C06DF" w:rsidRPr="005C06DF" w:rsidRDefault="005C06DF" w:rsidP="005C06DF">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14. Gjykata vlerëson se kërkuesi legjitimohet </w:t>
      </w:r>
      <w:proofErr w:type="spellStart"/>
      <w:r w:rsidRPr="005C06DF">
        <w:rPr>
          <w:rFonts w:ascii="Garamond" w:eastAsiaTheme="minorHAnsi" w:hAnsi="Garamond"/>
          <w:i/>
          <w:iCs/>
          <w:color w:val="000000"/>
        </w:rPr>
        <w:t>ratione</w:t>
      </w:r>
      <w:proofErr w:type="spellEnd"/>
      <w:r w:rsidRPr="005C06DF">
        <w:rPr>
          <w:rFonts w:ascii="Garamond" w:eastAsiaTheme="minorHAnsi" w:hAnsi="Garamond"/>
          <w:i/>
          <w:iCs/>
          <w:color w:val="000000"/>
        </w:rPr>
        <w:t xml:space="preserve"> </w:t>
      </w:r>
      <w:proofErr w:type="spellStart"/>
      <w:r w:rsidRPr="005C06DF">
        <w:rPr>
          <w:rFonts w:ascii="Garamond" w:eastAsiaTheme="minorHAnsi" w:hAnsi="Garamond"/>
          <w:i/>
          <w:iCs/>
          <w:color w:val="000000"/>
        </w:rPr>
        <w:t>personae</w:t>
      </w:r>
      <w:proofErr w:type="spellEnd"/>
      <w:r w:rsidRPr="005C06DF">
        <w:rPr>
          <w:rFonts w:ascii="Garamond" w:eastAsiaTheme="minorHAnsi" w:hAnsi="Garamond"/>
          <w:color w:val="000000"/>
        </w:rPr>
        <w:t xml:space="preserve">, pasi është palë ndërgjyqëse në procesin gjyqësor, në kuadër të </w:t>
      </w:r>
      <w:proofErr w:type="spellStart"/>
      <w:r w:rsidRPr="005C06DF">
        <w:rPr>
          <w:rFonts w:ascii="Garamond" w:eastAsiaTheme="minorHAnsi" w:hAnsi="Garamond"/>
          <w:color w:val="000000"/>
        </w:rPr>
        <w:t>të</w:t>
      </w:r>
      <w:proofErr w:type="spellEnd"/>
      <w:r w:rsidRPr="005C06DF">
        <w:rPr>
          <w:rFonts w:ascii="Garamond" w:eastAsiaTheme="minorHAnsi" w:hAnsi="Garamond"/>
          <w:color w:val="000000"/>
        </w:rPr>
        <w:t xml:space="preserve"> cilit ka pretenduar se i është cenuar e drejta për gjykim brenda afatit të arsyeshëm, ndaj justifikon interesin në çështjen e parashtruar.</w:t>
      </w:r>
    </w:p>
    <w:p w14:paraId="0620AF86" w14:textId="5CCB0585"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15. Për sa i përket kriterit të </w:t>
      </w:r>
      <w:r w:rsidRPr="005C06DF">
        <w:rPr>
          <w:rFonts w:ascii="Garamond" w:eastAsiaTheme="minorHAnsi" w:hAnsi="Garamond"/>
          <w:i/>
          <w:iCs/>
          <w:color w:val="000000"/>
        </w:rPr>
        <w:t>shterimit të mjeteve juridike efektive</w:t>
      </w:r>
      <w:r w:rsidRPr="005C06DF">
        <w:rPr>
          <w:rFonts w:ascii="Garamond" w:eastAsiaTheme="minorHAnsi" w:hAnsi="Garamond"/>
          <w:color w:val="000000"/>
        </w:rPr>
        <w:t>, të parashikuar nga neni 131, pika 1, shkronja “f”, i Kushtetutës dhe neni 71/a, pika 1, shkronja “a”, i Ligjit Organik të Gjykatës, kërkuesi ka paraqitur ankim kushtetues individual pasi ka përdorur mjetin juridik parandalues/përshpejtues të parashikuar nga KPC-ja. Ai i është drejtuar më parë Gjykatës së Lartë me kërkesë për konstatimin e kohëzgjatjes së paarsyeshme dhe përshpejtimin e gjykimit, në zbatim të neneve 399/5 dhe 399/6, pika 1, shkronja “c”, të KPC-së, për të cilën ajo gjykatë ka vendosur rrëzimin. Në ankimin kushtetues individual kërkuesi ankohet për kohëzgjatjen e gjykimit në Kolegjin Civil të Gjykatës së Lartë, por edhe për mungesën e efektivitetit të mjeteve të parashikuara nga KPC-ja për mbrojtjen e së drejtës për gjykim brenda një afati të arsyeshëm.</w:t>
      </w:r>
    </w:p>
    <w:p w14:paraId="2EFA6246" w14:textId="613A59E7" w:rsidR="005C06DF" w:rsidRPr="006B206A"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5C06DF">
        <w:rPr>
          <w:rFonts w:ascii="Garamond" w:eastAsiaTheme="minorHAnsi" w:hAnsi="Garamond"/>
          <w:color w:val="000000"/>
        </w:rPr>
        <w:t>16. Gjykata Evropiane për të Drejtat e Njeriut (</w:t>
      </w:r>
      <w:r w:rsidRPr="005C06DF">
        <w:rPr>
          <w:rFonts w:ascii="Garamond" w:eastAsiaTheme="minorHAnsi" w:hAnsi="Garamond"/>
          <w:i/>
          <w:iCs/>
          <w:color w:val="000000"/>
        </w:rPr>
        <w:t>GJEDNJ</w:t>
      </w:r>
      <w:r w:rsidRPr="005C06DF">
        <w:rPr>
          <w:rFonts w:ascii="Garamond" w:eastAsiaTheme="minorHAnsi" w:hAnsi="Garamond"/>
          <w:color w:val="000000"/>
        </w:rPr>
        <w:t xml:space="preserve">) ka pranuar se neni 13 i KEDNJ-së i lejon një shteti të zgjedhë midis një mjeti “parandalues ose përshpejtues”, të projektuar për të përshpejtuar procedurat, në mënyrë që të parandalojë që ato të </w:t>
      </w:r>
      <w:proofErr w:type="spellStart"/>
      <w:r w:rsidRPr="005C06DF">
        <w:rPr>
          <w:rFonts w:ascii="Garamond" w:eastAsiaTheme="minorHAnsi" w:hAnsi="Garamond"/>
          <w:color w:val="000000"/>
        </w:rPr>
        <w:t>tejzgjasin</w:t>
      </w:r>
      <w:proofErr w:type="spellEnd"/>
      <w:r w:rsidRPr="005C06DF">
        <w:rPr>
          <w:rFonts w:ascii="Garamond" w:eastAsiaTheme="minorHAnsi" w:hAnsi="Garamond"/>
          <w:color w:val="000000"/>
        </w:rPr>
        <w:t xml:space="preserve"> dhe një mjeti “riparues, </w:t>
      </w:r>
      <w:proofErr w:type="spellStart"/>
      <w:r w:rsidRPr="005C06DF">
        <w:rPr>
          <w:rFonts w:ascii="Garamond" w:eastAsiaTheme="minorHAnsi" w:hAnsi="Garamond"/>
          <w:color w:val="000000"/>
        </w:rPr>
        <w:t>kompensues</w:t>
      </w:r>
      <w:proofErr w:type="spellEnd"/>
      <w:r w:rsidRPr="005C06DF">
        <w:rPr>
          <w:rFonts w:ascii="Garamond" w:eastAsiaTheme="minorHAnsi" w:hAnsi="Garamond"/>
          <w:color w:val="000000"/>
        </w:rPr>
        <w:t xml:space="preserve"> ose monetar”, që parashikon korrigjimin </w:t>
      </w:r>
      <w:proofErr w:type="spellStart"/>
      <w:r w:rsidRPr="005C06DF">
        <w:rPr>
          <w:rFonts w:ascii="Garamond" w:eastAsiaTheme="minorHAnsi" w:hAnsi="Garamond"/>
          <w:i/>
          <w:iCs/>
          <w:color w:val="000000"/>
        </w:rPr>
        <w:t>ex</w:t>
      </w:r>
      <w:proofErr w:type="spellEnd"/>
      <w:r w:rsidRPr="005C06DF">
        <w:rPr>
          <w:rFonts w:ascii="Garamond" w:eastAsiaTheme="minorHAnsi" w:hAnsi="Garamond"/>
          <w:i/>
          <w:iCs/>
          <w:color w:val="000000"/>
        </w:rPr>
        <w:t xml:space="preserve"> post facto</w:t>
      </w:r>
      <w:r w:rsidRPr="005C06DF">
        <w:rPr>
          <w:rFonts w:ascii="Garamond" w:eastAsiaTheme="minorHAnsi" w:hAnsi="Garamond"/>
          <w:color w:val="000000"/>
        </w:rPr>
        <w:t xml:space="preserve"> për vonesat që kanë ndodhur tashmë, qoftë edhe nëse procedura është ende në shqyrtim. Ligjvënësi shqiptar ka parashikuar një zgjidhje të kombinuar përshpejtuese/parandaluese dhe </w:t>
      </w:r>
      <w:proofErr w:type="spellStart"/>
      <w:r w:rsidRPr="005C06DF">
        <w:rPr>
          <w:rFonts w:ascii="Garamond" w:eastAsiaTheme="minorHAnsi" w:hAnsi="Garamond"/>
          <w:color w:val="000000"/>
        </w:rPr>
        <w:t>kompensuese</w:t>
      </w:r>
      <w:proofErr w:type="spellEnd"/>
      <w:r w:rsidRPr="005C06DF">
        <w:rPr>
          <w:rFonts w:ascii="Garamond" w:eastAsiaTheme="minorHAnsi" w:hAnsi="Garamond"/>
          <w:color w:val="000000"/>
        </w:rPr>
        <w:t xml:space="preserve"> në nenet 399/1 e vijues</w:t>
      </w:r>
      <w:r w:rsidR="006B206A">
        <w:rPr>
          <w:rFonts w:ascii="Garamond" w:eastAsiaTheme="minorHAnsi" w:hAnsi="Garamond"/>
          <w:color w:val="000000"/>
        </w:rPr>
        <w:t>e</w:t>
      </w:r>
      <w:r w:rsidRPr="005C06DF">
        <w:rPr>
          <w:rFonts w:ascii="Garamond" w:eastAsiaTheme="minorHAnsi" w:hAnsi="Garamond"/>
          <w:color w:val="000000"/>
        </w:rPr>
        <w:t xml:space="preserve"> të KPC-së. Ky mekanizëm është vlerësuar, në parim, si efikas edhe nga GJEDNJ-ja, pasi mund të parandalojë vijimësinë e shkeljes së pretenduar të së drejtës të individit që çështja e tij të dëgjohet pa vonesa të tepërta, si dhe të garantojë korrigjimin e duhur për shkeljet që kanë ndodhur </w:t>
      </w:r>
      <w:r w:rsidRPr="006B206A">
        <w:rPr>
          <w:rFonts w:ascii="Garamond" w:eastAsiaTheme="minorHAnsi" w:hAnsi="Garamond"/>
          <w:i/>
          <w:iCs/>
          <w:color w:val="000000"/>
        </w:rPr>
        <w:t>(shih vendimet nr. 75, datë 20.11.2025; nr. 58, datë 17.9.2024; nr. 44, datë 26.9.2023</w:t>
      </w:r>
      <w:r w:rsidR="00772CCA">
        <w:rPr>
          <w:rFonts w:ascii="Garamond" w:eastAsiaTheme="minorHAnsi" w:hAnsi="Garamond"/>
          <w:i/>
          <w:iCs/>
          <w:color w:val="000000"/>
        </w:rPr>
        <w:t>,</w:t>
      </w:r>
      <w:r w:rsidRPr="006B206A">
        <w:rPr>
          <w:rFonts w:ascii="Garamond" w:eastAsiaTheme="minorHAnsi" w:hAnsi="Garamond"/>
          <w:i/>
          <w:iCs/>
          <w:color w:val="000000"/>
        </w:rPr>
        <w:t xml:space="preserve"> të Gjykatës Kushtetuese).</w:t>
      </w:r>
    </w:p>
    <w:p w14:paraId="5698F2EB" w14:textId="22A047CB"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17.  Në rastin në shqyrtim, Gjykata vëren se kërkuesi ka përdorur mjetin parandalues/përshpejtues, por kërkesa e tij është rrëzuar me vendimin e datës 18.3.2025</w:t>
      </w:r>
      <w:r w:rsidR="00772CCA">
        <w:rPr>
          <w:rFonts w:ascii="Garamond" w:eastAsiaTheme="minorHAnsi" w:hAnsi="Garamond"/>
          <w:color w:val="000000"/>
        </w:rPr>
        <w:t>,</w:t>
      </w:r>
      <w:r w:rsidRPr="005C06DF">
        <w:rPr>
          <w:rFonts w:ascii="Garamond" w:eastAsiaTheme="minorHAnsi" w:hAnsi="Garamond"/>
          <w:color w:val="000000"/>
        </w:rPr>
        <w:t xml:space="preserve"> të Kolegjit Civil të Gjykatës së Lartë, me arsyetimin se </w:t>
      </w:r>
      <w:proofErr w:type="spellStart"/>
      <w:r w:rsidRPr="005C06DF">
        <w:rPr>
          <w:rFonts w:ascii="Garamond" w:eastAsiaTheme="minorHAnsi" w:hAnsi="Garamond"/>
          <w:color w:val="000000"/>
        </w:rPr>
        <w:t>tejzgjatja</w:t>
      </w:r>
      <w:proofErr w:type="spellEnd"/>
      <w:r w:rsidRPr="005C06DF">
        <w:rPr>
          <w:rFonts w:ascii="Garamond" w:eastAsiaTheme="minorHAnsi" w:hAnsi="Garamond"/>
          <w:color w:val="000000"/>
        </w:rPr>
        <w:t xml:space="preserve"> e gjykimit të çështjes ka ndodhur për shkaqe objektive të pavarura nga </w:t>
      </w:r>
      <w:r w:rsidRPr="005C06DF">
        <w:rPr>
          <w:rFonts w:ascii="Garamond" w:eastAsiaTheme="minorHAnsi" w:hAnsi="Garamond"/>
          <w:color w:val="000000"/>
        </w:rPr>
        <w:lastRenderedPageBreak/>
        <w:t xml:space="preserve">vullneti i gjyqtarit relator. Edhe aktualisht rezulton se ende nuk ka një datë të planifikuar për shqyrtimin e saj nga Kolegji Civil i asaj gjykate. Për rrjedhojë, Gjykata çmon se mjetet juridike nuk kanë qenë efektive për përshpejtimin e procedurave dhe kërkuesi nuk ka më mjete juridike efektive në dispozicion, përveç paraqitjes së ankimit kushtetues individual. </w:t>
      </w:r>
    </w:p>
    <w:p w14:paraId="44ABF2E5" w14:textId="38C0B278"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18. Kërkuesi legjitimohet edhe </w:t>
      </w:r>
      <w:proofErr w:type="spellStart"/>
      <w:r w:rsidRPr="005C06DF">
        <w:rPr>
          <w:rFonts w:ascii="Garamond" w:eastAsiaTheme="minorHAnsi" w:hAnsi="Garamond"/>
          <w:i/>
          <w:iCs/>
          <w:color w:val="000000"/>
        </w:rPr>
        <w:t>ratione</w:t>
      </w:r>
      <w:proofErr w:type="spellEnd"/>
      <w:r w:rsidRPr="005C06DF">
        <w:rPr>
          <w:rFonts w:ascii="Garamond" w:eastAsiaTheme="minorHAnsi" w:hAnsi="Garamond"/>
          <w:i/>
          <w:iCs/>
          <w:color w:val="000000"/>
        </w:rPr>
        <w:t xml:space="preserve"> </w:t>
      </w:r>
      <w:proofErr w:type="spellStart"/>
      <w:r w:rsidRPr="005C06DF">
        <w:rPr>
          <w:rFonts w:ascii="Garamond" w:eastAsiaTheme="minorHAnsi" w:hAnsi="Garamond"/>
          <w:i/>
          <w:iCs/>
          <w:color w:val="000000"/>
        </w:rPr>
        <w:t>temporis</w:t>
      </w:r>
      <w:proofErr w:type="spellEnd"/>
      <w:r w:rsidRPr="005C06DF">
        <w:rPr>
          <w:rFonts w:ascii="Garamond" w:eastAsiaTheme="minorHAnsi" w:hAnsi="Garamond"/>
          <w:i/>
          <w:iCs/>
          <w:color w:val="000000"/>
        </w:rPr>
        <w:t>,</w:t>
      </w:r>
      <w:r w:rsidRPr="005C06DF">
        <w:rPr>
          <w:rFonts w:ascii="Garamond" w:eastAsiaTheme="minorHAnsi" w:hAnsi="Garamond"/>
          <w:color w:val="000000"/>
        </w:rPr>
        <w:t xml:space="preserve"> në kuptim të përmbajtjes së nenit 71/a, pika 1, shkronja “b”, të Ligjit Organik të Gjykatës, pasi jo vetëm që shkelja është vazhduese, por edhe vendimi i Gjykatës së Lartë objekt ankimi, referuar informacionit të marrë në rrugë elektronike nga ajo gjykatë, është bërë i </w:t>
      </w:r>
      <w:proofErr w:type="spellStart"/>
      <w:r w:rsidRPr="005C06DF">
        <w:rPr>
          <w:rFonts w:ascii="Garamond" w:eastAsiaTheme="minorHAnsi" w:hAnsi="Garamond"/>
          <w:color w:val="000000"/>
        </w:rPr>
        <w:t>disponueshëm</w:t>
      </w:r>
      <w:proofErr w:type="spellEnd"/>
      <w:r w:rsidRPr="005C06DF">
        <w:rPr>
          <w:rFonts w:ascii="Garamond" w:eastAsiaTheme="minorHAnsi" w:hAnsi="Garamond"/>
          <w:color w:val="000000"/>
        </w:rPr>
        <w:t xml:space="preserve"> për palët në datën 27.5.2025, kurse ankimi kushtetues individual është paraqitur në datën 25.8.2025, brenda afatit ligjor 4-mujor.</w:t>
      </w:r>
    </w:p>
    <w:p w14:paraId="139206A6" w14:textId="627BAF7E"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19. Në drejtim të legjitimimit </w:t>
      </w:r>
      <w:proofErr w:type="spellStart"/>
      <w:r w:rsidRPr="005C06DF">
        <w:rPr>
          <w:rFonts w:ascii="Garamond" w:eastAsiaTheme="minorHAnsi" w:hAnsi="Garamond"/>
          <w:i/>
          <w:iCs/>
          <w:color w:val="000000"/>
        </w:rPr>
        <w:t>ratione</w:t>
      </w:r>
      <w:proofErr w:type="spellEnd"/>
      <w:r w:rsidRPr="005C06DF">
        <w:rPr>
          <w:rFonts w:ascii="Garamond" w:eastAsiaTheme="minorHAnsi" w:hAnsi="Garamond"/>
          <w:i/>
          <w:iCs/>
          <w:color w:val="000000"/>
        </w:rPr>
        <w:t xml:space="preserve"> </w:t>
      </w:r>
      <w:proofErr w:type="spellStart"/>
      <w:r w:rsidRPr="005C06DF">
        <w:rPr>
          <w:rFonts w:ascii="Garamond" w:eastAsiaTheme="minorHAnsi" w:hAnsi="Garamond"/>
          <w:i/>
          <w:iCs/>
          <w:color w:val="000000"/>
        </w:rPr>
        <w:t>materiae</w:t>
      </w:r>
      <w:proofErr w:type="spellEnd"/>
      <w:r w:rsidRPr="005C06DF">
        <w:rPr>
          <w:rFonts w:ascii="Garamond" w:eastAsiaTheme="minorHAnsi" w:hAnsi="Garamond"/>
          <w:color w:val="000000"/>
        </w:rPr>
        <w:t xml:space="preserve">, kërkuesi ka ngritur pretendime për cenimin </w:t>
      </w:r>
      <w:r w:rsidRPr="005C06DF">
        <w:rPr>
          <w:rFonts w:ascii="Garamond" w:eastAsiaTheme="minorHAnsi" w:hAnsi="Garamond"/>
          <w:i/>
          <w:iCs/>
          <w:color w:val="000000"/>
        </w:rPr>
        <w:t>e së drejtës për proces të rregullt ligjor</w:t>
      </w:r>
      <w:r w:rsidRPr="005C06DF">
        <w:rPr>
          <w:rFonts w:ascii="Garamond" w:eastAsiaTheme="minorHAnsi" w:hAnsi="Garamond"/>
          <w:color w:val="000000"/>
        </w:rPr>
        <w:t xml:space="preserve">, të parashikuar nga neni 42 i Kushtetutës, në drejtim të </w:t>
      </w:r>
      <w:r w:rsidRPr="005C06DF">
        <w:rPr>
          <w:rFonts w:ascii="Garamond" w:eastAsiaTheme="minorHAnsi" w:hAnsi="Garamond"/>
          <w:i/>
          <w:iCs/>
          <w:color w:val="000000"/>
        </w:rPr>
        <w:t>kohëzgjatjes së paarsyeshme</w:t>
      </w:r>
      <w:r w:rsidRPr="005C06DF">
        <w:rPr>
          <w:rFonts w:ascii="Garamond" w:eastAsiaTheme="minorHAnsi" w:hAnsi="Garamond"/>
          <w:color w:val="000000"/>
        </w:rPr>
        <w:t xml:space="preserve"> të procesit gjyqësor në Gjykatën e Lartë, si dhe në drejtim të </w:t>
      </w:r>
      <w:r w:rsidRPr="005C06DF">
        <w:rPr>
          <w:rFonts w:ascii="Garamond" w:eastAsiaTheme="minorHAnsi" w:hAnsi="Garamond"/>
          <w:i/>
          <w:iCs/>
          <w:color w:val="000000"/>
        </w:rPr>
        <w:t>së drejtës për t’u gjykuar nga një gjykatë e caktuar me ligj</w:t>
      </w:r>
      <w:r w:rsidRPr="005C06DF">
        <w:rPr>
          <w:rFonts w:ascii="Garamond" w:eastAsiaTheme="minorHAnsi" w:hAnsi="Garamond"/>
          <w:color w:val="000000"/>
        </w:rPr>
        <w:t xml:space="preserve">. Në lidhje me këtë të fundit, Gjykata vëren se ai është në funksion të pretendimit kryesor për </w:t>
      </w:r>
      <w:proofErr w:type="spellStart"/>
      <w:r w:rsidRPr="005C06DF">
        <w:rPr>
          <w:rFonts w:ascii="Garamond" w:eastAsiaTheme="minorHAnsi" w:hAnsi="Garamond"/>
          <w:color w:val="000000"/>
        </w:rPr>
        <w:t>tejzgjatjen</w:t>
      </w:r>
      <w:proofErr w:type="spellEnd"/>
      <w:r w:rsidRPr="005C06DF">
        <w:rPr>
          <w:rFonts w:ascii="Garamond" w:eastAsiaTheme="minorHAnsi" w:hAnsi="Garamond"/>
          <w:color w:val="000000"/>
        </w:rPr>
        <w:t xml:space="preserve"> e procedurave gjyqësore, i cili, në kuptim të neneve 42 dhe 131, pika 1, shkronja “f”, të Kushtetutës, bën pjesë në juridiksionin kushtetues, ndaj do të analizohet në vijim. </w:t>
      </w:r>
    </w:p>
    <w:p w14:paraId="31368D26" w14:textId="77777777"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5C06DF">
        <w:rPr>
          <w:rFonts w:ascii="Garamond" w:eastAsiaTheme="minorHAnsi" w:hAnsi="Garamond"/>
          <w:i/>
          <w:iCs/>
          <w:color w:val="000000"/>
        </w:rPr>
        <w:t>B. Për themelin e pretendimeve</w:t>
      </w:r>
    </w:p>
    <w:p w14:paraId="14D1BDD4" w14:textId="77777777"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i/>
          <w:iCs/>
          <w:color w:val="000000"/>
        </w:rPr>
        <w:t>B.1. Për cenimin e së drejtës për gjykim brenda një afati të arsyeshëm</w:t>
      </w:r>
    </w:p>
    <w:p w14:paraId="4D6C2B62" w14:textId="6DBF3BED" w:rsidR="005C06DF" w:rsidRPr="005C06DF" w:rsidRDefault="005C06DF" w:rsidP="005C06DF">
      <w:pPr>
        <w:tabs>
          <w:tab w:val="left" w:pos="720"/>
          <w:tab w:val="left" w:pos="80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20. Kërkuesi ka pretenduar se çështja e tij edhe pse është regjistruar në Gjykatën e Lartë në datën 3.5.2018 nuk është gjykuar ende, në kundërshtim me afatin për gjykimin e çështjeve në atë gjykatë, që është dy vjet sipas nenit 399 të KPC-së. Sipas kërkuesit, kjo çështje, megjithëse ka shumë palë të paditura, nuk është komplekse, si dhe ai nuk ka paraqitur ndonjë kërkesë për shtyrje të gjykimit, pra nuk është bërë shkak për vonesat. Çështja në pritje të gjykimit ka rëndësi të veçantë, pasi ka për objekt të drejta të cilat rrjedhin nga prona, për të cilën janë zhvilluar një sërë procesesh që nga viti 1993 për ta marrë në posedim. </w:t>
      </w:r>
    </w:p>
    <w:p w14:paraId="49C91F60" w14:textId="538B8115" w:rsidR="005C06DF" w:rsidRPr="005C06DF" w:rsidRDefault="005C06DF" w:rsidP="005C06DF">
      <w:pPr>
        <w:tabs>
          <w:tab w:val="left" w:pos="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21. Neni 42, pika 2, i Kushtetutës parashikon se kushdo, për mbrojtjen e të drejtave kushtetuese dhe ligjore, ka të drejtën e një gjykimi të drejtë dhe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5C06DF">
        <w:rPr>
          <w:rFonts w:ascii="Garamond" w:eastAsiaTheme="minorHAnsi" w:hAnsi="Garamond"/>
          <w:i/>
          <w:iCs/>
          <w:color w:val="000000"/>
        </w:rPr>
        <w:t>(shih vendimet nr. 61, datë 21.10.2025; nr. 57, datë 17.9.2024; nr. 33, datë 1.11.2021</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w:t>
      </w:r>
    </w:p>
    <w:p w14:paraId="43C5785F" w14:textId="29E3D427"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22. Në rastin konkret Gjykata vëren se çështja e kërkuesit është regjistruar në Gjykatën e Lartë në datën 3.5.2018, me numër 11216-01487-00-2018, mbi bazën e rekursit të tij dhe lidhet me një mosmarrëveshje që rrjedh nga e drejta e pronës dhe ndonëse aktualisht kanë kaluar 7 vjet e 4 muaj që prej datës së regjistrimit, referuar të dhënave të faqes zyrtare të Gjykatës së Lartë në ditën e vendimmarrjes, rezulton se ende nuk ka një datë të planifikuar për shqyrtimin e saj nga Kolegji Civil i asaj gjykate. Po kështu, sipas informacionit të datës 5.3.2026, të dërguar prej Gjykatës së Lartë përmes postës elektronike, rezulton se çështja e kërkuesit</w:t>
      </w:r>
      <w:r w:rsidR="00772CCA">
        <w:rPr>
          <w:rFonts w:ascii="Garamond" w:eastAsiaTheme="minorHAnsi" w:hAnsi="Garamond"/>
          <w:color w:val="000000"/>
        </w:rPr>
        <w:t>:</w:t>
      </w:r>
      <w:r w:rsidRPr="005C06DF">
        <w:rPr>
          <w:rFonts w:ascii="Garamond" w:eastAsiaTheme="minorHAnsi" w:hAnsi="Garamond"/>
          <w:color w:val="000000"/>
        </w:rPr>
        <w:t xml:space="preserve"> “</w:t>
      </w:r>
      <w:r w:rsidRPr="005C06DF">
        <w:rPr>
          <w:rFonts w:ascii="Garamond" w:eastAsiaTheme="minorHAnsi" w:hAnsi="Garamond"/>
          <w:i/>
          <w:iCs/>
          <w:color w:val="000000"/>
        </w:rPr>
        <w:t>ndodhet ende në fazë studimi dhe aktualisht nuk ka një datë të planifikuar nga Kolegji Civil i kësaj gjykate</w:t>
      </w:r>
      <w:r w:rsidRPr="005C06DF">
        <w:rPr>
          <w:rFonts w:ascii="Garamond" w:eastAsiaTheme="minorHAnsi" w:hAnsi="Garamond"/>
          <w:color w:val="000000"/>
        </w:rPr>
        <w:t xml:space="preserve">”. Për rrjedhojë, kohëzgjatja e shqyrtimit të çështjes së kërkuesit ka tejkaluar afatin 2-vjeçar, që sipas nenit 399/2, pika 1, shkronja “b”, të KPC-së është parashikuar si afat i arsyeshëm për gjykimin civil në Gjykatën e Lartë. Gjykata vëren, gjithashtu, se kohëzgjatja tërësore e procesit gjyqësor deri në këtë fazë të tij është afërsisht 12 vjet, referuar datës së regjistrimit të padisë në gjykatën e shkallës së parë (data 28.6.2014).  </w:t>
      </w:r>
    </w:p>
    <w:p w14:paraId="09A7ADD4" w14:textId="694E773B"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23. Gjykata ka theksuar se </w:t>
      </w:r>
      <w:proofErr w:type="spellStart"/>
      <w:r w:rsidRPr="005C06DF">
        <w:rPr>
          <w:rFonts w:ascii="Garamond" w:eastAsiaTheme="minorHAnsi" w:hAnsi="Garamond"/>
          <w:color w:val="000000"/>
        </w:rPr>
        <w:t>arsyeshmëria</w:t>
      </w:r>
      <w:proofErr w:type="spellEnd"/>
      <w:r w:rsidRPr="005C06DF">
        <w:rPr>
          <w:rFonts w:ascii="Garamond" w:eastAsiaTheme="minorHAnsi" w:hAnsi="Garamond"/>
          <w:color w:val="000000"/>
        </w:rPr>
        <w:t xml:space="preserve"> e kohëzgjatjes së procedurave, në kuptim të rrethanave të veçanta të çështjes konkrete, vlerësohet nën dritën e këtyre kritereve: i</w:t>
      </w:r>
      <w:r w:rsidR="006B206A">
        <w:rPr>
          <w:rFonts w:ascii="Garamond" w:eastAsiaTheme="minorHAnsi" w:hAnsi="Garamond"/>
          <w:color w:val="000000"/>
        </w:rPr>
        <w:t>.</w:t>
      </w:r>
      <w:r w:rsidRPr="005C06DF">
        <w:rPr>
          <w:rFonts w:ascii="Garamond" w:eastAsiaTheme="minorHAnsi" w:hAnsi="Garamond"/>
          <w:color w:val="000000"/>
        </w:rPr>
        <w:t xml:space="preserve"> sjellja e kërkuesit; </w:t>
      </w:r>
      <w:proofErr w:type="spellStart"/>
      <w:r w:rsidRPr="005C06DF">
        <w:rPr>
          <w:rFonts w:ascii="Garamond" w:eastAsiaTheme="minorHAnsi" w:hAnsi="Garamond"/>
          <w:color w:val="000000"/>
        </w:rPr>
        <w:t>ii</w:t>
      </w:r>
      <w:proofErr w:type="spellEnd"/>
      <w:r w:rsidR="006B206A">
        <w:rPr>
          <w:rFonts w:ascii="Garamond" w:eastAsiaTheme="minorHAnsi" w:hAnsi="Garamond"/>
          <w:color w:val="000000"/>
        </w:rPr>
        <w:t>.</w:t>
      </w:r>
      <w:r w:rsidRPr="005C06DF">
        <w:rPr>
          <w:rFonts w:ascii="Garamond" w:eastAsiaTheme="minorHAnsi" w:hAnsi="Garamond"/>
          <w:color w:val="000000"/>
        </w:rPr>
        <w:t xml:space="preserve"> </w:t>
      </w:r>
      <w:proofErr w:type="spellStart"/>
      <w:r w:rsidRPr="005C06DF">
        <w:rPr>
          <w:rFonts w:ascii="Garamond" w:eastAsiaTheme="minorHAnsi" w:hAnsi="Garamond"/>
          <w:color w:val="000000"/>
        </w:rPr>
        <w:t>kompleksiteti</w:t>
      </w:r>
      <w:proofErr w:type="spellEnd"/>
      <w:r w:rsidRPr="005C06DF">
        <w:rPr>
          <w:rFonts w:ascii="Garamond" w:eastAsiaTheme="minorHAnsi" w:hAnsi="Garamond"/>
          <w:color w:val="000000"/>
        </w:rPr>
        <w:t xml:space="preserve"> i çështjes; </w:t>
      </w:r>
      <w:proofErr w:type="spellStart"/>
      <w:r w:rsidRPr="005C06DF">
        <w:rPr>
          <w:rFonts w:ascii="Garamond" w:eastAsiaTheme="minorHAnsi" w:hAnsi="Garamond"/>
          <w:color w:val="000000"/>
        </w:rPr>
        <w:t>iii</w:t>
      </w:r>
      <w:proofErr w:type="spellEnd"/>
      <w:r w:rsidR="006B206A">
        <w:rPr>
          <w:rFonts w:ascii="Garamond" w:eastAsiaTheme="minorHAnsi" w:hAnsi="Garamond"/>
          <w:color w:val="000000"/>
        </w:rPr>
        <w:t>.</w:t>
      </w:r>
      <w:r w:rsidRPr="005C06DF">
        <w:rPr>
          <w:rFonts w:ascii="Garamond" w:eastAsiaTheme="minorHAnsi" w:hAnsi="Garamond"/>
          <w:color w:val="000000"/>
        </w:rPr>
        <w:t xml:space="preserve"> sjellja e autoriteteve; </w:t>
      </w:r>
      <w:proofErr w:type="spellStart"/>
      <w:r w:rsidRPr="005C06DF">
        <w:rPr>
          <w:rFonts w:ascii="Garamond" w:eastAsiaTheme="minorHAnsi" w:hAnsi="Garamond"/>
          <w:color w:val="000000"/>
        </w:rPr>
        <w:t>iv</w:t>
      </w:r>
      <w:proofErr w:type="spellEnd"/>
      <w:r w:rsidR="006B206A">
        <w:rPr>
          <w:rFonts w:ascii="Garamond" w:eastAsiaTheme="minorHAnsi" w:hAnsi="Garamond"/>
          <w:color w:val="000000"/>
        </w:rPr>
        <w:t>.</w:t>
      </w:r>
      <w:r w:rsidRPr="005C06DF">
        <w:rPr>
          <w:rFonts w:ascii="Garamond" w:eastAsiaTheme="minorHAnsi" w:hAnsi="Garamond"/>
          <w:color w:val="000000"/>
        </w:rPr>
        <w:t xml:space="preserve"> rëndësia e asaj çfarë rrezikon kërkuesi </w:t>
      </w:r>
      <w:r w:rsidRPr="005C06DF">
        <w:rPr>
          <w:rFonts w:ascii="Garamond" w:eastAsiaTheme="minorHAnsi" w:hAnsi="Garamond"/>
          <w:i/>
          <w:iCs/>
          <w:color w:val="000000"/>
        </w:rPr>
        <w:t>(shih vendimet nr. 46, datë 3.10.2023; nr. 6, datë 16.2.2023; nr. 13, datë 26.5.2022</w:t>
      </w:r>
      <w:r w:rsidR="006B206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w:t>
      </w:r>
      <w:r w:rsidRPr="005C06DF">
        <w:rPr>
          <w:rFonts w:ascii="Garamond" w:eastAsiaTheme="minorHAnsi" w:hAnsi="Garamond"/>
          <w:b/>
          <w:bCs/>
          <w:color w:val="000000"/>
        </w:rPr>
        <w:t xml:space="preserve"> </w:t>
      </w:r>
    </w:p>
    <w:p w14:paraId="00C46547" w14:textId="214C5A07"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24. Në lidhje me këto kritere, në përfundim të diskutimeve, vlerësimet e gjyqtarëve u ndanë në dy qëndrime dhe Gjykata nuk arriti numrin e kërkuar të votave për vendimmarrje, sipas parashikimeve të nenit 133, pika 2, të Kushtetutës dhe nenit 72, pika 2, të Ligjit Organik të saj.</w:t>
      </w:r>
    </w:p>
    <w:p w14:paraId="096DFE4F" w14:textId="27409C0D" w:rsidR="005C06DF" w:rsidRPr="005C06DF" w:rsidRDefault="005C06DF" w:rsidP="005C06DF">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lastRenderedPageBreak/>
        <w:t xml:space="preserve">25. Sipas </w:t>
      </w:r>
      <w:r w:rsidRPr="005C06DF">
        <w:rPr>
          <w:rFonts w:ascii="Garamond" w:eastAsiaTheme="minorHAnsi" w:hAnsi="Garamond"/>
          <w:i/>
          <w:iCs/>
          <w:color w:val="000000"/>
        </w:rPr>
        <w:t>njërit qëndrim,</w:t>
      </w:r>
      <w:r w:rsidRPr="005C06DF">
        <w:rPr>
          <w:rFonts w:ascii="Garamond" w:eastAsiaTheme="minorHAnsi" w:hAnsi="Garamond"/>
          <w:color w:val="000000"/>
        </w:rPr>
        <w:t xml:space="preserve"> për sa u përket kritereve që kanë të bëjnë me sjelljen e kërkuesit, </w:t>
      </w:r>
      <w:proofErr w:type="spellStart"/>
      <w:r w:rsidRPr="005C06DF">
        <w:rPr>
          <w:rFonts w:ascii="Garamond" w:eastAsiaTheme="minorHAnsi" w:hAnsi="Garamond"/>
          <w:color w:val="000000"/>
        </w:rPr>
        <w:t>kompleksitetin</w:t>
      </w:r>
      <w:proofErr w:type="spellEnd"/>
      <w:r w:rsidRPr="005C06DF">
        <w:rPr>
          <w:rFonts w:ascii="Garamond" w:eastAsiaTheme="minorHAnsi" w:hAnsi="Garamond"/>
          <w:color w:val="000000"/>
        </w:rPr>
        <w:t xml:space="preserve"> e çështjes dhe sjelljen e autoriteteve, bazuar në qëndrimin e konsoliduar të Gjykatës për vlerësimin e tyre </w:t>
      </w:r>
      <w:r w:rsidRPr="005C06DF">
        <w:rPr>
          <w:rFonts w:ascii="Garamond" w:eastAsiaTheme="minorHAnsi" w:hAnsi="Garamond"/>
          <w:i/>
          <w:iCs/>
          <w:color w:val="000000"/>
        </w:rPr>
        <w:t>(shih vendimet nr. 29, datë 10.3.2026; nr. 61, datë 21.10.2025; nr. 57, datë 17.9.2024</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 xml:space="preserve">, konstatohet se ato nuk kanë përbërë shkak për </w:t>
      </w:r>
      <w:proofErr w:type="spellStart"/>
      <w:r w:rsidRPr="005C06DF">
        <w:rPr>
          <w:rFonts w:ascii="Garamond" w:eastAsiaTheme="minorHAnsi" w:hAnsi="Garamond"/>
          <w:color w:val="000000"/>
        </w:rPr>
        <w:t>tejzgjatjen</w:t>
      </w:r>
      <w:proofErr w:type="spellEnd"/>
      <w:r w:rsidRPr="005C06DF">
        <w:rPr>
          <w:rFonts w:ascii="Garamond" w:eastAsiaTheme="minorHAnsi" w:hAnsi="Garamond"/>
          <w:color w:val="000000"/>
        </w:rPr>
        <w:t xml:space="preserve"> e afatit të gjykimit të çështjes. Për më tepër, një fakt i tillë është vërejtur edhe nga Gjykata e Lartë në vendimin objekt kundërshtimi, e cila ka pranuar se vonesa nuk ka ardhur si pasojë e kërkesave të palëve ose </w:t>
      </w:r>
      <w:proofErr w:type="spellStart"/>
      <w:r w:rsidRPr="005C06DF">
        <w:rPr>
          <w:rFonts w:ascii="Garamond" w:eastAsiaTheme="minorHAnsi" w:hAnsi="Garamond"/>
          <w:color w:val="000000"/>
        </w:rPr>
        <w:t>kompleksitetit</w:t>
      </w:r>
      <w:proofErr w:type="spellEnd"/>
      <w:r w:rsidRPr="005C06DF">
        <w:rPr>
          <w:rFonts w:ascii="Garamond" w:eastAsiaTheme="minorHAnsi" w:hAnsi="Garamond"/>
          <w:color w:val="000000"/>
        </w:rPr>
        <w:t xml:space="preserve"> të natyrës së çështjes. Për rrjedhojë, për të vlerësuar pretendimin e kërkuesit, në rastin konkret duhet ndalur vetëm në analizën e kriterit të </w:t>
      </w:r>
      <w:r w:rsidRPr="005C06DF">
        <w:rPr>
          <w:rFonts w:ascii="Garamond" w:eastAsiaTheme="minorHAnsi" w:hAnsi="Garamond"/>
          <w:i/>
          <w:iCs/>
          <w:color w:val="000000"/>
        </w:rPr>
        <w:t xml:space="preserve">asaj se çfarë rrezikon ai </w:t>
      </w:r>
      <w:r w:rsidRPr="005C06DF">
        <w:rPr>
          <w:rFonts w:ascii="Garamond" w:eastAsiaTheme="minorHAnsi" w:hAnsi="Garamond"/>
          <w:color w:val="000000"/>
        </w:rPr>
        <w:t>për shkak të vonesave në gjykimin e çështjes së tij në raport me kohëzgjatjen e shqyrtimit të çështjes</w:t>
      </w:r>
      <w:r w:rsidR="0098101D">
        <w:rPr>
          <w:rStyle w:val="FootnoteReference"/>
          <w:rFonts w:ascii="Garamond" w:eastAsiaTheme="minorHAnsi" w:hAnsi="Garamond"/>
          <w:color w:val="000000"/>
        </w:rPr>
        <w:footnoteReference w:id="2"/>
      </w:r>
      <w:r w:rsidRPr="005C06DF">
        <w:rPr>
          <w:rFonts w:ascii="Garamond" w:eastAsiaTheme="minorHAnsi" w:hAnsi="Garamond"/>
          <w:i/>
          <w:iCs/>
          <w:color w:val="000000"/>
        </w:rPr>
        <w:t>.</w:t>
      </w:r>
    </w:p>
    <w:p w14:paraId="5BC1C1F0" w14:textId="02FF4A11" w:rsidR="005C06DF" w:rsidRPr="005C06DF" w:rsidRDefault="005C06DF" w:rsidP="005C06DF">
      <w:pPr>
        <w:autoSpaceDE w:val="0"/>
        <w:autoSpaceDN w:val="0"/>
        <w:adjustRightInd w:val="0"/>
        <w:spacing w:line="240" w:lineRule="auto"/>
        <w:ind w:firstLine="284"/>
        <w:jc w:val="both"/>
        <w:rPr>
          <w:rFonts w:ascii="Garamond" w:eastAsiaTheme="minorHAnsi" w:hAnsi="Garamond"/>
          <w:i/>
          <w:iCs/>
          <w:color w:val="000000"/>
        </w:rPr>
      </w:pPr>
      <w:r w:rsidRPr="005C06DF">
        <w:rPr>
          <w:rFonts w:ascii="Garamond" w:eastAsiaTheme="minorHAnsi" w:hAnsi="Garamond"/>
          <w:color w:val="000000"/>
        </w:rPr>
        <w:t>26. Konkretisht, çështja gjyqësore e kërkuesit ka të bëjë me detyrimin e palëve të paditura, në cilësinë e poseduesve të një objekti në pronësi të kërkuesit, për ta dëmshpërblyer atë me vlerën e qirasë dhe ndonëse kanë kaluar 12 vjet në pritje të zgjidhjes së saj, ende gjykatat nuk kanë disponuar një vendimmarrje përfundimtare. Kjo çështje, për nga natyra e saj, edhe pse nuk lidhet drejtpërdrejt me interesa “</w:t>
      </w:r>
      <w:r w:rsidRPr="005C06DF">
        <w:rPr>
          <w:rFonts w:ascii="Garamond" w:eastAsiaTheme="minorHAnsi" w:hAnsi="Garamond"/>
          <w:i/>
          <w:iCs/>
          <w:color w:val="000000"/>
        </w:rPr>
        <w:t>jetësorë</w:t>
      </w:r>
      <w:r w:rsidRPr="005C06DF">
        <w:rPr>
          <w:rFonts w:ascii="Garamond" w:eastAsiaTheme="minorHAnsi" w:hAnsi="Garamond"/>
          <w:color w:val="000000"/>
        </w:rPr>
        <w:t xml:space="preserve">”, që kërkojnë trajtim me përparësi, lidhet me të drejtën e pronës, konkretisht me vlerën e përdorimit të saj si një nga tagrat e pronësisë. Në rastin kur çështja gjyqësore ka në objektin e saj të drejtën e pronës private, Gjykata ka pohuar se përfshihet në listën e çështjeve me interes të rëndësishëm, pasi prona private përbën jo vetëm të drejtë themelore, por edhe një nga shtyllat kryesore ku mbështetet sistemi ekonomik dhe zhvillimi i vendit </w:t>
      </w:r>
      <w:r w:rsidRPr="005C06DF">
        <w:rPr>
          <w:rFonts w:ascii="Garamond" w:eastAsiaTheme="minorHAnsi" w:hAnsi="Garamond"/>
          <w:i/>
          <w:iCs/>
          <w:color w:val="000000"/>
        </w:rPr>
        <w:t>(shih vendimet nr. 2, datë 21.1.2025; nr.</w:t>
      </w:r>
      <w:r w:rsidR="00772CCA">
        <w:rPr>
          <w:rFonts w:ascii="Garamond" w:eastAsiaTheme="minorHAnsi" w:hAnsi="Garamond"/>
          <w:i/>
          <w:iCs/>
          <w:color w:val="000000"/>
        </w:rPr>
        <w:t xml:space="preserve"> </w:t>
      </w:r>
      <w:r w:rsidRPr="005C06DF">
        <w:rPr>
          <w:rFonts w:ascii="Garamond" w:eastAsiaTheme="minorHAnsi" w:hAnsi="Garamond"/>
          <w:i/>
          <w:iCs/>
          <w:color w:val="000000"/>
        </w:rPr>
        <w:t>1, datë 6.2.2013</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 xml:space="preserve">. Sipas Gjykatës, rëndësia e së drejtës kushtetuese të pronës private, nga e cila rrjedh edhe e drejta për ta gëzuar e disponuar atë, ka rëndësi në drejtim të asaj që rrezikon paditësi për shkak të </w:t>
      </w:r>
      <w:proofErr w:type="spellStart"/>
      <w:r w:rsidRPr="005C06DF">
        <w:rPr>
          <w:rFonts w:ascii="Garamond" w:eastAsiaTheme="minorHAnsi" w:hAnsi="Garamond"/>
          <w:color w:val="000000"/>
        </w:rPr>
        <w:t>tejzgjatjes</w:t>
      </w:r>
      <w:proofErr w:type="spellEnd"/>
      <w:r w:rsidRPr="005C06DF">
        <w:rPr>
          <w:rFonts w:ascii="Garamond" w:eastAsiaTheme="minorHAnsi" w:hAnsi="Garamond"/>
          <w:color w:val="000000"/>
        </w:rPr>
        <w:t xml:space="preserve"> së procedurave gjyqësore </w:t>
      </w:r>
      <w:r w:rsidRPr="005C06DF">
        <w:rPr>
          <w:rFonts w:ascii="Garamond" w:eastAsiaTheme="minorHAnsi" w:hAnsi="Garamond"/>
          <w:i/>
          <w:iCs/>
          <w:color w:val="000000"/>
        </w:rPr>
        <w:t>(shih vendimin nr. 46, datë 3.10.2023</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 xml:space="preserve"> Duke mbajtur në konsideratë këto standarde, Gjykata në jurisprudencën e saj, ka konstatuar shkelje të afatit të arsyeshëm në çështje të cilat kanë në objekt mosmarrëveshje që lidhen me të drejtën e pronës </w:t>
      </w:r>
      <w:r w:rsidRPr="005C06DF">
        <w:rPr>
          <w:rFonts w:ascii="Garamond" w:eastAsiaTheme="minorHAnsi" w:hAnsi="Garamond"/>
          <w:i/>
          <w:iCs/>
          <w:color w:val="000000"/>
        </w:rPr>
        <w:t>(shih vendimet nr. 30, datë 10.3.2026; nr. 75, datë 20.11.2025; nr. 46, datë 3.10.2023</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w:t>
      </w:r>
    </w:p>
    <w:p w14:paraId="333A0418" w14:textId="0B96A95C"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27. Për sa më lart, në referim të jurisprudencës kushtetuese dhe të GJEDNJ-së, si dhe të rëndësisë që ka ushtrimi i së drejtës së pronës në përmbushjen e interesave jetësorë të individit, konstatohet se kohëzgjatja tërësore prej 12 vjetësh e procesit gjyqësor të nisur nga kërkuesi përbën një periudhë relativisht të gjatë që nuk përmbush kriterin e “afatit të arsyeshëm”. Kjo periudhë e mosveprimit në rastin konkret, e justifikuar vetëm me arsye të natyrës së përgjithshme, si reforma në sistemin e drejtësisë dhe ngarkesa e gjyqtarëve, nuk përbën argument kushtetues për të përligjur një vonesë të tillë. Po kështu, kjo kohëzgjatje, </w:t>
      </w:r>
      <w:proofErr w:type="spellStart"/>
      <w:r w:rsidRPr="005C06DF">
        <w:rPr>
          <w:rFonts w:ascii="Garamond" w:eastAsiaTheme="minorHAnsi" w:hAnsi="Garamond"/>
          <w:i/>
          <w:iCs/>
          <w:color w:val="000000"/>
        </w:rPr>
        <w:t>per</w:t>
      </w:r>
      <w:proofErr w:type="spellEnd"/>
      <w:r w:rsidRPr="005C06DF">
        <w:rPr>
          <w:rFonts w:ascii="Garamond" w:eastAsiaTheme="minorHAnsi" w:hAnsi="Garamond"/>
          <w:i/>
          <w:iCs/>
          <w:color w:val="000000"/>
        </w:rPr>
        <w:t xml:space="preserve"> se</w:t>
      </w:r>
      <w:r w:rsidRPr="005C06DF">
        <w:rPr>
          <w:rFonts w:ascii="Garamond" w:eastAsiaTheme="minorHAnsi" w:hAnsi="Garamond"/>
          <w:color w:val="000000"/>
        </w:rPr>
        <w:t xml:space="preserve">, është tregues i mjaftueshëm se procesi gjyqësor në rastin konkret nuk ka respektuar garancitë kushtetuese dhe ligjore për një gjykim brenda një afati të arsyeshëm dhe efektiv. Në këto kushte, rezulton se gjykatat e zakonshme kanë dështuar të sigurojnë dhënien e drejtësisë pa vonesa, ndërkohë që mosmarrëveshja në fjalë ka mbetur në pritje për një periudhë të </w:t>
      </w:r>
      <w:proofErr w:type="spellStart"/>
      <w:r w:rsidRPr="005C06DF">
        <w:rPr>
          <w:rFonts w:ascii="Garamond" w:eastAsiaTheme="minorHAnsi" w:hAnsi="Garamond"/>
          <w:color w:val="000000"/>
        </w:rPr>
        <w:t>tejzgjatur</w:t>
      </w:r>
      <w:proofErr w:type="spellEnd"/>
      <w:r w:rsidRPr="005C06DF">
        <w:rPr>
          <w:rFonts w:ascii="Garamond" w:eastAsiaTheme="minorHAnsi" w:hAnsi="Garamond"/>
          <w:color w:val="000000"/>
        </w:rPr>
        <w:t xml:space="preserve">. Si rrjedhojë, nisur nga rrethanat e rastit në shqyrtim, kohëzgjatja prej 12 vjetësh përbënte shkak të mjaftueshëm që Gjykata e Lartë të konstatonte cenimin e së drejtës për gjykim brenda një afati të arsyeshëm, prandaj pretendimi i kërkuesit në këtë drejtim është i bazuar. </w:t>
      </w:r>
    </w:p>
    <w:p w14:paraId="53BBDE17" w14:textId="2DDA944C"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28. Sipas </w:t>
      </w:r>
      <w:r w:rsidRPr="005C06DF">
        <w:rPr>
          <w:rFonts w:ascii="Garamond" w:eastAsiaTheme="minorHAnsi" w:hAnsi="Garamond"/>
          <w:i/>
          <w:iCs/>
          <w:color w:val="000000"/>
        </w:rPr>
        <w:t>qëndrimit tjetër,</w:t>
      </w:r>
      <w:r w:rsidRPr="005C06DF">
        <w:rPr>
          <w:rFonts w:ascii="Garamond" w:eastAsiaTheme="minorHAnsi" w:hAnsi="Garamond"/>
          <w:color w:val="000000"/>
        </w:rPr>
        <w:t xml:space="preserve"> shkak </w:t>
      </w:r>
      <w:proofErr w:type="spellStart"/>
      <w:r w:rsidRPr="005C06DF">
        <w:rPr>
          <w:rFonts w:ascii="Garamond" w:eastAsiaTheme="minorHAnsi" w:hAnsi="Garamond"/>
          <w:color w:val="000000"/>
        </w:rPr>
        <w:t>determinant</w:t>
      </w:r>
      <w:proofErr w:type="spellEnd"/>
      <w:r w:rsidRPr="005C06DF">
        <w:rPr>
          <w:rFonts w:ascii="Garamond" w:eastAsiaTheme="minorHAnsi" w:hAnsi="Garamond"/>
          <w:color w:val="000000"/>
        </w:rPr>
        <w:t xml:space="preserve"> për kohëzgjatjen e gjykimit janë bërë </w:t>
      </w:r>
      <w:proofErr w:type="spellStart"/>
      <w:r w:rsidRPr="005C06DF">
        <w:rPr>
          <w:rFonts w:ascii="Garamond" w:eastAsiaTheme="minorHAnsi" w:hAnsi="Garamond"/>
          <w:color w:val="000000"/>
        </w:rPr>
        <w:t>kompleksiteti</w:t>
      </w:r>
      <w:proofErr w:type="spellEnd"/>
      <w:r w:rsidRPr="005C06DF">
        <w:rPr>
          <w:rFonts w:ascii="Garamond" w:eastAsiaTheme="minorHAnsi" w:hAnsi="Garamond"/>
          <w:color w:val="000000"/>
        </w:rPr>
        <w:t xml:space="preserve"> i çështjes dhe sjellja e kërkuesit.</w:t>
      </w:r>
      <w:r w:rsidR="0098101D">
        <w:rPr>
          <w:rStyle w:val="FootnoteReference"/>
          <w:rFonts w:ascii="Garamond" w:eastAsiaTheme="minorHAnsi" w:hAnsi="Garamond"/>
          <w:color w:val="000000"/>
        </w:rPr>
        <w:footnoteReference w:id="3"/>
      </w:r>
      <w:r w:rsidRPr="005C06DF">
        <w:rPr>
          <w:rFonts w:ascii="Garamond" w:eastAsiaTheme="minorHAnsi" w:hAnsi="Garamond"/>
          <w:color w:val="000000"/>
        </w:rPr>
        <w:t xml:space="preserve"> </w:t>
      </w:r>
    </w:p>
    <w:p w14:paraId="6943FC3C" w14:textId="347F3297"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29. Për sa i takon </w:t>
      </w:r>
      <w:proofErr w:type="spellStart"/>
      <w:r w:rsidRPr="005C06DF">
        <w:rPr>
          <w:rFonts w:ascii="Garamond" w:eastAsiaTheme="minorHAnsi" w:hAnsi="Garamond"/>
          <w:color w:val="000000"/>
        </w:rPr>
        <w:t>kompleksitetit</w:t>
      </w:r>
      <w:proofErr w:type="spellEnd"/>
      <w:r w:rsidRPr="005C06DF">
        <w:rPr>
          <w:rFonts w:ascii="Garamond" w:eastAsiaTheme="minorHAnsi" w:hAnsi="Garamond"/>
          <w:color w:val="000000"/>
        </w:rPr>
        <w:t xml:space="preserve"> të çështjes, ashtu siç është pohuar në jurisprudencën kushtetuese, marrin rëndësi të gjitha aspektet e saj, përfshirë objektin, faktet e kundërshtuara, volumin dhe natyrën e provave, llojin dhe ndërthurjen e ligjeve të zbatueshme, si dhe numrin e palëve pjesëmarrëse në proces </w:t>
      </w:r>
      <w:r w:rsidRPr="005C06DF">
        <w:rPr>
          <w:rFonts w:ascii="Garamond" w:eastAsiaTheme="minorHAnsi" w:hAnsi="Garamond"/>
          <w:i/>
          <w:iCs/>
          <w:color w:val="000000"/>
        </w:rPr>
        <w:t>(shih vendimet nr. 6, datë 16.2.2023; nr. 13, datë 26.5.2022; nr. 35, datë 1.11.2021</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 xml:space="preserve"> Çështja e kërkuesit ka natyrë civile, dhe lidhet me të drejtën e pronësisë. Konkretisht, kërkuesi ka fituar të drejtën e pronësisë sipas ligjit për kthimin dhe kompensimin e pronave për një ndërtesë në qytetin e Shkodrës, në të cilën banonin shumë familje. Këto të fundit kishin të drejtën e banimit me anë të vendimit të Këshillit Bashkiak të vitit 1992, për shkak të statusit “të pastrehë”. </w:t>
      </w:r>
      <w:r w:rsidRPr="005C06DF">
        <w:rPr>
          <w:rFonts w:ascii="Garamond" w:eastAsiaTheme="minorHAnsi" w:hAnsi="Garamond"/>
          <w:color w:val="000000"/>
        </w:rPr>
        <w:lastRenderedPageBreak/>
        <w:t xml:space="preserve">Kërkuesi i është drejtuar gjykatave të zakonshme për të urdhëruar ekzekutimin e detyrueshëm të titullit të tij të pronësisë, por gjatë procedurave përmbarimore ka pasur disa konflikte gjyqësore për kundërshtimin e tyre me rezultate të ndryshme gjyqësore. Ndër të tjera, kërkuesi ka paditur 22 prej banorëve, duke kërkuar të drejtën e shpërblimit në vlerën 20.000 (njëzet mijë) lekë në muaj nga data 7.2.2013, si dhe bllokimin e shumave monetare si garanci nga banorët për të cilat ishte disponuar me dy vendime të tjera gjyqësore të datave 7.2.2013 dhe 21.2.2013. Nga këto të dhëna është e qartë që çështja paraqitet komplekse, në drejtim të palëve, ligjit të zbatueshëm, numrit të konsiderueshëm të çështjeve gjyqësore të hapura dhe provave. </w:t>
      </w:r>
    </w:p>
    <w:p w14:paraId="70306881" w14:textId="4213EB51"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30. </w:t>
      </w:r>
      <w:r w:rsidRPr="005C06DF">
        <w:rPr>
          <w:rFonts w:ascii="Garamond" w:eastAsiaTheme="minorHAnsi" w:hAnsi="Garamond"/>
          <w:i/>
          <w:iCs/>
          <w:color w:val="000000"/>
        </w:rPr>
        <w:t>Për sjelljen e kërkuesit</w:t>
      </w:r>
      <w:r w:rsidRPr="005C06DF">
        <w:rPr>
          <w:rFonts w:ascii="Garamond" w:eastAsiaTheme="minorHAnsi" w:hAnsi="Garamond"/>
          <w:color w:val="000000"/>
        </w:rPr>
        <w:t>,</w:t>
      </w:r>
      <w:r w:rsidRPr="005C06DF">
        <w:rPr>
          <w:rFonts w:ascii="Garamond" w:eastAsiaTheme="minorHAnsi" w:hAnsi="Garamond"/>
          <w:i/>
          <w:iCs/>
          <w:color w:val="000000"/>
        </w:rPr>
        <w:t xml:space="preserve"> </w:t>
      </w:r>
      <w:r w:rsidRPr="005C06DF">
        <w:rPr>
          <w:rFonts w:ascii="Garamond" w:eastAsiaTheme="minorHAnsi" w:hAnsi="Garamond"/>
          <w:color w:val="000000"/>
        </w:rPr>
        <w:t xml:space="preserve">Gjykata ka pohuar në jurisprudencën e saj se vlerësimi i sjelljes është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5C06DF">
        <w:rPr>
          <w:rFonts w:ascii="Garamond" w:eastAsiaTheme="minorHAnsi" w:hAnsi="Garamond"/>
          <w:i/>
          <w:iCs/>
          <w:color w:val="000000"/>
        </w:rPr>
        <w:t>(shih vendimet nr. 6, datë 16.2.2023; nr. 37, datë 5.11.2021; nr. 35, datë 1.11.2021</w:t>
      </w:r>
      <w:r w:rsidR="00772CCA">
        <w:rPr>
          <w:rFonts w:ascii="Garamond" w:eastAsiaTheme="minorHAnsi" w:hAnsi="Garamond"/>
          <w:i/>
          <w:iCs/>
          <w:color w:val="000000"/>
        </w:rPr>
        <w:t>,</w:t>
      </w:r>
      <w:r w:rsidRPr="005C06DF">
        <w:rPr>
          <w:rFonts w:ascii="Garamond" w:eastAsiaTheme="minorHAnsi" w:hAnsi="Garamond"/>
          <w:i/>
          <w:iCs/>
          <w:color w:val="000000"/>
        </w:rPr>
        <w:t xml:space="preserve"> të Gjykatës Kushtetuese)</w:t>
      </w:r>
      <w:r w:rsidRPr="005C06DF">
        <w:rPr>
          <w:rFonts w:ascii="Garamond" w:eastAsiaTheme="minorHAnsi" w:hAnsi="Garamond"/>
          <w:color w:val="000000"/>
        </w:rPr>
        <w:t xml:space="preserve">. Mbi bazën e këtij standardi vlerësohet se sjellja e kërkuesit ka qenë shkak për zvarritjen e gjykimit në disa drejtime, që përfshijnë një strategji mbrojtjeje të tillë që ka ndikuar në ecurinë e procesit. Hapja e një numri të konsiderueshëm procesesh gjyqësore për ekzekutimin e vendimeve është një faktor që duhet konsideruar, veçanërisht në kontekstin ku gjatë gjykimit të një prej këtyre çështjeve ka ndodhur edhe vrasja e një gjyqtari në sallën e gjyqit. Po ashtu, rezulton se me anë të proceseve gjyqësore është tentuar të </w:t>
      </w:r>
      <w:proofErr w:type="spellStart"/>
      <w:r w:rsidRPr="005C06DF">
        <w:rPr>
          <w:rFonts w:ascii="Garamond" w:eastAsiaTheme="minorHAnsi" w:hAnsi="Garamond"/>
          <w:color w:val="000000"/>
        </w:rPr>
        <w:t>risillen</w:t>
      </w:r>
      <w:proofErr w:type="spellEnd"/>
      <w:r w:rsidRPr="005C06DF">
        <w:rPr>
          <w:rFonts w:ascii="Garamond" w:eastAsiaTheme="minorHAnsi" w:hAnsi="Garamond"/>
          <w:color w:val="000000"/>
        </w:rPr>
        <w:t xml:space="preserve"> në fuqi efekte të zgjidhura më parë nga gjykatat. Kështu, Gjykata e Rrethit Gjyqësor Shkodër, me vendimin e datës 27.3.2013, kishte vendosur heqjen e masës së sigurimit të padisë për pezullimin e veprimeve përmbarimore të dhënë me vendimet e datave 7.2.2013 dhe 21.2.2013 të kësaj gjykate, pra duke hequr detyrimin e banorëve për pagimin e garancisë. Pavarësisht kësaj, kërkuesi i është drejtuar sërish gjykatës me çështjen konkrete, duke kërkuar të </w:t>
      </w:r>
      <w:proofErr w:type="spellStart"/>
      <w:r w:rsidRPr="005C06DF">
        <w:rPr>
          <w:rFonts w:ascii="Garamond" w:eastAsiaTheme="minorHAnsi" w:hAnsi="Garamond"/>
          <w:color w:val="000000"/>
        </w:rPr>
        <w:t>risillte</w:t>
      </w:r>
      <w:proofErr w:type="spellEnd"/>
      <w:r w:rsidRPr="005C06DF">
        <w:rPr>
          <w:rFonts w:ascii="Garamond" w:eastAsiaTheme="minorHAnsi" w:hAnsi="Garamond"/>
          <w:color w:val="000000"/>
        </w:rPr>
        <w:t xml:space="preserve"> në fuqi vendimet për detyrimin e garancisë. </w:t>
      </w:r>
    </w:p>
    <w:p w14:paraId="0C260D7C" w14:textId="3C9DF4F1"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31. Për sa më lart, duke vlerësuar dy faktorët e mësipërm, të cilët janë bërë shkak </w:t>
      </w:r>
      <w:proofErr w:type="spellStart"/>
      <w:r w:rsidRPr="005C06DF">
        <w:rPr>
          <w:rFonts w:ascii="Garamond" w:eastAsiaTheme="minorHAnsi" w:hAnsi="Garamond"/>
          <w:color w:val="000000"/>
        </w:rPr>
        <w:t>determinant</w:t>
      </w:r>
      <w:proofErr w:type="spellEnd"/>
      <w:r w:rsidRPr="005C06DF">
        <w:rPr>
          <w:rFonts w:ascii="Garamond" w:eastAsiaTheme="minorHAnsi" w:hAnsi="Garamond"/>
          <w:color w:val="000000"/>
        </w:rPr>
        <w:t xml:space="preserve"> për ecurinë e procesit, analiza e kritereve të tjera bëhet e panevojshme, ndaj kërkesa për cenimin e së drejtës për gjykim brenda afatit të arsyeshëm është e pabazuar.</w:t>
      </w:r>
    </w:p>
    <w:p w14:paraId="2AE001D3" w14:textId="28464925" w:rsidR="005C06DF" w:rsidRPr="005C06DF" w:rsidRDefault="005C06DF" w:rsidP="005C06DF">
      <w:pPr>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32.</w:t>
      </w:r>
      <w:r w:rsidR="000B105B">
        <w:rPr>
          <w:rFonts w:ascii="Garamond" w:eastAsiaTheme="minorHAnsi" w:hAnsi="Garamond"/>
          <w:color w:val="000000"/>
        </w:rPr>
        <w:t xml:space="preserve"> </w:t>
      </w:r>
      <w:bookmarkStart w:id="0" w:name="_GoBack"/>
      <w:bookmarkEnd w:id="0"/>
      <w:r w:rsidRPr="005C06DF">
        <w:rPr>
          <w:rFonts w:ascii="Garamond" w:eastAsiaTheme="minorHAnsi" w:hAnsi="Garamond"/>
          <w:color w:val="000000"/>
        </w:rPr>
        <w:t xml:space="preserve">Në përfundim, Gjykata çmon se në kushtet kur nuk u formua shumica prej 5 gjyqtarësh, në kuptim të nenit 73, pika 4, të Ligjit Organik të Gjykatës, kërkesa e kërkuesit konsiderohet e rrëzuar.  </w:t>
      </w:r>
    </w:p>
    <w:p w14:paraId="6EB2C2D5" w14:textId="77777777" w:rsidR="005C06DF" w:rsidRPr="005C06DF" w:rsidRDefault="005C06DF" w:rsidP="005C06DF">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p>
    <w:p w14:paraId="5AE954A5" w14:textId="77777777" w:rsidR="005C06DF" w:rsidRPr="005C06DF" w:rsidRDefault="005C06DF" w:rsidP="00582D0F">
      <w:pPr>
        <w:tabs>
          <w:tab w:val="left" w:pos="1080"/>
        </w:tabs>
        <w:autoSpaceDE w:val="0"/>
        <w:autoSpaceDN w:val="0"/>
        <w:adjustRightInd w:val="0"/>
        <w:spacing w:line="240" w:lineRule="auto"/>
        <w:ind w:firstLine="284"/>
        <w:jc w:val="center"/>
        <w:rPr>
          <w:rFonts w:ascii="Garamond" w:eastAsiaTheme="minorHAnsi" w:hAnsi="Garamond"/>
          <w:color w:val="000000"/>
        </w:rPr>
      </w:pPr>
      <w:r w:rsidRPr="005C06DF">
        <w:rPr>
          <w:rFonts w:ascii="Garamond" w:eastAsiaTheme="minorHAnsi" w:hAnsi="Garamond"/>
          <w:bCs/>
          <w:color w:val="000000"/>
        </w:rPr>
        <w:t>PËR KËTO ARSYE,</w:t>
      </w:r>
    </w:p>
    <w:p w14:paraId="4D354723" w14:textId="77777777" w:rsidR="00582D0F" w:rsidRDefault="00582D0F" w:rsidP="005C06DF">
      <w:pPr>
        <w:tabs>
          <w:tab w:val="left" w:pos="1080"/>
        </w:tabs>
        <w:autoSpaceDE w:val="0"/>
        <w:autoSpaceDN w:val="0"/>
        <w:adjustRightInd w:val="0"/>
        <w:spacing w:line="240" w:lineRule="auto"/>
        <w:ind w:firstLine="284"/>
        <w:jc w:val="both"/>
        <w:rPr>
          <w:rFonts w:ascii="Garamond" w:eastAsiaTheme="minorHAnsi" w:hAnsi="Garamond"/>
          <w:color w:val="000000"/>
        </w:rPr>
      </w:pPr>
    </w:p>
    <w:p w14:paraId="4461341A" w14:textId="1963B79D"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5C06DF">
        <w:rPr>
          <w:rFonts w:ascii="Garamond" w:eastAsiaTheme="minorHAnsi" w:hAnsi="Garamond"/>
          <w:color w:val="000000"/>
        </w:rPr>
        <w:t xml:space="preserve"> Gjykata Kushtetuese, në mbështetje të neneve 131, pika 1, shkronja “f”, 133, pika 2, shkronja “i” dhe 134, pika 1, shkronja “i”, të Kushtetutës, si dhe neneve 71, 72 dhe 73, pika 4, të ligjit nr. 8577, datë 10.2.2000</w:t>
      </w:r>
      <w:r w:rsidR="00010668">
        <w:rPr>
          <w:rFonts w:ascii="Garamond" w:eastAsiaTheme="minorHAnsi" w:hAnsi="Garamond"/>
          <w:color w:val="000000"/>
        </w:rPr>
        <w:t>,</w:t>
      </w:r>
      <w:r w:rsidRPr="005C06DF">
        <w:rPr>
          <w:rFonts w:ascii="Garamond" w:eastAsiaTheme="minorHAnsi" w:hAnsi="Garamond"/>
          <w:color w:val="000000"/>
        </w:rPr>
        <w:t xml:space="preserve"> “Për organizimin dhe funksionimin e Gjykatës Kushtetuese të Republikës së Shqipërisë”, të ndryshuar, </w:t>
      </w:r>
    </w:p>
    <w:p w14:paraId="6018B471" w14:textId="77777777"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2ECF3B94" w14:textId="0A93CB4B" w:rsidR="005C06DF" w:rsidRPr="005C06DF" w:rsidRDefault="005C06DF" w:rsidP="00582D0F">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5C06DF">
        <w:rPr>
          <w:rFonts w:ascii="Garamond" w:eastAsiaTheme="minorHAnsi" w:hAnsi="Garamond"/>
          <w:bCs/>
          <w:color w:val="000000"/>
        </w:rPr>
        <w:t>VENDOSI:</w:t>
      </w:r>
    </w:p>
    <w:p w14:paraId="0F61BACB" w14:textId="77777777" w:rsidR="00582D0F" w:rsidRDefault="00582D0F" w:rsidP="005C06DF">
      <w:pPr>
        <w:tabs>
          <w:tab w:val="left" w:pos="900"/>
        </w:tabs>
        <w:autoSpaceDE w:val="0"/>
        <w:autoSpaceDN w:val="0"/>
        <w:adjustRightInd w:val="0"/>
        <w:spacing w:line="240" w:lineRule="auto"/>
        <w:ind w:firstLine="284"/>
        <w:jc w:val="both"/>
        <w:rPr>
          <w:rFonts w:ascii="Garamond" w:eastAsiaTheme="minorHAnsi" w:hAnsi="Garamond"/>
          <w:b/>
          <w:bCs/>
          <w:color w:val="000000"/>
        </w:rPr>
      </w:pPr>
    </w:p>
    <w:p w14:paraId="5F2D5F27" w14:textId="0FF6EFFF" w:rsidR="005C06DF" w:rsidRPr="005C06DF" w:rsidRDefault="005C06DF" w:rsidP="005C06DF">
      <w:pPr>
        <w:tabs>
          <w:tab w:val="left" w:pos="9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b/>
          <w:bCs/>
          <w:color w:val="000000"/>
        </w:rPr>
        <w:t xml:space="preserve"> </w:t>
      </w:r>
      <w:r w:rsidRPr="005C06DF">
        <w:rPr>
          <w:rFonts w:ascii="Garamond" w:eastAsiaTheme="minorHAnsi" w:hAnsi="Garamond"/>
          <w:color w:val="000000"/>
        </w:rPr>
        <w:t>1. Rrëzimin e kërkesës.</w:t>
      </w:r>
    </w:p>
    <w:p w14:paraId="6AA83275" w14:textId="0A4BF580" w:rsidR="005C06DF" w:rsidRPr="005C06DF" w:rsidRDefault="005C06DF" w:rsidP="005C06DF">
      <w:pPr>
        <w:tabs>
          <w:tab w:val="left" w:pos="900"/>
        </w:tabs>
        <w:autoSpaceDE w:val="0"/>
        <w:autoSpaceDN w:val="0"/>
        <w:adjustRightInd w:val="0"/>
        <w:spacing w:line="240" w:lineRule="auto"/>
        <w:ind w:firstLine="284"/>
        <w:jc w:val="both"/>
        <w:rPr>
          <w:rFonts w:ascii="Garamond" w:eastAsiaTheme="minorHAnsi" w:hAnsi="Garamond"/>
          <w:color w:val="000000"/>
        </w:rPr>
      </w:pPr>
      <w:r w:rsidRPr="005C06DF">
        <w:rPr>
          <w:rFonts w:ascii="Garamond" w:eastAsiaTheme="minorHAnsi" w:hAnsi="Garamond"/>
          <w:color w:val="000000"/>
        </w:rPr>
        <w:t xml:space="preserve"> Ky vendim është përfundimtar dhe hyn në fuqi ditën e botimit në Fletoren Zyrtare.</w:t>
      </w:r>
    </w:p>
    <w:p w14:paraId="77A092DF" w14:textId="77777777" w:rsidR="006C74B6" w:rsidRDefault="006C74B6"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51A4A3CB" w14:textId="07698F06"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5C06DF">
        <w:rPr>
          <w:rFonts w:ascii="Garamond" w:eastAsiaTheme="minorHAnsi" w:hAnsi="Garamond"/>
          <w:b/>
          <w:bCs/>
          <w:color w:val="000000"/>
        </w:rPr>
        <w:t>Marrë më 17.3.2026</w:t>
      </w:r>
      <w:r w:rsidR="00010668">
        <w:rPr>
          <w:rFonts w:ascii="Garamond" w:eastAsiaTheme="minorHAnsi" w:hAnsi="Garamond"/>
          <w:b/>
          <w:bCs/>
          <w:color w:val="000000"/>
        </w:rPr>
        <w:t>.</w:t>
      </w:r>
    </w:p>
    <w:p w14:paraId="342C952A" w14:textId="0C054923" w:rsidR="005C06DF" w:rsidRP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5C06DF">
        <w:rPr>
          <w:rFonts w:ascii="Garamond" w:eastAsiaTheme="minorHAnsi" w:hAnsi="Garamond"/>
          <w:b/>
          <w:bCs/>
          <w:color w:val="000000"/>
        </w:rPr>
        <w:t>Shpallur më 8.5.2026</w:t>
      </w:r>
      <w:r w:rsidR="00010668">
        <w:rPr>
          <w:rFonts w:ascii="Garamond" w:eastAsiaTheme="minorHAnsi" w:hAnsi="Garamond"/>
          <w:b/>
          <w:bCs/>
          <w:color w:val="000000"/>
        </w:rPr>
        <w:t>.</w:t>
      </w:r>
    </w:p>
    <w:p w14:paraId="2D632DBF" w14:textId="62EAB32B" w:rsidR="005C06DF" w:rsidRDefault="005C06DF" w:rsidP="005C06DF">
      <w:pPr>
        <w:tabs>
          <w:tab w:val="left" w:pos="1080"/>
        </w:tabs>
        <w:autoSpaceDE w:val="0"/>
        <w:autoSpaceDN w:val="0"/>
        <w:adjustRightInd w:val="0"/>
        <w:spacing w:line="240" w:lineRule="auto"/>
        <w:ind w:firstLine="284"/>
        <w:jc w:val="both"/>
        <w:rPr>
          <w:rFonts w:ascii="Garamond" w:eastAsiaTheme="minorHAnsi" w:hAnsi="Garamond"/>
          <w:color w:val="000000"/>
        </w:rPr>
      </w:pPr>
    </w:p>
    <w:p w14:paraId="60E857EE" w14:textId="4F326345" w:rsidR="00582D0F" w:rsidRDefault="00582D0F" w:rsidP="005C06DF">
      <w:pPr>
        <w:tabs>
          <w:tab w:val="left" w:pos="1080"/>
        </w:tabs>
        <w:autoSpaceDE w:val="0"/>
        <w:autoSpaceDN w:val="0"/>
        <w:adjustRightInd w:val="0"/>
        <w:spacing w:line="240" w:lineRule="auto"/>
        <w:ind w:firstLine="284"/>
        <w:jc w:val="both"/>
        <w:rPr>
          <w:rFonts w:ascii="Garamond" w:eastAsiaTheme="minorHAnsi" w:hAnsi="Garamond"/>
          <w:color w:val="000000"/>
        </w:rPr>
      </w:pPr>
      <w:r w:rsidRPr="00582D0F">
        <w:rPr>
          <w:rFonts w:ascii="Garamond" w:eastAsiaTheme="minorHAnsi" w:hAnsi="Garamond"/>
          <w:b/>
          <w:color w:val="000000"/>
        </w:rPr>
        <w:t>Kryetare:</w:t>
      </w:r>
      <w:r w:rsidRPr="00582D0F">
        <w:rPr>
          <w:rFonts w:ascii="Garamond" w:eastAsiaTheme="minorHAnsi" w:hAnsi="Garamond"/>
          <w:bCs/>
          <w:color w:val="000000"/>
        </w:rPr>
        <w:t xml:space="preserve"> </w:t>
      </w:r>
      <w:proofErr w:type="spellStart"/>
      <w:r w:rsidRPr="005C06DF">
        <w:rPr>
          <w:rFonts w:ascii="Garamond" w:eastAsiaTheme="minorHAnsi" w:hAnsi="Garamond"/>
          <w:bCs/>
          <w:color w:val="000000"/>
        </w:rPr>
        <w:t>Fiona</w:t>
      </w:r>
      <w:proofErr w:type="spellEnd"/>
      <w:r w:rsidRPr="005C06DF">
        <w:rPr>
          <w:rFonts w:ascii="Garamond" w:eastAsiaTheme="minorHAnsi" w:hAnsi="Garamond"/>
          <w:bCs/>
          <w:color w:val="000000"/>
        </w:rPr>
        <w:t xml:space="preserve"> </w:t>
      </w:r>
      <w:proofErr w:type="spellStart"/>
      <w:r w:rsidRPr="005C06DF">
        <w:rPr>
          <w:rFonts w:ascii="Garamond" w:eastAsiaTheme="minorHAnsi" w:hAnsi="Garamond"/>
          <w:bCs/>
          <w:color w:val="000000"/>
        </w:rPr>
        <w:t>Papajorgji</w:t>
      </w:r>
      <w:proofErr w:type="spellEnd"/>
    </w:p>
    <w:p w14:paraId="25BC5638" w14:textId="38048147" w:rsidR="00582D0F" w:rsidRDefault="00582D0F" w:rsidP="005C06DF">
      <w:pPr>
        <w:tabs>
          <w:tab w:val="left" w:pos="1080"/>
        </w:tabs>
        <w:autoSpaceDE w:val="0"/>
        <w:autoSpaceDN w:val="0"/>
        <w:adjustRightInd w:val="0"/>
        <w:spacing w:line="240" w:lineRule="auto"/>
        <w:ind w:firstLine="284"/>
        <w:jc w:val="both"/>
        <w:rPr>
          <w:rFonts w:ascii="Garamond" w:eastAsiaTheme="minorHAnsi" w:hAnsi="Garamond"/>
          <w:bCs/>
          <w:color w:val="000000"/>
        </w:rPr>
      </w:pPr>
      <w:r w:rsidRPr="00582D0F">
        <w:rPr>
          <w:rFonts w:ascii="Garamond" w:eastAsiaTheme="minorHAnsi" w:hAnsi="Garamond"/>
          <w:b/>
          <w:color w:val="000000"/>
        </w:rPr>
        <w:t xml:space="preserve">Anëtarë: </w:t>
      </w:r>
      <w:proofErr w:type="spellStart"/>
      <w:r w:rsidRPr="005C06DF">
        <w:rPr>
          <w:rFonts w:ascii="Garamond" w:eastAsiaTheme="minorHAnsi" w:hAnsi="Garamond"/>
          <w:bCs/>
          <w:color w:val="000000"/>
        </w:rPr>
        <w:t>Sonila</w:t>
      </w:r>
      <w:proofErr w:type="spellEnd"/>
      <w:r w:rsidRPr="005C06DF">
        <w:rPr>
          <w:rFonts w:ascii="Garamond" w:eastAsiaTheme="minorHAnsi" w:hAnsi="Garamond"/>
          <w:bCs/>
          <w:color w:val="000000"/>
        </w:rPr>
        <w:t xml:space="preserve"> Bejtja</w:t>
      </w:r>
      <w:r>
        <w:rPr>
          <w:rFonts w:ascii="Garamond" w:eastAsiaTheme="minorHAnsi" w:hAnsi="Garamond"/>
          <w:bCs/>
          <w:color w:val="000000"/>
        </w:rPr>
        <w:t>,</w:t>
      </w:r>
      <w:r w:rsidRPr="00582D0F">
        <w:rPr>
          <w:rFonts w:ascii="Garamond" w:eastAsiaTheme="minorHAnsi" w:hAnsi="Garamond"/>
          <w:bCs/>
          <w:color w:val="000000"/>
        </w:rPr>
        <w:t xml:space="preserve"> </w:t>
      </w:r>
      <w:proofErr w:type="spellStart"/>
      <w:r w:rsidRPr="005C06DF">
        <w:rPr>
          <w:rFonts w:ascii="Garamond" w:eastAsiaTheme="minorHAnsi" w:hAnsi="Garamond"/>
          <w:bCs/>
          <w:color w:val="000000"/>
        </w:rPr>
        <w:t>Marsida</w:t>
      </w:r>
      <w:proofErr w:type="spellEnd"/>
      <w:r w:rsidRPr="005C06DF">
        <w:rPr>
          <w:rFonts w:ascii="Garamond" w:eastAsiaTheme="minorHAnsi" w:hAnsi="Garamond"/>
          <w:bCs/>
          <w:color w:val="000000"/>
        </w:rPr>
        <w:t xml:space="preserve"> </w:t>
      </w:r>
      <w:proofErr w:type="spellStart"/>
      <w:r w:rsidRPr="005C06DF">
        <w:rPr>
          <w:rFonts w:ascii="Garamond" w:eastAsiaTheme="minorHAnsi" w:hAnsi="Garamond"/>
          <w:bCs/>
          <w:color w:val="000000"/>
        </w:rPr>
        <w:t>Xhaferllari</w:t>
      </w:r>
      <w:proofErr w:type="spellEnd"/>
      <w:r>
        <w:rPr>
          <w:rFonts w:ascii="Garamond" w:eastAsiaTheme="minorHAnsi" w:hAnsi="Garamond"/>
          <w:bCs/>
          <w:color w:val="000000"/>
        </w:rPr>
        <w:t>,</w:t>
      </w:r>
      <w:r w:rsidRPr="00582D0F">
        <w:rPr>
          <w:rFonts w:ascii="Garamond" w:eastAsiaTheme="minorHAnsi" w:hAnsi="Garamond"/>
          <w:bCs/>
          <w:color w:val="000000"/>
        </w:rPr>
        <w:t xml:space="preserve"> </w:t>
      </w:r>
      <w:r w:rsidRPr="005C06DF">
        <w:rPr>
          <w:rFonts w:ascii="Garamond" w:eastAsiaTheme="minorHAnsi" w:hAnsi="Garamond"/>
          <w:bCs/>
          <w:color w:val="000000"/>
        </w:rPr>
        <w:t>Genti Ibrahimi</w:t>
      </w:r>
      <w:r>
        <w:rPr>
          <w:rFonts w:ascii="Garamond" w:eastAsiaTheme="minorHAnsi" w:hAnsi="Garamond"/>
          <w:bCs/>
          <w:color w:val="000000"/>
        </w:rPr>
        <w:t>,</w:t>
      </w:r>
      <w:r w:rsidRPr="00582D0F">
        <w:rPr>
          <w:rFonts w:ascii="Garamond" w:eastAsiaTheme="minorHAnsi" w:hAnsi="Garamond"/>
          <w:bCs/>
          <w:color w:val="000000"/>
        </w:rPr>
        <w:t xml:space="preserve"> </w:t>
      </w:r>
      <w:r w:rsidRPr="005C06DF">
        <w:rPr>
          <w:rFonts w:ascii="Garamond" w:eastAsiaTheme="minorHAnsi" w:hAnsi="Garamond"/>
          <w:bCs/>
          <w:color w:val="000000"/>
        </w:rPr>
        <w:t>Ilir Toska</w:t>
      </w:r>
      <w:r>
        <w:rPr>
          <w:rFonts w:ascii="Garamond" w:eastAsiaTheme="minorHAnsi" w:hAnsi="Garamond"/>
          <w:bCs/>
          <w:color w:val="000000"/>
        </w:rPr>
        <w:t>,</w:t>
      </w:r>
      <w:r w:rsidRPr="00582D0F">
        <w:rPr>
          <w:rFonts w:ascii="Garamond" w:eastAsiaTheme="minorHAnsi" w:hAnsi="Garamond"/>
          <w:bCs/>
          <w:color w:val="000000"/>
        </w:rPr>
        <w:t xml:space="preserve"> </w:t>
      </w:r>
      <w:proofErr w:type="spellStart"/>
      <w:r w:rsidRPr="005C06DF">
        <w:rPr>
          <w:rFonts w:ascii="Garamond" w:eastAsiaTheme="minorHAnsi" w:hAnsi="Garamond"/>
          <w:bCs/>
          <w:color w:val="000000"/>
        </w:rPr>
        <w:t>Sandër</w:t>
      </w:r>
      <w:proofErr w:type="spellEnd"/>
      <w:r w:rsidRPr="005C06DF">
        <w:rPr>
          <w:rFonts w:ascii="Garamond" w:eastAsiaTheme="minorHAnsi" w:hAnsi="Garamond"/>
          <w:bCs/>
          <w:color w:val="000000"/>
        </w:rPr>
        <w:t xml:space="preserve"> Beci</w:t>
      </w:r>
      <w:r>
        <w:rPr>
          <w:rFonts w:ascii="Garamond" w:eastAsiaTheme="minorHAnsi" w:hAnsi="Garamond"/>
          <w:bCs/>
          <w:color w:val="000000"/>
        </w:rPr>
        <w:t>,</w:t>
      </w:r>
      <w:r w:rsidRPr="00582D0F">
        <w:rPr>
          <w:rFonts w:ascii="Garamond" w:eastAsiaTheme="minorHAnsi" w:hAnsi="Garamond"/>
          <w:bCs/>
          <w:color w:val="000000"/>
        </w:rPr>
        <w:t xml:space="preserve"> </w:t>
      </w:r>
      <w:proofErr w:type="spellStart"/>
      <w:r w:rsidRPr="005C06DF">
        <w:rPr>
          <w:rFonts w:ascii="Garamond" w:eastAsiaTheme="minorHAnsi" w:hAnsi="Garamond"/>
          <w:bCs/>
          <w:color w:val="000000"/>
        </w:rPr>
        <w:t>Marjana</w:t>
      </w:r>
      <w:proofErr w:type="spellEnd"/>
      <w:r w:rsidRPr="005C06DF">
        <w:rPr>
          <w:rFonts w:ascii="Garamond" w:eastAsiaTheme="minorHAnsi" w:hAnsi="Garamond"/>
          <w:bCs/>
          <w:color w:val="000000"/>
        </w:rPr>
        <w:t xml:space="preserve"> </w:t>
      </w:r>
      <w:proofErr w:type="spellStart"/>
      <w:r w:rsidRPr="005C06DF">
        <w:rPr>
          <w:rFonts w:ascii="Garamond" w:eastAsiaTheme="minorHAnsi" w:hAnsi="Garamond"/>
          <w:bCs/>
          <w:color w:val="000000"/>
        </w:rPr>
        <w:t>Semini</w:t>
      </w:r>
      <w:proofErr w:type="spellEnd"/>
      <w:r>
        <w:rPr>
          <w:rFonts w:ascii="Garamond" w:eastAsiaTheme="minorHAnsi" w:hAnsi="Garamond"/>
          <w:bCs/>
          <w:color w:val="000000"/>
        </w:rPr>
        <w:t>,</w:t>
      </w:r>
      <w:r w:rsidRPr="00582D0F">
        <w:rPr>
          <w:rFonts w:ascii="Garamond" w:eastAsiaTheme="minorHAnsi" w:hAnsi="Garamond"/>
          <w:bCs/>
          <w:color w:val="000000"/>
        </w:rPr>
        <w:t xml:space="preserve"> </w:t>
      </w:r>
      <w:proofErr w:type="spellStart"/>
      <w:r w:rsidRPr="005C06DF">
        <w:rPr>
          <w:rFonts w:ascii="Garamond" w:eastAsiaTheme="minorHAnsi" w:hAnsi="Garamond"/>
          <w:bCs/>
          <w:color w:val="000000"/>
        </w:rPr>
        <w:t>Asim</w:t>
      </w:r>
      <w:proofErr w:type="spellEnd"/>
      <w:r w:rsidRPr="005C06DF">
        <w:rPr>
          <w:rFonts w:ascii="Garamond" w:eastAsiaTheme="minorHAnsi" w:hAnsi="Garamond"/>
          <w:bCs/>
          <w:color w:val="000000"/>
        </w:rPr>
        <w:t xml:space="preserve"> </w:t>
      </w:r>
      <w:proofErr w:type="spellStart"/>
      <w:r w:rsidRPr="005C06DF">
        <w:rPr>
          <w:rFonts w:ascii="Garamond" w:eastAsiaTheme="minorHAnsi" w:hAnsi="Garamond"/>
          <w:bCs/>
          <w:color w:val="000000"/>
        </w:rPr>
        <w:t>Vokshi</w:t>
      </w:r>
      <w:proofErr w:type="spellEnd"/>
    </w:p>
    <w:p w14:paraId="1FE04E1F" w14:textId="243753AD" w:rsidR="00C4067E" w:rsidRDefault="00C4067E" w:rsidP="005C06DF">
      <w:pPr>
        <w:tabs>
          <w:tab w:val="left" w:pos="1080"/>
        </w:tabs>
        <w:autoSpaceDE w:val="0"/>
        <w:autoSpaceDN w:val="0"/>
        <w:adjustRightInd w:val="0"/>
        <w:spacing w:line="240" w:lineRule="auto"/>
        <w:ind w:firstLine="284"/>
        <w:jc w:val="both"/>
        <w:rPr>
          <w:rFonts w:ascii="Garamond" w:eastAsiaTheme="minorHAnsi" w:hAnsi="Garamond"/>
          <w:color w:val="000000"/>
        </w:rPr>
      </w:pPr>
    </w:p>
    <w:sectPr w:rsidR="00C4067E" w:rsidSect="00BC02BB">
      <w:footerReference w:type="default" r:id="rId13"/>
      <w:pgSz w:w="12240" w:h="15840"/>
      <w:pgMar w:top="900" w:right="1440" w:bottom="108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65C434" w16cex:dateUtc="2026-05-06T18:03:00Z"/>
  <w16cex:commentExtensible w16cex:durableId="0BEDAF70" w16cex:dateUtc="2026-05-06T18:23:00Z"/>
  <w16cex:commentExtensible w16cex:durableId="2350C0E7" w16cex:dateUtc="2026-05-06T18:30:00Z"/>
  <w16cex:commentExtensible w16cex:durableId="4DDDBE03" w16cex:dateUtc="2026-05-06T18:38:00Z"/>
  <w16cex:commentExtensible w16cex:durableId="37F3C60D" w16cex:dateUtc="2026-05-06T18: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8C768" w14:textId="77777777" w:rsidR="000B105B" w:rsidRDefault="000B105B" w:rsidP="00D21260">
      <w:pPr>
        <w:spacing w:line="240" w:lineRule="auto"/>
      </w:pPr>
      <w:r>
        <w:separator/>
      </w:r>
    </w:p>
  </w:endnote>
  <w:endnote w:type="continuationSeparator" w:id="0">
    <w:p w14:paraId="5A02CA84" w14:textId="77777777" w:rsidR="000B105B" w:rsidRDefault="000B105B" w:rsidP="00D21260">
      <w:pPr>
        <w:spacing w:line="240" w:lineRule="auto"/>
      </w:pPr>
      <w:r>
        <w:continuationSeparator/>
      </w:r>
    </w:p>
  </w:endnote>
  <w:endnote w:type="continuationNotice" w:id="1">
    <w:p w14:paraId="41A8589D" w14:textId="77777777" w:rsidR="000B105B" w:rsidRDefault="000B105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61E94" w14:textId="21288BA6" w:rsidR="000B105B" w:rsidRDefault="000B105B" w:rsidP="005C06DF">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7C68DF" w14:textId="77777777" w:rsidR="000B105B" w:rsidRDefault="000B105B" w:rsidP="00D21260">
      <w:pPr>
        <w:spacing w:line="240" w:lineRule="auto"/>
      </w:pPr>
      <w:r>
        <w:separator/>
      </w:r>
    </w:p>
  </w:footnote>
  <w:footnote w:type="continuationSeparator" w:id="0">
    <w:p w14:paraId="0BA10359" w14:textId="77777777" w:rsidR="000B105B" w:rsidRDefault="000B105B" w:rsidP="00D21260">
      <w:pPr>
        <w:spacing w:line="240" w:lineRule="auto"/>
      </w:pPr>
      <w:r>
        <w:continuationSeparator/>
      </w:r>
    </w:p>
  </w:footnote>
  <w:footnote w:type="continuationNotice" w:id="1">
    <w:p w14:paraId="0CD06B70" w14:textId="77777777" w:rsidR="000B105B" w:rsidRDefault="000B105B">
      <w:pPr>
        <w:spacing w:line="240" w:lineRule="auto"/>
      </w:pPr>
    </w:p>
  </w:footnote>
  <w:footnote w:id="2">
    <w:p w14:paraId="7BDCAC31" w14:textId="28538A88" w:rsidR="000B105B" w:rsidRPr="00607155" w:rsidRDefault="000B105B" w:rsidP="0098101D">
      <w:pPr>
        <w:spacing w:line="240" w:lineRule="auto"/>
        <w:rPr>
          <w:rFonts w:ascii="Garamond" w:hAnsi="Garamond"/>
          <w:sz w:val="20"/>
          <w:szCs w:val="20"/>
        </w:rPr>
      </w:pPr>
      <w:r w:rsidRPr="00607155">
        <w:rPr>
          <w:rStyle w:val="FootnoteReference"/>
        </w:rPr>
        <w:footnoteRef/>
      </w:r>
      <w:r w:rsidRPr="00607155">
        <w:t xml:space="preserve"> </w:t>
      </w:r>
      <w:r w:rsidRPr="00607155">
        <w:rPr>
          <w:rFonts w:ascii="Garamond" w:hAnsi="Garamond"/>
          <w:sz w:val="20"/>
          <w:szCs w:val="20"/>
        </w:rPr>
        <w:t xml:space="preserve">Votuan sipas këtij qëndrimi gjyqtarët </w:t>
      </w:r>
      <w:proofErr w:type="spellStart"/>
      <w:r w:rsidRPr="00607155">
        <w:rPr>
          <w:rFonts w:ascii="Garamond" w:hAnsi="Garamond"/>
          <w:sz w:val="20"/>
          <w:szCs w:val="20"/>
        </w:rPr>
        <w:t>Fiona</w:t>
      </w:r>
      <w:proofErr w:type="spellEnd"/>
      <w:r w:rsidRPr="00607155">
        <w:rPr>
          <w:rFonts w:ascii="Garamond" w:hAnsi="Garamond"/>
          <w:sz w:val="20"/>
          <w:szCs w:val="20"/>
        </w:rPr>
        <w:t xml:space="preserve"> </w:t>
      </w:r>
      <w:proofErr w:type="spellStart"/>
      <w:r w:rsidRPr="00607155">
        <w:rPr>
          <w:rFonts w:ascii="Garamond" w:hAnsi="Garamond"/>
          <w:sz w:val="20"/>
          <w:szCs w:val="20"/>
        </w:rPr>
        <w:t>Papajorgji</w:t>
      </w:r>
      <w:proofErr w:type="spellEnd"/>
      <w:r w:rsidRPr="00607155">
        <w:rPr>
          <w:rFonts w:ascii="Garamond" w:hAnsi="Garamond"/>
          <w:sz w:val="20"/>
          <w:szCs w:val="20"/>
        </w:rPr>
        <w:t xml:space="preserve">, </w:t>
      </w:r>
      <w:proofErr w:type="spellStart"/>
      <w:r w:rsidRPr="00607155">
        <w:rPr>
          <w:rFonts w:ascii="Garamond" w:hAnsi="Garamond"/>
          <w:sz w:val="20"/>
          <w:szCs w:val="20"/>
        </w:rPr>
        <w:t>Sonila</w:t>
      </w:r>
      <w:proofErr w:type="spellEnd"/>
      <w:r w:rsidRPr="00607155">
        <w:rPr>
          <w:rFonts w:ascii="Garamond" w:hAnsi="Garamond"/>
          <w:sz w:val="20"/>
          <w:szCs w:val="20"/>
        </w:rPr>
        <w:t xml:space="preserve"> Bejtja, Genti Ibrahimi dhe </w:t>
      </w:r>
      <w:proofErr w:type="spellStart"/>
      <w:r w:rsidRPr="00607155">
        <w:rPr>
          <w:rFonts w:ascii="Garamond" w:hAnsi="Garamond"/>
          <w:sz w:val="20"/>
          <w:szCs w:val="20"/>
        </w:rPr>
        <w:t>Marjana</w:t>
      </w:r>
      <w:proofErr w:type="spellEnd"/>
      <w:r w:rsidRPr="00607155">
        <w:rPr>
          <w:rFonts w:ascii="Garamond" w:hAnsi="Garamond"/>
          <w:sz w:val="20"/>
          <w:szCs w:val="20"/>
        </w:rPr>
        <w:t xml:space="preserve"> </w:t>
      </w:r>
      <w:proofErr w:type="spellStart"/>
      <w:r w:rsidRPr="00607155">
        <w:rPr>
          <w:rFonts w:ascii="Garamond" w:hAnsi="Garamond"/>
          <w:sz w:val="20"/>
          <w:szCs w:val="20"/>
        </w:rPr>
        <w:t>Semini</w:t>
      </w:r>
      <w:proofErr w:type="spellEnd"/>
      <w:r w:rsidRPr="00607155">
        <w:rPr>
          <w:rFonts w:ascii="Garamond" w:hAnsi="Garamond"/>
          <w:sz w:val="20"/>
          <w:szCs w:val="20"/>
        </w:rPr>
        <w:t>.</w:t>
      </w:r>
    </w:p>
  </w:footnote>
  <w:footnote w:id="3">
    <w:p w14:paraId="3577FAC8" w14:textId="5B18CD64" w:rsidR="000B105B" w:rsidRPr="00607155" w:rsidRDefault="000B105B" w:rsidP="0098101D">
      <w:pPr>
        <w:spacing w:line="240" w:lineRule="auto"/>
        <w:rPr>
          <w:rFonts w:ascii="Garamond" w:hAnsi="Garamond"/>
          <w:sz w:val="20"/>
          <w:szCs w:val="20"/>
        </w:rPr>
      </w:pPr>
      <w:r w:rsidRPr="00607155">
        <w:rPr>
          <w:rStyle w:val="FootnoteReference"/>
        </w:rPr>
        <w:footnoteRef/>
      </w:r>
      <w:r w:rsidRPr="00607155">
        <w:t xml:space="preserve"> </w:t>
      </w:r>
      <w:r w:rsidRPr="00607155">
        <w:rPr>
          <w:rFonts w:ascii="Garamond" w:hAnsi="Garamond"/>
          <w:sz w:val="20"/>
          <w:szCs w:val="20"/>
        </w:rPr>
        <w:t xml:space="preserve">Votuan sipas këtij qëndrimi gjyqtarët </w:t>
      </w:r>
      <w:proofErr w:type="spellStart"/>
      <w:r w:rsidRPr="00607155">
        <w:rPr>
          <w:rFonts w:ascii="Garamond" w:hAnsi="Garamond"/>
          <w:sz w:val="20"/>
          <w:szCs w:val="20"/>
        </w:rPr>
        <w:t>Marsida</w:t>
      </w:r>
      <w:proofErr w:type="spellEnd"/>
      <w:r w:rsidRPr="00607155">
        <w:rPr>
          <w:rFonts w:ascii="Garamond" w:hAnsi="Garamond"/>
          <w:sz w:val="20"/>
          <w:szCs w:val="20"/>
        </w:rPr>
        <w:t xml:space="preserve"> </w:t>
      </w:r>
      <w:proofErr w:type="spellStart"/>
      <w:r w:rsidRPr="00607155">
        <w:rPr>
          <w:rFonts w:ascii="Garamond" w:hAnsi="Garamond"/>
          <w:sz w:val="20"/>
          <w:szCs w:val="20"/>
        </w:rPr>
        <w:t>Xhaferllari</w:t>
      </w:r>
      <w:proofErr w:type="spellEnd"/>
      <w:r w:rsidRPr="00607155">
        <w:rPr>
          <w:rFonts w:ascii="Garamond" w:hAnsi="Garamond"/>
          <w:sz w:val="20"/>
          <w:szCs w:val="20"/>
        </w:rPr>
        <w:t xml:space="preserve">, </w:t>
      </w:r>
      <w:proofErr w:type="spellStart"/>
      <w:r w:rsidRPr="00607155">
        <w:rPr>
          <w:rFonts w:ascii="Garamond" w:hAnsi="Garamond"/>
          <w:sz w:val="20"/>
          <w:szCs w:val="20"/>
        </w:rPr>
        <w:t>Sandër</w:t>
      </w:r>
      <w:proofErr w:type="spellEnd"/>
      <w:r w:rsidRPr="00607155">
        <w:rPr>
          <w:rFonts w:ascii="Garamond" w:hAnsi="Garamond"/>
          <w:sz w:val="20"/>
          <w:szCs w:val="20"/>
        </w:rPr>
        <w:t xml:space="preserve"> Beci, Ilir Toska dhe </w:t>
      </w:r>
      <w:proofErr w:type="spellStart"/>
      <w:r w:rsidRPr="00607155">
        <w:rPr>
          <w:rFonts w:ascii="Garamond" w:hAnsi="Garamond"/>
          <w:sz w:val="20"/>
          <w:szCs w:val="20"/>
        </w:rPr>
        <w:t>Asim</w:t>
      </w:r>
      <w:proofErr w:type="spellEnd"/>
      <w:r w:rsidRPr="00607155">
        <w:rPr>
          <w:rFonts w:ascii="Garamond" w:hAnsi="Garamond"/>
          <w:sz w:val="20"/>
          <w:szCs w:val="20"/>
        </w:rPr>
        <w:t xml:space="preserve"> </w:t>
      </w:r>
      <w:proofErr w:type="spellStart"/>
      <w:r w:rsidRPr="00607155">
        <w:rPr>
          <w:rFonts w:ascii="Garamond" w:hAnsi="Garamond"/>
          <w:sz w:val="20"/>
          <w:szCs w:val="20"/>
        </w:rPr>
        <w:t>Vokshi</w:t>
      </w:r>
      <w:proofErr w:type="spellEnd"/>
      <w:r w:rsidRPr="00607155">
        <w:rPr>
          <w:rFonts w:ascii="Garamond" w:hAnsi="Garamond"/>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A7057"/>
    <w:multiLevelType w:val="multilevel"/>
    <w:tmpl w:val="3FA872C0"/>
    <w:lvl w:ilvl="0">
      <w:start w:val="8"/>
      <w:numFmt w:val="decimal"/>
      <w:lvlText w:val="%1."/>
      <w:lvlJc w:val="left"/>
      <w:pPr>
        <w:ind w:left="360" w:hanging="360"/>
      </w:pPr>
      <w:rPr>
        <w:rFonts w:eastAsia="MS Mincho" w:hint="default"/>
        <w:b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2" w15:restartNumberingAfterBreak="0">
    <w:nsid w:val="0DA22889"/>
    <w:multiLevelType w:val="multilevel"/>
    <w:tmpl w:val="B8BEF346"/>
    <w:lvl w:ilvl="0">
      <w:start w:val="18"/>
      <w:numFmt w:val="decimal"/>
      <w:lvlText w:val="%1."/>
      <w:lvlJc w:val="left"/>
      <w:pPr>
        <w:ind w:left="7590" w:hanging="480"/>
      </w:pPr>
      <w:rPr>
        <w:rFonts w:eastAsia="Times New Roman" w:hint="default"/>
        <w:b w:val="0"/>
      </w:rPr>
    </w:lvl>
    <w:lvl w:ilvl="1">
      <w:start w:val="1"/>
      <w:numFmt w:val="decimal"/>
      <w:lvlText w:val="%1.%2."/>
      <w:lvlJc w:val="left"/>
      <w:pPr>
        <w:ind w:left="1650" w:hanging="480"/>
      </w:pPr>
      <w:rPr>
        <w:rFonts w:eastAsia="Times New Roman" w:hint="default"/>
        <w:b w:val="0"/>
      </w:rPr>
    </w:lvl>
    <w:lvl w:ilvl="2">
      <w:start w:val="1"/>
      <w:numFmt w:val="decimal"/>
      <w:lvlText w:val="%1.%2.%3."/>
      <w:lvlJc w:val="left"/>
      <w:pPr>
        <w:ind w:left="3060" w:hanging="720"/>
      </w:pPr>
      <w:rPr>
        <w:rFonts w:eastAsia="Times New Roman" w:hint="default"/>
        <w:b w:val="0"/>
      </w:rPr>
    </w:lvl>
    <w:lvl w:ilvl="3">
      <w:start w:val="1"/>
      <w:numFmt w:val="decimal"/>
      <w:lvlText w:val="%1.%2.%3.%4."/>
      <w:lvlJc w:val="left"/>
      <w:pPr>
        <w:ind w:left="4230" w:hanging="720"/>
      </w:pPr>
      <w:rPr>
        <w:rFonts w:eastAsia="Times New Roman" w:hint="default"/>
        <w:b w:val="0"/>
      </w:rPr>
    </w:lvl>
    <w:lvl w:ilvl="4">
      <w:start w:val="1"/>
      <w:numFmt w:val="decimal"/>
      <w:lvlText w:val="%1.%2.%3.%4.%5."/>
      <w:lvlJc w:val="left"/>
      <w:pPr>
        <w:ind w:left="5760" w:hanging="1080"/>
      </w:pPr>
      <w:rPr>
        <w:rFonts w:eastAsia="Times New Roman" w:hint="default"/>
        <w:b w:val="0"/>
      </w:rPr>
    </w:lvl>
    <w:lvl w:ilvl="5">
      <w:start w:val="1"/>
      <w:numFmt w:val="decimal"/>
      <w:lvlText w:val="%1.%2.%3.%4.%5.%6."/>
      <w:lvlJc w:val="left"/>
      <w:pPr>
        <w:ind w:left="6930" w:hanging="1080"/>
      </w:pPr>
      <w:rPr>
        <w:rFonts w:eastAsia="Times New Roman" w:hint="default"/>
        <w:b w:val="0"/>
      </w:rPr>
    </w:lvl>
    <w:lvl w:ilvl="6">
      <w:start w:val="1"/>
      <w:numFmt w:val="decimal"/>
      <w:lvlText w:val="%1.%2.%3.%4.%5.%6.%7."/>
      <w:lvlJc w:val="left"/>
      <w:pPr>
        <w:ind w:left="8460" w:hanging="1440"/>
      </w:pPr>
      <w:rPr>
        <w:rFonts w:eastAsia="Times New Roman" w:hint="default"/>
        <w:b w:val="0"/>
      </w:rPr>
    </w:lvl>
    <w:lvl w:ilvl="7">
      <w:start w:val="1"/>
      <w:numFmt w:val="decimal"/>
      <w:lvlText w:val="%1.%2.%3.%4.%5.%6.%7.%8."/>
      <w:lvlJc w:val="left"/>
      <w:pPr>
        <w:ind w:left="9630" w:hanging="1440"/>
      </w:pPr>
      <w:rPr>
        <w:rFonts w:eastAsia="Times New Roman" w:hint="default"/>
        <w:b w:val="0"/>
      </w:rPr>
    </w:lvl>
    <w:lvl w:ilvl="8">
      <w:start w:val="1"/>
      <w:numFmt w:val="decimal"/>
      <w:lvlText w:val="%1.%2.%3.%4.%5.%6.%7.%8.%9."/>
      <w:lvlJc w:val="left"/>
      <w:pPr>
        <w:ind w:left="11160" w:hanging="1800"/>
      </w:pPr>
      <w:rPr>
        <w:rFonts w:eastAsia="Times New Roman" w:hint="default"/>
        <w:b w:val="0"/>
      </w:rPr>
    </w:lvl>
  </w:abstractNum>
  <w:abstractNum w:abstractNumId="3" w15:restartNumberingAfterBreak="0">
    <w:nsid w:val="127F4D96"/>
    <w:multiLevelType w:val="multilevel"/>
    <w:tmpl w:val="8D4E6708"/>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5"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dstrike w:val="0"/>
        <w:color w:val="auto"/>
        <w:sz w:val="24"/>
        <w:szCs w:val="24"/>
        <w:u w:val="none"/>
        <w:effect w:val="none"/>
      </w:rPr>
    </w:lvl>
    <w:lvl w:ilvl="1">
      <w:start w:val="1"/>
      <w:numFmt w:val="decimal"/>
      <w:isLgl/>
      <w:lvlText w:val="%1.%2."/>
      <w:lvlJc w:val="left"/>
      <w:pPr>
        <w:ind w:left="1800" w:hanging="360"/>
      </w:pPr>
      <w:rPr>
        <w:b w:val="0"/>
        <w:i w:val="0"/>
      </w:rPr>
    </w:lvl>
    <w:lvl w:ilvl="2">
      <w:start w:val="1"/>
      <w:numFmt w:val="decimal"/>
      <w:isLgl/>
      <w:lvlText w:val="%1.%2.%3."/>
      <w:lvlJc w:val="left"/>
      <w:pPr>
        <w:ind w:left="2070" w:hanging="720"/>
      </w:pPr>
      <w:rPr>
        <w:b w:val="0"/>
        <w:i w:val="0"/>
      </w:rPr>
    </w:lvl>
    <w:lvl w:ilvl="3">
      <w:start w:val="1"/>
      <w:numFmt w:val="decimal"/>
      <w:isLgl/>
      <w:lvlText w:val="%1.%2.%3.%4."/>
      <w:lvlJc w:val="left"/>
      <w:pPr>
        <w:ind w:left="2160" w:hanging="720"/>
      </w:pPr>
      <w:rPr>
        <w:b w:val="0"/>
        <w:i w:val="0"/>
      </w:rPr>
    </w:lvl>
    <w:lvl w:ilvl="4">
      <w:start w:val="1"/>
      <w:numFmt w:val="decimal"/>
      <w:isLgl/>
      <w:lvlText w:val="%1.%2.%3.%4.%5."/>
      <w:lvlJc w:val="left"/>
      <w:pPr>
        <w:ind w:left="3961" w:hanging="1080"/>
      </w:pPr>
      <w:rPr>
        <w:b/>
        <w:i/>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6" w15:restartNumberingAfterBreak="0">
    <w:nsid w:val="2F604300"/>
    <w:multiLevelType w:val="hybridMultilevel"/>
    <w:tmpl w:val="4F04BA9A"/>
    <w:lvl w:ilvl="0" w:tplc="794A88D8">
      <w:start w:val="1"/>
      <w:numFmt w:val="upperLetter"/>
      <w:lvlText w:val="%1."/>
      <w:lvlJc w:val="left"/>
      <w:pPr>
        <w:ind w:left="1080" w:hanging="360"/>
      </w:pPr>
      <w:rPr>
        <w:rFonts w:eastAsiaTheme="minorHAnsi"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E30CBA"/>
    <w:multiLevelType w:val="multilevel"/>
    <w:tmpl w:val="08E46EAE"/>
    <w:lvl w:ilvl="0">
      <w:start w:val="15"/>
      <w:numFmt w:val="decimal"/>
      <w:lvlText w:val="%1."/>
      <w:lvlJc w:val="left"/>
      <w:pPr>
        <w:ind w:left="1290" w:hanging="480"/>
      </w:pPr>
      <w:rPr>
        <w:b w:val="0"/>
        <w:i w:val="0"/>
        <w:color w:val="auto"/>
      </w:rPr>
    </w:lvl>
    <w:lvl w:ilvl="1">
      <w:start w:val="1"/>
      <w:numFmt w:val="decimal"/>
      <w:lvlText w:val="%1.%2."/>
      <w:lvlJc w:val="left"/>
      <w:pPr>
        <w:ind w:left="1110" w:hanging="480"/>
      </w:pPr>
      <w:rPr>
        <w:i w:val="0"/>
      </w:rPr>
    </w:lvl>
    <w:lvl w:ilvl="2">
      <w:start w:val="1"/>
      <w:numFmt w:val="decimal"/>
      <w:lvlText w:val="%1.%2.%3."/>
      <w:lvlJc w:val="left"/>
      <w:pPr>
        <w:ind w:left="1980" w:hanging="720"/>
      </w:pPr>
      <w:rPr>
        <w:i/>
      </w:rPr>
    </w:lvl>
    <w:lvl w:ilvl="3">
      <w:start w:val="1"/>
      <w:numFmt w:val="decimal"/>
      <w:lvlText w:val="%1.%2.%3.%4."/>
      <w:lvlJc w:val="left"/>
      <w:pPr>
        <w:ind w:left="2610" w:hanging="720"/>
      </w:pPr>
      <w:rPr>
        <w:i/>
      </w:rPr>
    </w:lvl>
    <w:lvl w:ilvl="4">
      <w:start w:val="1"/>
      <w:numFmt w:val="decimal"/>
      <w:lvlText w:val="%1.%2.%3.%4.%5."/>
      <w:lvlJc w:val="left"/>
      <w:pPr>
        <w:ind w:left="3600" w:hanging="1080"/>
      </w:pPr>
      <w:rPr>
        <w:i/>
      </w:rPr>
    </w:lvl>
    <w:lvl w:ilvl="5">
      <w:start w:val="1"/>
      <w:numFmt w:val="decimal"/>
      <w:lvlText w:val="%1.%2.%3.%4.%5.%6."/>
      <w:lvlJc w:val="left"/>
      <w:pPr>
        <w:ind w:left="4230" w:hanging="1080"/>
      </w:pPr>
      <w:rPr>
        <w:i/>
      </w:rPr>
    </w:lvl>
    <w:lvl w:ilvl="6">
      <w:start w:val="1"/>
      <w:numFmt w:val="decimal"/>
      <w:lvlText w:val="%1.%2.%3.%4.%5.%6.%7."/>
      <w:lvlJc w:val="left"/>
      <w:pPr>
        <w:ind w:left="5220" w:hanging="1440"/>
      </w:pPr>
      <w:rPr>
        <w:i/>
      </w:rPr>
    </w:lvl>
    <w:lvl w:ilvl="7">
      <w:start w:val="1"/>
      <w:numFmt w:val="decimal"/>
      <w:lvlText w:val="%1.%2.%3.%4.%5.%6.%7.%8."/>
      <w:lvlJc w:val="left"/>
      <w:pPr>
        <w:ind w:left="5850" w:hanging="1440"/>
      </w:pPr>
      <w:rPr>
        <w:i/>
      </w:rPr>
    </w:lvl>
    <w:lvl w:ilvl="8">
      <w:start w:val="1"/>
      <w:numFmt w:val="decimal"/>
      <w:lvlText w:val="%1.%2.%3.%4.%5.%6.%7.%8.%9."/>
      <w:lvlJc w:val="left"/>
      <w:pPr>
        <w:ind w:left="6840" w:hanging="1800"/>
      </w:pPr>
      <w:rPr>
        <w:i/>
      </w:rPr>
    </w:lvl>
  </w:abstractNum>
  <w:abstractNum w:abstractNumId="8" w15:restartNumberingAfterBreak="0">
    <w:nsid w:val="4B0835D7"/>
    <w:multiLevelType w:val="hybridMultilevel"/>
    <w:tmpl w:val="3ED86D72"/>
    <w:lvl w:ilvl="0" w:tplc="28C8FAA0">
      <w:start w:val="14"/>
      <w:numFmt w:val="decimal"/>
      <w:lvlText w:val="%1."/>
      <w:lvlJc w:val="left"/>
      <w:pPr>
        <w:ind w:left="135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06AAF"/>
    <w:multiLevelType w:val="hybridMultilevel"/>
    <w:tmpl w:val="E152BC5E"/>
    <w:lvl w:ilvl="0" w:tplc="E89C3DE2">
      <w:start w:val="1"/>
      <w:numFmt w:val="decimal"/>
      <w:lvlText w:val="%1."/>
      <w:lvlJc w:val="left"/>
      <w:pPr>
        <w:ind w:left="351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6B172FDB"/>
    <w:multiLevelType w:val="multilevel"/>
    <w:tmpl w:val="D59EC52C"/>
    <w:lvl w:ilvl="0">
      <w:start w:val="7"/>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6B642C28"/>
    <w:multiLevelType w:val="hybridMultilevel"/>
    <w:tmpl w:val="14C4FC7C"/>
    <w:lvl w:ilvl="0" w:tplc="BB264C2E">
      <w:start w:val="1"/>
      <w:numFmt w:val="decimal"/>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12" w15:restartNumberingAfterBreak="0">
    <w:nsid w:val="77B24AA0"/>
    <w:multiLevelType w:val="multilevel"/>
    <w:tmpl w:val="0B8421B6"/>
    <w:lvl w:ilvl="0">
      <w:start w:val="1"/>
      <w:numFmt w:val="decimal"/>
      <w:lvlText w:val="%1."/>
      <w:lvlJc w:val="left"/>
      <w:pPr>
        <w:ind w:left="30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5"/>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260"/>
    <w:rsid w:val="00002C3E"/>
    <w:rsid w:val="00005B3E"/>
    <w:rsid w:val="00010668"/>
    <w:rsid w:val="0002288A"/>
    <w:rsid w:val="00027583"/>
    <w:rsid w:val="00034DF5"/>
    <w:rsid w:val="00037C78"/>
    <w:rsid w:val="00040148"/>
    <w:rsid w:val="00050E88"/>
    <w:rsid w:val="00051A3B"/>
    <w:rsid w:val="0005293B"/>
    <w:rsid w:val="0005718F"/>
    <w:rsid w:val="000604B2"/>
    <w:rsid w:val="00063C84"/>
    <w:rsid w:val="00075519"/>
    <w:rsid w:val="00080A9C"/>
    <w:rsid w:val="00084704"/>
    <w:rsid w:val="00095299"/>
    <w:rsid w:val="000A079E"/>
    <w:rsid w:val="000A4E71"/>
    <w:rsid w:val="000B105B"/>
    <w:rsid w:val="000B5F0E"/>
    <w:rsid w:val="000B63BE"/>
    <w:rsid w:val="000B7084"/>
    <w:rsid w:val="000C0A99"/>
    <w:rsid w:val="000C7D87"/>
    <w:rsid w:val="000D1C3D"/>
    <w:rsid w:val="000D7980"/>
    <w:rsid w:val="000E0C06"/>
    <w:rsid w:val="000E643A"/>
    <w:rsid w:val="000F3438"/>
    <w:rsid w:val="000F378A"/>
    <w:rsid w:val="00104E7E"/>
    <w:rsid w:val="00107E47"/>
    <w:rsid w:val="00117AB1"/>
    <w:rsid w:val="001201A3"/>
    <w:rsid w:val="00127102"/>
    <w:rsid w:val="001274B8"/>
    <w:rsid w:val="00135823"/>
    <w:rsid w:val="00163B7E"/>
    <w:rsid w:val="00165B3B"/>
    <w:rsid w:val="00173C1E"/>
    <w:rsid w:val="001763D3"/>
    <w:rsid w:val="00192164"/>
    <w:rsid w:val="00194EFA"/>
    <w:rsid w:val="001953A3"/>
    <w:rsid w:val="0019662A"/>
    <w:rsid w:val="001A1F51"/>
    <w:rsid w:val="001A5700"/>
    <w:rsid w:val="001A62EE"/>
    <w:rsid w:val="001B16A9"/>
    <w:rsid w:val="001B5588"/>
    <w:rsid w:val="001B6D69"/>
    <w:rsid w:val="001C6E77"/>
    <w:rsid w:val="001D07E6"/>
    <w:rsid w:val="00211EAD"/>
    <w:rsid w:val="00213C6E"/>
    <w:rsid w:val="002348B6"/>
    <w:rsid w:val="0024163F"/>
    <w:rsid w:val="0026510C"/>
    <w:rsid w:val="00266027"/>
    <w:rsid w:val="002702E9"/>
    <w:rsid w:val="00272D3A"/>
    <w:rsid w:val="00291A83"/>
    <w:rsid w:val="002B0782"/>
    <w:rsid w:val="002B4BF2"/>
    <w:rsid w:val="002B4F0F"/>
    <w:rsid w:val="002C100F"/>
    <w:rsid w:val="002E30FA"/>
    <w:rsid w:val="002E34BB"/>
    <w:rsid w:val="002E5150"/>
    <w:rsid w:val="002F1F4D"/>
    <w:rsid w:val="002F3793"/>
    <w:rsid w:val="00301659"/>
    <w:rsid w:val="00302EDF"/>
    <w:rsid w:val="003034F1"/>
    <w:rsid w:val="00313D7D"/>
    <w:rsid w:val="00321D66"/>
    <w:rsid w:val="00324D51"/>
    <w:rsid w:val="00330398"/>
    <w:rsid w:val="00336A90"/>
    <w:rsid w:val="00342E02"/>
    <w:rsid w:val="0034376C"/>
    <w:rsid w:val="003502C9"/>
    <w:rsid w:val="00361AC7"/>
    <w:rsid w:val="00366017"/>
    <w:rsid w:val="00372FC0"/>
    <w:rsid w:val="00373E42"/>
    <w:rsid w:val="00374432"/>
    <w:rsid w:val="0037537C"/>
    <w:rsid w:val="00384C2C"/>
    <w:rsid w:val="0039461A"/>
    <w:rsid w:val="00395960"/>
    <w:rsid w:val="003A16C5"/>
    <w:rsid w:val="003B7821"/>
    <w:rsid w:val="003C0633"/>
    <w:rsid w:val="003C2AF1"/>
    <w:rsid w:val="003D2F50"/>
    <w:rsid w:val="003E67BB"/>
    <w:rsid w:val="003F26EF"/>
    <w:rsid w:val="00404C18"/>
    <w:rsid w:val="00411B83"/>
    <w:rsid w:val="0041735E"/>
    <w:rsid w:val="004207C1"/>
    <w:rsid w:val="0042297C"/>
    <w:rsid w:val="004237DC"/>
    <w:rsid w:val="00423A37"/>
    <w:rsid w:val="00427083"/>
    <w:rsid w:val="0042770B"/>
    <w:rsid w:val="00431B47"/>
    <w:rsid w:val="0044010C"/>
    <w:rsid w:val="0044021A"/>
    <w:rsid w:val="0044534F"/>
    <w:rsid w:val="00450DD5"/>
    <w:rsid w:val="00452DEE"/>
    <w:rsid w:val="00453100"/>
    <w:rsid w:val="00453394"/>
    <w:rsid w:val="00456A37"/>
    <w:rsid w:val="00461F28"/>
    <w:rsid w:val="0046233D"/>
    <w:rsid w:val="00464D11"/>
    <w:rsid w:val="004703FC"/>
    <w:rsid w:val="004705FC"/>
    <w:rsid w:val="004754C0"/>
    <w:rsid w:val="00475D32"/>
    <w:rsid w:val="00482306"/>
    <w:rsid w:val="00485DBA"/>
    <w:rsid w:val="00493AA3"/>
    <w:rsid w:val="004947C5"/>
    <w:rsid w:val="00497EA3"/>
    <w:rsid w:val="004A4302"/>
    <w:rsid w:val="004A5DFE"/>
    <w:rsid w:val="004A6B15"/>
    <w:rsid w:val="004A7399"/>
    <w:rsid w:val="004B394F"/>
    <w:rsid w:val="004D195B"/>
    <w:rsid w:val="004D4D9B"/>
    <w:rsid w:val="004E2DC6"/>
    <w:rsid w:val="0050509C"/>
    <w:rsid w:val="0051048F"/>
    <w:rsid w:val="005169A6"/>
    <w:rsid w:val="00530980"/>
    <w:rsid w:val="00531907"/>
    <w:rsid w:val="00533197"/>
    <w:rsid w:val="00540BC6"/>
    <w:rsid w:val="0054443E"/>
    <w:rsid w:val="00553E7A"/>
    <w:rsid w:val="00560777"/>
    <w:rsid w:val="00562C04"/>
    <w:rsid w:val="00564352"/>
    <w:rsid w:val="00564DAE"/>
    <w:rsid w:val="00576B0E"/>
    <w:rsid w:val="0057753E"/>
    <w:rsid w:val="005814F0"/>
    <w:rsid w:val="00582B7B"/>
    <w:rsid w:val="00582D0F"/>
    <w:rsid w:val="005A3BF9"/>
    <w:rsid w:val="005A6296"/>
    <w:rsid w:val="005C06DF"/>
    <w:rsid w:val="005C3938"/>
    <w:rsid w:val="005C589D"/>
    <w:rsid w:val="005D562B"/>
    <w:rsid w:val="005D7EB2"/>
    <w:rsid w:val="0060159C"/>
    <w:rsid w:val="00607155"/>
    <w:rsid w:val="00612973"/>
    <w:rsid w:val="00615A5E"/>
    <w:rsid w:val="00615B77"/>
    <w:rsid w:val="006216B1"/>
    <w:rsid w:val="00625DBD"/>
    <w:rsid w:val="00634369"/>
    <w:rsid w:val="006349DC"/>
    <w:rsid w:val="0065049C"/>
    <w:rsid w:val="0065254B"/>
    <w:rsid w:val="0065599F"/>
    <w:rsid w:val="0066140A"/>
    <w:rsid w:val="00663614"/>
    <w:rsid w:val="0066409F"/>
    <w:rsid w:val="00665B75"/>
    <w:rsid w:val="00671613"/>
    <w:rsid w:val="00675403"/>
    <w:rsid w:val="006770B2"/>
    <w:rsid w:val="00682684"/>
    <w:rsid w:val="00685E0D"/>
    <w:rsid w:val="006B206A"/>
    <w:rsid w:val="006B45B2"/>
    <w:rsid w:val="006B65C3"/>
    <w:rsid w:val="006C74B6"/>
    <w:rsid w:val="006D7F02"/>
    <w:rsid w:val="006E2A5F"/>
    <w:rsid w:val="006F27E1"/>
    <w:rsid w:val="006F454E"/>
    <w:rsid w:val="006F6098"/>
    <w:rsid w:val="0070658D"/>
    <w:rsid w:val="00706EBA"/>
    <w:rsid w:val="007176BD"/>
    <w:rsid w:val="00730011"/>
    <w:rsid w:val="007410E3"/>
    <w:rsid w:val="00741D3D"/>
    <w:rsid w:val="00742851"/>
    <w:rsid w:val="00742A75"/>
    <w:rsid w:val="00742E10"/>
    <w:rsid w:val="00742FB0"/>
    <w:rsid w:val="00744F3B"/>
    <w:rsid w:val="00746956"/>
    <w:rsid w:val="00746A7B"/>
    <w:rsid w:val="007524A2"/>
    <w:rsid w:val="00754BF2"/>
    <w:rsid w:val="0075582C"/>
    <w:rsid w:val="00761F82"/>
    <w:rsid w:val="00762EED"/>
    <w:rsid w:val="00765CBE"/>
    <w:rsid w:val="00770161"/>
    <w:rsid w:val="00772CCA"/>
    <w:rsid w:val="00780A3D"/>
    <w:rsid w:val="00785CCF"/>
    <w:rsid w:val="00787225"/>
    <w:rsid w:val="00792E91"/>
    <w:rsid w:val="007B27E7"/>
    <w:rsid w:val="007B365C"/>
    <w:rsid w:val="007B4329"/>
    <w:rsid w:val="007B6D64"/>
    <w:rsid w:val="007D214F"/>
    <w:rsid w:val="007D4EAA"/>
    <w:rsid w:val="007D51DE"/>
    <w:rsid w:val="007D55C4"/>
    <w:rsid w:val="007D7668"/>
    <w:rsid w:val="007E198B"/>
    <w:rsid w:val="007E44AB"/>
    <w:rsid w:val="007F374E"/>
    <w:rsid w:val="007F59CE"/>
    <w:rsid w:val="00827FEB"/>
    <w:rsid w:val="00832A66"/>
    <w:rsid w:val="00862F57"/>
    <w:rsid w:val="008639E0"/>
    <w:rsid w:val="00874342"/>
    <w:rsid w:val="008770EC"/>
    <w:rsid w:val="00880944"/>
    <w:rsid w:val="00893411"/>
    <w:rsid w:val="008977D7"/>
    <w:rsid w:val="008B3700"/>
    <w:rsid w:val="008B707C"/>
    <w:rsid w:val="008C6A3E"/>
    <w:rsid w:val="008D7F84"/>
    <w:rsid w:val="008E3B1E"/>
    <w:rsid w:val="008F1C82"/>
    <w:rsid w:val="008F1D0F"/>
    <w:rsid w:val="008F727C"/>
    <w:rsid w:val="00921740"/>
    <w:rsid w:val="009250B3"/>
    <w:rsid w:val="009251F0"/>
    <w:rsid w:val="00925BF9"/>
    <w:rsid w:val="009304D8"/>
    <w:rsid w:val="00936C92"/>
    <w:rsid w:val="00946EEA"/>
    <w:rsid w:val="00953592"/>
    <w:rsid w:val="009544B5"/>
    <w:rsid w:val="00976BB8"/>
    <w:rsid w:val="0098101D"/>
    <w:rsid w:val="009832A5"/>
    <w:rsid w:val="00983C9B"/>
    <w:rsid w:val="009906AB"/>
    <w:rsid w:val="009943B4"/>
    <w:rsid w:val="00994F87"/>
    <w:rsid w:val="009B0630"/>
    <w:rsid w:val="009B0F17"/>
    <w:rsid w:val="009B5FB5"/>
    <w:rsid w:val="009C0962"/>
    <w:rsid w:val="009C37C9"/>
    <w:rsid w:val="009D031E"/>
    <w:rsid w:val="009D3977"/>
    <w:rsid w:val="009D486C"/>
    <w:rsid w:val="009D6023"/>
    <w:rsid w:val="009E4596"/>
    <w:rsid w:val="009F0B13"/>
    <w:rsid w:val="009F1EE3"/>
    <w:rsid w:val="009F6A5A"/>
    <w:rsid w:val="00A002E4"/>
    <w:rsid w:val="00A00533"/>
    <w:rsid w:val="00A03CE0"/>
    <w:rsid w:val="00A0579C"/>
    <w:rsid w:val="00A11F7E"/>
    <w:rsid w:val="00A151C5"/>
    <w:rsid w:val="00A25266"/>
    <w:rsid w:val="00A27F93"/>
    <w:rsid w:val="00A31061"/>
    <w:rsid w:val="00A37FAE"/>
    <w:rsid w:val="00A452F9"/>
    <w:rsid w:val="00A5139E"/>
    <w:rsid w:val="00A53CA4"/>
    <w:rsid w:val="00A552A9"/>
    <w:rsid w:val="00A56167"/>
    <w:rsid w:val="00A62E0B"/>
    <w:rsid w:val="00A63685"/>
    <w:rsid w:val="00A751DD"/>
    <w:rsid w:val="00A835DB"/>
    <w:rsid w:val="00A87C4D"/>
    <w:rsid w:val="00A96B54"/>
    <w:rsid w:val="00AA0868"/>
    <w:rsid w:val="00AA0B07"/>
    <w:rsid w:val="00AA29CA"/>
    <w:rsid w:val="00AA351D"/>
    <w:rsid w:val="00AA37A5"/>
    <w:rsid w:val="00AB07F0"/>
    <w:rsid w:val="00AB1682"/>
    <w:rsid w:val="00AC628D"/>
    <w:rsid w:val="00AD5048"/>
    <w:rsid w:val="00AD7B35"/>
    <w:rsid w:val="00AE093F"/>
    <w:rsid w:val="00AE098A"/>
    <w:rsid w:val="00AE5A21"/>
    <w:rsid w:val="00AF0FDC"/>
    <w:rsid w:val="00AF1AE4"/>
    <w:rsid w:val="00AF5674"/>
    <w:rsid w:val="00B0379F"/>
    <w:rsid w:val="00B06853"/>
    <w:rsid w:val="00B22AC0"/>
    <w:rsid w:val="00B24D14"/>
    <w:rsid w:val="00B26EE9"/>
    <w:rsid w:val="00B361D3"/>
    <w:rsid w:val="00B37BD5"/>
    <w:rsid w:val="00B41DF8"/>
    <w:rsid w:val="00B53CEC"/>
    <w:rsid w:val="00B557F6"/>
    <w:rsid w:val="00B84A48"/>
    <w:rsid w:val="00B911D0"/>
    <w:rsid w:val="00B95DEC"/>
    <w:rsid w:val="00BA45E1"/>
    <w:rsid w:val="00BA6929"/>
    <w:rsid w:val="00BB55E2"/>
    <w:rsid w:val="00BC02BB"/>
    <w:rsid w:val="00BC25F7"/>
    <w:rsid w:val="00BC692D"/>
    <w:rsid w:val="00BD10A5"/>
    <w:rsid w:val="00BE065D"/>
    <w:rsid w:val="00BF1B54"/>
    <w:rsid w:val="00C01C8B"/>
    <w:rsid w:val="00C1054F"/>
    <w:rsid w:val="00C251E8"/>
    <w:rsid w:val="00C2525B"/>
    <w:rsid w:val="00C4067E"/>
    <w:rsid w:val="00C5737C"/>
    <w:rsid w:val="00C67437"/>
    <w:rsid w:val="00C721DE"/>
    <w:rsid w:val="00C74455"/>
    <w:rsid w:val="00C77D86"/>
    <w:rsid w:val="00C83381"/>
    <w:rsid w:val="00C833DD"/>
    <w:rsid w:val="00C93B10"/>
    <w:rsid w:val="00CA240E"/>
    <w:rsid w:val="00CB3DDF"/>
    <w:rsid w:val="00CC38A9"/>
    <w:rsid w:val="00CD3C6E"/>
    <w:rsid w:val="00CD482F"/>
    <w:rsid w:val="00CD61A4"/>
    <w:rsid w:val="00CE398D"/>
    <w:rsid w:val="00CE504B"/>
    <w:rsid w:val="00D21260"/>
    <w:rsid w:val="00D23A20"/>
    <w:rsid w:val="00D33EBD"/>
    <w:rsid w:val="00D503B1"/>
    <w:rsid w:val="00D56FB1"/>
    <w:rsid w:val="00D7131E"/>
    <w:rsid w:val="00D71B54"/>
    <w:rsid w:val="00D74B98"/>
    <w:rsid w:val="00D9444B"/>
    <w:rsid w:val="00DA14E3"/>
    <w:rsid w:val="00DB7F98"/>
    <w:rsid w:val="00DC7301"/>
    <w:rsid w:val="00DD38EE"/>
    <w:rsid w:val="00DD5356"/>
    <w:rsid w:val="00DF05B9"/>
    <w:rsid w:val="00DF4F73"/>
    <w:rsid w:val="00DF5903"/>
    <w:rsid w:val="00DF6F5F"/>
    <w:rsid w:val="00E10138"/>
    <w:rsid w:val="00E2011A"/>
    <w:rsid w:val="00E36FA0"/>
    <w:rsid w:val="00E44F1F"/>
    <w:rsid w:val="00E478F0"/>
    <w:rsid w:val="00E5496F"/>
    <w:rsid w:val="00E55376"/>
    <w:rsid w:val="00E62DFB"/>
    <w:rsid w:val="00E653F8"/>
    <w:rsid w:val="00E676DE"/>
    <w:rsid w:val="00E71DD1"/>
    <w:rsid w:val="00E81C14"/>
    <w:rsid w:val="00E90D2E"/>
    <w:rsid w:val="00E96247"/>
    <w:rsid w:val="00EC274F"/>
    <w:rsid w:val="00EC77E6"/>
    <w:rsid w:val="00ED5487"/>
    <w:rsid w:val="00EF6E15"/>
    <w:rsid w:val="00F016BC"/>
    <w:rsid w:val="00F0302F"/>
    <w:rsid w:val="00F0638D"/>
    <w:rsid w:val="00F116D4"/>
    <w:rsid w:val="00F11BC3"/>
    <w:rsid w:val="00F1292A"/>
    <w:rsid w:val="00F1753F"/>
    <w:rsid w:val="00F20B7F"/>
    <w:rsid w:val="00F2513E"/>
    <w:rsid w:val="00F2651B"/>
    <w:rsid w:val="00F42414"/>
    <w:rsid w:val="00F61440"/>
    <w:rsid w:val="00F61FD8"/>
    <w:rsid w:val="00F6262D"/>
    <w:rsid w:val="00F6408D"/>
    <w:rsid w:val="00F65D6E"/>
    <w:rsid w:val="00F71658"/>
    <w:rsid w:val="00F80CE1"/>
    <w:rsid w:val="00F82774"/>
    <w:rsid w:val="00F87DB2"/>
    <w:rsid w:val="00F917C0"/>
    <w:rsid w:val="00F92B3D"/>
    <w:rsid w:val="00FA364F"/>
    <w:rsid w:val="00FA5D55"/>
    <w:rsid w:val="00FB0938"/>
    <w:rsid w:val="00FB187E"/>
    <w:rsid w:val="00FB1A54"/>
    <w:rsid w:val="00FB1D9C"/>
    <w:rsid w:val="00FB4F8D"/>
    <w:rsid w:val="00FB6741"/>
    <w:rsid w:val="00FC1983"/>
    <w:rsid w:val="00FC72EA"/>
    <w:rsid w:val="00FC73B6"/>
    <w:rsid w:val="00FC7C86"/>
    <w:rsid w:val="00FD4F31"/>
    <w:rsid w:val="00FD58C2"/>
    <w:rsid w:val="00FD784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F61E24"/>
  <w15:chartTrackingRefBased/>
  <w15:docId w15:val="{0D17ACFC-7DBB-4564-A2D2-1423A644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1260"/>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D21260"/>
    <w:rPr>
      <w:rFonts w:ascii="Calibri" w:eastAsia="Calibri" w:hAnsi="Calibri" w:cs="Times New Roman"/>
      <w:lang w:val="sq-AL"/>
    </w:rPr>
  </w:style>
  <w:style w:type="paragraph" w:styleId="NoSpacing">
    <w:name w:val="No Spacing"/>
    <w:link w:val="NoSpacingChar"/>
    <w:uiPriority w:val="1"/>
    <w:qFormat/>
    <w:rsid w:val="00D21260"/>
    <w:pPr>
      <w:spacing w:after="0" w:line="240" w:lineRule="auto"/>
    </w:pPr>
    <w:rPr>
      <w:rFonts w:ascii="Calibri" w:eastAsia="Calibri" w:hAnsi="Calibri" w:cs="Times New Roman"/>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D21260"/>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21260"/>
    <w:pPr>
      <w:ind w:left="720"/>
      <w:contextualSpacing/>
    </w:pPr>
  </w:style>
  <w:style w:type="paragraph" w:styleId="Header">
    <w:name w:val="header"/>
    <w:basedOn w:val="Normal"/>
    <w:link w:val="HeaderChar"/>
    <w:uiPriority w:val="99"/>
    <w:unhideWhenUsed/>
    <w:rsid w:val="00D21260"/>
    <w:pPr>
      <w:tabs>
        <w:tab w:val="center" w:pos="4680"/>
        <w:tab w:val="right" w:pos="9360"/>
      </w:tabs>
      <w:spacing w:line="240" w:lineRule="auto"/>
    </w:pPr>
  </w:style>
  <w:style w:type="character" w:customStyle="1" w:styleId="HeaderChar">
    <w:name w:val="Header Char"/>
    <w:basedOn w:val="DefaultParagraphFont"/>
    <w:link w:val="Header"/>
    <w:uiPriority w:val="99"/>
    <w:rsid w:val="00D21260"/>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D21260"/>
    <w:pPr>
      <w:tabs>
        <w:tab w:val="center" w:pos="4680"/>
        <w:tab w:val="right" w:pos="9360"/>
      </w:tabs>
      <w:spacing w:line="240" w:lineRule="auto"/>
    </w:pPr>
  </w:style>
  <w:style w:type="character" w:customStyle="1" w:styleId="FooterChar">
    <w:name w:val="Footer Char"/>
    <w:basedOn w:val="DefaultParagraphFont"/>
    <w:link w:val="Footer"/>
    <w:uiPriority w:val="99"/>
    <w:rsid w:val="00D21260"/>
    <w:rPr>
      <w:rFonts w:ascii="Times New Roman" w:eastAsia="MS Mincho" w:hAnsi="Times New Roman" w:cs="Times New Roman"/>
      <w:sz w:val="24"/>
      <w:szCs w:val="24"/>
      <w:lang w:val="sq-AL"/>
    </w:rPr>
  </w:style>
  <w:style w:type="character" w:customStyle="1" w:styleId="sb8d990e2">
    <w:name w:val="sb8d990e2"/>
    <w:rsid w:val="00D21260"/>
  </w:style>
  <w:style w:type="paragraph" w:styleId="BodyTextIndent2">
    <w:name w:val="Body Text Indent 2"/>
    <w:basedOn w:val="Normal"/>
    <w:link w:val="BodyTextIndent2Char"/>
    <w:uiPriority w:val="99"/>
    <w:semiHidden/>
    <w:unhideWhenUsed/>
    <w:rsid w:val="00D21260"/>
    <w:pPr>
      <w:spacing w:after="200" w:line="276" w:lineRule="auto"/>
      <w:ind w:left="2880" w:hanging="2160"/>
      <w:jc w:val="both"/>
    </w:pPr>
    <w:rPr>
      <w:rFonts w:ascii="Calibri" w:eastAsia="Calibri" w:hAnsi="Calibri"/>
      <w:b/>
      <w:sz w:val="22"/>
      <w:szCs w:val="22"/>
    </w:rPr>
  </w:style>
  <w:style w:type="character" w:customStyle="1" w:styleId="BodyTextIndent2Char">
    <w:name w:val="Body Text Indent 2 Char"/>
    <w:basedOn w:val="DefaultParagraphFont"/>
    <w:link w:val="BodyTextIndent2"/>
    <w:uiPriority w:val="99"/>
    <w:semiHidden/>
    <w:rsid w:val="00D21260"/>
    <w:rPr>
      <w:rFonts w:ascii="Calibri" w:eastAsia="Calibri" w:hAnsi="Calibri" w:cs="Times New Roman"/>
      <w:b/>
      <w:lang w:val="sq-AL"/>
    </w:rPr>
  </w:style>
  <w:style w:type="character" w:customStyle="1" w:styleId="y2iqfc">
    <w:name w:val="y2iqfc"/>
    <w:rsid w:val="00D21260"/>
  </w:style>
  <w:style w:type="character" w:customStyle="1" w:styleId="s68f5eaef">
    <w:name w:val="s68f5eaef"/>
    <w:basedOn w:val="DefaultParagraphFont"/>
    <w:rsid w:val="00D21260"/>
  </w:style>
  <w:style w:type="character" w:customStyle="1" w:styleId="sbb9ee52a">
    <w:name w:val="sbb9ee52a"/>
    <w:basedOn w:val="DefaultParagraphFont"/>
    <w:rsid w:val="00D21260"/>
  </w:style>
  <w:style w:type="character" w:styleId="CommentReference">
    <w:name w:val="annotation reference"/>
    <w:basedOn w:val="DefaultParagraphFont"/>
    <w:uiPriority w:val="99"/>
    <w:semiHidden/>
    <w:unhideWhenUsed/>
    <w:rsid w:val="00AB07F0"/>
    <w:rPr>
      <w:sz w:val="16"/>
      <w:szCs w:val="16"/>
    </w:rPr>
  </w:style>
  <w:style w:type="paragraph" w:styleId="CommentText">
    <w:name w:val="annotation text"/>
    <w:basedOn w:val="Normal"/>
    <w:link w:val="CommentTextChar"/>
    <w:uiPriority w:val="99"/>
    <w:semiHidden/>
    <w:unhideWhenUsed/>
    <w:rsid w:val="00AB07F0"/>
    <w:pPr>
      <w:spacing w:line="240" w:lineRule="auto"/>
    </w:pPr>
    <w:rPr>
      <w:sz w:val="20"/>
      <w:szCs w:val="20"/>
    </w:rPr>
  </w:style>
  <w:style w:type="character" w:customStyle="1" w:styleId="CommentTextChar">
    <w:name w:val="Comment Text Char"/>
    <w:basedOn w:val="DefaultParagraphFont"/>
    <w:link w:val="CommentText"/>
    <w:uiPriority w:val="99"/>
    <w:semiHidden/>
    <w:rsid w:val="00AB07F0"/>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B07F0"/>
    <w:rPr>
      <w:b/>
      <w:bCs/>
    </w:rPr>
  </w:style>
  <w:style w:type="character" w:customStyle="1" w:styleId="CommentSubjectChar">
    <w:name w:val="Comment Subject Char"/>
    <w:basedOn w:val="CommentTextChar"/>
    <w:link w:val="CommentSubject"/>
    <w:uiPriority w:val="99"/>
    <w:semiHidden/>
    <w:rsid w:val="00AB07F0"/>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AB07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7F0"/>
    <w:rPr>
      <w:rFonts w:ascii="Segoe UI" w:eastAsia="MS Mincho" w:hAnsi="Segoe UI" w:cs="Segoe UI"/>
      <w:sz w:val="18"/>
      <w:szCs w:val="18"/>
      <w:lang w:val="sq-AL"/>
    </w:rPr>
  </w:style>
  <w:style w:type="paragraph" w:styleId="Revision">
    <w:name w:val="Revision"/>
    <w:hidden/>
    <w:uiPriority w:val="99"/>
    <w:semiHidden/>
    <w:rsid w:val="0046233D"/>
    <w:pPr>
      <w:spacing w:after="0" w:line="240" w:lineRule="auto"/>
    </w:pPr>
    <w:rPr>
      <w:rFonts w:ascii="Times New Roman" w:eastAsia="MS Mincho" w:hAnsi="Times New Roman" w:cs="Times New Roman"/>
      <w:sz w:val="24"/>
      <w:szCs w:val="24"/>
      <w:lang w:val="sq-AL"/>
    </w:rPr>
  </w:style>
  <w:style w:type="paragraph" w:styleId="FootnoteText">
    <w:name w:val="footnote text"/>
    <w:basedOn w:val="Normal"/>
    <w:link w:val="FootnoteTextChar"/>
    <w:uiPriority w:val="99"/>
    <w:unhideWhenUsed/>
    <w:rsid w:val="009F6A5A"/>
    <w:pPr>
      <w:spacing w:line="240" w:lineRule="auto"/>
    </w:pPr>
    <w:rPr>
      <w:sz w:val="20"/>
      <w:szCs w:val="20"/>
    </w:rPr>
  </w:style>
  <w:style w:type="character" w:customStyle="1" w:styleId="FootnoteTextChar">
    <w:name w:val="Footnote Text Char"/>
    <w:basedOn w:val="DefaultParagraphFont"/>
    <w:link w:val="FootnoteText"/>
    <w:uiPriority w:val="99"/>
    <w:semiHidden/>
    <w:rsid w:val="009F6A5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9F6A5A"/>
    <w:rPr>
      <w:vertAlign w:val="superscript"/>
    </w:rPr>
  </w:style>
  <w:style w:type="table" w:styleId="TableGrid">
    <w:name w:val="Table Grid"/>
    <w:basedOn w:val="TableNormal"/>
    <w:uiPriority w:val="39"/>
    <w:rsid w:val="001B1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09087">
      <w:bodyDiv w:val="1"/>
      <w:marLeft w:val="0"/>
      <w:marRight w:val="0"/>
      <w:marTop w:val="0"/>
      <w:marBottom w:val="0"/>
      <w:divBdr>
        <w:top w:val="none" w:sz="0" w:space="0" w:color="auto"/>
        <w:left w:val="none" w:sz="0" w:space="0" w:color="auto"/>
        <w:bottom w:val="none" w:sz="0" w:space="0" w:color="auto"/>
        <w:right w:val="none" w:sz="0" w:space="0" w:color="auto"/>
      </w:divBdr>
    </w:div>
    <w:div w:id="363530375">
      <w:bodyDiv w:val="1"/>
      <w:marLeft w:val="0"/>
      <w:marRight w:val="0"/>
      <w:marTop w:val="0"/>
      <w:marBottom w:val="0"/>
      <w:divBdr>
        <w:top w:val="none" w:sz="0" w:space="0" w:color="auto"/>
        <w:left w:val="none" w:sz="0" w:space="0" w:color="auto"/>
        <w:bottom w:val="none" w:sz="0" w:space="0" w:color="auto"/>
        <w:right w:val="none" w:sz="0" w:space="0" w:color="auto"/>
      </w:divBdr>
    </w:div>
    <w:div w:id="477265736">
      <w:bodyDiv w:val="1"/>
      <w:marLeft w:val="0"/>
      <w:marRight w:val="0"/>
      <w:marTop w:val="0"/>
      <w:marBottom w:val="0"/>
      <w:divBdr>
        <w:top w:val="none" w:sz="0" w:space="0" w:color="auto"/>
        <w:left w:val="none" w:sz="0" w:space="0" w:color="auto"/>
        <w:bottom w:val="none" w:sz="0" w:space="0" w:color="auto"/>
        <w:right w:val="none" w:sz="0" w:space="0" w:color="auto"/>
      </w:divBdr>
    </w:div>
    <w:div w:id="831607667">
      <w:bodyDiv w:val="1"/>
      <w:marLeft w:val="0"/>
      <w:marRight w:val="0"/>
      <w:marTop w:val="0"/>
      <w:marBottom w:val="0"/>
      <w:divBdr>
        <w:top w:val="none" w:sz="0" w:space="0" w:color="auto"/>
        <w:left w:val="none" w:sz="0" w:space="0" w:color="auto"/>
        <w:bottom w:val="none" w:sz="0" w:space="0" w:color="auto"/>
        <w:right w:val="none" w:sz="0" w:space="0" w:color="auto"/>
      </w:divBdr>
    </w:div>
    <w:div w:id="842816376">
      <w:bodyDiv w:val="1"/>
      <w:marLeft w:val="0"/>
      <w:marRight w:val="0"/>
      <w:marTop w:val="0"/>
      <w:marBottom w:val="0"/>
      <w:divBdr>
        <w:top w:val="none" w:sz="0" w:space="0" w:color="auto"/>
        <w:left w:val="none" w:sz="0" w:space="0" w:color="auto"/>
        <w:bottom w:val="none" w:sz="0" w:space="0" w:color="auto"/>
        <w:right w:val="none" w:sz="0" w:space="0" w:color="auto"/>
      </w:divBdr>
    </w:div>
    <w:div w:id="880677814">
      <w:bodyDiv w:val="1"/>
      <w:marLeft w:val="0"/>
      <w:marRight w:val="0"/>
      <w:marTop w:val="0"/>
      <w:marBottom w:val="0"/>
      <w:divBdr>
        <w:top w:val="none" w:sz="0" w:space="0" w:color="auto"/>
        <w:left w:val="none" w:sz="0" w:space="0" w:color="auto"/>
        <w:bottom w:val="none" w:sz="0" w:space="0" w:color="auto"/>
        <w:right w:val="none" w:sz="0" w:space="0" w:color="auto"/>
      </w:divBdr>
    </w:div>
    <w:div w:id="927737303">
      <w:bodyDiv w:val="1"/>
      <w:marLeft w:val="0"/>
      <w:marRight w:val="0"/>
      <w:marTop w:val="0"/>
      <w:marBottom w:val="0"/>
      <w:divBdr>
        <w:top w:val="none" w:sz="0" w:space="0" w:color="auto"/>
        <w:left w:val="none" w:sz="0" w:space="0" w:color="auto"/>
        <w:bottom w:val="none" w:sz="0" w:space="0" w:color="auto"/>
        <w:right w:val="none" w:sz="0" w:space="0" w:color="auto"/>
      </w:divBdr>
    </w:div>
    <w:div w:id="950816035">
      <w:bodyDiv w:val="1"/>
      <w:marLeft w:val="0"/>
      <w:marRight w:val="0"/>
      <w:marTop w:val="0"/>
      <w:marBottom w:val="0"/>
      <w:divBdr>
        <w:top w:val="none" w:sz="0" w:space="0" w:color="auto"/>
        <w:left w:val="none" w:sz="0" w:space="0" w:color="auto"/>
        <w:bottom w:val="none" w:sz="0" w:space="0" w:color="auto"/>
        <w:right w:val="none" w:sz="0" w:space="0" w:color="auto"/>
      </w:divBdr>
    </w:div>
    <w:div w:id="975064107">
      <w:bodyDiv w:val="1"/>
      <w:marLeft w:val="0"/>
      <w:marRight w:val="0"/>
      <w:marTop w:val="0"/>
      <w:marBottom w:val="0"/>
      <w:divBdr>
        <w:top w:val="none" w:sz="0" w:space="0" w:color="auto"/>
        <w:left w:val="none" w:sz="0" w:space="0" w:color="auto"/>
        <w:bottom w:val="none" w:sz="0" w:space="0" w:color="auto"/>
        <w:right w:val="none" w:sz="0" w:space="0" w:color="auto"/>
      </w:divBdr>
      <w:divsChild>
        <w:div w:id="1730303659">
          <w:marLeft w:val="0"/>
          <w:marRight w:val="0"/>
          <w:marTop w:val="15"/>
          <w:marBottom w:val="0"/>
          <w:divBdr>
            <w:top w:val="none" w:sz="0" w:space="0" w:color="auto"/>
            <w:left w:val="none" w:sz="0" w:space="0" w:color="auto"/>
            <w:bottom w:val="none" w:sz="0" w:space="0" w:color="auto"/>
            <w:right w:val="none" w:sz="0" w:space="0" w:color="auto"/>
          </w:divBdr>
          <w:divsChild>
            <w:div w:id="300884517">
              <w:marLeft w:val="0"/>
              <w:marRight w:val="0"/>
              <w:marTop w:val="0"/>
              <w:marBottom w:val="0"/>
              <w:divBdr>
                <w:top w:val="single" w:sz="6" w:space="0" w:color="808080"/>
                <w:left w:val="single" w:sz="6" w:space="0" w:color="808080"/>
                <w:bottom w:val="single" w:sz="6" w:space="0" w:color="808080"/>
                <w:right w:val="single" w:sz="6" w:space="0" w:color="808080"/>
              </w:divBdr>
              <w:divsChild>
                <w:div w:id="1541743722">
                  <w:marLeft w:val="0"/>
                  <w:marRight w:val="0"/>
                  <w:marTop w:val="0"/>
                  <w:marBottom w:val="0"/>
                  <w:divBdr>
                    <w:top w:val="none" w:sz="0" w:space="0" w:color="auto"/>
                    <w:left w:val="none" w:sz="0" w:space="0" w:color="auto"/>
                    <w:bottom w:val="none" w:sz="0" w:space="0" w:color="auto"/>
                    <w:right w:val="none" w:sz="0" w:space="0" w:color="auto"/>
                  </w:divBdr>
                </w:div>
                <w:div w:id="445848772">
                  <w:marLeft w:val="0"/>
                  <w:marRight w:val="0"/>
                  <w:marTop w:val="0"/>
                  <w:marBottom w:val="0"/>
                  <w:divBdr>
                    <w:top w:val="none" w:sz="0" w:space="0" w:color="auto"/>
                    <w:left w:val="none" w:sz="0" w:space="0" w:color="auto"/>
                    <w:bottom w:val="none" w:sz="0" w:space="0" w:color="auto"/>
                    <w:right w:val="none" w:sz="0" w:space="0" w:color="auto"/>
                  </w:divBdr>
                </w:div>
                <w:div w:id="169878509">
                  <w:marLeft w:val="0"/>
                  <w:marRight w:val="0"/>
                  <w:marTop w:val="0"/>
                  <w:marBottom w:val="0"/>
                  <w:divBdr>
                    <w:top w:val="none" w:sz="0" w:space="0" w:color="auto"/>
                    <w:left w:val="none" w:sz="0" w:space="0" w:color="auto"/>
                    <w:bottom w:val="none" w:sz="0" w:space="0" w:color="auto"/>
                    <w:right w:val="none" w:sz="0" w:space="0" w:color="auto"/>
                  </w:divBdr>
                </w:div>
                <w:div w:id="1222715273">
                  <w:marLeft w:val="0"/>
                  <w:marRight w:val="0"/>
                  <w:marTop w:val="0"/>
                  <w:marBottom w:val="0"/>
                  <w:divBdr>
                    <w:top w:val="none" w:sz="0" w:space="0" w:color="auto"/>
                    <w:left w:val="none" w:sz="0" w:space="0" w:color="auto"/>
                    <w:bottom w:val="none" w:sz="0" w:space="0" w:color="auto"/>
                    <w:right w:val="none" w:sz="0" w:space="0" w:color="auto"/>
                  </w:divBdr>
                </w:div>
                <w:div w:id="1261060196">
                  <w:marLeft w:val="0"/>
                  <w:marRight w:val="0"/>
                  <w:marTop w:val="0"/>
                  <w:marBottom w:val="0"/>
                  <w:divBdr>
                    <w:top w:val="none" w:sz="0" w:space="0" w:color="auto"/>
                    <w:left w:val="none" w:sz="0" w:space="0" w:color="auto"/>
                    <w:bottom w:val="none" w:sz="0" w:space="0" w:color="auto"/>
                    <w:right w:val="none" w:sz="0" w:space="0" w:color="auto"/>
                  </w:divBdr>
                </w:div>
                <w:div w:id="1431318031">
                  <w:marLeft w:val="0"/>
                  <w:marRight w:val="0"/>
                  <w:marTop w:val="0"/>
                  <w:marBottom w:val="0"/>
                  <w:divBdr>
                    <w:top w:val="none" w:sz="0" w:space="0" w:color="auto"/>
                    <w:left w:val="none" w:sz="0" w:space="0" w:color="auto"/>
                    <w:bottom w:val="none" w:sz="0" w:space="0" w:color="auto"/>
                    <w:right w:val="none" w:sz="0" w:space="0" w:color="auto"/>
                  </w:divBdr>
                </w:div>
                <w:div w:id="217205153">
                  <w:marLeft w:val="0"/>
                  <w:marRight w:val="0"/>
                  <w:marTop w:val="0"/>
                  <w:marBottom w:val="0"/>
                  <w:divBdr>
                    <w:top w:val="none" w:sz="0" w:space="0" w:color="auto"/>
                    <w:left w:val="none" w:sz="0" w:space="0" w:color="auto"/>
                    <w:bottom w:val="none" w:sz="0" w:space="0" w:color="auto"/>
                    <w:right w:val="none" w:sz="0" w:space="0" w:color="auto"/>
                  </w:divBdr>
                </w:div>
                <w:div w:id="1072386652">
                  <w:marLeft w:val="0"/>
                  <w:marRight w:val="0"/>
                  <w:marTop w:val="0"/>
                  <w:marBottom w:val="0"/>
                  <w:divBdr>
                    <w:top w:val="none" w:sz="0" w:space="0" w:color="auto"/>
                    <w:left w:val="none" w:sz="0" w:space="0" w:color="auto"/>
                    <w:bottom w:val="none" w:sz="0" w:space="0" w:color="auto"/>
                    <w:right w:val="none" w:sz="0" w:space="0" w:color="auto"/>
                  </w:divBdr>
                </w:div>
                <w:div w:id="695469390">
                  <w:marLeft w:val="0"/>
                  <w:marRight w:val="0"/>
                  <w:marTop w:val="0"/>
                  <w:marBottom w:val="0"/>
                  <w:divBdr>
                    <w:top w:val="none" w:sz="0" w:space="0" w:color="auto"/>
                    <w:left w:val="none" w:sz="0" w:space="0" w:color="auto"/>
                    <w:bottom w:val="none" w:sz="0" w:space="0" w:color="auto"/>
                    <w:right w:val="none" w:sz="0" w:space="0" w:color="auto"/>
                  </w:divBdr>
                </w:div>
                <w:div w:id="355278702">
                  <w:marLeft w:val="0"/>
                  <w:marRight w:val="0"/>
                  <w:marTop w:val="0"/>
                  <w:marBottom w:val="0"/>
                  <w:divBdr>
                    <w:top w:val="none" w:sz="0" w:space="0" w:color="auto"/>
                    <w:left w:val="none" w:sz="0" w:space="0" w:color="auto"/>
                    <w:bottom w:val="none" w:sz="0" w:space="0" w:color="auto"/>
                    <w:right w:val="none" w:sz="0" w:space="0" w:color="auto"/>
                  </w:divBdr>
                </w:div>
                <w:div w:id="1355113506">
                  <w:marLeft w:val="0"/>
                  <w:marRight w:val="0"/>
                  <w:marTop w:val="0"/>
                  <w:marBottom w:val="0"/>
                  <w:divBdr>
                    <w:top w:val="none" w:sz="0" w:space="0" w:color="auto"/>
                    <w:left w:val="none" w:sz="0" w:space="0" w:color="auto"/>
                    <w:bottom w:val="none" w:sz="0" w:space="0" w:color="auto"/>
                    <w:right w:val="none" w:sz="0" w:space="0" w:color="auto"/>
                  </w:divBdr>
                </w:div>
                <w:div w:id="365495026">
                  <w:marLeft w:val="0"/>
                  <w:marRight w:val="0"/>
                  <w:marTop w:val="0"/>
                  <w:marBottom w:val="0"/>
                  <w:divBdr>
                    <w:top w:val="none" w:sz="0" w:space="0" w:color="auto"/>
                    <w:left w:val="none" w:sz="0" w:space="0" w:color="auto"/>
                    <w:bottom w:val="none" w:sz="0" w:space="0" w:color="auto"/>
                    <w:right w:val="none" w:sz="0" w:space="0" w:color="auto"/>
                  </w:divBdr>
                </w:div>
                <w:div w:id="308897990">
                  <w:marLeft w:val="0"/>
                  <w:marRight w:val="0"/>
                  <w:marTop w:val="0"/>
                  <w:marBottom w:val="0"/>
                  <w:divBdr>
                    <w:top w:val="none" w:sz="0" w:space="0" w:color="auto"/>
                    <w:left w:val="none" w:sz="0" w:space="0" w:color="auto"/>
                    <w:bottom w:val="none" w:sz="0" w:space="0" w:color="auto"/>
                    <w:right w:val="none" w:sz="0" w:space="0" w:color="auto"/>
                  </w:divBdr>
                </w:div>
                <w:div w:id="487554045">
                  <w:marLeft w:val="0"/>
                  <w:marRight w:val="0"/>
                  <w:marTop w:val="0"/>
                  <w:marBottom w:val="0"/>
                  <w:divBdr>
                    <w:top w:val="none" w:sz="0" w:space="0" w:color="auto"/>
                    <w:left w:val="none" w:sz="0" w:space="0" w:color="auto"/>
                    <w:bottom w:val="none" w:sz="0" w:space="0" w:color="auto"/>
                    <w:right w:val="none" w:sz="0" w:space="0" w:color="auto"/>
                  </w:divBdr>
                </w:div>
                <w:div w:id="1048066414">
                  <w:marLeft w:val="0"/>
                  <w:marRight w:val="0"/>
                  <w:marTop w:val="0"/>
                  <w:marBottom w:val="0"/>
                  <w:divBdr>
                    <w:top w:val="none" w:sz="0" w:space="0" w:color="auto"/>
                    <w:left w:val="none" w:sz="0" w:space="0" w:color="auto"/>
                    <w:bottom w:val="none" w:sz="0" w:space="0" w:color="auto"/>
                    <w:right w:val="none" w:sz="0" w:space="0" w:color="auto"/>
                  </w:divBdr>
                </w:div>
                <w:div w:id="1526602216">
                  <w:marLeft w:val="0"/>
                  <w:marRight w:val="0"/>
                  <w:marTop w:val="0"/>
                  <w:marBottom w:val="0"/>
                  <w:divBdr>
                    <w:top w:val="none" w:sz="0" w:space="0" w:color="auto"/>
                    <w:left w:val="none" w:sz="0" w:space="0" w:color="auto"/>
                    <w:bottom w:val="none" w:sz="0" w:space="0" w:color="auto"/>
                    <w:right w:val="none" w:sz="0" w:space="0" w:color="auto"/>
                  </w:divBdr>
                </w:div>
                <w:div w:id="1835954606">
                  <w:marLeft w:val="0"/>
                  <w:marRight w:val="0"/>
                  <w:marTop w:val="0"/>
                  <w:marBottom w:val="0"/>
                  <w:divBdr>
                    <w:top w:val="none" w:sz="0" w:space="0" w:color="auto"/>
                    <w:left w:val="none" w:sz="0" w:space="0" w:color="auto"/>
                    <w:bottom w:val="none" w:sz="0" w:space="0" w:color="auto"/>
                    <w:right w:val="none" w:sz="0" w:space="0" w:color="auto"/>
                  </w:divBdr>
                </w:div>
                <w:div w:id="1230461559">
                  <w:marLeft w:val="0"/>
                  <w:marRight w:val="0"/>
                  <w:marTop w:val="0"/>
                  <w:marBottom w:val="0"/>
                  <w:divBdr>
                    <w:top w:val="none" w:sz="0" w:space="0" w:color="auto"/>
                    <w:left w:val="none" w:sz="0" w:space="0" w:color="auto"/>
                    <w:bottom w:val="none" w:sz="0" w:space="0" w:color="auto"/>
                    <w:right w:val="none" w:sz="0" w:space="0" w:color="auto"/>
                  </w:divBdr>
                </w:div>
                <w:div w:id="8519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51518">
          <w:marLeft w:val="0"/>
          <w:marRight w:val="0"/>
          <w:marTop w:val="15"/>
          <w:marBottom w:val="0"/>
          <w:divBdr>
            <w:top w:val="none" w:sz="0" w:space="0" w:color="auto"/>
            <w:left w:val="none" w:sz="0" w:space="0" w:color="auto"/>
            <w:bottom w:val="none" w:sz="0" w:space="0" w:color="auto"/>
            <w:right w:val="none" w:sz="0" w:space="0" w:color="auto"/>
          </w:divBdr>
          <w:divsChild>
            <w:div w:id="1803427806">
              <w:marLeft w:val="0"/>
              <w:marRight w:val="0"/>
              <w:marTop w:val="0"/>
              <w:marBottom w:val="0"/>
              <w:divBdr>
                <w:top w:val="single" w:sz="6" w:space="0" w:color="808080"/>
                <w:left w:val="single" w:sz="6" w:space="0" w:color="808080"/>
                <w:bottom w:val="single" w:sz="6" w:space="0" w:color="808080"/>
                <w:right w:val="single" w:sz="6" w:space="0" w:color="808080"/>
              </w:divBdr>
              <w:divsChild>
                <w:div w:id="122240153">
                  <w:marLeft w:val="0"/>
                  <w:marRight w:val="0"/>
                  <w:marTop w:val="0"/>
                  <w:marBottom w:val="0"/>
                  <w:divBdr>
                    <w:top w:val="none" w:sz="0" w:space="0" w:color="auto"/>
                    <w:left w:val="none" w:sz="0" w:space="0" w:color="auto"/>
                    <w:bottom w:val="none" w:sz="0" w:space="0" w:color="auto"/>
                    <w:right w:val="none" w:sz="0" w:space="0" w:color="auto"/>
                  </w:divBdr>
                </w:div>
                <w:div w:id="1262764835">
                  <w:marLeft w:val="0"/>
                  <w:marRight w:val="0"/>
                  <w:marTop w:val="0"/>
                  <w:marBottom w:val="0"/>
                  <w:divBdr>
                    <w:top w:val="none" w:sz="0" w:space="0" w:color="auto"/>
                    <w:left w:val="none" w:sz="0" w:space="0" w:color="auto"/>
                    <w:bottom w:val="none" w:sz="0" w:space="0" w:color="auto"/>
                    <w:right w:val="none" w:sz="0" w:space="0" w:color="auto"/>
                  </w:divBdr>
                </w:div>
                <w:div w:id="585116592">
                  <w:marLeft w:val="0"/>
                  <w:marRight w:val="0"/>
                  <w:marTop w:val="0"/>
                  <w:marBottom w:val="0"/>
                  <w:divBdr>
                    <w:top w:val="none" w:sz="0" w:space="0" w:color="auto"/>
                    <w:left w:val="none" w:sz="0" w:space="0" w:color="auto"/>
                    <w:bottom w:val="none" w:sz="0" w:space="0" w:color="auto"/>
                    <w:right w:val="none" w:sz="0" w:space="0" w:color="auto"/>
                  </w:divBdr>
                </w:div>
                <w:div w:id="404305345">
                  <w:marLeft w:val="0"/>
                  <w:marRight w:val="0"/>
                  <w:marTop w:val="0"/>
                  <w:marBottom w:val="0"/>
                  <w:divBdr>
                    <w:top w:val="none" w:sz="0" w:space="0" w:color="auto"/>
                    <w:left w:val="none" w:sz="0" w:space="0" w:color="auto"/>
                    <w:bottom w:val="none" w:sz="0" w:space="0" w:color="auto"/>
                    <w:right w:val="none" w:sz="0" w:space="0" w:color="auto"/>
                  </w:divBdr>
                </w:div>
                <w:div w:id="899831425">
                  <w:marLeft w:val="0"/>
                  <w:marRight w:val="0"/>
                  <w:marTop w:val="0"/>
                  <w:marBottom w:val="0"/>
                  <w:divBdr>
                    <w:top w:val="none" w:sz="0" w:space="0" w:color="auto"/>
                    <w:left w:val="none" w:sz="0" w:space="0" w:color="auto"/>
                    <w:bottom w:val="none" w:sz="0" w:space="0" w:color="auto"/>
                    <w:right w:val="none" w:sz="0" w:space="0" w:color="auto"/>
                  </w:divBdr>
                </w:div>
                <w:div w:id="955673587">
                  <w:marLeft w:val="0"/>
                  <w:marRight w:val="0"/>
                  <w:marTop w:val="0"/>
                  <w:marBottom w:val="0"/>
                  <w:divBdr>
                    <w:top w:val="none" w:sz="0" w:space="0" w:color="auto"/>
                    <w:left w:val="none" w:sz="0" w:space="0" w:color="auto"/>
                    <w:bottom w:val="none" w:sz="0" w:space="0" w:color="auto"/>
                    <w:right w:val="none" w:sz="0" w:space="0" w:color="auto"/>
                  </w:divBdr>
                </w:div>
                <w:div w:id="1608780777">
                  <w:marLeft w:val="0"/>
                  <w:marRight w:val="0"/>
                  <w:marTop w:val="0"/>
                  <w:marBottom w:val="0"/>
                  <w:divBdr>
                    <w:top w:val="none" w:sz="0" w:space="0" w:color="auto"/>
                    <w:left w:val="none" w:sz="0" w:space="0" w:color="auto"/>
                    <w:bottom w:val="none" w:sz="0" w:space="0" w:color="auto"/>
                    <w:right w:val="none" w:sz="0" w:space="0" w:color="auto"/>
                  </w:divBdr>
                </w:div>
                <w:div w:id="2034917952">
                  <w:marLeft w:val="0"/>
                  <w:marRight w:val="0"/>
                  <w:marTop w:val="0"/>
                  <w:marBottom w:val="0"/>
                  <w:divBdr>
                    <w:top w:val="none" w:sz="0" w:space="0" w:color="auto"/>
                    <w:left w:val="none" w:sz="0" w:space="0" w:color="auto"/>
                    <w:bottom w:val="none" w:sz="0" w:space="0" w:color="auto"/>
                    <w:right w:val="none" w:sz="0" w:space="0" w:color="auto"/>
                  </w:divBdr>
                </w:div>
                <w:div w:id="1264336139">
                  <w:marLeft w:val="0"/>
                  <w:marRight w:val="0"/>
                  <w:marTop w:val="0"/>
                  <w:marBottom w:val="0"/>
                  <w:divBdr>
                    <w:top w:val="none" w:sz="0" w:space="0" w:color="auto"/>
                    <w:left w:val="none" w:sz="0" w:space="0" w:color="auto"/>
                    <w:bottom w:val="none" w:sz="0" w:space="0" w:color="auto"/>
                    <w:right w:val="none" w:sz="0" w:space="0" w:color="auto"/>
                  </w:divBdr>
                </w:div>
                <w:div w:id="1893227526">
                  <w:marLeft w:val="0"/>
                  <w:marRight w:val="0"/>
                  <w:marTop w:val="0"/>
                  <w:marBottom w:val="0"/>
                  <w:divBdr>
                    <w:top w:val="none" w:sz="0" w:space="0" w:color="auto"/>
                    <w:left w:val="none" w:sz="0" w:space="0" w:color="auto"/>
                    <w:bottom w:val="none" w:sz="0" w:space="0" w:color="auto"/>
                    <w:right w:val="none" w:sz="0" w:space="0" w:color="auto"/>
                  </w:divBdr>
                </w:div>
                <w:div w:id="76902009">
                  <w:marLeft w:val="0"/>
                  <w:marRight w:val="0"/>
                  <w:marTop w:val="0"/>
                  <w:marBottom w:val="0"/>
                  <w:divBdr>
                    <w:top w:val="none" w:sz="0" w:space="0" w:color="auto"/>
                    <w:left w:val="none" w:sz="0" w:space="0" w:color="auto"/>
                    <w:bottom w:val="none" w:sz="0" w:space="0" w:color="auto"/>
                    <w:right w:val="none" w:sz="0" w:space="0" w:color="auto"/>
                  </w:divBdr>
                </w:div>
                <w:div w:id="923150961">
                  <w:marLeft w:val="0"/>
                  <w:marRight w:val="0"/>
                  <w:marTop w:val="0"/>
                  <w:marBottom w:val="0"/>
                  <w:divBdr>
                    <w:top w:val="none" w:sz="0" w:space="0" w:color="auto"/>
                    <w:left w:val="none" w:sz="0" w:space="0" w:color="auto"/>
                    <w:bottom w:val="none" w:sz="0" w:space="0" w:color="auto"/>
                    <w:right w:val="none" w:sz="0" w:space="0" w:color="auto"/>
                  </w:divBdr>
                </w:div>
                <w:div w:id="1251549328">
                  <w:marLeft w:val="0"/>
                  <w:marRight w:val="0"/>
                  <w:marTop w:val="0"/>
                  <w:marBottom w:val="0"/>
                  <w:divBdr>
                    <w:top w:val="none" w:sz="0" w:space="0" w:color="auto"/>
                    <w:left w:val="none" w:sz="0" w:space="0" w:color="auto"/>
                    <w:bottom w:val="none" w:sz="0" w:space="0" w:color="auto"/>
                    <w:right w:val="none" w:sz="0" w:space="0" w:color="auto"/>
                  </w:divBdr>
                </w:div>
                <w:div w:id="1054548762">
                  <w:marLeft w:val="0"/>
                  <w:marRight w:val="0"/>
                  <w:marTop w:val="0"/>
                  <w:marBottom w:val="0"/>
                  <w:divBdr>
                    <w:top w:val="none" w:sz="0" w:space="0" w:color="auto"/>
                    <w:left w:val="none" w:sz="0" w:space="0" w:color="auto"/>
                    <w:bottom w:val="none" w:sz="0" w:space="0" w:color="auto"/>
                    <w:right w:val="none" w:sz="0" w:space="0" w:color="auto"/>
                  </w:divBdr>
                </w:div>
                <w:div w:id="1003356756">
                  <w:marLeft w:val="0"/>
                  <w:marRight w:val="0"/>
                  <w:marTop w:val="0"/>
                  <w:marBottom w:val="0"/>
                  <w:divBdr>
                    <w:top w:val="none" w:sz="0" w:space="0" w:color="auto"/>
                    <w:left w:val="none" w:sz="0" w:space="0" w:color="auto"/>
                    <w:bottom w:val="none" w:sz="0" w:space="0" w:color="auto"/>
                    <w:right w:val="none" w:sz="0" w:space="0" w:color="auto"/>
                  </w:divBdr>
                </w:div>
                <w:div w:id="120641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86533">
      <w:bodyDiv w:val="1"/>
      <w:marLeft w:val="0"/>
      <w:marRight w:val="0"/>
      <w:marTop w:val="0"/>
      <w:marBottom w:val="0"/>
      <w:divBdr>
        <w:top w:val="none" w:sz="0" w:space="0" w:color="auto"/>
        <w:left w:val="none" w:sz="0" w:space="0" w:color="auto"/>
        <w:bottom w:val="none" w:sz="0" w:space="0" w:color="auto"/>
        <w:right w:val="none" w:sz="0" w:space="0" w:color="auto"/>
      </w:divBdr>
    </w:div>
    <w:div w:id="1027876993">
      <w:bodyDiv w:val="1"/>
      <w:marLeft w:val="0"/>
      <w:marRight w:val="0"/>
      <w:marTop w:val="0"/>
      <w:marBottom w:val="0"/>
      <w:divBdr>
        <w:top w:val="none" w:sz="0" w:space="0" w:color="auto"/>
        <w:left w:val="none" w:sz="0" w:space="0" w:color="auto"/>
        <w:bottom w:val="none" w:sz="0" w:space="0" w:color="auto"/>
        <w:right w:val="none" w:sz="0" w:space="0" w:color="auto"/>
      </w:divBdr>
    </w:div>
    <w:div w:id="1105999998">
      <w:bodyDiv w:val="1"/>
      <w:marLeft w:val="0"/>
      <w:marRight w:val="0"/>
      <w:marTop w:val="0"/>
      <w:marBottom w:val="0"/>
      <w:divBdr>
        <w:top w:val="none" w:sz="0" w:space="0" w:color="auto"/>
        <w:left w:val="none" w:sz="0" w:space="0" w:color="auto"/>
        <w:bottom w:val="none" w:sz="0" w:space="0" w:color="auto"/>
        <w:right w:val="none" w:sz="0" w:space="0" w:color="auto"/>
      </w:divBdr>
    </w:div>
    <w:div w:id="1152453982">
      <w:bodyDiv w:val="1"/>
      <w:marLeft w:val="0"/>
      <w:marRight w:val="0"/>
      <w:marTop w:val="0"/>
      <w:marBottom w:val="0"/>
      <w:divBdr>
        <w:top w:val="none" w:sz="0" w:space="0" w:color="auto"/>
        <w:left w:val="none" w:sz="0" w:space="0" w:color="auto"/>
        <w:bottom w:val="none" w:sz="0" w:space="0" w:color="auto"/>
        <w:right w:val="none" w:sz="0" w:space="0" w:color="auto"/>
      </w:divBdr>
    </w:div>
    <w:div w:id="1407915063">
      <w:bodyDiv w:val="1"/>
      <w:marLeft w:val="0"/>
      <w:marRight w:val="0"/>
      <w:marTop w:val="0"/>
      <w:marBottom w:val="0"/>
      <w:divBdr>
        <w:top w:val="none" w:sz="0" w:space="0" w:color="auto"/>
        <w:left w:val="none" w:sz="0" w:space="0" w:color="auto"/>
        <w:bottom w:val="none" w:sz="0" w:space="0" w:color="auto"/>
        <w:right w:val="none" w:sz="0" w:space="0" w:color="auto"/>
      </w:divBdr>
    </w:div>
    <w:div w:id="1435323238">
      <w:bodyDiv w:val="1"/>
      <w:marLeft w:val="0"/>
      <w:marRight w:val="0"/>
      <w:marTop w:val="0"/>
      <w:marBottom w:val="0"/>
      <w:divBdr>
        <w:top w:val="none" w:sz="0" w:space="0" w:color="auto"/>
        <w:left w:val="none" w:sz="0" w:space="0" w:color="auto"/>
        <w:bottom w:val="none" w:sz="0" w:space="0" w:color="auto"/>
        <w:right w:val="none" w:sz="0" w:space="0" w:color="auto"/>
      </w:divBdr>
    </w:div>
    <w:div w:id="1512253386">
      <w:bodyDiv w:val="1"/>
      <w:marLeft w:val="0"/>
      <w:marRight w:val="0"/>
      <w:marTop w:val="0"/>
      <w:marBottom w:val="0"/>
      <w:divBdr>
        <w:top w:val="none" w:sz="0" w:space="0" w:color="auto"/>
        <w:left w:val="none" w:sz="0" w:space="0" w:color="auto"/>
        <w:bottom w:val="none" w:sz="0" w:space="0" w:color="auto"/>
        <w:right w:val="none" w:sz="0" w:space="0" w:color="auto"/>
      </w:divBdr>
    </w:div>
    <w:div w:id="1525710126">
      <w:bodyDiv w:val="1"/>
      <w:marLeft w:val="0"/>
      <w:marRight w:val="0"/>
      <w:marTop w:val="0"/>
      <w:marBottom w:val="0"/>
      <w:divBdr>
        <w:top w:val="none" w:sz="0" w:space="0" w:color="auto"/>
        <w:left w:val="none" w:sz="0" w:space="0" w:color="auto"/>
        <w:bottom w:val="none" w:sz="0" w:space="0" w:color="auto"/>
        <w:right w:val="none" w:sz="0" w:space="0" w:color="auto"/>
      </w:divBdr>
    </w:div>
    <w:div w:id="1723213855">
      <w:bodyDiv w:val="1"/>
      <w:marLeft w:val="0"/>
      <w:marRight w:val="0"/>
      <w:marTop w:val="0"/>
      <w:marBottom w:val="0"/>
      <w:divBdr>
        <w:top w:val="none" w:sz="0" w:space="0" w:color="auto"/>
        <w:left w:val="none" w:sz="0" w:space="0" w:color="auto"/>
        <w:bottom w:val="none" w:sz="0" w:space="0" w:color="auto"/>
        <w:right w:val="none" w:sz="0" w:space="0" w:color="auto"/>
      </w:divBdr>
    </w:div>
    <w:div w:id="183691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2026-05-15T10:04:59Z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2026-05-14T00:00:00Z</Date_x0020_protokolli>
    <Titulli xmlns="0e656187-b300-4fb0-8bf4-3a50f872073c">Me objekt shfuqizimin e vendimit nr. 00-2025-975, datë 18.3.2025 të Kolegjit Civil të Gjykatës së Lartë, si i papajtueshëm me Kushtetutën e Republikës së Shqipërisë. Konstatimin e shkeljes së afatit të arsyeshëm dhe përshpejtimin e procedurave për çështjen nr. 11216-01487-00-2018 regjistri, datë 3.5.2018, në shqyrtim në Gjykatën e Lartë.</Titulli>
    <Modifikuesi xmlns="0e656187-b300-4fb0-8bf4-3a50f872073c">alma.lisaku</Modifikuesi>
    <Nr_x002e__x0020_prot_x0020_QBZ xmlns="0e656187-b300-4fb0-8bf4-3a50f872073c">1084/1</Nr_x002e__x0020_prot_x0020_QBZ>
    <Data_x0020_e_x0020_Modifikimit xmlns="0e656187-b300-4fb0-8bf4-3a50f872073c">2026-05-18T09:16:34Z</Data_x0020_e_x0020_Modifikimit>
    <Dekretuar xmlns="0e656187-b300-4fb0-8bf4-3a50f872073c">false</Dekretuar>
    <Data xmlns="0e656187-b300-4fb0-8bf4-3a50f872073c">2026-03-17T00:00:00Z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0308A6F25C84574AFA332D880E612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308A6F25C84574AFA332D880E612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F87D3-3B0E-40B7-A816-08AFDD386F90}">
  <ds:schemaRefs>
    <ds:schemaRef ds:uri="http://schemas.microsoft.com/office/2006/documentManagement/types"/>
    <ds:schemaRef ds:uri="http://purl.org/dc/elements/1.1/"/>
    <ds:schemaRef ds:uri="http://www.w3.org/XML/1998/namespace"/>
    <ds:schemaRef ds:uri="http://schemas.microsoft.com/office/2006/metadata/properties"/>
    <ds:schemaRef ds:uri="0e656187-b300-4fb0-8bf4-3a50f872073c"/>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17A35FDF-B089-4DCA-A48C-F774CCC33B10}">
  <ds:schemaRefs>
    <ds:schemaRef ds:uri="http://schemas.microsoft.com/sharepoint/v3/contenttype/forms"/>
  </ds:schemaRefs>
</ds:datastoreItem>
</file>

<file path=customXml/itemProps3.xml><?xml version="1.0" encoding="utf-8"?>
<ds:datastoreItem xmlns:ds="http://schemas.openxmlformats.org/officeDocument/2006/customXml" ds:itemID="{409D34EF-A70D-43F1-AAEC-EC276203D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19C36C0-95EA-4DB2-96AE-0CA3532E090D}">
  <ds:schemaRefs>
    <ds:schemaRef ds:uri="http://schemas.microsoft.com/sharepoint/v3/contenttype/forms"/>
  </ds:schemaRefs>
</ds:datastoreItem>
</file>

<file path=customXml/itemProps5.xml><?xml version="1.0" encoding="utf-8"?>
<ds:datastoreItem xmlns:ds="http://schemas.openxmlformats.org/officeDocument/2006/customXml" ds:itemID="{96FDEC7F-6ED2-4736-BD17-DE4BFC9A2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813E253-0918-43BF-AD9A-394D6CA2A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3687</Words>
  <Characters>21022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Me objekt shfuqizimin e vendimit nr. 00-2025-975, datë 18.3.2025 të Kolegjit Civil të Gjykatës së Lartë, si i papajtueshëm me Kushtetutën e Republikës së Shqipërisë. Konstatimin e shkeljes së afatit të arsyeshëm dhe përshpejtimin e procedurave për çështje</vt:lpstr>
    </vt:vector>
  </TitlesOfParts>
  <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00-2025-975, datë 18.3.2025 të Kolegjit Civil të Gjykatës së Lartë, si i papajtueshëm me Kushtetutën e Republikës së Shqipërisë. Konstatimin e shkeljes së afatit të arsyeshëm dhe përshpejtimin e procedurave për çështjen nr. 11216-01487-00-2018 regjistri, datë 3.5.2018, në shqyrtim në Gjykatën e Lartë.</dc:title>
  <dc:creator>Drita Shkurti</dc:creator>
  <cp:lastModifiedBy>Amarilda Muja</cp:lastModifiedBy>
  <cp:revision>21</cp:revision>
  <cp:lastPrinted>2025-10-30T13:08:00Z</cp:lastPrinted>
  <dcterms:created xsi:type="dcterms:W3CDTF">2026-05-15T09:08:00Z</dcterms:created>
  <dcterms:modified xsi:type="dcterms:W3CDTF">2026-05-18T09:29:00Z</dcterms:modified>
</cp:coreProperties>
</file>