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D3B98" w14:textId="0CBD340B" w:rsidR="00EE233C" w:rsidRPr="00C94B0D" w:rsidRDefault="00EE233C" w:rsidP="008610EC">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C94B0D">
        <w:rPr>
          <w:rFonts w:ascii="Garamond" w:eastAsia="Times New Roman" w:hAnsi="Garamond" w:cs="Times New Roman"/>
          <w:b/>
          <w:bCs/>
          <w:sz w:val="24"/>
          <w:szCs w:val="24"/>
        </w:rPr>
        <w:t>VENDIM</w:t>
      </w:r>
    </w:p>
    <w:p w14:paraId="6E03EE2C" w14:textId="1AAE019C" w:rsidR="008610EC" w:rsidRPr="00C94B0D" w:rsidRDefault="008610EC" w:rsidP="008610EC">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94B0D">
        <w:rPr>
          <w:rFonts w:ascii="Garamond" w:eastAsiaTheme="minorHAnsi" w:hAnsi="Garamond"/>
          <w:b/>
          <w:bCs/>
          <w:color w:val="000000"/>
          <w:sz w:val="24"/>
          <w:szCs w:val="24"/>
        </w:rPr>
        <w:t xml:space="preserve">Nr. 35, datë </w:t>
      </w:r>
      <w:r w:rsidRPr="00C94B0D">
        <w:rPr>
          <w:rFonts w:ascii="Garamond" w:hAnsi="Garamond" w:cs="Times New Roman"/>
          <w:b/>
          <w:sz w:val="24"/>
          <w:szCs w:val="24"/>
          <w:lang w:eastAsia="fr-FR"/>
        </w:rPr>
        <w:t>18.3.2026</w:t>
      </w:r>
    </w:p>
    <w:p w14:paraId="07055031" w14:textId="77777777" w:rsidR="008610EC" w:rsidRPr="00C94B0D" w:rsidRDefault="008610EC" w:rsidP="008610EC">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1A5D3B99" w14:textId="4846BD57" w:rsidR="00EE233C" w:rsidRPr="00C94B0D" w:rsidRDefault="00EE233C" w:rsidP="008610EC">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C94B0D">
        <w:rPr>
          <w:rFonts w:ascii="Garamond" w:eastAsia="Times New Roman" w:hAnsi="Garamond" w:cs="Times New Roman"/>
          <w:b/>
          <w:bCs/>
          <w:sz w:val="24"/>
          <w:szCs w:val="24"/>
        </w:rPr>
        <w:t>NË E</w:t>
      </w:r>
      <w:r w:rsidR="00C94B0D" w:rsidRPr="00C94B0D">
        <w:rPr>
          <w:rFonts w:ascii="Garamond" w:eastAsia="Times New Roman" w:hAnsi="Garamond" w:cs="Times New Roman"/>
          <w:b/>
          <w:bCs/>
          <w:sz w:val="24"/>
          <w:szCs w:val="24"/>
        </w:rPr>
        <w:t>MËR TË REPUBLIKËS SË SHQIPËRISË</w:t>
      </w:r>
    </w:p>
    <w:p w14:paraId="1A5D3B9A" w14:textId="77777777" w:rsidR="00EE233C" w:rsidRPr="00C94B0D" w:rsidRDefault="00EE233C" w:rsidP="008610EC">
      <w:pPr>
        <w:tabs>
          <w:tab w:val="left" w:pos="1080"/>
        </w:tabs>
        <w:spacing w:after="0" w:line="240" w:lineRule="auto"/>
        <w:ind w:firstLine="284"/>
        <w:contextualSpacing/>
        <w:jc w:val="both"/>
        <w:rPr>
          <w:rFonts w:ascii="Garamond" w:hAnsi="Garamond" w:cs="Times New Roman"/>
          <w:b/>
          <w:bCs/>
          <w:sz w:val="24"/>
          <w:szCs w:val="24"/>
          <w:u w:val="single"/>
        </w:rPr>
      </w:pPr>
    </w:p>
    <w:p w14:paraId="1A5D3B9B" w14:textId="77777777" w:rsidR="00EE233C" w:rsidRPr="00C94B0D" w:rsidRDefault="00EE233C" w:rsidP="008610EC">
      <w:pPr>
        <w:spacing w:after="0" w:line="240" w:lineRule="auto"/>
        <w:ind w:firstLine="284"/>
        <w:jc w:val="both"/>
        <w:rPr>
          <w:rFonts w:ascii="Garamond" w:hAnsi="Garamond" w:cs="Times New Roman"/>
          <w:sz w:val="24"/>
          <w:szCs w:val="24"/>
        </w:rPr>
      </w:pPr>
      <w:r w:rsidRPr="00C94B0D">
        <w:rPr>
          <w:rFonts w:ascii="Garamond" w:hAnsi="Garamond" w:cs="Times New Roman"/>
          <w:sz w:val="24"/>
          <w:szCs w:val="24"/>
        </w:rPr>
        <w:t>Gjykata Kushtetuese e Republikës së Shqipërisë, e përbërë nga:</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098"/>
      </w:tblGrid>
      <w:tr w:rsidR="008610EC" w:rsidRPr="00C94B0D" w14:paraId="5E2AA319" w14:textId="77777777" w:rsidTr="00C94B0D">
        <w:trPr>
          <w:trHeight w:val="20"/>
        </w:trPr>
        <w:tc>
          <w:tcPr>
            <w:tcW w:w="2610" w:type="dxa"/>
          </w:tcPr>
          <w:p w14:paraId="3BCB7BE3" w14:textId="7026F886"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Fiona Papajorgji</w:t>
            </w:r>
            <w:r w:rsidR="00C94B0D">
              <w:rPr>
                <w:rFonts w:ascii="Garamond" w:hAnsi="Garamond" w:cs="Times New Roman"/>
                <w:bCs/>
                <w:sz w:val="24"/>
                <w:szCs w:val="24"/>
              </w:rPr>
              <w:t>,</w:t>
            </w:r>
          </w:p>
        </w:tc>
        <w:tc>
          <w:tcPr>
            <w:tcW w:w="1098" w:type="dxa"/>
          </w:tcPr>
          <w:p w14:paraId="085C7614" w14:textId="5CDA86AC"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kryetare;</w:t>
            </w:r>
          </w:p>
        </w:tc>
      </w:tr>
      <w:tr w:rsidR="008610EC" w:rsidRPr="00C94B0D" w14:paraId="4AB940FD" w14:textId="77777777" w:rsidTr="00C94B0D">
        <w:trPr>
          <w:trHeight w:val="20"/>
        </w:trPr>
        <w:tc>
          <w:tcPr>
            <w:tcW w:w="2610" w:type="dxa"/>
          </w:tcPr>
          <w:p w14:paraId="24BFDB03" w14:textId="22192458"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Marsida Xhaferllari</w:t>
            </w:r>
            <w:r w:rsidR="00C94B0D">
              <w:rPr>
                <w:rFonts w:ascii="Garamond" w:hAnsi="Garamond" w:cs="Times New Roman"/>
                <w:bCs/>
                <w:sz w:val="24"/>
                <w:szCs w:val="24"/>
              </w:rPr>
              <w:t>,</w:t>
            </w:r>
          </w:p>
        </w:tc>
        <w:tc>
          <w:tcPr>
            <w:tcW w:w="1098" w:type="dxa"/>
          </w:tcPr>
          <w:p w14:paraId="6F41CF43" w14:textId="466D6D0B"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anëtare;</w:t>
            </w:r>
          </w:p>
        </w:tc>
      </w:tr>
      <w:tr w:rsidR="008610EC" w:rsidRPr="00C94B0D" w14:paraId="476DDA88" w14:textId="77777777" w:rsidTr="00C94B0D">
        <w:trPr>
          <w:trHeight w:val="20"/>
        </w:trPr>
        <w:tc>
          <w:tcPr>
            <w:tcW w:w="2610" w:type="dxa"/>
          </w:tcPr>
          <w:p w14:paraId="3FFF094B" w14:textId="3993FA98"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Sonila Bejtja</w:t>
            </w:r>
            <w:r w:rsidR="00C94B0D">
              <w:rPr>
                <w:rFonts w:ascii="Garamond" w:hAnsi="Garamond" w:cs="Times New Roman"/>
                <w:bCs/>
                <w:sz w:val="24"/>
                <w:szCs w:val="24"/>
              </w:rPr>
              <w:t>,</w:t>
            </w:r>
          </w:p>
        </w:tc>
        <w:tc>
          <w:tcPr>
            <w:tcW w:w="1098" w:type="dxa"/>
          </w:tcPr>
          <w:p w14:paraId="361464DA" w14:textId="6EFD22CC"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anëtare;</w:t>
            </w:r>
          </w:p>
        </w:tc>
      </w:tr>
      <w:tr w:rsidR="008610EC" w:rsidRPr="00C94B0D" w14:paraId="1D42C4D5" w14:textId="77777777" w:rsidTr="00C94B0D">
        <w:trPr>
          <w:trHeight w:val="20"/>
        </w:trPr>
        <w:tc>
          <w:tcPr>
            <w:tcW w:w="2610" w:type="dxa"/>
          </w:tcPr>
          <w:p w14:paraId="5C657D5A" w14:textId="7D015CA7"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Ilir Toska</w:t>
            </w:r>
            <w:r w:rsidR="00C94B0D">
              <w:rPr>
                <w:rFonts w:ascii="Garamond" w:hAnsi="Garamond" w:cs="Times New Roman"/>
                <w:bCs/>
                <w:sz w:val="24"/>
                <w:szCs w:val="24"/>
              </w:rPr>
              <w:t>,</w:t>
            </w:r>
          </w:p>
        </w:tc>
        <w:tc>
          <w:tcPr>
            <w:tcW w:w="1098" w:type="dxa"/>
          </w:tcPr>
          <w:p w14:paraId="3C86DFC1" w14:textId="002CEA38"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w:t>
            </w:r>
          </w:p>
        </w:tc>
      </w:tr>
      <w:tr w:rsidR="008610EC" w:rsidRPr="00C94B0D" w14:paraId="71308D36" w14:textId="77777777" w:rsidTr="00C94B0D">
        <w:trPr>
          <w:trHeight w:val="20"/>
        </w:trPr>
        <w:tc>
          <w:tcPr>
            <w:tcW w:w="2610" w:type="dxa"/>
          </w:tcPr>
          <w:p w14:paraId="2585F16D" w14:textId="384C5ECA"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Genti Ibrahimi</w:t>
            </w:r>
            <w:r w:rsidR="00C94B0D">
              <w:rPr>
                <w:rFonts w:ascii="Garamond" w:hAnsi="Garamond" w:cs="Times New Roman"/>
                <w:bCs/>
                <w:sz w:val="24"/>
                <w:szCs w:val="24"/>
              </w:rPr>
              <w:t>,</w:t>
            </w:r>
          </w:p>
        </w:tc>
        <w:tc>
          <w:tcPr>
            <w:tcW w:w="1098" w:type="dxa"/>
          </w:tcPr>
          <w:p w14:paraId="1E8BB878" w14:textId="56220E6E"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w:t>
            </w:r>
          </w:p>
        </w:tc>
      </w:tr>
      <w:tr w:rsidR="008610EC" w:rsidRPr="00C94B0D" w14:paraId="2FED9FA8" w14:textId="77777777" w:rsidTr="00C94B0D">
        <w:trPr>
          <w:trHeight w:val="20"/>
        </w:trPr>
        <w:tc>
          <w:tcPr>
            <w:tcW w:w="2610" w:type="dxa"/>
          </w:tcPr>
          <w:p w14:paraId="6EA6449B" w14:textId="64DD496A"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Marjana Semini</w:t>
            </w:r>
            <w:r w:rsidR="00C94B0D">
              <w:rPr>
                <w:rFonts w:ascii="Garamond" w:hAnsi="Garamond" w:cs="Times New Roman"/>
                <w:bCs/>
                <w:sz w:val="24"/>
                <w:szCs w:val="24"/>
              </w:rPr>
              <w:t>,</w:t>
            </w:r>
          </w:p>
        </w:tc>
        <w:tc>
          <w:tcPr>
            <w:tcW w:w="1098" w:type="dxa"/>
          </w:tcPr>
          <w:p w14:paraId="7BA2CF0A" w14:textId="7390729E"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anëtare;</w:t>
            </w:r>
          </w:p>
        </w:tc>
      </w:tr>
      <w:tr w:rsidR="008610EC" w:rsidRPr="00C94B0D" w14:paraId="09E11FC4" w14:textId="77777777" w:rsidTr="00C94B0D">
        <w:trPr>
          <w:trHeight w:val="20"/>
        </w:trPr>
        <w:tc>
          <w:tcPr>
            <w:tcW w:w="2610" w:type="dxa"/>
          </w:tcPr>
          <w:p w14:paraId="4A12AE99" w14:textId="18566624"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Asim Vokshi</w:t>
            </w:r>
            <w:r w:rsidR="00C94B0D">
              <w:rPr>
                <w:rFonts w:ascii="Garamond" w:hAnsi="Garamond" w:cs="Times New Roman"/>
                <w:bCs/>
                <w:sz w:val="24"/>
                <w:szCs w:val="24"/>
              </w:rPr>
              <w:t>,</w:t>
            </w:r>
          </w:p>
        </w:tc>
        <w:tc>
          <w:tcPr>
            <w:tcW w:w="1098" w:type="dxa"/>
          </w:tcPr>
          <w:p w14:paraId="49C0F0C2" w14:textId="078A0BC4"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w:t>
            </w:r>
          </w:p>
        </w:tc>
      </w:tr>
      <w:tr w:rsidR="008610EC" w:rsidRPr="00C94B0D" w14:paraId="202B7A83" w14:textId="77777777" w:rsidTr="00C94B0D">
        <w:trPr>
          <w:trHeight w:val="20"/>
        </w:trPr>
        <w:tc>
          <w:tcPr>
            <w:tcW w:w="2610" w:type="dxa"/>
          </w:tcPr>
          <w:p w14:paraId="1C8C5B27" w14:textId="45992581" w:rsidR="008610EC" w:rsidRPr="00C94B0D" w:rsidRDefault="008610EC" w:rsidP="008610EC">
            <w:pPr>
              <w:jc w:val="both"/>
              <w:rPr>
                <w:rFonts w:ascii="Garamond" w:hAnsi="Garamond" w:cs="Times New Roman"/>
                <w:sz w:val="24"/>
                <w:szCs w:val="24"/>
              </w:rPr>
            </w:pPr>
            <w:r w:rsidRPr="00C94B0D">
              <w:rPr>
                <w:rFonts w:ascii="Garamond" w:hAnsi="Garamond" w:cs="Times New Roman"/>
                <w:bCs/>
                <w:sz w:val="24"/>
                <w:szCs w:val="24"/>
              </w:rPr>
              <w:t>Sandër Beci</w:t>
            </w:r>
            <w:r w:rsidR="00C94B0D">
              <w:rPr>
                <w:rFonts w:ascii="Garamond" w:hAnsi="Garamond" w:cs="Times New Roman"/>
                <w:bCs/>
                <w:sz w:val="24"/>
                <w:szCs w:val="24"/>
              </w:rPr>
              <w:t>,</w:t>
            </w:r>
          </w:p>
        </w:tc>
        <w:tc>
          <w:tcPr>
            <w:tcW w:w="1098" w:type="dxa"/>
          </w:tcPr>
          <w:p w14:paraId="4F919C71" w14:textId="55F21520" w:rsidR="008610EC" w:rsidRPr="00C94B0D" w:rsidRDefault="00C94B0D" w:rsidP="008610EC">
            <w:pPr>
              <w:jc w:val="both"/>
              <w:rPr>
                <w:rFonts w:ascii="Garamond" w:hAnsi="Garamond" w:cs="Times New Roman"/>
                <w:sz w:val="24"/>
                <w:szCs w:val="24"/>
              </w:rPr>
            </w:pPr>
            <w:r w:rsidRPr="00C94B0D">
              <w:rPr>
                <w:rFonts w:ascii="Garamond" w:hAnsi="Garamond" w:cs="Times New Roman"/>
                <w:bCs/>
                <w:sz w:val="24"/>
                <w:szCs w:val="24"/>
              </w:rPr>
              <w:t>anëtar,</w:t>
            </w:r>
          </w:p>
        </w:tc>
      </w:tr>
    </w:tbl>
    <w:p w14:paraId="1A5D3BA6" w14:textId="73D7ED53" w:rsidR="00EE233C" w:rsidRPr="00C94B0D" w:rsidRDefault="00EE233C" w:rsidP="008610EC">
      <w:pPr>
        <w:spacing w:after="0" w:line="240" w:lineRule="auto"/>
        <w:ind w:firstLine="284"/>
        <w:jc w:val="both"/>
        <w:rPr>
          <w:rFonts w:ascii="Garamond" w:hAnsi="Garamond" w:cs="Times New Roman"/>
          <w:sz w:val="24"/>
          <w:szCs w:val="24"/>
          <w:lang w:eastAsia="fr-FR"/>
        </w:rPr>
      </w:pPr>
      <w:r w:rsidRPr="00C94B0D">
        <w:rPr>
          <w:rFonts w:ascii="Garamond" w:hAnsi="Garamond" w:cs="Times New Roman"/>
          <w:sz w:val="24"/>
          <w:szCs w:val="24"/>
          <w:lang w:eastAsia="fr-FR"/>
        </w:rPr>
        <w:t xml:space="preserve">me sekretare </w:t>
      </w:r>
      <w:r w:rsidR="001557E6" w:rsidRPr="00C94B0D">
        <w:rPr>
          <w:rFonts w:ascii="Garamond" w:hAnsi="Garamond" w:cs="Times New Roman"/>
          <w:sz w:val="24"/>
          <w:szCs w:val="24"/>
          <w:lang w:eastAsia="fr-FR"/>
        </w:rPr>
        <w:t>Farisja Idrizaj</w:t>
      </w:r>
      <w:r w:rsidRPr="00C94B0D">
        <w:rPr>
          <w:rFonts w:ascii="Garamond" w:hAnsi="Garamond" w:cs="Times New Roman"/>
          <w:sz w:val="24"/>
          <w:szCs w:val="24"/>
          <w:lang w:eastAsia="fr-FR"/>
        </w:rPr>
        <w:t xml:space="preserve">, në datën </w:t>
      </w:r>
      <w:r w:rsidR="00DC5E72" w:rsidRPr="00C94B0D">
        <w:rPr>
          <w:rFonts w:ascii="Garamond" w:hAnsi="Garamond" w:cs="Times New Roman"/>
          <w:sz w:val="24"/>
          <w:szCs w:val="24"/>
          <w:lang w:eastAsia="fr-FR"/>
        </w:rPr>
        <w:t>17</w:t>
      </w:r>
      <w:r w:rsidRPr="00C94B0D">
        <w:rPr>
          <w:rFonts w:ascii="Garamond" w:hAnsi="Garamond" w:cs="Times New Roman"/>
          <w:sz w:val="24"/>
          <w:szCs w:val="24"/>
          <w:lang w:eastAsia="fr-FR"/>
        </w:rPr>
        <w:t>.</w:t>
      </w:r>
      <w:r w:rsidR="00DC5E72" w:rsidRPr="00C94B0D">
        <w:rPr>
          <w:rFonts w:ascii="Garamond" w:hAnsi="Garamond" w:cs="Times New Roman"/>
          <w:sz w:val="24"/>
          <w:szCs w:val="24"/>
          <w:lang w:eastAsia="fr-FR"/>
        </w:rPr>
        <w:t>3</w:t>
      </w:r>
      <w:r w:rsidRPr="00C94B0D">
        <w:rPr>
          <w:rFonts w:ascii="Garamond" w:hAnsi="Garamond" w:cs="Times New Roman"/>
          <w:sz w:val="24"/>
          <w:szCs w:val="24"/>
          <w:lang w:eastAsia="fr-FR"/>
        </w:rPr>
        <w:t>.202</w:t>
      </w:r>
      <w:r w:rsidR="00DC5E72" w:rsidRPr="00C94B0D">
        <w:rPr>
          <w:rFonts w:ascii="Garamond" w:hAnsi="Garamond" w:cs="Times New Roman"/>
          <w:sz w:val="24"/>
          <w:szCs w:val="24"/>
          <w:lang w:eastAsia="fr-FR"/>
        </w:rPr>
        <w:t>6</w:t>
      </w:r>
      <w:r w:rsidR="00C94B0D" w:rsidRPr="00C94B0D">
        <w:rPr>
          <w:rFonts w:ascii="Garamond" w:hAnsi="Garamond" w:cs="Times New Roman"/>
          <w:sz w:val="24"/>
          <w:szCs w:val="24"/>
          <w:lang w:eastAsia="fr-FR"/>
        </w:rPr>
        <w:t>,</w:t>
      </w:r>
      <w:r w:rsidRPr="00C94B0D">
        <w:rPr>
          <w:rFonts w:ascii="Garamond" w:hAnsi="Garamond" w:cs="Times New Roman"/>
          <w:sz w:val="24"/>
          <w:szCs w:val="24"/>
          <w:lang w:eastAsia="fr-FR"/>
        </w:rPr>
        <w:t xml:space="preserve"> mori në shqyrtim në seancë plenare mbi bazë të dokumenteve </w:t>
      </w:r>
      <w:r w:rsidR="00362917" w:rsidRPr="00C94B0D">
        <w:rPr>
          <w:rFonts w:ascii="Garamond" w:hAnsi="Garamond" w:cs="Times New Roman"/>
          <w:sz w:val="24"/>
          <w:szCs w:val="24"/>
          <w:lang w:eastAsia="fr-FR"/>
        </w:rPr>
        <w:t>çështjen</w:t>
      </w:r>
      <w:r w:rsidRPr="00C94B0D">
        <w:rPr>
          <w:rFonts w:ascii="Garamond" w:hAnsi="Garamond" w:cs="Times New Roman"/>
          <w:sz w:val="24"/>
          <w:szCs w:val="24"/>
          <w:lang w:eastAsia="fr-FR"/>
        </w:rPr>
        <w:t xml:space="preserve"> nr. </w:t>
      </w:r>
      <w:r w:rsidR="00DC5E72" w:rsidRPr="00C94B0D">
        <w:rPr>
          <w:rFonts w:ascii="Garamond" w:hAnsi="Garamond" w:cs="Times New Roman"/>
          <w:sz w:val="24"/>
          <w:szCs w:val="24"/>
          <w:lang w:eastAsia="fr-FR"/>
        </w:rPr>
        <w:t>22</w:t>
      </w:r>
      <w:r w:rsidRPr="00C94B0D">
        <w:rPr>
          <w:rFonts w:ascii="Garamond" w:hAnsi="Garamond" w:cs="Times New Roman"/>
          <w:sz w:val="24"/>
          <w:szCs w:val="24"/>
          <w:lang w:eastAsia="fr-FR"/>
        </w:rPr>
        <w:t xml:space="preserve"> (</w:t>
      </w:r>
      <w:r w:rsidR="00DC5E72" w:rsidRPr="00C94B0D">
        <w:rPr>
          <w:rFonts w:ascii="Garamond" w:hAnsi="Garamond" w:cs="Times New Roman"/>
          <w:sz w:val="24"/>
          <w:szCs w:val="24"/>
          <w:lang w:eastAsia="fr-FR"/>
        </w:rPr>
        <w:t>B</w:t>
      </w:r>
      <w:r w:rsidRPr="00C94B0D">
        <w:rPr>
          <w:rFonts w:ascii="Garamond" w:hAnsi="Garamond" w:cs="Times New Roman"/>
          <w:sz w:val="24"/>
          <w:szCs w:val="24"/>
          <w:lang w:eastAsia="fr-FR"/>
        </w:rPr>
        <w:t>) 2025 të Regjistrit Themeltar, që u përket:</w:t>
      </w:r>
    </w:p>
    <w:p w14:paraId="1A5D3BA8" w14:textId="0ECE76B4" w:rsidR="00DC5E72" w:rsidRPr="00C94B0D" w:rsidRDefault="00DC5E72" w:rsidP="008610EC">
      <w:pPr>
        <w:spacing w:after="0" w:line="240" w:lineRule="auto"/>
        <w:ind w:firstLine="284"/>
        <w:jc w:val="both"/>
        <w:rPr>
          <w:rFonts w:ascii="Garamond" w:hAnsi="Garamond" w:cs="Times New Roman"/>
          <w:sz w:val="24"/>
          <w:szCs w:val="24"/>
        </w:rPr>
      </w:pPr>
      <w:r w:rsidRPr="00C94B0D">
        <w:rPr>
          <w:rFonts w:ascii="Garamond" w:eastAsia="Times New Roman" w:hAnsi="Garamond" w:cs="Times New Roman"/>
          <w:sz w:val="24"/>
          <w:szCs w:val="24"/>
        </w:rPr>
        <w:t>KËRKUES:</w:t>
      </w:r>
      <w:r w:rsidR="008610EC" w:rsidRPr="00C94B0D">
        <w:rPr>
          <w:rFonts w:ascii="Garamond" w:eastAsia="Times New Roman" w:hAnsi="Garamond" w:cs="Times New Roman"/>
          <w:sz w:val="24"/>
          <w:szCs w:val="24"/>
        </w:rPr>
        <w:t xml:space="preserve"> </w:t>
      </w:r>
      <w:r w:rsidR="00C94B0D" w:rsidRPr="00C94B0D">
        <w:rPr>
          <w:rFonts w:ascii="Garamond" w:eastAsia="Times New Roman" w:hAnsi="Garamond" w:cs="Times New Roman"/>
          <w:sz w:val="24"/>
          <w:szCs w:val="24"/>
        </w:rPr>
        <w:t>Bardhyl Ibra</w:t>
      </w:r>
    </w:p>
    <w:p w14:paraId="1A5D3BAA" w14:textId="24D7B82A" w:rsidR="00DC5E72" w:rsidRPr="00C94B0D" w:rsidRDefault="00DC5E72" w:rsidP="008610EC">
      <w:pPr>
        <w:spacing w:after="0" w:line="240" w:lineRule="auto"/>
        <w:ind w:firstLine="284"/>
        <w:jc w:val="both"/>
        <w:rPr>
          <w:rFonts w:ascii="Garamond" w:hAnsi="Garamond" w:cs="Times New Roman"/>
          <w:sz w:val="24"/>
          <w:szCs w:val="24"/>
        </w:rPr>
      </w:pPr>
      <w:r w:rsidRPr="00C94B0D">
        <w:rPr>
          <w:rFonts w:ascii="Garamond" w:hAnsi="Garamond" w:cs="Times New Roman"/>
          <w:sz w:val="24"/>
          <w:szCs w:val="24"/>
        </w:rPr>
        <w:t>SUBJEKTE TË INTERESUARA:</w:t>
      </w:r>
      <w:r w:rsidR="008610EC" w:rsidRPr="00C94B0D">
        <w:rPr>
          <w:rFonts w:ascii="Garamond" w:hAnsi="Garamond" w:cs="Times New Roman"/>
          <w:sz w:val="24"/>
          <w:szCs w:val="24"/>
        </w:rPr>
        <w:t xml:space="preserve"> </w:t>
      </w:r>
    </w:p>
    <w:p w14:paraId="1A5D3BAB" w14:textId="459D2E0A" w:rsidR="00DC5E72" w:rsidRPr="00C94B0D" w:rsidRDefault="00C94B0D" w:rsidP="008610EC">
      <w:pPr>
        <w:spacing w:after="0" w:line="240" w:lineRule="auto"/>
        <w:ind w:firstLine="284"/>
        <w:jc w:val="both"/>
        <w:rPr>
          <w:rFonts w:ascii="Garamond" w:eastAsia="Calibri" w:hAnsi="Garamond" w:cs="Times New Roman"/>
          <w:bCs/>
          <w:sz w:val="24"/>
          <w:szCs w:val="24"/>
        </w:rPr>
      </w:pPr>
      <w:bookmarkStart w:id="0" w:name="_Hlk187485719"/>
      <w:bookmarkStart w:id="1" w:name="_Hlk223939204"/>
      <w:r w:rsidRPr="00C94B0D">
        <w:rPr>
          <w:rFonts w:ascii="Garamond" w:eastAsia="Calibri" w:hAnsi="Garamond" w:cs="Times New Roman"/>
          <w:bCs/>
          <w:sz w:val="24"/>
          <w:szCs w:val="24"/>
        </w:rPr>
        <w:t>Ministria e</w:t>
      </w:r>
      <w:r w:rsidR="00DC5E72" w:rsidRPr="00C94B0D">
        <w:rPr>
          <w:rFonts w:ascii="Garamond" w:eastAsia="Calibri" w:hAnsi="Garamond" w:cs="Times New Roman"/>
          <w:bCs/>
          <w:sz w:val="24"/>
          <w:szCs w:val="24"/>
        </w:rPr>
        <w:t xml:space="preserve"> </w:t>
      </w:r>
      <w:r w:rsidRPr="00C94B0D">
        <w:rPr>
          <w:rFonts w:ascii="Garamond" w:eastAsia="Calibri" w:hAnsi="Garamond" w:cs="Times New Roman"/>
          <w:bCs/>
          <w:sz w:val="24"/>
          <w:szCs w:val="24"/>
        </w:rPr>
        <w:t>Drejtësisë</w:t>
      </w:r>
      <w:r w:rsidR="00DC5E72" w:rsidRPr="00C94B0D">
        <w:rPr>
          <w:rFonts w:ascii="Garamond" w:eastAsia="Calibri" w:hAnsi="Garamond" w:cs="Times New Roman"/>
          <w:bCs/>
          <w:sz w:val="24"/>
          <w:szCs w:val="24"/>
        </w:rPr>
        <w:t xml:space="preserve">, përfaqësuar nga </w:t>
      </w:r>
      <w:r w:rsidR="001D2409" w:rsidRPr="00C94B0D">
        <w:rPr>
          <w:rFonts w:ascii="Garamond" w:eastAsia="Calibri" w:hAnsi="Garamond" w:cs="Times New Roman"/>
          <w:bCs/>
          <w:sz w:val="24"/>
          <w:szCs w:val="24"/>
        </w:rPr>
        <w:t>Xhelal Kasaj, Erjon Ndreca, Ornela Marku</w:t>
      </w:r>
      <w:r w:rsidR="00A76E10" w:rsidRPr="00C94B0D">
        <w:rPr>
          <w:rFonts w:ascii="Garamond" w:eastAsia="Calibri" w:hAnsi="Garamond" w:cs="Times New Roman"/>
          <w:bCs/>
          <w:sz w:val="24"/>
          <w:szCs w:val="24"/>
        </w:rPr>
        <w:t xml:space="preserve"> dhe</w:t>
      </w:r>
      <w:r w:rsidR="001D2409" w:rsidRPr="00C94B0D">
        <w:rPr>
          <w:rFonts w:ascii="Garamond" w:eastAsia="Calibri" w:hAnsi="Garamond" w:cs="Times New Roman"/>
          <w:bCs/>
          <w:sz w:val="24"/>
          <w:szCs w:val="24"/>
        </w:rPr>
        <w:t xml:space="preserve"> Albjona Toçi</w:t>
      </w:r>
      <w:r w:rsidR="00DC5E72" w:rsidRPr="00C94B0D">
        <w:rPr>
          <w:rFonts w:ascii="Garamond" w:eastAsia="Calibri" w:hAnsi="Garamond" w:cs="Times New Roman"/>
          <w:bCs/>
          <w:sz w:val="24"/>
          <w:szCs w:val="24"/>
        </w:rPr>
        <w:t>, me autorizim.</w:t>
      </w:r>
    </w:p>
    <w:bookmarkEnd w:id="0"/>
    <w:bookmarkEnd w:id="1"/>
    <w:p w14:paraId="1A5D3BAC" w14:textId="2F956D75" w:rsidR="00DC5E72" w:rsidRPr="00C94B0D" w:rsidRDefault="00C94B0D" w:rsidP="008610EC">
      <w:pPr>
        <w:spacing w:after="0" w:line="240" w:lineRule="auto"/>
        <w:ind w:firstLine="284"/>
        <w:jc w:val="both"/>
        <w:rPr>
          <w:rFonts w:ascii="Garamond" w:eastAsia="Calibri" w:hAnsi="Garamond" w:cs="Times New Roman"/>
          <w:bCs/>
          <w:sz w:val="24"/>
          <w:szCs w:val="24"/>
        </w:rPr>
      </w:pPr>
      <w:r w:rsidRPr="00C94B0D">
        <w:rPr>
          <w:rFonts w:ascii="Garamond" w:eastAsia="Calibri" w:hAnsi="Garamond" w:cs="Times New Roman"/>
          <w:bCs/>
          <w:sz w:val="24"/>
          <w:szCs w:val="24"/>
        </w:rPr>
        <w:t>Ministria e</w:t>
      </w:r>
      <w:r w:rsidR="00DC5E72" w:rsidRPr="00C94B0D">
        <w:rPr>
          <w:rFonts w:ascii="Garamond" w:eastAsia="Calibri" w:hAnsi="Garamond" w:cs="Times New Roman"/>
          <w:bCs/>
          <w:sz w:val="24"/>
          <w:szCs w:val="24"/>
        </w:rPr>
        <w:t xml:space="preserve"> </w:t>
      </w:r>
      <w:r w:rsidRPr="00C94B0D">
        <w:rPr>
          <w:rFonts w:ascii="Garamond" w:eastAsia="Calibri" w:hAnsi="Garamond" w:cs="Times New Roman"/>
          <w:bCs/>
          <w:sz w:val="24"/>
          <w:szCs w:val="24"/>
        </w:rPr>
        <w:t>Financave</w:t>
      </w:r>
      <w:r w:rsidR="00DC5E72" w:rsidRPr="00C94B0D">
        <w:rPr>
          <w:rFonts w:ascii="Garamond" w:eastAsia="Calibri" w:hAnsi="Garamond" w:cs="Times New Roman"/>
          <w:bCs/>
          <w:sz w:val="24"/>
          <w:szCs w:val="24"/>
        </w:rPr>
        <w:t>, përfaqësuar nga Vjollca Vasiari, Parashqevi Çabiri dhe Ornela Braçe, me autorizim.</w:t>
      </w:r>
    </w:p>
    <w:p w14:paraId="1A5D3BAE" w14:textId="1294F98C" w:rsidR="00DC5E72" w:rsidRPr="00C94B0D" w:rsidRDefault="00DC5E72" w:rsidP="008610EC">
      <w:pPr>
        <w:tabs>
          <w:tab w:val="left" w:pos="1080"/>
        </w:tabs>
        <w:suppressAutoHyphens/>
        <w:spacing w:after="0" w:line="240" w:lineRule="auto"/>
        <w:ind w:firstLine="284"/>
        <w:contextualSpacing/>
        <w:jc w:val="both"/>
        <w:outlineLvl w:val="0"/>
        <w:rPr>
          <w:rFonts w:ascii="Garamond" w:hAnsi="Garamond" w:cs="Times New Roman"/>
          <w:sz w:val="24"/>
          <w:szCs w:val="24"/>
          <w:lang w:eastAsia="fr-FR"/>
        </w:rPr>
      </w:pPr>
      <w:r w:rsidRPr="00C94B0D">
        <w:rPr>
          <w:rFonts w:ascii="Garamond" w:hAnsi="Garamond" w:cs="Times New Roman"/>
          <w:sz w:val="24"/>
          <w:szCs w:val="24"/>
          <w:lang w:eastAsia="fr-FR"/>
        </w:rPr>
        <w:t>OBJEKTI:</w:t>
      </w:r>
      <w:r w:rsidR="008610EC" w:rsidRPr="00C94B0D">
        <w:rPr>
          <w:rFonts w:ascii="Garamond" w:hAnsi="Garamond" w:cs="Times New Roman"/>
          <w:sz w:val="24"/>
          <w:szCs w:val="24"/>
          <w:lang w:eastAsia="fr-FR"/>
        </w:rPr>
        <w:t xml:space="preserve"> </w:t>
      </w:r>
      <w:r w:rsidRPr="00C94B0D">
        <w:rPr>
          <w:rFonts w:ascii="Garamond" w:hAnsi="Garamond" w:cs="Times New Roman"/>
          <w:sz w:val="24"/>
          <w:szCs w:val="24"/>
          <w:lang w:eastAsia="fr-FR"/>
        </w:rPr>
        <w:t xml:space="preserve">Shfuqizimi </w:t>
      </w:r>
      <w:r w:rsidR="00A76E10" w:rsidRPr="00C94B0D">
        <w:rPr>
          <w:rFonts w:ascii="Garamond" w:hAnsi="Garamond" w:cs="Times New Roman"/>
          <w:sz w:val="24"/>
          <w:szCs w:val="24"/>
          <w:lang w:eastAsia="fr-FR"/>
        </w:rPr>
        <w:t>i</w:t>
      </w:r>
      <w:r w:rsidRPr="00C94B0D">
        <w:rPr>
          <w:rFonts w:ascii="Garamond" w:hAnsi="Garamond" w:cs="Times New Roman"/>
          <w:sz w:val="24"/>
          <w:szCs w:val="24"/>
          <w:lang w:eastAsia="fr-FR"/>
        </w:rPr>
        <w:t xml:space="preserve"> vendimit nr. 00-2024-5292, datë 23.12.2024</w:t>
      </w:r>
      <w:r w:rsidR="00C94B0D" w:rsidRPr="00C94B0D">
        <w:rPr>
          <w:rFonts w:ascii="Garamond" w:hAnsi="Garamond" w:cs="Times New Roman"/>
          <w:sz w:val="24"/>
          <w:szCs w:val="24"/>
          <w:lang w:eastAsia="fr-FR"/>
        </w:rPr>
        <w:t>,</w:t>
      </w:r>
      <w:r w:rsidRPr="00C94B0D">
        <w:rPr>
          <w:rFonts w:ascii="Garamond" w:hAnsi="Garamond" w:cs="Times New Roman"/>
          <w:sz w:val="24"/>
          <w:szCs w:val="24"/>
          <w:lang w:eastAsia="fr-FR"/>
        </w:rPr>
        <w:t xml:space="preserve"> të Kolegjit Civil të Gjykatës së Lartë</w:t>
      </w:r>
      <w:r w:rsidR="00A76E10" w:rsidRPr="00C94B0D">
        <w:rPr>
          <w:rFonts w:ascii="Garamond" w:hAnsi="Garamond" w:cs="Times New Roman"/>
          <w:sz w:val="24"/>
          <w:szCs w:val="24"/>
          <w:lang w:eastAsia="fr-FR"/>
        </w:rPr>
        <w:t>,</w:t>
      </w:r>
      <w:r w:rsidRPr="00C94B0D">
        <w:rPr>
          <w:rFonts w:ascii="Garamond" w:hAnsi="Garamond" w:cs="Times New Roman"/>
          <w:sz w:val="24"/>
          <w:szCs w:val="24"/>
          <w:lang w:eastAsia="fr-FR"/>
        </w:rPr>
        <w:t xml:space="preserve"> si i papajtueshëm me Kushtetutën e Republikës së Shqipërisë.</w:t>
      </w:r>
    </w:p>
    <w:p w14:paraId="1A5D3BAF" w14:textId="0C441EB7" w:rsidR="00DC5E72" w:rsidRPr="00C94B0D" w:rsidRDefault="00DC5E72" w:rsidP="008610EC">
      <w:pPr>
        <w:tabs>
          <w:tab w:val="left" w:pos="1080"/>
        </w:tabs>
        <w:suppressAutoHyphens/>
        <w:spacing w:after="0" w:line="240" w:lineRule="auto"/>
        <w:ind w:firstLine="284"/>
        <w:contextualSpacing/>
        <w:jc w:val="both"/>
        <w:outlineLvl w:val="0"/>
        <w:rPr>
          <w:rFonts w:ascii="Garamond" w:hAnsi="Garamond" w:cs="Times New Roman"/>
          <w:sz w:val="24"/>
          <w:szCs w:val="24"/>
        </w:rPr>
      </w:pPr>
      <w:r w:rsidRPr="00C94B0D">
        <w:rPr>
          <w:rFonts w:ascii="Garamond" w:hAnsi="Garamond" w:cs="Times New Roman"/>
          <w:sz w:val="24"/>
          <w:szCs w:val="24"/>
        </w:rPr>
        <w:t xml:space="preserve">Konstatimi </w:t>
      </w:r>
      <w:r w:rsidR="00A76E10" w:rsidRPr="00C94B0D">
        <w:rPr>
          <w:rFonts w:ascii="Garamond" w:hAnsi="Garamond" w:cs="Times New Roman"/>
          <w:sz w:val="24"/>
          <w:szCs w:val="24"/>
        </w:rPr>
        <w:t>i</w:t>
      </w:r>
      <w:r w:rsidRPr="00C94B0D">
        <w:rPr>
          <w:rFonts w:ascii="Garamond" w:hAnsi="Garamond" w:cs="Times New Roman"/>
          <w:sz w:val="24"/>
          <w:szCs w:val="24"/>
        </w:rPr>
        <w:t xml:space="preserve"> cenimit të së drejtës kushtetuese për një proces të rregullt ligjor si rezultat i mosgjykimit brenda një afati të arsyeshëm</w:t>
      </w:r>
      <w:r w:rsidR="00A76E10" w:rsidRPr="00C94B0D">
        <w:rPr>
          <w:rFonts w:ascii="Garamond" w:hAnsi="Garamond" w:cs="Times New Roman"/>
          <w:sz w:val="24"/>
          <w:szCs w:val="24"/>
        </w:rPr>
        <w:t>,</w:t>
      </w:r>
      <w:r w:rsidRPr="00C94B0D">
        <w:rPr>
          <w:rFonts w:ascii="Garamond" w:hAnsi="Garamond" w:cs="Times New Roman"/>
          <w:sz w:val="24"/>
          <w:szCs w:val="24"/>
        </w:rPr>
        <w:t xml:space="preserve"> të parashikuar në pikën 2</w:t>
      </w:r>
      <w:r w:rsidR="00C94B0D" w:rsidRPr="00C94B0D">
        <w:rPr>
          <w:rFonts w:ascii="Garamond" w:hAnsi="Garamond" w:cs="Times New Roman"/>
          <w:sz w:val="24"/>
          <w:szCs w:val="24"/>
        </w:rPr>
        <w:t>,</w:t>
      </w:r>
      <w:r w:rsidRPr="00C94B0D">
        <w:rPr>
          <w:rFonts w:ascii="Garamond" w:hAnsi="Garamond" w:cs="Times New Roman"/>
          <w:sz w:val="24"/>
          <w:szCs w:val="24"/>
        </w:rPr>
        <w:t xml:space="preserve"> të nenit 399/7 të K</w:t>
      </w:r>
      <w:r w:rsidR="00604C07" w:rsidRPr="00C94B0D">
        <w:rPr>
          <w:rFonts w:ascii="Garamond" w:hAnsi="Garamond" w:cs="Times New Roman"/>
          <w:sz w:val="24"/>
          <w:szCs w:val="24"/>
        </w:rPr>
        <w:t xml:space="preserve">odit të </w:t>
      </w:r>
      <w:r w:rsidRPr="00C94B0D">
        <w:rPr>
          <w:rFonts w:ascii="Garamond" w:hAnsi="Garamond" w:cs="Times New Roman"/>
          <w:sz w:val="24"/>
          <w:szCs w:val="24"/>
        </w:rPr>
        <w:t>P</w:t>
      </w:r>
      <w:r w:rsidR="00604C07" w:rsidRPr="00C94B0D">
        <w:rPr>
          <w:rFonts w:ascii="Garamond" w:hAnsi="Garamond" w:cs="Times New Roman"/>
          <w:sz w:val="24"/>
          <w:szCs w:val="24"/>
        </w:rPr>
        <w:t xml:space="preserve">rocedurës </w:t>
      </w:r>
      <w:r w:rsidRPr="00C94B0D">
        <w:rPr>
          <w:rFonts w:ascii="Garamond" w:hAnsi="Garamond" w:cs="Times New Roman"/>
          <w:sz w:val="24"/>
          <w:szCs w:val="24"/>
        </w:rPr>
        <w:t>C</w:t>
      </w:r>
      <w:r w:rsidR="00604C07" w:rsidRPr="00C94B0D">
        <w:rPr>
          <w:rFonts w:ascii="Garamond" w:hAnsi="Garamond" w:cs="Times New Roman"/>
          <w:sz w:val="24"/>
          <w:szCs w:val="24"/>
        </w:rPr>
        <w:t>ivile</w:t>
      </w:r>
      <w:r w:rsidR="00362917" w:rsidRPr="00C94B0D">
        <w:rPr>
          <w:rFonts w:ascii="Garamond" w:hAnsi="Garamond" w:cs="Times New Roman"/>
          <w:sz w:val="24"/>
          <w:szCs w:val="24"/>
        </w:rPr>
        <w:t>,</w:t>
      </w:r>
      <w:r w:rsidRPr="00C94B0D">
        <w:rPr>
          <w:rFonts w:ascii="Garamond" w:hAnsi="Garamond" w:cs="Times New Roman"/>
          <w:sz w:val="24"/>
          <w:szCs w:val="24"/>
        </w:rPr>
        <w:t xml:space="preserve"> të kërkesës </w:t>
      </w:r>
      <w:r w:rsidR="00E54EA8" w:rsidRPr="00C94B0D">
        <w:rPr>
          <w:rFonts w:ascii="Garamond" w:hAnsi="Garamond" w:cs="Times New Roman"/>
          <w:sz w:val="24"/>
          <w:szCs w:val="24"/>
        </w:rPr>
        <w:t xml:space="preserve">me </w:t>
      </w:r>
      <w:r w:rsidRPr="00C94B0D">
        <w:rPr>
          <w:rFonts w:ascii="Garamond" w:hAnsi="Garamond" w:cs="Times New Roman"/>
          <w:sz w:val="24"/>
          <w:szCs w:val="24"/>
        </w:rPr>
        <w:t xml:space="preserve">nr. regjistrimi 2123/21234-1343, datë 18.10.2019, </w:t>
      </w:r>
      <w:r w:rsidR="00362917" w:rsidRPr="00C94B0D">
        <w:rPr>
          <w:rFonts w:ascii="Garamond" w:hAnsi="Garamond" w:cs="Times New Roman"/>
          <w:sz w:val="24"/>
          <w:szCs w:val="24"/>
        </w:rPr>
        <w:t xml:space="preserve">në </w:t>
      </w:r>
      <w:r w:rsidRPr="00C94B0D">
        <w:rPr>
          <w:rFonts w:ascii="Garamond" w:hAnsi="Garamond" w:cs="Times New Roman"/>
          <w:sz w:val="24"/>
          <w:szCs w:val="24"/>
        </w:rPr>
        <w:t>sekretari</w:t>
      </w:r>
      <w:r w:rsidR="00362917" w:rsidRPr="00C94B0D">
        <w:rPr>
          <w:rFonts w:ascii="Garamond" w:hAnsi="Garamond" w:cs="Times New Roman"/>
          <w:sz w:val="24"/>
          <w:szCs w:val="24"/>
        </w:rPr>
        <w:t>në e</w:t>
      </w:r>
      <w:r w:rsidRPr="00C94B0D">
        <w:rPr>
          <w:rFonts w:ascii="Garamond" w:hAnsi="Garamond" w:cs="Times New Roman"/>
          <w:sz w:val="24"/>
          <w:szCs w:val="24"/>
        </w:rPr>
        <w:t xml:space="preserve"> Gjykatës së Apelit </w:t>
      </w:r>
      <w:r w:rsidR="00E54EA8" w:rsidRPr="00C94B0D">
        <w:rPr>
          <w:rFonts w:ascii="Garamond" w:hAnsi="Garamond" w:cs="Times New Roman"/>
          <w:sz w:val="24"/>
          <w:szCs w:val="24"/>
        </w:rPr>
        <w:t>të Juridiksionit të Përgjithshëm</w:t>
      </w:r>
      <w:r w:rsidR="00362917" w:rsidRPr="00C94B0D">
        <w:rPr>
          <w:rFonts w:ascii="Garamond" w:hAnsi="Garamond" w:cs="Times New Roman"/>
          <w:sz w:val="24"/>
          <w:szCs w:val="24"/>
        </w:rPr>
        <w:t>,</w:t>
      </w:r>
      <w:r w:rsidR="00E54EA8" w:rsidRPr="00C94B0D">
        <w:rPr>
          <w:rFonts w:ascii="Garamond" w:hAnsi="Garamond" w:cs="Times New Roman"/>
          <w:sz w:val="24"/>
          <w:szCs w:val="24"/>
        </w:rPr>
        <w:t xml:space="preserve"> si </w:t>
      </w:r>
      <w:r w:rsidRPr="00C94B0D">
        <w:rPr>
          <w:rFonts w:ascii="Garamond" w:hAnsi="Garamond" w:cs="Times New Roman"/>
          <w:sz w:val="24"/>
          <w:szCs w:val="24"/>
        </w:rPr>
        <w:t xml:space="preserve">dhe përshpejtimi </w:t>
      </w:r>
      <w:r w:rsidR="00362917" w:rsidRPr="00C94B0D">
        <w:rPr>
          <w:rFonts w:ascii="Garamond" w:hAnsi="Garamond" w:cs="Times New Roman"/>
          <w:sz w:val="24"/>
          <w:szCs w:val="24"/>
        </w:rPr>
        <w:t>i</w:t>
      </w:r>
      <w:r w:rsidR="00C94B0D" w:rsidRPr="00C94B0D">
        <w:rPr>
          <w:rFonts w:ascii="Garamond" w:hAnsi="Garamond" w:cs="Times New Roman"/>
          <w:sz w:val="24"/>
          <w:szCs w:val="24"/>
        </w:rPr>
        <w:t xml:space="preserve"> shqyrtimit të çështjes.</w:t>
      </w:r>
    </w:p>
    <w:p w14:paraId="1A5D3BB1" w14:textId="1AE474B6" w:rsidR="00DC5E72" w:rsidRPr="00C94B0D" w:rsidRDefault="00DC5E72" w:rsidP="008610EC">
      <w:pPr>
        <w:tabs>
          <w:tab w:val="left" w:pos="851"/>
        </w:tabs>
        <w:spacing w:after="0" w:line="240" w:lineRule="auto"/>
        <w:ind w:firstLine="284"/>
        <w:jc w:val="both"/>
        <w:rPr>
          <w:rFonts w:ascii="Garamond" w:eastAsia="Times New Roman" w:hAnsi="Garamond" w:cs="Times New Roman"/>
          <w:i/>
          <w:sz w:val="24"/>
          <w:szCs w:val="24"/>
        </w:rPr>
      </w:pPr>
      <w:r w:rsidRPr="00C94B0D">
        <w:rPr>
          <w:rFonts w:ascii="Garamond" w:eastAsia="Times New Roman" w:hAnsi="Garamond" w:cs="Times New Roman"/>
          <w:sz w:val="24"/>
          <w:szCs w:val="24"/>
        </w:rPr>
        <w:t>BAZA LIGJORE:</w:t>
      </w:r>
      <w:r w:rsidR="008610EC" w:rsidRPr="00C94B0D">
        <w:rPr>
          <w:rFonts w:ascii="Garamond" w:eastAsia="Times New Roman" w:hAnsi="Garamond" w:cs="Times New Roman"/>
          <w:sz w:val="24"/>
          <w:szCs w:val="24"/>
        </w:rPr>
        <w:t xml:space="preserve"> </w:t>
      </w:r>
      <w:r w:rsidRPr="00C94B0D">
        <w:rPr>
          <w:rFonts w:ascii="Garamond" w:eastAsia="Times New Roman" w:hAnsi="Garamond" w:cs="Times New Roman"/>
          <w:sz w:val="24"/>
          <w:szCs w:val="24"/>
        </w:rPr>
        <w:t xml:space="preserve">Nenet 15, 16, 18, 42, pika 2, 43, </w:t>
      </w:r>
      <w:r w:rsidRPr="00C94B0D">
        <w:rPr>
          <w:rFonts w:ascii="Garamond" w:hAnsi="Garamond" w:cs="Times New Roman"/>
          <w:sz w:val="24"/>
          <w:szCs w:val="24"/>
        </w:rPr>
        <w:t>131, pika 1, shkronja “f”</w:t>
      </w:r>
      <w:r w:rsidR="00362917" w:rsidRPr="00C94B0D">
        <w:rPr>
          <w:rFonts w:ascii="Garamond" w:hAnsi="Garamond" w:cs="Times New Roman"/>
          <w:sz w:val="24"/>
          <w:szCs w:val="24"/>
        </w:rPr>
        <w:t>,</w:t>
      </w:r>
      <w:r w:rsidRPr="00C94B0D">
        <w:rPr>
          <w:rFonts w:ascii="Garamond" w:hAnsi="Garamond" w:cs="Times New Roman"/>
          <w:sz w:val="24"/>
          <w:szCs w:val="24"/>
        </w:rPr>
        <w:t xml:space="preserve"> dhe </w:t>
      </w:r>
      <w:r w:rsidRPr="00C94B0D">
        <w:rPr>
          <w:rFonts w:ascii="Garamond" w:eastAsia="Times New Roman" w:hAnsi="Garamond" w:cs="Times New Roman"/>
          <w:sz w:val="24"/>
          <w:szCs w:val="24"/>
        </w:rPr>
        <w:t>134</w:t>
      </w:r>
      <w:r w:rsidR="00C94B0D" w:rsidRPr="00C94B0D">
        <w:rPr>
          <w:rFonts w:ascii="Garamond" w:eastAsia="Times New Roman" w:hAnsi="Garamond" w:cs="Times New Roman"/>
          <w:sz w:val="24"/>
          <w:szCs w:val="24"/>
        </w:rPr>
        <w:t>,</w:t>
      </w:r>
      <w:r w:rsidRPr="00C94B0D">
        <w:rPr>
          <w:rFonts w:ascii="Garamond" w:eastAsia="Times New Roman" w:hAnsi="Garamond" w:cs="Times New Roman"/>
          <w:sz w:val="24"/>
          <w:szCs w:val="24"/>
        </w:rPr>
        <w:t xml:space="preserve"> të Kushtetutës së Republikës së Shqipërisë </w:t>
      </w:r>
      <w:r w:rsidRPr="00C94B0D">
        <w:rPr>
          <w:rFonts w:ascii="Garamond" w:eastAsia="Times New Roman" w:hAnsi="Garamond" w:cs="Times New Roman"/>
          <w:i/>
          <w:sz w:val="24"/>
          <w:szCs w:val="24"/>
        </w:rPr>
        <w:t>(Kushtetuta)</w:t>
      </w:r>
      <w:r w:rsidRPr="00C94B0D">
        <w:rPr>
          <w:rFonts w:ascii="Garamond" w:eastAsia="Times New Roman" w:hAnsi="Garamond" w:cs="Times New Roman"/>
          <w:sz w:val="24"/>
          <w:szCs w:val="24"/>
        </w:rPr>
        <w:t>; nenet 6, pika 1</w:t>
      </w:r>
      <w:r w:rsidR="00362917" w:rsidRPr="00C94B0D">
        <w:rPr>
          <w:rFonts w:ascii="Garamond" w:eastAsia="Times New Roman" w:hAnsi="Garamond" w:cs="Times New Roman"/>
          <w:sz w:val="24"/>
          <w:szCs w:val="24"/>
        </w:rPr>
        <w:t>,</w:t>
      </w:r>
      <w:r w:rsidRPr="00C94B0D">
        <w:rPr>
          <w:rFonts w:ascii="Garamond" w:eastAsia="Times New Roman" w:hAnsi="Garamond" w:cs="Times New Roman"/>
          <w:sz w:val="24"/>
          <w:szCs w:val="24"/>
        </w:rPr>
        <w:t xml:space="preserve"> dhe 13 të Konventës Evropiane për të Drejtat e Njeriut; ligji </w:t>
      </w:r>
      <w:r w:rsidR="00C94B0D" w:rsidRPr="00C94B0D">
        <w:rPr>
          <w:rFonts w:ascii="Garamond" w:eastAsia="Times New Roman" w:hAnsi="Garamond" w:cs="Times New Roman"/>
          <w:sz w:val="24"/>
          <w:szCs w:val="24"/>
        </w:rPr>
        <w:t>nr. 8577, datë 10.</w:t>
      </w:r>
      <w:r w:rsidRPr="00C94B0D">
        <w:rPr>
          <w:rFonts w:ascii="Garamond" w:eastAsia="Times New Roman" w:hAnsi="Garamond" w:cs="Times New Roman"/>
          <w:sz w:val="24"/>
          <w:szCs w:val="24"/>
        </w:rPr>
        <w:t>2.2000</w:t>
      </w:r>
      <w:r w:rsidR="00C94B0D" w:rsidRPr="00C94B0D">
        <w:rPr>
          <w:rFonts w:ascii="Garamond" w:eastAsia="Times New Roman" w:hAnsi="Garamond" w:cs="Times New Roman"/>
          <w:sz w:val="24"/>
          <w:szCs w:val="24"/>
        </w:rPr>
        <w:t>,</w:t>
      </w:r>
      <w:r w:rsidRPr="00C94B0D">
        <w:rPr>
          <w:rFonts w:ascii="Garamond" w:eastAsia="Times New Roman" w:hAnsi="Garamond" w:cs="Times New Roman"/>
          <w:sz w:val="24"/>
          <w:szCs w:val="24"/>
        </w:rPr>
        <w:t xml:space="preserve"> “Për organizimin dhe funksionimin e Gjykatës Kushtetuese të Republikës së Shqipërisë”, të ndryshuar (</w:t>
      </w:r>
      <w:r w:rsidR="0069721C" w:rsidRPr="00C94B0D">
        <w:rPr>
          <w:rFonts w:ascii="Garamond" w:eastAsia="Times New Roman" w:hAnsi="Garamond" w:cs="Times New Roman"/>
          <w:i/>
          <w:sz w:val="24"/>
          <w:szCs w:val="24"/>
        </w:rPr>
        <w:t>Ligji Organik i Gjykat</w:t>
      </w:r>
      <w:r w:rsidR="00D10B5F" w:rsidRPr="00C94B0D">
        <w:rPr>
          <w:rFonts w:ascii="Garamond" w:eastAsia="Times New Roman" w:hAnsi="Garamond" w:cs="Times New Roman"/>
          <w:i/>
          <w:sz w:val="24"/>
          <w:szCs w:val="24"/>
        </w:rPr>
        <w:t>ë</w:t>
      </w:r>
      <w:r w:rsidR="0069721C" w:rsidRPr="00C94B0D">
        <w:rPr>
          <w:rFonts w:ascii="Garamond" w:eastAsia="Times New Roman" w:hAnsi="Garamond" w:cs="Times New Roman"/>
          <w:i/>
          <w:sz w:val="24"/>
          <w:szCs w:val="24"/>
        </w:rPr>
        <w:t>s</w:t>
      </w:r>
      <w:r w:rsidRPr="00C94B0D">
        <w:rPr>
          <w:rFonts w:ascii="Garamond" w:eastAsia="Times New Roman" w:hAnsi="Garamond" w:cs="Times New Roman"/>
          <w:sz w:val="24"/>
          <w:szCs w:val="24"/>
        </w:rPr>
        <w:t xml:space="preserve">); nenet 399/1 e vijues, 474 dhe 475 të Kodit të Procedurës Civile </w:t>
      </w:r>
      <w:r w:rsidRPr="00C94B0D">
        <w:rPr>
          <w:rFonts w:ascii="Garamond" w:eastAsia="Times New Roman" w:hAnsi="Garamond" w:cs="Times New Roman"/>
          <w:i/>
          <w:sz w:val="24"/>
          <w:szCs w:val="24"/>
        </w:rPr>
        <w:t>(KPC).</w:t>
      </w:r>
    </w:p>
    <w:p w14:paraId="750131B2" w14:textId="77777777" w:rsidR="008610EC" w:rsidRPr="00C94B0D" w:rsidRDefault="008610EC" w:rsidP="008610EC">
      <w:pPr>
        <w:tabs>
          <w:tab w:val="left" w:pos="851"/>
        </w:tabs>
        <w:spacing w:after="0" w:line="240" w:lineRule="auto"/>
        <w:ind w:firstLine="284"/>
        <w:jc w:val="both"/>
        <w:rPr>
          <w:rFonts w:ascii="Garamond" w:eastAsia="Times New Roman" w:hAnsi="Garamond" w:cs="Times New Roman"/>
          <w:sz w:val="24"/>
          <w:szCs w:val="24"/>
        </w:rPr>
      </w:pPr>
    </w:p>
    <w:p w14:paraId="1A5D3BB3" w14:textId="49DC6363" w:rsidR="00EE233C" w:rsidRPr="00C94B0D" w:rsidRDefault="00EE233C" w:rsidP="008610EC">
      <w:pPr>
        <w:spacing w:after="0" w:line="240" w:lineRule="auto"/>
        <w:ind w:firstLine="284"/>
        <w:jc w:val="center"/>
        <w:rPr>
          <w:rFonts w:ascii="Garamond" w:hAnsi="Garamond" w:cs="Times New Roman"/>
          <w:bCs/>
          <w:sz w:val="24"/>
          <w:szCs w:val="24"/>
        </w:rPr>
      </w:pPr>
      <w:r w:rsidRPr="00C94B0D">
        <w:rPr>
          <w:rFonts w:ascii="Garamond" w:hAnsi="Garamond" w:cs="Times New Roman"/>
          <w:bCs/>
          <w:sz w:val="24"/>
          <w:szCs w:val="24"/>
        </w:rPr>
        <w:t>GJYKATA KUSHTETUESE,</w:t>
      </w:r>
    </w:p>
    <w:p w14:paraId="26DDB232" w14:textId="77777777" w:rsidR="008610EC" w:rsidRPr="00C94B0D" w:rsidRDefault="008610EC" w:rsidP="008610EC">
      <w:pPr>
        <w:spacing w:after="0" w:line="240" w:lineRule="auto"/>
        <w:ind w:firstLine="284"/>
        <w:jc w:val="center"/>
        <w:rPr>
          <w:rFonts w:ascii="Garamond" w:hAnsi="Garamond" w:cs="Times New Roman"/>
          <w:b/>
          <w:bCs/>
          <w:sz w:val="24"/>
          <w:szCs w:val="24"/>
        </w:rPr>
      </w:pPr>
    </w:p>
    <w:p w14:paraId="1A5D3BB4" w14:textId="7457C9D6" w:rsidR="008660D0" w:rsidRPr="00C94B0D" w:rsidRDefault="008660D0" w:rsidP="008610EC">
      <w:pPr>
        <w:spacing w:after="0" w:line="240" w:lineRule="auto"/>
        <w:ind w:firstLine="284"/>
        <w:jc w:val="both"/>
        <w:rPr>
          <w:rFonts w:ascii="Garamond" w:eastAsiaTheme="minorHAnsi" w:hAnsi="Garamond" w:cs="Times New Roman"/>
          <w:sz w:val="24"/>
          <w:szCs w:val="24"/>
        </w:rPr>
      </w:pPr>
      <w:r w:rsidRPr="00C94B0D">
        <w:rPr>
          <w:rFonts w:ascii="Garamond" w:eastAsiaTheme="minorHAnsi" w:hAnsi="Garamond" w:cs="Times New Roman"/>
          <w:sz w:val="24"/>
          <w:szCs w:val="24"/>
          <w:lang w:eastAsia="fr-FR"/>
        </w:rPr>
        <w:t>pasi dëgjoi relatorin e çështjes Sand</w:t>
      </w:r>
      <w:r w:rsidR="00D10B5F" w:rsidRPr="00C94B0D">
        <w:rPr>
          <w:rFonts w:ascii="Garamond" w:eastAsiaTheme="minorHAnsi" w:hAnsi="Garamond" w:cs="Times New Roman"/>
          <w:sz w:val="24"/>
          <w:szCs w:val="24"/>
          <w:lang w:eastAsia="fr-FR"/>
        </w:rPr>
        <w:t>ë</w:t>
      </w:r>
      <w:r w:rsidRPr="00C94B0D">
        <w:rPr>
          <w:rFonts w:ascii="Garamond" w:eastAsiaTheme="minorHAnsi" w:hAnsi="Garamond" w:cs="Times New Roman"/>
          <w:sz w:val="24"/>
          <w:szCs w:val="24"/>
          <w:lang w:eastAsia="fr-FR"/>
        </w:rPr>
        <w:t>r Beci, mori në shqyrtim parashtrimet me shkrim të kërkuesit Bardhyl Ibra (</w:t>
      </w:r>
      <w:r w:rsidRPr="00C94B0D">
        <w:rPr>
          <w:rFonts w:ascii="Garamond" w:eastAsiaTheme="minorHAnsi" w:hAnsi="Garamond" w:cs="Times New Roman"/>
          <w:i/>
          <w:sz w:val="24"/>
          <w:szCs w:val="24"/>
          <w:lang w:eastAsia="fr-FR"/>
        </w:rPr>
        <w:t>kërkuesi</w:t>
      </w:r>
      <w:r w:rsidRPr="00C94B0D">
        <w:rPr>
          <w:rFonts w:ascii="Garamond" w:eastAsiaTheme="minorHAnsi" w:hAnsi="Garamond" w:cs="Times New Roman"/>
          <w:sz w:val="24"/>
          <w:szCs w:val="24"/>
          <w:lang w:eastAsia="fr-FR"/>
        </w:rPr>
        <w:t>), që ka kërkuar pranimin e kërkesës, prapësimet me shkrim të subjekteve të interesuara, Ministrisë së Drejtësisë dhe Ministris</w:t>
      </w:r>
      <w:r w:rsidR="00D10B5F" w:rsidRPr="00C94B0D">
        <w:rPr>
          <w:rFonts w:ascii="Garamond" w:eastAsiaTheme="minorHAnsi" w:hAnsi="Garamond" w:cs="Times New Roman"/>
          <w:sz w:val="24"/>
          <w:szCs w:val="24"/>
          <w:lang w:eastAsia="fr-FR"/>
        </w:rPr>
        <w:t>ë</w:t>
      </w:r>
      <w:r w:rsidRPr="00C94B0D">
        <w:rPr>
          <w:rFonts w:ascii="Garamond" w:eastAsiaTheme="minorHAnsi" w:hAnsi="Garamond" w:cs="Times New Roman"/>
          <w:sz w:val="24"/>
          <w:szCs w:val="24"/>
          <w:lang w:eastAsia="fr-FR"/>
        </w:rPr>
        <w:t xml:space="preserve"> s</w:t>
      </w:r>
      <w:r w:rsidR="00D10B5F" w:rsidRPr="00C94B0D">
        <w:rPr>
          <w:rFonts w:ascii="Garamond" w:eastAsiaTheme="minorHAnsi" w:hAnsi="Garamond" w:cs="Times New Roman"/>
          <w:sz w:val="24"/>
          <w:szCs w:val="24"/>
          <w:lang w:eastAsia="fr-FR"/>
        </w:rPr>
        <w:t>ë</w:t>
      </w:r>
      <w:r w:rsidRPr="00C94B0D">
        <w:rPr>
          <w:rFonts w:ascii="Garamond" w:eastAsiaTheme="minorHAnsi" w:hAnsi="Garamond" w:cs="Times New Roman"/>
          <w:sz w:val="24"/>
          <w:szCs w:val="24"/>
          <w:lang w:eastAsia="fr-FR"/>
        </w:rPr>
        <w:t xml:space="preserve"> Financave, </w:t>
      </w:r>
      <w:r w:rsidRPr="00C94B0D">
        <w:rPr>
          <w:rFonts w:ascii="Garamond" w:hAnsi="Garamond" w:cs="Times New Roman"/>
          <w:sz w:val="24"/>
          <w:szCs w:val="24"/>
        </w:rPr>
        <w:t>të cilat kanë kërkuar rrëzimin e kërkesës,</w:t>
      </w:r>
      <w:r w:rsidRPr="00C94B0D">
        <w:rPr>
          <w:rFonts w:ascii="Garamond" w:eastAsiaTheme="minorHAnsi" w:hAnsi="Garamond" w:cs="Times New Roman"/>
          <w:sz w:val="24"/>
          <w:szCs w:val="24"/>
          <w:lang w:eastAsia="fr-FR"/>
        </w:rPr>
        <w:t xml:space="preserve"> si dhe diskutoi çështjen në tërësi,</w:t>
      </w:r>
    </w:p>
    <w:p w14:paraId="49CA637F" w14:textId="77777777" w:rsidR="008610EC" w:rsidRPr="00C94B0D" w:rsidRDefault="008610EC" w:rsidP="008610EC">
      <w:pPr>
        <w:spacing w:after="0" w:line="240" w:lineRule="auto"/>
        <w:ind w:firstLine="284"/>
        <w:jc w:val="both"/>
        <w:rPr>
          <w:rFonts w:ascii="Garamond" w:eastAsia="Times New Roman" w:hAnsi="Garamond" w:cs="Times New Roman"/>
          <w:sz w:val="24"/>
          <w:szCs w:val="24"/>
        </w:rPr>
      </w:pPr>
    </w:p>
    <w:p w14:paraId="5BEC0C71" w14:textId="66E71A9D" w:rsidR="008610EC" w:rsidRPr="00C94B0D" w:rsidRDefault="008610EC" w:rsidP="008610EC">
      <w:pPr>
        <w:autoSpaceDE w:val="0"/>
        <w:autoSpaceDN w:val="0"/>
        <w:adjustRightInd w:val="0"/>
        <w:spacing w:after="0" w:line="240" w:lineRule="auto"/>
        <w:ind w:firstLine="284"/>
        <w:jc w:val="center"/>
        <w:rPr>
          <w:rFonts w:ascii="Garamond" w:eastAsiaTheme="minorHAnsi" w:hAnsi="Garamond"/>
          <w:bCs/>
          <w:color w:val="000000"/>
          <w:sz w:val="24"/>
          <w:szCs w:val="24"/>
        </w:rPr>
      </w:pPr>
      <w:r w:rsidRPr="00C94B0D">
        <w:rPr>
          <w:rFonts w:ascii="Garamond" w:eastAsiaTheme="minorHAnsi" w:hAnsi="Garamond"/>
          <w:bCs/>
          <w:color w:val="000000"/>
          <w:sz w:val="24"/>
          <w:szCs w:val="24"/>
        </w:rPr>
        <w:t>VËREN:</w:t>
      </w:r>
    </w:p>
    <w:p w14:paraId="4AF4ED40" w14:textId="77777777" w:rsidR="008610EC" w:rsidRPr="00C94B0D" w:rsidRDefault="008610EC" w:rsidP="008610EC">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1A5D3BB7" w14:textId="77777777" w:rsidR="00EE233C" w:rsidRPr="00C94B0D" w:rsidRDefault="00EE233C" w:rsidP="008610EC">
      <w:pPr>
        <w:tabs>
          <w:tab w:val="left" w:pos="1080"/>
        </w:tabs>
        <w:spacing w:after="0" w:line="240" w:lineRule="auto"/>
        <w:ind w:firstLine="284"/>
        <w:jc w:val="center"/>
        <w:rPr>
          <w:rFonts w:ascii="Garamond" w:eastAsia="Times New Roman" w:hAnsi="Garamond" w:cs="Times New Roman"/>
          <w:b/>
          <w:sz w:val="24"/>
          <w:szCs w:val="24"/>
        </w:rPr>
      </w:pPr>
      <w:r w:rsidRPr="00C94B0D">
        <w:rPr>
          <w:rFonts w:ascii="Garamond" w:eastAsia="Times New Roman" w:hAnsi="Garamond" w:cs="Times New Roman"/>
          <w:b/>
          <w:sz w:val="24"/>
          <w:szCs w:val="24"/>
        </w:rPr>
        <w:t>I</w:t>
      </w:r>
    </w:p>
    <w:p w14:paraId="1A5D3BB8" w14:textId="313E7F86" w:rsidR="00EE233C" w:rsidRPr="00C94B0D" w:rsidRDefault="00EE233C" w:rsidP="008610EC">
      <w:pPr>
        <w:tabs>
          <w:tab w:val="left" w:pos="1080"/>
        </w:tabs>
        <w:spacing w:after="0" w:line="240" w:lineRule="auto"/>
        <w:ind w:firstLine="284"/>
        <w:jc w:val="center"/>
        <w:rPr>
          <w:rFonts w:ascii="Garamond" w:eastAsia="Times New Roman" w:hAnsi="Garamond" w:cs="Times New Roman"/>
          <w:b/>
          <w:sz w:val="24"/>
          <w:szCs w:val="24"/>
        </w:rPr>
      </w:pPr>
      <w:r w:rsidRPr="00C94B0D">
        <w:rPr>
          <w:rFonts w:ascii="Garamond" w:eastAsia="Times New Roman" w:hAnsi="Garamond" w:cs="Times New Roman"/>
          <w:b/>
          <w:sz w:val="24"/>
          <w:szCs w:val="24"/>
        </w:rPr>
        <w:t>Rrethanat e çështjes</w:t>
      </w:r>
    </w:p>
    <w:p w14:paraId="45AF1843" w14:textId="77777777" w:rsidR="008610EC" w:rsidRPr="00C94B0D" w:rsidRDefault="008610EC" w:rsidP="008610EC">
      <w:pPr>
        <w:tabs>
          <w:tab w:val="left" w:pos="1080"/>
        </w:tabs>
        <w:spacing w:after="0" w:line="240" w:lineRule="auto"/>
        <w:ind w:firstLine="284"/>
        <w:jc w:val="center"/>
        <w:rPr>
          <w:rFonts w:ascii="Garamond" w:eastAsia="Times New Roman" w:hAnsi="Garamond" w:cs="Times New Roman"/>
          <w:b/>
          <w:sz w:val="24"/>
          <w:szCs w:val="24"/>
        </w:rPr>
      </w:pPr>
    </w:p>
    <w:p w14:paraId="2B851443" w14:textId="6D22B828" w:rsidR="008610EC" w:rsidRPr="00C94B0D" w:rsidRDefault="008610EC" w:rsidP="008610EC">
      <w:pPr>
        <w:shd w:val="clear" w:color="auto" w:fill="FFFFFF"/>
        <w:tabs>
          <w:tab w:val="left" w:pos="720"/>
          <w:tab w:val="left" w:pos="1080"/>
        </w:tabs>
        <w:spacing w:after="0" w:line="240" w:lineRule="auto"/>
        <w:ind w:firstLine="284"/>
        <w:contextualSpacing/>
        <w:jc w:val="both"/>
        <w:rPr>
          <w:rFonts w:ascii="Garamond" w:hAnsi="Garamond" w:cs="Times New Roman"/>
          <w:sz w:val="24"/>
          <w:szCs w:val="24"/>
        </w:rPr>
      </w:pPr>
      <w:r w:rsidRPr="00C94B0D">
        <w:rPr>
          <w:rFonts w:ascii="Garamond" w:hAnsi="Garamond" w:cs="Times New Roman"/>
          <w:sz w:val="24"/>
          <w:szCs w:val="24"/>
        </w:rPr>
        <w:t>1. Kërkuesi ka paraqitur kallëzim penal në Prokurorinë pranë Gjykatës së Rrethit Gjyqësor Elbasan për veprën penale të parashikuar nga neni 248 i Kodit Penal ndaj një gjyqtari të Gjykatës së Rrethit Gjyqësor Elbasan. Prokuroria pranë Gjykatës Rrethit Gjyqësor Elbasan, me s</w:t>
      </w:r>
      <w:r w:rsidR="00C94B0D" w:rsidRPr="00C94B0D">
        <w:rPr>
          <w:rFonts w:ascii="Garamond" w:hAnsi="Garamond" w:cs="Times New Roman"/>
          <w:sz w:val="24"/>
          <w:szCs w:val="24"/>
        </w:rPr>
        <w:t>hkresën nr. 325 prot., datë 12.</w:t>
      </w:r>
      <w:r w:rsidRPr="00C94B0D">
        <w:rPr>
          <w:rFonts w:ascii="Garamond" w:hAnsi="Garamond" w:cs="Times New Roman"/>
          <w:sz w:val="24"/>
          <w:szCs w:val="24"/>
        </w:rPr>
        <w:t xml:space="preserve">1.2015, me objekt “Kthim përgjigjeje”, ka njoftuar kërkuesin se shkresa e tij nuk përmbante </w:t>
      </w:r>
      <w:bookmarkStart w:id="2" w:name="_GoBack"/>
      <w:r w:rsidRPr="00C94B0D">
        <w:rPr>
          <w:rFonts w:ascii="Garamond" w:hAnsi="Garamond" w:cs="Times New Roman"/>
          <w:sz w:val="24"/>
          <w:szCs w:val="24"/>
        </w:rPr>
        <w:t>elemen</w:t>
      </w:r>
      <w:bookmarkEnd w:id="2"/>
      <w:r w:rsidRPr="00C94B0D">
        <w:rPr>
          <w:rFonts w:ascii="Garamond" w:hAnsi="Garamond" w:cs="Times New Roman"/>
          <w:sz w:val="24"/>
          <w:szCs w:val="24"/>
        </w:rPr>
        <w:t xml:space="preserve">tet e kallëzimit penal. Për këtë shkresë kërkuesi ka kërkuar nga Gjykata e Rrethit Gjyqësor Elbasan konstatimin e shkeljes të së drejtës për regjistrimin e kallëzimit penal, si dhe detyrimin e organit procedues që të bëjë regjistrimin e kallëzimit. Gjykata e Rrethit Gjyqësor </w:t>
      </w:r>
      <w:r w:rsidRPr="00C94B0D">
        <w:rPr>
          <w:rFonts w:ascii="Garamond" w:hAnsi="Garamond" w:cs="Times New Roman"/>
          <w:sz w:val="24"/>
          <w:szCs w:val="24"/>
        </w:rPr>
        <w:lastRenderedPageBreak/>
        <w:t>Elba</w:t>
      </w:r>
      <w:r w:rsidR="00C94B0D" w:rsidRPr="00C94B0D">
        <w:rPr>
          <w:rFonts w:ascii="Garamond" w:hAnsi="Garamond" w:cs="Times New Roman"/>
          <w:sz w:val="24"/>
          <w:szCs w:val="24"/>
        </w:rPr>
        <w:t xml:space="preserve">san, me vendimin nr. 936, datë </w:t>
      </w:r>
      <w:r w:rsidRPr="00C94B0D">
        <w:rPr>
          <w:rFonts w:ascii="Garamond" w:hAnsi="Garamond" w:cs="Times New Roman"/>
          <w:sz w:val="24"/>
          <w:szCs w:val="24"/>
        </w:rPr>
        <w:t xml:space="preserve">2.11.2018, ka vendosur pranimin e kërkesës dhe konstatimin e shkeljes. </w:t>
      </w:r>
    </w:p>
    <w:p w14:paraId="2B671A9E" w14:textId="42414CEB" w:rsidR="008610EC" w:rsidRPr="00C94B0D" w:rsidRDefault="008610EC" w:rsidP="008610EC">
      <w:pPr>
        <w:shd w:val="clear" w:color="auto" w:fill="FFFFFF"/>
        <w:tabs>
          <w:tab w:val="left" w:pos="720"/>
          <w:tab w:val="left" w:pos="1080"/>
        </w:tabs>
        <w:spacing w:after="0" w:line="240" w:lineRule="auto"/>
        <w:ind w:firstLine="284"/>
        <w:contextualSpacing/>
        <w:jc w:val="both"/>
        <w:rPr>
          <w:rFonts w:ascii="Garamond" w:hAnsi="Garamond" w:cs="Times New Roman"/>
          <w:sz w:val="24"/>
          <w:szCs w:val="24"/>
        </w:rPr>
      </w:pPr>
      <w:r w:rsidRPr="00C94B0D">
        <w:rPr>
          <w:rFonts w:ascii="Garamond" w:hAnsi="Garamond" w:cs="Times New Roman"/>
          <w:sz w:val="24"/>
          <w:szCs w:val="24"/>
        </w:rPr>
        <w:t xml:space="preserve">2. Në vijim të kësaj vendimmarrjeje, kërkuesi i është drejtuar përsëri me kërkesëpadi Gjykatës së Rrethit Gjyqësor Elbasan, duke paditur Ministrinë e Financave dhe Ministrinë e Drejtësisë, me objekt detyrimin e të paditurve t’i shpërblejnë paditësit shumën prej 400 000 lekësh për veprimet e parregullta të shkaktuara nga vartësit e Prokurorisë pranë Gjykatës së Rrethit Gjyqësor Elbasan në përmbushje të detyrës, duke mos e regjistruar </w:t>
      </w:r>
      <w:r w:rsidR="00C94B0D">
        <w:rPr>
          <w:rFonts w:ascii="Garamond" w:hAnsi="Garamond" w:cs="Times New Roman"/>
          <w:sz w:val="24"/>
          <w:szCs w:val="24"/>
        </w:rPr>
        <w:t>kallëzimin penal nr. 205, datë 7.</w:t>
      </w:r>
      <w:r w:rsidRPr="00C94B0D">
        <w:rPr>
          <w:rFonts w:ascii="Garamond" w:hAnsi="Garamond" w:cs="Times New Roman"/>
          <w:sz w:val="24"/>
          <w:szCs w:val="24"/>
        </w:rPr>
        <w:t>1.2015</w:t>
      </w:r>
      <w:r w:rsidR="00C94B0D">
        <w:rPr>
          <w:rFonts w:ascii="Garamond" w:hAnsi="Garamond" w:cs="Times New Roman"/>
          <w:sz w:val="24"/>
          <w:szCs w:val="24"/>
        </w:rPr>
        <w:t>,</w:t>
      </w:r>
      <w:r w:rsidRPr="00C94B0D">
        <w:rPr>
          <w:rFonts w:ascii="Garamond" w:hAnsi="Garamond" w:cs="Times New Roman"/>
          <w:sz w:val="24"/>
          <w:szCs w:val="24"/>
        </w:rPr>
        <w:t xml:space="preserve"> të paraqitur nga ai.</w:t>
      </w:r>
    </w:p>
    <w:p w14:paraId="2D74F5CB" w14:textId="0D12BB0D" w:rsidR="008610EC" w:rsidRPr="00C94B0D" w:rsidRDefault="008610EC" w:rsidP="008610EC">
      <w:pPr>
        <w:shd w:val="clear" w:color="auto" w:fill="FFFFFF"/>
        <w:tabs>
          <w:tab w:val="left" w:pos="720"/>
          <w:tab w:val="left" w:pos="1080"/>
        </w:tabs>
        <w:spacing w:after="0" w:line="240" w:lineRule="auto"/>
        <w:ind w:firstLine="284"/>
        <w:contextualSpacing/>
        <w:jc w:val="both"/>
        <w:rPr>
          <w:rFonts w:ascii="Garamond" w:hAnsi="Garamond" w:cs="Times New Roman"/>
          <w:sz w:val="24"/>
          <w:szCs w:val="24"/>
        </w:rPr>
      </w:pPr>
      <w:r w:rsidRPr="00C94B0D">
        <w:rPr>
          <w:rFonts w:ascii="Garamond" w:hAnsi="Garamond" w:cs="Times New Roman"/>
          <w:sz w:val="24"/>
          <w:szCs w:val="24"/>
        </w:rPr>
        <w:t>3. Gjykata e Rrethit Gjyqësor Elbasan, me vendimin e saj nr</w:t>
      </w:r>
      <w:r w:rsidR="00C94B0D">
        <w:rPr>
          <w:rFonts w:ascii="Garamond" w:hAnsi="Garamond" w:cs="Times New Roman"/>
          <w:sz w:val="24"/>
          <w:szCs w:val="24"/>
        </w:rPr>
        <w:t>. 1127 (13-2019-4869), datë 29.</w:t>
      </w:r>
      <w:r w:rsidRPr="00C94B0D">
        <w:rPr>
          <w:rFonts w:ascii="Garamond" w:hAnsi="Garamond" w:cs="Times New Roman"/>
          <w:sz w:val="24"/>
          <w:szCs w:val="24"/>
        </w:rPr>
        <w:t>7.2019, ka vendosur rrëzimin e padisë, si të pabazuar në ligj e në prova. Ndaj këtij vendimi është ushtruar ankim nga paditësi në Gjykatën e Apelit Durrës (sot Gjykata e Apelit e Juridiksionit të Përgjithshëm) dhe çështja është regjistruar në këtë gjykatë me nr. 2123/21234-1343, datë 18.10.2019.</w:t>
      </w:r>
    </w:p>
    <w:p w14:paraId="7B0630C7" w14:textId="38A65903" w:rsidR="008610EC" w:rsidRPr="00C94B0D" w:rsidRDefault="008610EC" w:rsidP="008610EC">
      <w:pPr>
        <w:shd w:val="clear" w:color="auto" w:fill="FFFFFF"/>
        <w:tabs>
          <w:tab w:val="left" w:pos="720"/>
          <w:tab w:val="left" w:pos="1080"/>
        </w:tabs>
        <w:spacing w:after="0" w:line="240" w:lineRule="auto"/>
        <w:ind w:firstLine="284"/>
        <w:contextualSpacing/>
        <w:jc w:val="both"/>
        <w:rPr>
          <w:rFonts w:ascii="Garamond" w:hAnsi="Garamond" w:cs="Times New Roman"/>
          <w:sz w:val="24"/>
          <w:szCs w:val="24"/>
        </w:rPr>
      </w:pPr>
      <w:r w:rsidRPr="00C94B0D">
        <w:rPr>
          <w:rFonts w:ascii="Garamond" w:hAnsi="Garamond" w:cs="Times New Roman"/>
          <w:sz w:val="24"/>
          <w:szCs w:val="24"/>
        </w:rPr>
        <w:t>4. Në kushtet kur çështja e kërkuesit nuk është gjykuar ende, ai ka paraqitur kërkesë për konstatimin e shkeljes së afatit të ar</w:t>
      </w:r>
      <w:r w:rsidR="00C94B0D">
        <w:rPr>
          <w:rFonts w:ascii="Garamond" w:hAnsi="Garamond" w:cs="Times New Roman"/>
          <w:sz w:val="24"/>
          <w:szCs w:val="24"/>
        </w:rPr>
        <w:t xml:space="preserve">syeshëm në Gjykatën e Lartë më </w:t>
      </w:r>
      <w:r w:rsidRPr="00C94B0D">
        <w:rPr>
          <w:rFonts w:ascii="Garamond" w:hAnsi="Garamond" w:cs="Times New Roman"/>
          <w:sz w:val="24"/>
          <w:szCs w:val="24"/>
        </w:rPr>
        <w:t>2.12.2024. Kolegji Civil i Gjykatës së Lartë, me vendimin nr. 00-2024-5292, datë 23.12.2024, në dhomën e këshillimit, ka vendosur rrëzimin e kërkesës, me arsyetimin se duke pasur parasysh rrethanat e çështjes, kompleksitetin e saj, numrin e lartë të çështjeve që presin të gjykohen në Gjykatën e Apelit të Juridiksionit të Përgjithshëm dhe numrin e reduktuar të gjyqtarëve, kombinuar me shkaqe objektive të lidhura me gjyqtarin e çështjes, e kanë çuar atë kolegj në përfundimin se nuk ka cenim të së drejtës për një proces të rregullt ligjor.</w:t>
      </w:r>
    </w:p>
    <w:p w14:paraId="1A5D3BBE" w14:textId="38501054" w:rsidR="008660D0" w:rsidRPr="00C94B0D" w:rsidRDefault="008610EC" w:rsidP="008610EC">
      <w:pPr>
        <w:shd w:val="clear" w:color="auto" w:fill="FFFFFF"/>
        <w:tabs>
          <w:tab w:val="left" w:pos="720"/>
          <w:tab w:val="left" w:pos="1080"/>
        </w:tabs>
        <w:spacing w:after="0" w:line="240" w:lineRule="auto"/>
        <w:ind w:firstLine="284"/>
        <w:contextualSpacing/>
        <w:jc w:val="both"/>
        <w:rPr>
          <w:rFonts w:ascii="Garamond" w:hAnsi="Garamond" w:cs="Times New Roman"/>
          <w:sz w:val="24"/>
          <w:szCs w:val="24"/>
        </w:rPr>
      </w:pPr>
      <w:r w:rsidRPr="00C94B0D">
        <w:rPr>
          <w:rFonts w:ascii="Garamond" w:hAnsi="Garamond" w:cs="Times New Roman"/>
          <w:sz w:val="24"/>
          <w:szCs w:val="24"/>
        </w:rPr>
        <w:t xml:space="preserve">5. </w:t>
      </w:r>
      <w:r w:rsidR="00C94B0D">
        <w:rPr>
          <w:rFonts w:ascii="Garamond" w:hAnsi="Garamond" w:cs="Times New Roman"/>
          <w:sz w:val="24"/>
          <w:szCs w:val="24"/>
        </w:rPr>
        <w:t>Në datën 26.</w:t>
      </w:r>
      <w:r w:rsidRPr="00C94B0D">
        <w:rPr>
          <w:rFonts w:ascii="Garamond" w:hAnsi="Garamond" w:cs="Times New Roman"/>
          <w:sz w:val="24"/>
          <w:szCs w:val="24"/>
        </w:rPr>
        <w:t>6.2025</w:t>
      </w:r>
      <w:r w:rsidR="00C94B0D">
        <w:rPr>
          <w:rFonts w:ascii="Garamond" w:hAnsi="Garamond" w:cs="Times New Roman"/>
          <w:sz w:val="24"/>
          <w:szCs w:val="24"/>
        </w:rPr>
        <w:t>,</w:t>
      </w:r>
      <w:r w:rsidRPr="00C94B0D">
        <w:rPr>
          <w:rFonts w:ascii="Garamond" w:hAnsi="Garamond" w:cs="Times New Roman"/>
          <w:sz w:val="24"/>
          <w:szCs w:val="24"/>
        </w:rPr>
        <w:t xml:space="preserve"> kërkuesi ka paraqitur ankim kushtetues individual në Gjykatën Kushtetuese (</w:t>
      </w:r>
      <w:r w:rsidRPr="00C94B0D">
        <w:rPr>
          <w:rFonts w:ascii="Garamond" w:hAnsi="Garamond" w:cs="Times New Roman"/>
          <w:i/>
          <w:sz w:val="24"/>
          <w:szCs w:val="24"/>
        </w:rPr>
        <w:t>Gjykata</w:t>
      </w:r>
      <w:r w:rsidRPr="00C94B0D">
        <w:rPr>
          <w:rFonts w:ascii="Garamond" w:hAnsi="Garamond" w:cs="Times New Roman"/>
          <w:sz w:val="24"/>
          <w:szCs w:val="24"/>
        </w:rPr>
        <w:t xml:space="preserve">), sipas objektit të tij. </w:t>
      </w:r>
      <w:r w:rsidR="00C94B0D">
        <w:rPr>
          <w:rFonts w:ascii="Garamond" w:hAnsi="Garamond" w:cs="Times New Roman"/>
          <w:sz w:val="24"/>
          <w:szCs w:val="24"/>
        </w:rPr>
        <w:t>Kolegji i Gjykatës, në datën 22.</w:t>
      </w:r>
      <w:r w:rsidRPr="00C94B0D">
        <w:rPr>
          <w:rFonts w:ascii="Garamond" w:hAnsi="Garamond" w:cs="Times New Roman"/>
          <w:sz w:val="24"/>
          <w:szCs w:val="24"/>
        </w:rPr>
        <w:t>7.2025</w:t>
      </w:r>
      <w:r w:rsidR="00C94B0D">
        <w:rPr>
          <w:rFonts w:ascii="Garamond" w:hAnsi="Garamond" w:cs="Times New Roman"/>
          <w:sz w:val="24"/>
          <w:szCs w:val="24"/>
        </w:rPr>
        <w:t>,</w:t>
      </w:r>
      <w:r w:rsidRPr="00C94B0D">
        <w:rPr>
          <w:rFonts w:ascii="Garamond" w:hAnsi="Garamond" w:cs="Times New Roman"/>
          <w:sz w:val="24"/>
          <w:szCs w:val="24"/>
        </w:rPr>
        <w:t xml:space="preserve"> ka vendosur kalimin e çështjes për shqyrtim në seancë plenare mbi bazë të dokumenteve.</w:t>
      </w:r>
    </w:p>
    <w:p w14:paraId="1A5D3BBF" w14:textId="77777777" w:rsidR="00EE233C" w:rsidRPr="00C94B0D" w:rsidRDefault="00EE233C" w:rsidP="008610EC">
      <w:pPr>
        <w:spacing w:after="0" w:line="240" w:lineRule="auto"/>
        <w:ind w:firstLine="284"/>
        <w:rPr>
          <w:rFonts w:ascii="Garamond" w:hAnsi="Garamond" w:cs="Times New Roman"/>
          <w:sz w:val="24"/>
          <w:szCs w:val="24"/>
        </w:rPr>
      </w:pPr>
    </w:p>
    <w:p w14:paraId="1A5D3BC0" w14:textId="77777777" w:rsidR="00EE233C" w:rsidRPr="00C94B0D" w:rsidRDefault="00EE233C" w:rsidP="008610EC">
      <w:pPr>
        <w:spacing w:after="0" w:line="240" w:lineRule="auto"/>
        <w:ind w:firstLine="284"/>
        <w:jc w:val="center"/>
        <w:rPr>
          <w:rFonts w:ascii="Garamond" w:hAnsi="Garamond" w:cs="Times New Roman"/>
          <w:b/>
          <w:sz w:val="24"/>
          <w:szCs w:val="24"/>
        </w:rPr>
      </w:pPr>
      <w:r w:rsidRPr="00C94B0D">
        <w:rPr>
          <w:rFonts w:ascii="Garamond" w:hAnsi="Garamond" w:cs="Times New Roman"/>
          <w:b/>
          <w:sz w:val="24"/>
          <w:szCs w:val="24"/>
        </w:rPr>
        <w:t>II</w:t>
      </w:r>
    </w:p>
    <w:p w14:paraId="1A5D3BC1" w14:textId="1CAD7DD3" w:rsidR="00EE233C" w:rsidRPr="00C94B0D" w:rsidRDefault="00EE233C" w:rsidP="008610EC">
      <w:pPr>
        <w:spacing w:after="0" w:line="240" w:lineRule="auto"/>
        <w:ind w:firstLine="284"/>
        <w:jc w:val="center"/>
        <w:rPr>
          <w:rFonts w:ascii="Garamond" w:hAnsi="Garamond" w:cs="Times New Roman"/>
          <w:b/>
          <w:sz w:val="24"/>
          <w:szCs w:val="24"/>
        </w:rPr>
      </w:pPr>
      <w:r w:rsidRPr="00C94B0D">
        <w:rPr>
          <w:rFonts w:ascii="Garamond" w:hAnsi="Garamond" w:cs="Times New Roman"/>
          <w:b/>
          <w:sz w:val="24"/>
          <w:szCs w:val="24"/>
        </w:rPr>
        <w:t>Pretendimet në Gjykatën Kushtetuese</w:t>
      </w:r>
    </w:p>
    <w:p w14:paraId="46C0DA26" w14:textId="77777777" w:rsidR="008610EC" w:rsidRPr="00C94B0D" w:rsidRDefault="008610EC" w:rsidP="008610EC">
      <w:pPr>
        <w:spacing w:after="0" w:line="240" w:lineRule="auto"/>
        <w:ind w:firstLine="284"/>
        <w:jc w:val="center"/>
        <w:rPr>
          <w:rFonts w:ascii="Garamond" w:eastAsia="Times New Roman" w:hAnsi="Garamond" w:cs="Times New Roman"/>
          <w:b/>
          <w:sz w:val="24"/>
          <w:szCs w:val="24"/>
        </w:rPr>
      </w:pPr>
    </w:p>
    <w:p w14:paraId="46A7C4BE" w14:textId="20AA1345" w:rsidR="008610EC" w:rsidRPr="00C94B0D" w:rsidRDefault="008610EC" w:rsidP="008610EC">
      <w:pPr>
        <w:tabs>
          <w:tab w:val="left" w:pos="720"/>
          <w:tab w:val="left" w:pos="1080"/>
        </w:tabs>
        <w:spacing w:after="0" w:line="240" w:lineRule="auto"/>
        <w:ind w:firstLine="284"/>
        <w:jc w:val="both"/>
        <w:rPr>
          <w:rFonts w:ascii="Garamond" w:eastAsia="Times New Roman" w:hAnsi="Garamond" w:cs="Times New Roman"/>
          <w:sz w:val="24"/>
          <w:szCs w:val="24"/>
        </w:rPr>
      </w:pPr>
      <w:r w:rsidRPr="00C94B0D">
        <w:rPr>
          <w:rFonts w:ascii="Garamond" w:eastAsia="Times New Roman" w:hAnsi="Garamond" w:cs="Times New Roman"/>
          <w:sz w:val="24"/>
          <w:szCs w:val="24"/>
        </w:rPr>
        <w:t xml:space="preserve">6. Kërkuesi, në mënyrë të përmbledhur, ka pretenduar: </w:t>
      </w:r>
    </w:p>
    <w:p w14:paraId="2D3387D7" w14:textId="7DC707AA" w:rsidR="008610EC" w:rsidRPr="00C94B0D" w:rsidRDefault="00C94B0D" w:rsidP="008610EC">
      <w:pPr>
        <w:tabs>
          <w:tab w:val="left" w:pos="720"/>
          <w:tab w:val="left" w:pos="1080"/>
        </w:tabs>
        <w:spacing w:after="0" w:line="240" w:lineRule="auto"/>
        <w:ind w:firstLine="284"/>
        <w:jc w:val="both"/>
        <w:rPr>
          <w:rFonts w:ascii="Garamond" w:eastAsia="Times New Roman" w:hAnsi="Garamond" w:cs="Times New Roman"/>
          <w:sz w:val="24"/>
          <w:szCs w:val="24"/>
        </w:rPr>
      </w:pPr>
      <w:r>
        <w:rPr>
          <w:rFonts w:ascii="Garamond" w:eastAsia="Times New Roman" w:hAnsi="Garamond" w:cs="Times New Roman"/>
          <w:sz w:val="24"/>
          <w:szCs w:val="24"/>
        </w:rPr>
        <w:t>6.1</w:t>
      </w:r>
      <w:r w:rsidR="008610EC" w:rsidRPr="00C94B0D">
        <w:rPr>
          <w:rFonts w:ascii="Garamond" w:eastAsia="Times New Roman" w:hAnsi="Garamond" w:cs="Times New Roman"/>
          <w:sz w:val="24"/>
          <w:szCs w:val="24"/>
        </w:rPr>
        <w:t xml:space="preserve"> </w:t>
      </w:r>
      <w:r w:rsidR="008610EC" w:rsidRPr="00C94B0D">
        <w:rPr>
          <w:rFonts w:ascii="Garamond" w:eastAsia="Times New Roman" w:hAnsi="Garamond" w:cs="Times New Roman"/>
          <w:i/>
          <w:sz w:val="24"/>
          <w:szCs w:val="24"/>
        </w:rPr>
        <w:t>Konstatimin e cenimit të afatit të arsyeshëm të gjykimit</w:t>
      </w:r>
      <w:r w:rsidR="008610EC" w:rsidRPr="00C94B0D">
        <w:rPr>
          <w:rFonts w:ascii="Garamond" w:eastAsia="Times New Roman" w:hAnsi="Garamond" w:cs="Times New Roman"/>
          <w:sz w:val="24"/>
          <w:szCs w:val="24"/>
        </w:rPr>
        <w:t>, pasi procesi i regjistruar në gjykatën e apelit për ankimin e tij ende nuk është gjykuar, duke tejkaluar afatin e arsyeshëm të gjykimit të parashikuar nga KPC-ja me rreth tre vjet e gjysmë. Kjo vonesë nuk ka ardhur për fajin e administratës ose trupit gjykues të gjykatës së apelit, por ka ardhur nga vetë shteti, për shkak të mosplotësimit të vendeve vakante të krijuara nga procesi i vetingut. Gjykata e apelit duhet ta shqyrtojë çështjen e tij sa më parë, jo vetëm se kjo është një çështje e thjeshtë, por edhe për shkak të moshës së tij të madhe.</w:t>
      </w:r>
    </w:p>
    <w:p w14:paraId="2CEEFC47" w14:textId="196019CE" w:rsidR="008610EC" w:rsidRPr="00C94B0D" w:rsidRDefault="00C94B0D" w:rsidP="008610EC">
      <w:pPr>
        <w:tabs>
          <w:tab w:val="left" w:pos="720"/>
          <w:tab w:val="left" w:pos="1080"/>
        </w:tabs>
        <w:spacing w:after="0" w:line="240" w:lineRule="auto"/>
        <w:ind w:firstLine="284"/>
        <w:jc w:val="both"/>
        <w:rPr>
          <w:rFonts w:ascii="Garamond" w:eastAsia="Times New Roman" w:hAnsi="Garamond" w:cs="Times New Roman"/>
          <w:sz w:val="24"/>
          <w:szCs w:val="24"/>
        </w:rPr>
      </w:pPr>
      <w:r>
        <w:rPr>
          <w:rFonts w:ascii="Garamond" w:eastAsia="Times New Roman" w:hAnsi="Garamond" w:cs="Times New Roman"/>
          <w:sz w:val="24"/>
          <w:szCs w:val="24"/>
        </w:rPr>
        <w:t>6.2</w:t>
      </w:r>
      <w:r w:rsidR="008610EC" w:rsidRPr="00C94B0D">
        <w:rPr>
          <w:rFonts w:ascii="Garamond" w:eastAsia="Times New Roman" w:hAnsi="Garamond" w:cs="Times New Roman"/>
          <w:sz w:val="24"/>
          <w:szCs w:val="24"/>
        </w:rPr>
        <w:t xml:space="preserve"> </w:t>
      </w:r>
      <w:r w:rsidR="008610EC" w:rsidRPr="00C94B0D">
        <w:rPr>
          <w:rFonts w:ascii="Garamond" w:eastAsia="Times New Roman" w:hAnsi="Garamond" w:cs="Times New Roman"/>
          <w:i/>
          <w:sz w:val="24"/>
          <w:szCs w:val="24"/>
        </w:rPr>
        <w:t>Cenimin e parimit të paanshmërisë</w:t>
      </w:r>
      <w:r w:rsidR="008610EC" w:rsidRPr="00C94B0D">
        <w:rPr>
          <w:rFonts w:ascii="Garamond" w:eastAsia="Times New Roman" w:hAnsi="Garamond" w:cs="Times New Roman"/>
          <w:sz w:val="24"/>
          <w:szCs w:val="24"/>
        </w:rPr>
        <w:t>, pasi në kundërshtim me nenin 72 të KPC-së, pjesë e trupit gjykues në Gjykatën e Lartë ka qenë një gjyqtare me të cilën ai ka pasur mosmarrëveshje të mëdha.</w:t>
      </w:r>
    </w:p>
    <w:p w14:paraId="6750F9F8" w14:textId="7A027CE4" w:rsidR="008610EC" w:rsidRPr="00C94B0D" w:rsidRDefault="00C94B0D" w:rsidP="008610EC">
      <w:pPr>
        <w:tabs>
          <w:tab w:val="left" w:pos="720"/>
          <w:tab w:val="left" w:pos="1080"/>
        </w:tabs>
        <w:spacing w:after="0" w:line="240" w:lineRule="auto"/>
        <w:ind w:firstLine="284"/>
        <w:jc w:val="both"/>
        <w:rPr>
          <w:rFonts w:ascii="Garamond" w:eastAsia="Times New Roman" w:hAnsi="Garamond" w:cs="Times New Roman"/>
          <w:sz w:val="24"/>
          <w:szCs w:val="24"/>
        </w:rPr>
      </w:pPr>
      <w:r>
        <w:rPr>
          <w:rFonts w:ascii="Garamond" w:eastAsia="Times New Roman" w:hAnsi="Garamond" w:cs="Times New Roman"/>
          <w:sz w:val="24"/>
          <w:szCs w:val="24"/>
        </w:rPr>
        <w:t>6.3</w:t>
      </w:r>
      <w:r w:rsidR="008610EC" w:rsidRPr="00C94B0D">
        <w:rPr>
          <w:rFonts w:ascii="Garamond" w:eastAsia="Times New Roman" w:hAnsi="Garamond" w:cs="Times New Roman"/>
          <w:sz w:val="24"/>
          <w:szCs w:val="24"/>
        </w:rPr>
        <w:t xml:space="preserve"> </w:t>
      </w:r>
      <w:r w:rsidR="008610EC" w:rsidRPr="00C94B0D">
        <w:rPr>
          <w:rFonts w:ascii="Garamond" w:eastAsia="Times New Roman" w:hAnsi="Garamond" w:cs="Times New Roman"/>
          <w:i/>
          <w:sz w:val="24"/>
          <w:szCs w:val="24"/>
        </w:rPr>
        <w:t>Cenimin e parimit të barazisë përpara ligjit</w:t>
      </w:r>
      <w:r w:rsidR="008610EC" w:rsidRPr="00C94B0D">
        <w:rPr>
          <w:rFonts w:ascii="Garamond" w:eastAsia="Times New Roman" w:hAnsi="Garamond" w:cs="Times New Roman"/>
          <w:sz w:val="24"/>
          <w:szCs w:val="24"/>
        </w:rPr>
        <w:t>, pasi Gjykata e Lartë nuk ndjek të njëjtën praktikë për kërkesat për konstatimin e shkeljes së afatit të arsyeshëm dhe përshpejtimin e gjykimit të çështjes, ku njëri trup gjykues i Kolegjit Administrativ të saj i ka dhënë të drejtë kërkuesit në disa raste të ngjashme.</w:t>
      </w:r>
    </w:p>
    <w:p w14:paraId="2892988E" w14:textId="2D281D29" w:rsidR="008610EC" w:rsidRPr="00C94B0D" w:rsidRDefault="008610EC" w:rsidP="008610EC">
      <w:pPr>
        <w:tabs>
          <w:tab w:val="left" w:pos="720"/>
          <w:tab w:val="left" w:pos="1080"/>
        </w:tabs>
        <w:spacing w:after="0" w:line="240" w:lineRule="auto"/>
        <w:ind w:firstLine="284"/>
        <w:jc w:val="both"/>
        <w:rPr>
          <w:rFonts w:ascii="Garamond" w:eastAsia="Times New Roman" w:hAnsi="Garamond" w:cs="Times New Roman"/>
          <w:sz w:val="24"/>
          <w:szCs w:val="24"/>
        </w:rPr>
      </w:pPr>
      <w:r w:rsidRPr="00C94B0D">
        <w:rPr>
          <w:rFonts w:ascii="Garamond" w:eastAsia="Times New Roman" w:hAnsi="Garamond" w:cs="Times New Roman"/>
          <w:sz w:val="24"/>
          <w:szCs w:val="24"/>
        </w:rPr>
        <w:t xml:space="preserve">7. </w:t>
      </w:r>
      <w:r w:rsidRPr="00C94B0D">
        <w:rPr>
          <w:rFonts w:ascii="Garamond" w:eastAsia="Times New Roman" w:hAnsi="Garamond" w:cs="Times New Roman"/>
          <w:b/>
          <w:i/>
          <w:sz w:val="24"/>
          <w:szCs w:val="24"/>
        </w:rPr>
        <w:t>Subjekti i interesuar, Ministria e Drejtësisë</w:t>
      </w:r>
      <w:r w:rsidRPr="00C94B0D">
        <w:rPr>
          <w:rFonts w:ascii="Garamond" w:eastAsia="Times New Roman" w:hAnsi="Garamond" w:cs="Times New Roman"/>
          <w:sz w:val="24"/>
          <w:szCs w:val="24"/>
        </w:rPr>
        <w:t>, në mënyrë të përmbledhur, ka parashtruar se çështja e kërkuesit nuk është një çështje që lidhet me interesa vetjakë dhe jetësorë dhe se objekt mosmarrëveshjeje nuk është ndonjë e drejtë substanciale kushtetuese. Gjithashtu, kërkuesi nuk ka arritur të argumentojë rrezikun për interesat e tij në mënyrë që të justifikojë trajtimin e çështjes me përparësi. Për më tepër, duke parë numrin e lartë të proceseve që ka kërkuesi në gjykim krijohet përshtypja sikur ai po e përdor mjetin korrigjues me qëllim përfitimet abuzive.</w:t>
      </w:r>
    </w:p>
    <w:p w14:paraId="1A5D3BC8" w14:textId="5BBEA9F3" w:rsidR="00EE233C" w:rsidRPr="00C94B0D" w:rsidRDefault="008610EC" w:rsidP="008610EC">
      <w:pPr>
        <w:tabs>
          <w:tab w:val="left" w:pos="720"/>
          <w:tab w:val="left" w:pos="1080"/>
        </w:tabs>
        <w:spacing w:after="0" w:line="240" w:lineRule="auto"/>
        <w:ind w:firstLine="284"/>
        <w:jc w:val="both"/>
        <w:rPr>
          <w:rFonts w:ascii="Garamond" w:eastAsia="Times New Roman" w:hAnsi="Garamond" w:cs="Times New Roman"/>
          <w:sz w:val="24"/>
          <w:szCs w:val="24"/>
        </w:rPr>
      </w:pPr>
      <w:r w:rsidRPr="00C94B0D">
        <w:rPr>
          <w:rFonts w:ascii="Garamond" w:eastAsia="Times New Roman" w:hAnsi="Garamond" w:cs="Times New Roman"/>
          <w:sz w:val="24"/>
          <w:szCs w:val="24"/>
        </w:rPr>
        <w:t xml:space="preserve">8. </w:t>
      </w:r>
      <w:r w:rsidRPr="00C94B0D">
        <w:rPr>
          <w:rFonts w:ascii="Garamond" w:eastAsia="Times New Roman" w:hAnsi="Garamond" w:cs="Times New Roman"/>
          <w:b/>
          <w:i/>
          <w:sz w:val="24"/>
          <w:szCs w:val="24"/>
        </w:rPr>
        <w:t xml:space="preserve">Subjekti i interesuar, Ministria e </w:t>
      </w:r>
      <w:r w:rsidR="00271CD3" w:rsidRPr="00C94B0D">
        <w:rPr>
          <w:rFonts w:ascii="Garamond" w:eastAsia="Times New Roman" w:hAnsi="Garamond" w:cs="Times New Roman"/>
          <w:b/>
          <w:i/>
          <w:sz w:val="24"/>
          <w:szCs w:val="24"/>
        </w:rPr>
        <w:t>Financave</w:t>
      </w:r>
      <w:r w:rsidRPr="00C94B0D">
        <w:rPr>
          <w:rFonts w:ascii="Garamond" w:eastAsia="Times New Roman" w:hAnsi="Garamond" w:cs="Times New Roman"/>
          <w:sz w:val="24"/>
          <w:szCs w:val="24"/>
        </w:rPr>
        <w:t>, në mënyrë të përmbledhur, ka parashtruar se ashtu siç ka arsyetuar edhe Gjykata e Lartë në vendimin objekt shqyrtimi, rasti konkret lidhet me rrethanat e pamundësisë objektive për procedim si kusht për mosllogaritjen e afateve, për sa kohë vepron kjo gjendje, ndaj ankimi i kërkuesit duhet të rrëzohet.</w:t>
      </w:r>
    </w:p>
    <w:p w14:paraId="7A44AE8A" w14:textId="77777777" w:rsidR="008610EC" w:rsidRPr="00C94B0D" w:rsidRDefault="008610EC" w:rsidP="008610EC">
      <w:pPr>
        <w:tabs>
          <w:tab w:val="left" w:pos="720"/>
          <w:tab w:val="left" w:pos="1080"/>
        </w:tabs>
        <w:spacing w:after="0" w:line="240" w:lineRule="auto"/>
        <w:ind w:firstLine="284"/>
        <w:jc w:val="both"/>
        <w:rPr>
          <w:rFonts w:ascii="Garamond" w:eastAsia="Times New Roman" w:hAnsi="Garamond" w:cs="Times New Roman"/>
          <w:sz w:val="24"/>
          <w:szCs w:val="24"/>
        </w:rPr>
      </w:pPr>
    </w:p>
    <w:p w14:paraId="1A5D3BC9" w14:textId="77777777" w:rsidR="00EE233C" w:rsidRPr="00C94B0D" w:rsidRDefault="00EE233C" w:rsidP="008610EC">
      <w:pPr>
        <w:tabs>
          <w:tab w:val="left" w:pos="1080"/>
        </w:tabs>
        <w:spacing w:after="0" w:line="240" w:lineRule="auto"/>
        <w:ind w:firstLine="284"/>
        <w:jc w:val="center"/>
        <w:rPr>
          <w:rFonts w:ascii="Garamond" w:eastAsia="Times New Roman" w:hAnsi="Garamond" w:cs="Times New Roman"/>
          <w:b/>
          <w:sz w:val="24"/>
          <w:szCs w:val="24"/>
        </w:rPr>
      </w:pPr>
      <w:r w:rsidRPr="00C94B0D">
        <w:rPr>
          <w:rFonts w:ascii="Garamond" w:eastAsia="Times New Roman" w:hAnsi="Garamond" w:cs="Times New Roman"/>
          <w:b/>
          <w:sz w:val="24"/>
          <w:szCs w:val="24"/>
        </w:rPr>
        <w:t>III</w:t>
      </w:r>
    </w:p>
    <w:p w14:paraId="1A5D3BCA" w14:textId="37E8DB0B" w:rsidR="00EE233C" w:rsidRPr="00C94B0D" w:rsidRDefault="00EE233C" w:rsidP="008610EC">
      <w:pPr>
        <w:tabs>
          <w:tab w:val="left" w:pos="1080"/>
        </w:tabs>
        <w:spacing w:after="0" w:line="240" w:lineRule="auto"/>
        <w:ind w:firstLine="284"/>
        <w:jc w:val="center"/>
        <w:rPr>
          <w:rFonts w:ascii="Garamond" w:eastAsia="Times New Roman" w:hAnsi="Garamond" w:cs="Times New Roman"/>
          <w:b/>
          <w:sz w:val="24"/>
          <w:szCs w:val="24"/>
        </w:rPr>
      </w:pPr>
      <w:r w:rsidRPr="00C94B0D">
        <w:rPr>
          <w:rFonts w:ascii="Garamond" w:eastAsia="Times New Roman" w:hAnsi="Garamond" w:cs="Times New Roman"/>
          <w:b/>
          <w:sz w:val="24"/>
          <w:szCs w:val="24"/>
        </w:rPr>
        <w:lastRenderedPageBreak/>
        <w:t>Vlerësimi i Gjykatës Kushtetuese</w:t>
      </w:r>
    </w:p>
    <w:p w14:paraId="7B281906" w14:textId="77777777" w:rsidR="008610EC" w:rsidRPr="00C94B0D" w:rsidRDefault="008610EC" w:rsidP="008610EC">
      <w:pPr>
        <w:tabs>
          <w:tab w:val="left" w:pos="1080"/>
        </w:tabs>
        <w:spacing w:after="0" w:line="240" w:lineRule="auto"/>
        <w:ind w:firstLine="284"/>
        <w:jc w:val="center"/>
        <w:rPr>
          <w:rFonts w:ascii="Garamond" w:eastAsia="Times New Roman" w:hAnsi="Garamond" w:cs="Times New Roman"/>
          <w:sz w:val="24"/>
          <w:szCs w:val="24"/>
        </w:rPr>
      </w:pPr>
    </w:p>
    <w:p w14:paraId="14B78CFF" w14:textId="45E8E104" w:rsidR="008610EC" w:rsidRPr="00C94B0D" w:rsidRDefault="008610EC" w:rsidP="008610EC">
      <w:pPr>
        <w:shd w:val="clear" w:color="auto" w:fill="FFFFFF" w:themeFill="background1"/>
        <w:tabs>
          <w:tab w:val="left" w:pos="720"/>
          <w:tab w:val="left" w:pos="1080"/>
        </w:tabs>
        <w:spacing w:after="0" w:line="240" w:lineRule="auto"/>
        <w:ind w:firstLine="284"/>
        <w:jc w:val="both"/>
        <w:rPr>
          <w:rFonts w:ascii="Garamond" w:hAnsi="Garamond" w:cs="Times New Roman"/>
          <w:bCs/>
          <w:i/>
          <w:sz w:val="24"/>
          <w:szCs w:val="24"/>
        </w:rPr>
      </w:pPr>
      <w:r w:rsidRPr="00C94B0D">
        <w:rPr>
          <w:rFonts w:ascii="Garamond" w:hAnsi="Garamond" w:cs="Times New Roman"/>
          <w:bCs/>
          <w:i/>
          <w:sz w:val="24"/>
          <w:szCs w:val="24"/>
        </w:rPr>
        <w:t xml:space="preserve">A. Për legjitimimin e kërkuesit </w:t>
      </w:r>
    </w:p>
    <w:p w14:paraId="60A8BE51" w14:textId="1CAF79B1" w:rsidR="008610EC" w:rsidRPr="00C94B0D" w:rsidRDefault="008610EC" w:rsidP="008610EC">
      <w:pPr>
        <w:shd w:val="clear" w:color="auto" w:fill="FFFFFF" w:themeFill="background1"/>
        <w:tabs>
          <w:tab w:val="left" w:pos="720"/>
          <w:tab w:val="left" w:pos="1080"/>
        </w:tabs>
        <w:spacing w:after="0" w:line="240" w:lineRule="auto"/>
        <w:ind w:firstLine="284"/>
        <w:jc w:val="both"/>
        <w:rPr>
          <w:rFonts w:ascii="Garamond" w:hAnsi="Garamond" w:cs="Times New Roman"/>
          <w:bCs/>
          <w:sz w:val="24"/>
          <w:szCs w:val="24"/>
        </w:rPr>
      </w:pPr>
      <w:r w:rsidRPr="00C94B0D">
        <w:rPr>
          <w:rFonts w:ascii="Garamond" w:hAnsi="Garamond" w:cs="Times New Roman"/>
          <w:bCs/>
          <w:sz w:val="24"/>
          <w:szCs w:val="24"/>
        </w:rPr>
        <w:t>9. Çështja e legjitimimit (</w:t>
      </w:r>
      <w:r w:rsidRPr="00C94B0D">
        <w:rPr>
          <w:rFonts w:ascii="Garamond" w:hAnsi="Garamond" w:cs="Times New Roman"/>
          <w:bCs/>
          <w:i/>
          <w:sz w:val="24"/>
          <w:szCs w:val="24"/>
        </w:rPr>
        <w:t>locus standi</w:t>
      </w:r>
      <w:r w:rsidRPr="00C94B0D">
        <w:rPr>
          <w:rFonts w:ascii="Garamond" w:hAnsi="Garamond" w:cs="Times New Roman"/>
          <w:bCs/>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449A25A8" w14:textId="46D3C2F8" w:rsidR="008610EC" w:rsidRPr="00C94B0D" w:rsidRDefault="008610EC" w:rsidP="008610EC">
      <w:pPr>
        <w:shd w:val="clear" w:color="auto" w:fill="FFFFFF" w:themeFill="background1"/>
        <w:tabs>
          <w:tab w:val="left" w:pos="720"/>
          <w:tab w:val="left" w:pos="1080"/>
        </w:tabs>
        <w:spacing w:after="0" w:line="240" w:lineRule="auto"/>
        <w:ind w:firstLine="284"/>
        <w:jc w:val="both"/>
        <w:rPr>
          <w:rFonts w:ascii="Garamond" w:hAnsi="Garamond" w:cs="Times New Roman"/>
          <w:bCs/>
          <w:sz w:val="24"/>
          <w:szCs w:val="24"/>
        </w:rPr>
      </w:pPr>
      <w:r w:rsidRPr="00C94B0D">
        <w:rPr>
          <w:rFonts w:ascii="Garamond" w:hAnsi="Garamond" w:cs="Times New Roman"/>
          <w:bCs/>
          <w:sz w:val="24"/>
          <w:szCs w:val="24"/>
        </w:rPr>
        <w:t>10. Gjykata thekson se e drejta për një proces të rregullt ligjor, pjesë e të cilit është edhe gjykimi brenda një afati të arsyeshëm, garantohet nga neni 42 i Kushtetutës dhe se kjo e drejtë luan një rol qendror në sistemin e mbrojtjes të të drejtave të njeriut (</w:t>
      </w:r>
      <w:r w:rsidRPr="00C94B0D">
        <w:rPr>
          <w:rFonts w:ascii="Garamond" w:hAnsi="Garamond" w:cs="Times New Roman"/>
          <w:bCs/>
          <w:i/>
          <w:sz w:val="24"/>
          <w:szCs w:val="24"/>
        </w:rPr>
        <w:t>shih vendimet nr. 37,</w:t>
      </w:r>
      <w:r w:rsidR="00C94B0D">
        <w:rPr>
          <w:rFonts w:ascii="Garamond" w:hAnsi="Garamond" w:cs="Times New Roman"/>
          <w:bCs/>
          <w:i/>
          <w:sz w:val="24"/>
          <w:szCs w:val="24"/>
        </w:rPr>
        <w:t xml:space="preserve"> datë </w:t>
      </w:r>
      <w:r w:rsidR="00C94B0D" w:rsidRPr="00C94B0D">
        <w:rPr>
          <w:rFonts w:ascii="Garamond" w:hAnsi="Garamond" w:cs="Times New Roman"/>
          <w:bCs/>
          <w:i/>
          <w:sz w:val="24"/>
          <w:szCs w:val="24"/>
        </w:rPr>
        <w:t xml:space="preserve">5.11.2021; nr. 33, datë </w:t>
      </w:r>
      <w:r w:rsidRPr="00C94B0D">
        <w:rPr>
          <w:rFonts w:ascii="Garamond" w:hAnsi="Garamond" w:cs="Times New Roman"/>
          <w:bCs/>
          <w:i/>
          <w:sz w:val="24"/>
          <w:szCs w:val="24"/>
        </w:rPr>
        <w:t>1.11.2021</w:t>
      </w:r>
      <w:r w:rsidR="00C94B0D" w:rsidRPr="00C94B0D">
        <w:rPr>
          <w:rFonts w:ascii="Garamond" w:hAnsi="Garamond" w:cs="Times New Roman"/>
          <w:bCs/>
          <w:i/>
          <w:sz w:val="24"/>
          <w:szCs w:val="24"/>
        </w:rPr>
        <w:t>,</w:t>
      </w:r>
      <w:r w:rsidRPr="00C94B0D">
        <w:rPr>
          <w:rFonts w:ascii="Garamond" w:hAnsi="Garamond" w:cs="Times New Roman"/>
          <w:bCs/>
          <w:i/>
          <w:sz w:val="24"/>
          <w:szCs w:val="24"/>
        </w:rPr>
        <w:t xml:space="preserve"> të Gjykatës Kushtetuese)</w:t>
      </w:r>
      <w:r w:rsidRPr="00C94B0D">
        <w:rPr>
          <w:rFonts w:ascii="Garamond" w:hAnsi="Garamond" w:cs="Times New Roman"/>
          <w:bCs/>
          <w:sz w:val="24"/>
          <w:szCs w:val="24"/>
        </w:rPr>
        <w:t>. Në përmbajtjen e saj, kjo dispozitë kushtetuese parashikon se liria, prona dhe të drejtat e njohura me Kushtetutë dhe me ligj nuk mund të cenohen pa një proces të rregullt ligjor (</w:t>
      </w:r>
      <w:r w:rsidRPr="00C94B0D">
        <w:rPr>
          <w:rFonts w:ascii="Garamond" w:hAnsi="Garamond" w:cs="Times New Roman"/>
          <w:bCs/>
          <w:i/>
          <w:sz w:val="24"/>
          <w:szCs w:val="24"/>
        </w:rPr>
        <w:t>pika 1</w:t>
      </w:r>
      <w:r w:rsidRPr="00C94B0D">
        <w:rPr>
          <w:rFonts w:ascii="Garamond" w:hAnsi="Garamond" w:cs="Times New Roman"/>
          <w:bCs/>
          <w:sz w:val="24"/>
          <w:szCs w:val="24"/>
        </w:rPr>
        <w:t>) dhe se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 (</w:t>
      </w:r>
      <w:r w:rsidRPr="00C94B0D">
        <w:rPr>
          <w:rFonts w:ascii="Garamond" w:hAnsi="Garamond" w:cs="Times New Roman"/>
          <w:bCs/>
          <w:i/>
          <w:sz w:val="24"/>
          <w:szCs w:val="24"/>
        </w:rPr>
        <w:t>pika 2</w:t>
      </w:r>
      <w:r w:rsidRPr="00C94B0D">
        <w:rPr>
          <w:rFonts w:ascii="Garamond" w:hAnsi="Garamond" w:cs="Times New Roman"/>
          <w:bCs/>
          <w:sz w:val="24"/>
          <w:szCs w:val="24"/>
        </w:rPr>
        <w:t>). Në këtë këndvështrim, në lidhje me procedimin penal, Gjykata vlerëson se dispozita kushtetuese ofron mbrojtje për afatin e arsyeshëm në tërësinë e tij, pra qoftë procedimi penal në fazën e hetimit paraprak të gjykimit ose të ekzekutimit.</w:t>
      </w:r>
    </w:p>
    <w:p w14:paraId="68A37E03" w14:textId="1CD938D3" w:rsidR="008610EC" w:rsidRPr="00C94B0D" w:rsidRDefault="008610EC" w:rsidP="008610EC">
      <w:pPr>
        <w:shd w:val="clear" w:color="auto" w:fill="FFFFFF" w:themeFill="background1"/>
        <w:tabs>
          <w:tab w:val="left" w:pos="720"/>
          <w:tab w:val="left" w:pos="1080"/>
        </w:tabs>
        <w:spacing w:after="0" w:line="240" w:lineRule="auto"/>
        <w:ind w:firstLine="284"/>
        <w:jc w:val="both"/>
        <w:rPr>
          <w:rFonts w:ascii="Garamond" w:hAnsi="Garamond" w:cs="Times New Roman"/>
          <w:bCs/>
          <w:sz w:val="24"/>
          <w:szCs w:val="24"/>
        </w:rPr>
      </w:pPr>
      <w:r w:rsidRPr="00C94B0D">
        <w:rPr>
          <w:rFonts w:ascii="Garamond" w:hAnsi="Garamond" w:cs="Times New Roman"/>
          <w:bCs/>
          <w:sz w:val="24"/>
          <w:szCs w:val="24"/>
        </w:rPr>
        <w:t>11. Në çështjen konkrete, Gjykata vëren se kërkuesi pretendon gjykimin përtej afatit të arsyeshëm të çështjes së tij në gjykatën e apelit, e cila ende nuk ka përfunduar, duke kërkuar edhe shfuqizimin e vendimit të Kolegjit Civil të Gjykatës së Lartë që ka rrëzuar kërkesën e tij për përshpejtimin e procedurave. Në thelb, objekt i ankimit kushtetues individual është ecuria e gjykimit të kërkesës së tij për shpërblim dëmi si pasojë e mosveprimit të vartësve të Prokurorisë pranë Gjykatës së Rrethit Gjyqësor Elbasan në përmbushje të detyrës, duke mos regjistruar kallëzimin penal depozituar nga kërkuesi. Këtë proces kërkuesi e ka vënë në lëvizje ba</w:t>
      </w:r>
      <w:r w:rsidR="00C94B0D">
        <w:rPr>
          <w:rFonts w:ascii="Garamond" w:hAnsi="Garamond" w:cs="Times New Roman"/>
          <w:bCs/>
          <w:sz w:val="24"/>
          <w:szCs w:val="24"/>
        </w:rPr>
        <w:t xml:space="preserve">zuar në vendimin nr. 936, datë </w:t>
      </w:r>
      <w:r w:rsidRPr="00C94B0D">
        <w:rPr>
          <w:rFonts w:ascii="Garamond" w:hAnsi="Garamond" w:cs="Times New Roman"/>
          <w:bCs/>
          <w:sz w:val="24"/>
          <w:szCs w:val="24"/>
        </w:rPr>
        <w:t>2.11.2018</w:t>
      </w:r>
      <w:r w:rsidR="00C94B0D">
        <w:rPr>
          <w:rFonts w:ascii="Garamond" w:hAnsi="Garamond" w:cs="Times New Roman"/>
          <w:bCs/>
          <w:sz w:val="24"/>
          <w:szCs w:val="24"/>
        </w:rPr>
        <w:t>,</w:t>
      </w:r>
      <w:r w:rsidRPr="00C94B0D">
        <w:rPr>
          <w:rFonts w:ascii="Garamond" w:hAnsi="Garamond" w:cs="Times New Roman"/>
          <w:bCs/>
          <w:sz w:val="24"/>
          <w:szCs w:val="24"/>
        </w:rPr>
        <w:t xml:space="preserve"> të Gjykatës së Rrethit Gjyqësor Elbasan, e cila ka vendosur konstatimin e shkeljes të së drejtës për regjistrimin e kallëzimit penal, si dhe detyrimin e organit procedues që të bëjë regjistrimin e tij. Procesi i kundërshtuar ka përfunduar në gjykatën e shkallës së parë me rrëzimin e padisë, me arsyetimin se e drejta për shpërblimin e dëmit i lind kërkuesit vetëm kur ka një vendim të formës së prerë që konstaton shkeljen e afatit të arsyeshëm në një procedurë hetimi, gjykimi ose ekzekutimi. Gjithashtu, ajo gjykatë ka vlerësuar se në kushtet kur kallëzimi nuk ishte regjistruar, kërkuesi nuk e gëzonte cilësinë e palës në proces.</w:t>
      </w:r>
    </w:p>
    <w:p w14:paraId="1A5D3BD0" w14:textId="39512D13" w:rsidR="00EE233C" w:rsidRPr="00C94B0D" w:rsidRDefault="008610EC" w:rsidP="008610EC">
      <w:pPr>
        <w:shd w:val="clear" w:color="auto" w:fill="FFFFFF" w:themeFill="background1"/>
        <w:tabs>
          <w:tab w:val="left" w:pos="720"/>
          <w:tab w:val="left" w:pos="1080"/>
        </w:tabs>
        <w:spacing w:after="0" w:line="240" w:lineRule="auto"/>
        <w:ind w:firstLine="284"/>
        <w:jc w:val="both"/>
        <w:rPr>
          <w:rFonts w:ascii="Garamond" w:hAnsi="Garamond" w:cs="Times New Roman"/>
          <w:bCs/>
          <w:sz w:val="24"/>
          <w:szCs w:val="24"/>
        </w:rPr>
      </w:pPr>
      <w:r w:rsidRPr="00C94B0D">
        <w:rPr>
          <w:rFonts w:ascii="Garamond" w:hAnsi="Garamond" w:cs="Times New Roman"/>
          <w:bCs/>
          <w:sz w:val="24"/>
          <w:szCs w:val="24"/>
        </w:rPr>
        <w:t xml:space="preserve">12. Për sa më sipër, Gjykata vlerëson se neni 42 i Kushtetutës nuk merr në mbrojtje procesin gjyqësor për të cilin kërkuesi ka ngritur pretendimin për afatin e arsyeshëm, pasi në themel të tij qëndron kërkesa për regjistrimin e një kallëzimi </w:t>
      </w:r>
      <w:r w:rsidR="00C94B0D">
        <w:rPr>
          <w:rFonts w:ascii="Garamond" w:hAnsi="Garamond" w:cs="Times New Roman"/>
          <w:bCs/>
          <w:sz w:val="24"/>
          <w:szCs w:val="24"/>
        </w:rPr>
        <w:t xml:space="preserve">penal nga ana e Prokurorisë </w:t>
      </w:r>
      <w:r w:rsidRPr="00C94B0D">
        <w:rPr>
          <w:rFonts w:ascii="Garamond" w:hAnsi="Garamond" w:cs="Times New Roman"/>
          <w:bCs/>
          <w:sz w:val="24"/>
          <w:szCs w:val="24"/>
        </w:rPr>
        <w:t>pranë Gjykatës së Rrethit Gjyqësor Elbasan. Në rastin konkret, kërkuesi ka vënë në lëvizje një proces gjyqësor të veçantë, ndërkohë që nga ana e organit të akuzës nuk është regjistruar një procedim penal, çka e bën këtë gjykim një nga veprimet procedurale që ka lidhje me regjistrimin e kallëzimit, ku kërkuesi ndërkohë nuk ka marrë ende as cilësinë e palës. Në këto rrethana, Gjykata çmon se kërkuesi nuk ka arritur të provojë interesin kushtetues për vënien në lëvizje të saj, sipas arsyetimit të mësipërm të këtij vendimi, ndaj kërkesa rrëzohet.</w:t>
      </w:r>
    </w:p>
    <w:p w14:paraId="52FCFAC2" w14:textId="77777777" w:rsidR="008610EC" w:rsidRPr="00C94B0D" w:rsidRDefault="008610EC" w:rsidP="008610EC">
      <w:pPr>
        <w:shd w:val="clear" w:color="auto" w:fill="FFFFFF" w:themeFill="background1"/>
        <w:tabs>
          <w:tab w:val="left" w:pos="720"/>
          <w:tab w:val="left" w:pos="1080"/>
        </w:tabs>
        <w:spacing w:after="0" w:line="240" w:lineRule="auto"/>
        <w:ind w:firstLine="284"/>
        <w:rPr>
          <w:rFonts w:ascii="Garamond" w:hAnsi="Garamond" w:cs="Times New Roman"/>
          <w:bCs/>
          <w:sz w:val="24"/>
          <w:szCs w:val="24"/>
        </w:rPr>
      </w:pPr>
    </w:p>
    <w:p w14:paraId="4476B77F" w14:textId="77777777" w:rsidR="008610EC" w:rsidRPr="00C94B0D" w:rsidRDefault="008610EC" w:rsidP="008610EC">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r w:rsidRPr="00C94B0D">
        <w:rPr>
          <w:rFonts w:ascii="Garamond" w:eastAsiaTheme="minorHAnsi" w:hAnsi="Garamond"/>
          <w:bCs/>
          <w:color w:val="000000"/>
          <w:sz w:val="24"/>
          <w:szCs w:val="24"/>
        </w:rPr>
        <w:t>PËR KËTO ARSYE,</w:t>
      </w:r>
    </w:p>
    <w:p w14:paraId="253D7EB9" w14:textId="77777777" w:rsidR="008610EC" w:rsidRPr="00C94B0D" w:rsidRDefault="008610EC" w:rsidP="008610EC">
      <w:pPr>
        <w:shd w:val="clear" w:color="auto" w:fill="FFFFFF" w:themeFill="background1"/>
        <w:tabs>
          <w:tab w:val="left" w:pos="720"/>
          <w:tab w:val="left" w:pos="1080"/>
        </w:tabs>
        <w:spacing w:after="0" w:line="240" w:lineRule="auto"/>
        <w:ind w:firstLine="284"/>
        <w:jc w:val="center"/>
        <w:rPr>
          <w:rFonts w:ascii="Garamond" w:hAnsi="Garamond" w:cs="Times New Roman"/>
          <w:sz w:val="24"/>
          <w:szCs w:val="24"/>
        </w:rPr>
      </w:pPr>
    </w:p>
    <w:p w14:paraId="1A5D3BD2" w14:textId="2E13CCE9" w:rsidR="00EE233C" w:rsidRPr="00C94B0D" w:rsidRDefault="00EE233C" w:rsidP="008610EC">
      <w:pPr>
        <w:spacing w:after="0" w:line="240" w:lineRule="auto"/>
        <w:ind w:firstLine="284"/>
        <w:jc w:val="both"/>
        <w:rPr>
          <w:rFonts w:ascii="Garamond" w:hAnsi="Garamond" w:cs="Times New Roman"/>
          <w:sz w:val="24"/>
          <w:szCs w:val="24"/>
        </w:rPr>
      </w:pPr>
      <w:r w:rsidRPr="00C94B0D">
        <w:rPr>
          <w:rFonts w:ascii="Garamond" w:hAnsi="Garamond" w:cs="Times New Roman"/>
          <w:sz w:val="24"/>
          <w:szCs w:val="24"/>
        </w:rPr>
        <w:t>Gjykata Kushtetuese, në mbështetje të neneve 131, pika 1, shkronja “f” dhe 134, pika 1, shkronja “i”, të Kushtetutës, si dhe neneve 72 e vijues të ligjit nr. 8577, datë 10.2.2000</w:t>
      </w:r>
      <w:r w:rsidR="00C94B0D">
        <w:rPr>
          <w:rFonts w:ascii="Garamond" w:hAnsi="Garamond" w:cs="Times New Roman"/>
          <w:sz w:val="24"/>
          <w:szCs w:val="24"/>
        </w:rPr>
        <w:t>,</w:t>
      </w:r>
      <w:r w:rsidRPr="00C94B0D">
        <w:rPr>
          <w:rFonts w:ascii="Garamond" w:hAnsi="Garamond" w:cs="Times New Roman"/>
          <w:sz w:val="24"/>
          <w:szCs w:val="24"/>
        </w:rPr>
        <w:t xml:space="preserve"> “Për organizimin dhe funksionimin e Gjykatës Kushtetuese të Republikës së Shqipërisë”, të ndryshuar, njëzëri,</w:t>
      </w:r>
    </w:p>
    <w:p w14:paraId="1A5D3BD3" w14:textId="77777777" w:rsidR="00EE233C" w:rsidRPr="00C94B0D" w:rsidRDefault="00EE233C" w:rsidP="008610EC">
      <w:pPr>
        <w:spacing w:after="0" w:line="240" w:lineRule="auto"/>
        <w:ind w:firstLine="284"/>
        <w:jc w:val="both"/>
        <w:rPr>
          <w:rFonts w:ascii="Garamond" w:hAnsi="Garamond" w:cs="Times New Roman"/>
          <w:b/>
          <w:bCs/>
          <w:sz w:val="24"/>
          <w:szCs w:val="24"/>
        </w:rPr>
      </w:pPr>
    </w:p>
    <w:p w14:paraId="1EA369D5" w14:textId="5846BBE9" w:rsidR="008610EC" w:rsidRPr="00C94B0D" w:rsidRDefault="008610EC" w:rsidP="008610EC">
      <w:pPr>
        <w:pStyle w:val="ListParagraph"/>
        <w:tabs>
          <w:tab w:val="left" w:pos="1080"/>
        </w:tabs>
        <w:autoSpaceDE w:val="0"/>
        <w:autoSpaceDN w:val="0"/>
        <w:adjustRightInd w:val="0"/>
        <w:spacing w:after="0" w:line="240" w:lineRule="auto"/>
        <w:ind w:left="1080"/>
        <w:jc w:val="center"/>
        <w:rPr>
          <w:rFonts w:ascii="Garamond" w:eastAsiaTheme="minorHAnsi" w:hAnsi="Garamond"/>
          <w:bCs/>
          <w:color w:val="000000"/>
          <w:sz w:val="24"/>
          <w:szCs w:val="24"/>
          <w:lang w:val="sq-AL"/>
        </w:rPr>
      </w:pPr>
      <w:r w:rsidRPr="00C94B0D">
        <w:rPr>
          <w:rFonts w:ascii="Garamond" w:eastAsiaTheme="minorHAnsi" w:hAnsi="Garamond"/>
          <w:bCs/>
          <w:color w:val="000000"/>
          <w:sz w:val="24"/>
          <w:szCs w:val="24"/>
          <w:lang w:val="sq-AL"/>
        </w:rPr>
        <w:t>VENDOSI:</w:t>
      </w:r>
    </w:p>
    <w:p w14:paraId="2CA3C8C4" w14:textId="77777777" w:rsidR="008610EC" w:rsidRPr="00C94B0D" w:rsidRDefault="008610EC" w:rsidP="0023147F">
      <w:pPr>
        <w:pStyle w:val="ListParagraph"/>
        <w:tabs>
          <w:tab w:val="left" w:pos="1080"/>
        </w:tabs>
        <w:autoSpaceDE w:val="0"/>
        <w:autoSpaceDN w:val="0"/>
        <w:adjustRightInd w:val="0"/>
        <w:spacing w:after="0" w:line="240" w:lineRule="auto"/>
        <w:ind w:left="1080"/>
        <w:jc w:val="both"/>
        <w:rPr>
          <w:rFonts w:ascii="Garamond" w:eastAsiaTheme="minorHAnsi" w:hAnsi="Garamond"/>
          <w:bCs/>
          <w:color w:val="000000"/>
          <w:sz w:val="24"/>
          <w:szCs w:val="24"/>
          <w:lang w:val="sq-AL"/>
        </w:rPr>
      </w:pPr>
    </w:p>
    <w:p w14:paraId="1A5D3BD5" w14:textId="0175969D" w:rsidR="00EE233C" w:rsidRPr="00C94B0D" w:rsidRDefault="008610EC" w:rsidP="0023147F">
      <w:pPr>
        <w:pStyle w:val="ListParagraph"/>
        <w:tabs>
          <w:tab w:val="left" w:pos="1080"/>
        </w:tabs>
        <w:spacing w:after="0" w:line="240" w:lineRule="auto"/>
        <w:ind w:left="284"/>
        <w:jc w:val="both"/>
        <w:rPr>
          <w:rFonts w:ascii="Garamond" w:hAnsi="Garamond" w:cs="Times New Roman"/>
          <w:sz w:val="24"/>
          <w:szCs w:val="24"/>
          <w:lang w:val="sq-AL" w:eastAsia="fr-FR"/>
        </w:rPr>
      </w:pPr>
      <w:r w:rsidRPr="00C94B0D">
        <w:rPr>
          <w:rFonts w:ascii="Garamond" w:hAnsi="Garamond" w:cs="Times New Roman"/>
          <w:sz w:val="24"/>
          <w:szCs w:val="24"/>
          <w:lang w:val="sq-AL" w:eastAsia="fr-FR"/>
        </w:rPr>
        <w:t xml:space="preserve">1. </w:t>
      </w:r>
      <w:r w:rsidR="00F81567" w:rsidRPr="00C94B0D">
        <w:rPr>
          <w:rFonts w:ascii="Garamond" w:hAnsi="Garamond" w:cs="Times New Roman"/>
          <w:sz w:val="24"/>
          <w:szCs w:val="24"/>
          <w:lang w:val="sq-AL" w:eastAsia="fr-FR"/>
        </w:rPr>
        <w:t>Rr</w:t>
      </w:r>
      <w:r w:rsidR="00D10B5F" w:rsidRPr="00C94B0D">
        <w:rPr>
          <w:rFonts w:ascii="Garamond" w:hAnsi="Garamond" w:cs="Times New Roman"/>
          <w:sz w:val="24"/>
          <w:szCs w:val="24"/>
          <w:lang w:val="sq-AL" w:eastAsia="fr-FR"/>
        </w:rPr>
        <w:t>ë</w:t>
      </w:r>
      <w:r w:rsidR="00F81567" w:rsidRPr="00C94B0D">
        <w:rPr>
          <w:rFonts w:ascii="Garamond" w:hAnsi="Garamond" w:cs="Times New Roman"/>
          <w:sz w:val="24"/>
          <w:szCs w:val="24"/>
          <w:lang w:val="sq-AL" w:eastAsia="fr-FR"/>
        </w:rPr>
        <w:t>zimin</w:t>
      </w:r>
      <w:r w:rsidR="00EE233C" w:rsidRPr="00C94B0D">
        <w:rPr>
          <w:rFonts w:ascii="Garamond" w:hAnsi="Garamond" w:cs="Times New Roman"/>
          <w:sz w:val="24"/>
          <w:szCs w:val="24"/>
          <w:lang w:val="sq-AL" w:eastAsia="fr-FR"/>
        </w:rPr>
        <w:t xml:space="preserve"> e kërkesës.</w:t>
      </w:r>
    </w:p>
    <w:p w14:paraId="1A5D3BD6" w14:textId="0F15CC7D" w:rsidR="00EE233C" w:rsidRDefault="00EE233C" w:rsidP="0023147F">
      <w:pPr>
        <w:spacing w:after="0" w:line="240" w:lineRule="auto"/>
        <w:ind w:firstLine="284"/>
        <w:jc w:val="both"/>
        <w:rPr>
          <w:rFonts w:ascii="Garamond" w:hAnsi="Garamond" w:cs="Times New Roman"/>
          <w:sz w:val="24"/>
          <w:szCs w:val="24"/>
        </w:rPr>
      </w:pPr>
      <w:r w:rsidRPr="00C94B0D">
        <w:rPr>
          <w:rFonts w:ascii="Garamond" w:hAnsi="Garamond" w:cs="Times New Roman"/>
          <w:sz w:val="24"/>
          <w:szCs w:val="24"/>
        </w:rPr>
        <w:t>Ky vendim është përfundimtar dhe hyn në fuqi ditën e botimit në Fletoren Zyrtare.</w:t>
      </w:r>
    </w:p>
    <w:p w14:paraId="52527D9F" w14:textId="77777777" w:rsidR="00C94B0D" w:rsidRPr="00C94B0D" w:rsidRDefault="00C94B0D" w:rsidP="0023147F">
      <w:pPr>
        <w:spacing w:after="0" w:line="240" w:lineRule="auto"/>
        <w:ind w:firstLine="284"/>
        <w:jc w:val="both"/>
        <w:rPr>
          <w:rFonts w:ascii="Garamond" w:hAnsi="Garamond" w:cs="Times New Roman"/>
          <w:sz w:val="24"/>
          <w:szCs w:val="24"/>
        </w:rPr>
      </w:pPr>
    </w:p>
    <w:p w14:paraId="1A5D3BD7" w14:textId="57C4B892" w:rsidR="00EE233C" w:rsidRPr="00C94B0D" w:rsidRDefault="00EE233C" w:rsidP="0023147F">
      <w:pPr>
        <w:spacing w:after="0" w:line="240" w:lineRule="auto"/>
        <w:ind w:firstLine="284"/>
        <w:jc w:val="both"/>
        <w:rPr>
          <w:rFonts w:ascii="Garamond" w:hAnsi="Garamond" w:cs="Times New Roman"/>
          <w:b/>
          <w:bCs/>
          <w:sz w:val="24"/>
          <w:szCs w:val="24"/>
        </w:rPr>
      </w:pPr>
      <w:r w:rsidRPr="00C94B0D">
        <w:rPr>
          <w:rFonts w:ascii="Garamond" w:hAnsi="Garamond" w:cs="Times New Roman"/>
          <w:b/>
          <w:bCs/>
          <w:sz w:val="24"/>
          <w:szCs w:val="24"/>
        </w:rPr>
        <w:t xml:space="preserve">Marrë më </w:t>
      </w:r>
      <w:r w:rsidR="00F81567" w:rsidRPr="00C94B0D">
        <w:rPr>
          <w:rFonts w:ascii="Garamond" w:hAnsi="Garamond" w:cs="Times New Roman"/>
          <w:b/>
          <w:bCs/>
          <w:sz w:val="24"/>
          <w:szCs w:val="24"/>
        </w:rPr>
        <w:t>1</w:t>
      </w:r>
      <w:r w:rsidR="006E69F5" w:rsidRPr="00C94B0D">
        <w:rPr>
          <w:rFonts w:ascii="Garamond" w:hAnsi="Garamond" w:cs="Times New Roman"/>
          <w:b/>
          <w:bCs/>
          <w:sz w:val="24"/>
          <w:szCs w:val="24"/>
        </w:rPr>
        <w:t>8</w:t>
      </w:r>
      <w:r w:rsidRPr="00C94B0D">
        <w:rPr>
          <w:rFonts w:ascii="Garamond" w:hAnsi="Garamond" w:cs="Times New Roman"/>
          <w:b/>
          <w:bCs/>
          <w:sz w:val="24"/>
          <w:szCs w:val="24"/>
        </w:rPr>
        <w:t>.</w:t>
      </w:r>
      <w:r w:rsidR="00F81567" w:rsidRPr="00C94B0D">
        <w:rPr>
          <w:rFonts w:ascii="Garamond" w:hAnsi="Garamond" w:cs="Times New Roman"/>
          <w:b/>
          <w:bCs/>
          <w:sz w:val="24"/>
          <w:szCs w:val="24"/>
        </w:rPr>
        <w:t>3</w:t>
      </w:r>
      <w:r w:rsidRPr="00C94B0D">
        <w:rPr>
          <w:rFonts w:ascii="Garamond" w:hAnsi="Garamond" w:cs="Times New Roman"/>
          <w:b/>
          <w:bCs/>
          <w:sz w:val="24"/>
          <w:szCs w:val="24"/>
        </w:rPr>
        <w:t>.202</w:t>
      </w:r>
      <w:r w:rsidR="00F81567" w:rsidRPr="00C94B0D">
        <w:rPr>
          <w:rFonts w:ascii="Garamond" w:hAnsi="Garamond" w:cs="Times New Roman"/>
          <w:b/>
          <w:bCs/>
          <w:sz w:val="24"/>
          <w:szCs w:val="24"/>
        </w:rPr>
        <w:t>6</w:t>
      </w:r>
      <w:r w:rsidR="00C94B0D">
        <w:rPr>
          <w:rFonts w:ascii="Garamond" w:hAnsi="Garamond" w:cs="Times New Roman"/>
          <w:b/>
          <w:bCs/>
          <w:sz w:val="24"/>
          <w:szCs w:val="24"/>
        </w:rPr>
        <w:t>.</w:t>
      </w:r>
    </w:p>
    <w:p w14:paraId="1A5D3BD8" w14:textId="30E9A96F" w:rsidR="00EE233C" w:rsidRPr="00C94B0D" w:rsidRDefault="00EE233C" w:rsidP="0023147F">
      <w:pPr>
        <w:spacing w:after="0" w:line="240" w:lineRule="auto"/>
        <w:ind w:firstLine="284"/>
        <w:jc w:val="both"/>
        <w:rPr>
          <w:rFonts w:ascii="Garamond" w:hAnsi="Garamond" w:cs="Times New Roman"/>
          <w:b/>
          <w:bCs/>
          <w:sz w:val="24"/>
          <w:szCs w:val="24"/>
        </w:rPr>
      </w:pPr>
      <w:r w:rsidRPr="00C94B0D">
        <w:rPr>
          <w:rFonts w:ascii="Garamond" w:hAnsi="Garamond" w:cs="Times New Roman"/>
          <w:b/>
          <w:bCs/>
          <w:sz w:val="24"/>
          <w:szCs w:val="24"/>
        </w:rPr>
        <w:t xml:space="preserve">Shpallur më </w:t>
      </w:r>
      <w:r w:rsidR="00C94B0D">
        <w:rPr>
          <w:rFonts w:ascii="Garamond" w:hAnsi="Garamond" w:cs="Times New Roman"/>
          <w:b/>
          <w:bCs/>
          <w:sz w:val="24"/>
          <w:szCs w:val="24"/>
        </w:rPr>
        <w:t>15.</w:t>
      </w:r>
      <w:r w:rsidR="007417CE" w:rsidRPr="00C94B0D">
        <w:rPr>
          <w:rFonts w:ascii="Garamond" w:hAnsi="Garamond" w:cs="Times New Roman"/>
          <w:b/>
          <w:bCs/>
          <w:sz w:val="24"/>
          <w:szCs w:val="24"/>
        </w:rPr>
        <w:t>4.</w:t>
      </w:r>
      <w:r w:rsidR="00ED132C" w:rsidRPr="00C94B0D">
        <w:rPr>
          <w:rFonts w:ascii="Garamond" w:hAnsi="Garamond" w:cs="Times New Roman"/>
          <w:b/>
          <w:bCs/>
          <w:sz w:val="24"/>
          <w:szCs w:val="24"/>
        </w:rPr>
        <w:t>2026</w:t>
      </w:r>
      <w:r w:rsidR="00C94B0D">
        <w:rPr>
          <w:rFonts w:ascii="Garamond" w:hAnsi="Garamond" w:cs="Times New Roman"/>
          <w:b/>
          <w:bCs/>
          <w:sz w:val="24"/>
          <w:szCs w:val="24"/>
        </w:rPr>
        <w:t>.</w:t>
      </w:r>
    </w:p>
    <w:p w14:paraId="739D9F00" w14:textId="00E9AD41" w:rsidR="008610EC" w:rsidRPr="00C94B0D" w:rsidRDefault="008610EC" w:rsidP="0023147F">
      <w:pPr>
        <w:spacing w:after="0" w:line="240" w:lineRule="auto"/>
        <w:ind w:firstLine="284"/>
        <w:jc w:val="both"/>
        <w:rPr>
          <w:rFonts w:ascii="Garamond" w:hAnsi="Garamond" w:cs="Times New Roman"/>
          <w:b/>
          <w:bCs/>
          <w:sz w:val="24"/>
          <w:szCs w:val="24"/>
        </w:rPr>
      </w:pPr>
    </w:p>
    <w:p w14:paraId="3F71F597" w14:textId="77777777" w:rsidR="008610EC" w:rsidRPr="00C94B0D" w:rsidRDefault="008610EC" w:rsidP="0023147F">
      <w:pPr>
        <w:autoSpaceDE w:val="0"/>
        <w:autoSpaceDN w:val="0"/>
        <w:adjustRightInd w:val="0"/>
        <w:spacing w:after="0" w:line="240" w:lineRule="auto"/>
        <w:ind w:firstLine="284"/>
        <w:jc w:val="both"/>
        <w:rPr>
          <w:rFonts w:ascii="Garamond" w:eastAsiaTheme="minorHAnsi" w:hAnsi="Garamond"/>
          <w:color w:val="000000"/>
          <w:sz w:val="24"/>
          <w:szCs w:val="24"/>
        </w:rPr>
      </w:pPr>
      <w:r w:rsidRPr="00C94B0D">
        <w:rPr>
          <w:rFonts w:ascii="Garamond" w:eastAsiaTheme="minorHAnsi" w:hAnsi="Garamond"/>
          <w:b/>
          <w:color w:val="000000"/>
          <w:sz w:val="24"/>
          <w:szCs w:val="24"/>
        </w:rPr>
        <w:t>Kryetare:</w:t>
      </w:r>
      <w:r w:rsidRPr="00C94B0D">
        <w:rPr>
          <w:rFonts w:ascii="Garamond" w:eastAsiaTheme="minorHAnsi" w:hAnsi="Garamond"/>
          <w:color w:val="000000"/>
          <w:sz w:val="24"/>
          <w:szCs w:val="24"/>
        </w:rPr>
        <w:t xml:space="preserve"> </w:t>
      </w:r>
      <w:r w:rsidRPr="00C94B0D">
        <w:rPr>
          <w:rFonts w:ascii="Garamond" w:eastAsiaTheme="minorHAnsi" w:hAnsi="Garamond"/>
          <w:bCs/>
          <w:color w:val="000000"/>
          <w:sz w:val="24"/>
          <w:szCs w:val="24"/>
        </w:rPr>
        <w:t>Fiona Papajorgji</w:t>
      </w:r>
    </w:p>
    <w:p w14:paraId="3A34D522" w14:textId="65D75636" w:rsidR="008610EC" w:rsidRPr="00C94B0D" w:rsidRDefault="008610EC" w:rsidP="0023147F">
      <w:pPr>
        <w:autoSpaceDE w:val="0"/>
        <w:autoSpaceDN w:val="0"/>
        <w:adjustRightInd w:val="0"/>
        <w:spacing w:after="0" w:line="240" w:lineRule="auto"/>
        <w:ind w:firstLine="284"/>
        <w:jc w:val="both"/>
        <w:rPr>
          <w:rFonts w:ascii="Garamond" w:eastAsiaTheme="minorHAnsi" w:hAnsi="Garamond"/>
          <w:color w:val="000000"/>
          <w:sz w:val="24"/>
          <w:szCs w:val="24"/>
        </w:rPr>
      </w:pPr>
      <w:r w:rsidRPr="00C94B0D">
        <w:rPr>
          <w:rFonts w:ascii="Garamond" w:eastAsiaTheme="minorHAnsi" w:hAnsi="Garamond"/>
          <w:b/>
          <w:color w:val="000000"/>
          <w:sz w:val="24"/>
          <w:szCs w:val="24"/>
        </w:rPr>
        <w:t>Anëtarë:</w:t>
      </w:r>
      <w:r w:rsidRPr="00C94B0D">
        <w:rPr>
          <w:rFonts w:ascii="Garamond" w:eastAsiaTheme="minorHAnsi" w:hAnsi="Garamond"/>
          <w:color w:val="000000"/>
          <w:sz w:val="24"/>
          <w:szCs w:val="24"/>
        </w:rPr>
        <w:t xml:space="preserve"> </w:t>
      </w:r>
      <w:r w:rsidRPr="00C94B0D">
        <w:rPr>
          <w:rFonts w:ascii="Garamond" w:eastAsiaTheme="minorHAnsi" w:hAnsi="Garamond"/>
          <w:bCs/>
          <w:color w:val="000000"/>
          <w:sz w:val="24"/>
          <w:szCs w:val="24"/>
        </w:rPr>
        <w:t>Sonila Bejtja, Marsida Xhaferllari, Genti Ibrahimi, Ilir Toska, Sandër Beci, Marjana Semini</w:t>
      </w:r>
      <w:r w:rsidR="0023147F" w:rsidRPr="00C94B0D">
        <w:rPr>
          <w:rFonts w:ascii="Garamond" w:eastAsiaTheme="minorHAnsi" w:hAnsi="Garamond"/>
          <w:bCs/>
          <w:color w:val="000000"/>
          <w:sz w:val="24"/>
          <w:szCs w:val="24"/>
        </w:rPr>
        <w:t>,</w:t>
      </w:r>
      <w:r w:rsidR="0023147F" w:rsidRPr="00C94B0D">
        <w:rPr>
          <w:rFonts w:ascii="Garamond" w:hAnsi="Garamond" w:cs="Times New Roman"/>
          <w:b/>
          <w:bCs/>
          <w:sz w:val="24"/>
          <w:szCs w:val="24"/>
        </w:rPr>
        <w:t xml:space="preserve"> </w:t>
      </w:r>
      <w:r w:rsidR="0023147F" w:rsidRPr="00C94B0D">
        <w:rPr>
          <w:rFonts w:ascii="Garamond" w:hAnsi="Garamond" w:cs="Times New Roman"/>
          <w:bCs/>
          <w:sz w:val="24"/>
          <w:szCs w:val="24"/>
        </w:rPr>
        <w:t>Asim Vokshi.</w:t>
      </w:r>
    </w:p>
    <w:p w14:paraId="654FBF7C" w14:textId="77777777" w:rsidR="008610EC" w:rsidRPr="00C94B0D" w:rsidRDefault="008610EC" w:rsidP="008610EC">
      <w:pPr>
        <w:spacing w:after="0" w:line="240" w:lineRule="auto"/>
        <w:ind w:firstLine="284"/>
        <w:rPr>
          <w:rFonts w:ascii="Garamond" w:hAnsi="Garamond" w:cs="Times New Roman"/>
          <w:b/>
          <w:bCs/>
          <w:sz w:val="24"/>
          <w:szCs w:val="24"/>
        </w:rPr>
      </w:pPr>
    </w:p>
    <w:sectPr w:rsidR="008610EC" w:rsidRPr="00C94B0D" w:rsidSect="00736AB1">
      <w:pgSz w:w="11909" w:h="16834" w:code="9"/>
      <w:pgMar w:top="630" w:right="1440" w:bottom="1440" w:left="1440" w:header="720" w:footer="585"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D3BF1" w14:textId="77777777" w:rsidR="002C35C5" w:rsidRDefault="002C35C5" w:rsidP="00EE233C">
      <w:pPr>
        <w:spacing w:after="0" w:line="240" w:lineRule="auto"/>
      </w:pPr>
      <w:r>
        <w:separator/>
      </w:r>
    </w:p>
  </w:endnote>
  <w:endnote w:type="continuationSeparator" w:id="0">
    <w:p w14:paraId="1A5D3BF2" w14:textId="77777777" w:rsidR="002C35C5" w:rsidRDefault="002C35C5" w:rsidP="00EE233C">
      <w:pPr>
        <w:spacing w:after="0" w:line="240" w:lineRule="auto"/>
      </w:pPr>
      <w:r>
        <w:continuationSeparator/>
      </w:r>
    </w:p>
  </w:endnote>
  <w:endnote w:type="continuationNotice" w:id="1">
    <w:p w14:paraId="5A3E89D2" w14:textId="77777777" w:rsidR="00D24E87" w:rsidRDefault="00D24E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D3BEF" w14:textId="77777777" w:rsidR="002C35C5" w:rsidRDefault="002C35C5" w:rsidP="00EE233C">
      <w:pPr>
        <w:spacing w:after="0" w:line="240" w:lineRule="auto"/>
      </w:pPr>
      <w:r>
        <w:separator/>
      </w:r>
    </w:p>
  </w:footnote>
  <w:footnote w:type="continuationSeparator" w:id="0">
    <w:p w14:paraId="1A5D3BF0" w14:textId="77777777" w:rsidR="002C35C5" w:rsidRDefault="002C35C5" w:rsidP="00EE233C">
      <w:pPr>
        <w:spacing w:after="0" w:line="240" w:lineRule="auto"/>
      </w:pPr>
      <w:r>
        <w:continuationSeparator/>
      </w:r>
    </w:p>
  </w:footnote>
  <w:footnote w:type="continuationNotice" w:id="1">
    <w:p w14:paraId="560CE1E8" w14:textId="77777777" w:rsidR="00D24E87" w:rsidRDefault="00D24E8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596A"/>
    <w:multiLevelType w:val="multilevel"/>
    <w:tmpl w:val="10FAB90E"/>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12A56E32"/>
    <w:multiLevelType w:val="hybridMultilevel"/>
    <w:tmpl w:val="1B7A64E4"/>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12DD6E1B"/>
    <w:multiLevelType w:val="multilevel"/>
    <w:tmpl w:val="A970C7D4"/>
    <w:lvl w:ilvl="0">
      <w:start w:val="20"/>
      <w:numFmt w:val="decimal"/>
      <w:lvlText w:val="%1."/>
      <w:lvlJc w:val="left"/>
      <w:pPr>
        <w:ind w:left="360" w:hanging="360"/>
      </w:pPr>
      <w:rPr>
        <w:rFonts w:eastAsia="MS Mincho" w:hint="default"/>
      </w:rPr>
    </w:lvl>
    <w:lvl w:ilvl="1">
      <w:start w:val="1"/>
      <w:numFmt w:val="decimal"/>
      <w:lvlText w:val="%1.%2."/>
      <w:lvlJc w:val="left"/>
      <w:pPr>
        <w:ind w:left="1440" w:hanging="36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abstractNum w:abstractNumId="3"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054AD6"/>
    <w:multiLevelType w:val="hybridMultilevel"/>
    <w:tmpl w:val="F2009734"/>
    <w:lvl w:ilvl="0" w:tplc="44DE780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391660"/>
    <w:multiLevelType w:val="multilevel"/>
    <w:tmpl w:val="FA4A8CC2"/>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6B172FDB"/>
    <w:multiLevelType w:val="multilevel"/>
    <w:tmpl w:val="5B52E54C"/>
    <w:lvl w:ilvl="0">
      <w:start w:val="9"/>
      <w:numFmt w:val="decimal"/>
      <w:lvlText w:val="%1."/>
      <w:lvlJc w:val="left"/>
      <w:pPr>
        <w:ind w:left="1260" w:hanging="360"/>
      </w:pPr>
      <w:rPr>
        <w:rFonts w:hint="default"/>
        <w:b w:val="0"/>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6C7A4BBF"/>
    <w:multiLevelType w:val="multilevel"/>
    <w:tmpl w:val="BA0260A8"/>
    <w:lvl w:ilvl="0">
      <w:start w:val="5"/>
      <w:numFmt w:val="decimal"/>
      <w:lvlText w:val="%1."/>
      <w:lvlJc w:val="left"/>
      <w:pPr>
        <w:ind w:left="360" w:hanging="360"/>
      </w:pPr>
      <w:rPr>
        <w:rFonts w:hint="default"/>
        <w:i/>
      </w:rPr>
    </w:lvl>
    <w:lvl w:ilvl="1">
      <w:start w:val="1"/>
      <w:numFmt w:val="decimal"/>
      <w:lvlText w:val="%1.%2."/>
      <w:lvlJc w:val="left"/>
      <w:pPr>
        <w:ind w:left="117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8" w15:restartNumberingAfterBreak="0">
    <w:nsid w:val="718F3A90"/>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3927864"/>
    <w:multiLevelType w:val="multilevel"/>
    <w:tmpl w:val="65BC603E"/>
    <w:lvl w:ilvl="0">
      <w:start w:val="37"/>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10" w15:restartNumberingAfterBreak="0">
    <w:nsid w:val="74A417AB"/>
    <w:multiLevelType w:val="hybridMultilevel"/>
    <w:tmpl w:val="1B7A64E4"/>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77B24AA0"/>
    <w:multiLevelType w:val="multilevel"/>
    <w:tmpl w:val="0B8421B6"/>
    <w:lvl w:ilvl="0">
      <w:start w:val="1"/>
      <w:numFmt w:val="decimal"/>
      <w:lvlText w:val="%1."/>
      <w:lvlJc w:val="left"/>
      <w:pPr>
        <w:ind w:left="315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3"/>
  </w:num>
  <w:num w:numId="2">
    <w:abstractNumId w:val="10"/>
  </w:num>
  <w:num w:numId="3">
    <w:abstractNumId w:val="4"/>
  </w:num>
  <w:num w:numId="4">
    <w:abstractNumId w:val="9"/>
  </w:num>
  <w:num w:numId="5">
    <w:abstractNumId w:val="6"/>
  </w:num>
  <w:num w:numId="6">
    <w:abstractNumId w:val="0"/>
  </w:num>
  <w:num w:numId="7">
    <w:abstractNumId w:val="7"/>
  </w:num>
  <w:num w:numId="8">
    <w:abstractNumId w:val="5"/>
  </w:num>
  <w:num w:numId="9">
    <w:abstractNumId w:val="8"/>
  </w:num>
  <w:num w:numId="10">
    <w:abstractNumId w:val="1"/>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33C"/>
    <w:rsid w:val="00027F57"/>
    <w:rsid w:val="000A3FCF"/>
    <w:rsid w:val="000A6285"/>
    <w:rsid w:val="000B62CF"/>
    <w:rsid w:val="000F6AFD"/>
    <w:rsid w:val="00135C80"/>
    <w:rsid w:val="00137454"/>
    <w:rsid w:val="001557E6"/>
    <w:rsid w:val="00165373"/>
    <w:rsid w:val="001A4D0A"/>
    <w:rsid w:val="001A5B5A"/>
    <w:rsid w:val="001A6097"/>
    <w:rsid w:val="001B539E"/>
    <w:rsid w:val="001D0EA9"/>
    <w:rsid w:val="001D2409"/>
    <w:rsid w:val="00206FDF"/>
    <w:rsid w:val="0023147F"/>
    <w:rsid w:val="002556E8"/>
    <w:rsid w:val="00263DE5"/>
    <w:rsid w:val="00271CD3"/>
    <w:rsid w:val="002A21DD"/>
    <w:rsid w:val="002A5841"/>
    <w:rsid w:val="002C35C5"/>
    <w:rsid w:val="00312426"/>
    <w:rsid w:val="00362917"/>
    <w:rsid w:val="003D3AA3"/>
    <w:rsid w:val="00431EC0"/>
    <w:rsid w:val="00456E89"/>
    <w:rsid w:val="004777A1"/>
    <w:rsid w:val="004B2333"/>
    <w:rsid w:val="004B67F8"/>
    <w:rsid w:val="004D62BD"/>
    <w:rsid w:val="004F2122"/>
    <w:rsid w:val="005038B8"/>
    <w:rsid w:val="00521C20"/>
    <w:rsid w:val="0053405E"/>
    <w:rsid w:val="00546A6A"/>
    <w:rsid w:val="00547EBF"/>
    <w:rsid w:val="00566D23"/>
    <w:rsid w:val="0057160F"/>
    <w:rsid w:val="0057650A"/>
    <w:rsid w:val="0058419B"/>
    <w:rsid w:val="005851AA"/>
    <w:rsid w:val="005943A2"/>
    <w:rsid w:val="005B73D5"/>
    <w:rsid w:val="00604C07"/>
    <w:rsid w:val="006103E3"/>
    <w:rsid w:val="0062005F"/>
    <w:rsid w:val="006702C4"/>
    <w:rsid w:val="0069721C"/>
    <w:rsid w:val="006B18A9"/>
    <w:rsid w:val="006E69F5"/>
    <w:rsid w:val="00736AB1"/>
    <w:rsid w:val="007417CE"/>
    <w:rsid w:val="00825D21"/>
    <w:rsid w:val="0084692A"/>
    <w:rsid w:val="00852747"/>
    <w:rsid w:val="008602FB"/>
    <w:rsid w:val="008610EC"/>
    <w:rsid w:val="008660D0"/>
    <w:rsid w:val="00881010"/>
    <w:rsid w:val="00881F23"/>
    <w:rsid w:val="008977C2"/>
    <w:rsid w:val="008A3DD4"/>
    <w:rsid w:val="008B24B6"/>
    <w:rsid w:val="008E18BB"/>
    <w:rsid w:val="008F0A92"/>
    <w:rsid w:val="00920002"/>
    <w:rsid w:val="00921CB7"/>
    <w:rsid w:val="009569EB"/>
    <w:rsid w:val="0099332A"/>
    <w:rsid w:val="009B108E"/>
    <w:rsid w:val="009B4FE1"/>
    <w:rsid w:val="009D7B84"/>
    <w:rsid w:val="009D7D3E"/>
    <w:rsid w:val="009E4FA7"/>
    <w:rsid w:val="00A326F1"/>
    <w:rsid w:val="00A517DE"/>
    <w:rsid w:val="00A617F1"/>
    <w:rsid w:val="00A7662B"/>
    <w:rsid w:val="00A76E10"/>
    <w:rsid w:val="00A873BD"/>
    <w:rsid w:val="00AD1D18"/>
    <w:rsid w:val="00B06CC1"/>
    <w:rsid w:val="00B323B4"/>
    <w:rsid w:val="00B37BCA"/>
    <w:rsid w:val="00B9160E"/>
    <w:rsid w:val="00B93D24"/>
    <w:rsid w:val="00BA7723"/>
    <w:rsid w:val="00BC1008"/>
    <w:rsid w:val="00BD3861"/>
    <w:rsid w:val="00C02632"/>
    <w:rsid w:val="00C22560"/>
    <w:rsid w:val="00C80E6C"/>
    <w:rsid w:val="00C94B0D"/>
    <w:rsid w:val="00CB01CA"/>
    <w:rsid w:val="00CF00AD"/>
    <w:rsid w:val="00D10B5F"/>
    <w:rsid w:val="00D24E87"/>
    <w:rsid w:val="00D36105"/>
    <w:rsid w:val="00D41089"/>
    <w:rsid w:val="00D4762D"/>
    <w:rsid w:val="00D7428F"/>
    <w:rsid w:val="00D752E9"/>
    <w:rsid w:val="00DC5E72"/>
    <w:rsid w:val="00E103FA"/>
    <w:rsid w:val="00E30F49"/>
    <w:rsid w:val="00E509D3"/>
    <w:rsid w:val="00E54EA8"/>
    <w:rsid w:val="00E9216D"/>
    <w:rsid w:val="00E95EB7"/>
    <w:rsid w:val="00EA4A01"/>
    <w:rsid w:val="00ED132C"/>
    <w:rsid w:val="00EE233C"/>
    <w:rsid w:val="00EF608A"/>
    <w:rsid w:val="00EF78DF"/>
    <w:rsid w:val="00F01AE9"/>
    <w:rsid w:val="00F03458"/>
    <w:rsid w:val="00F33BA2"/>
    <w:rsid w:val="00F51FB7"/>
    <w:rsid w:val="00F81567"/>
    <w:rsid w:val="00F875A4"/>
    <w:rsid w:val="00FB1A41"/>
    <w:rsid w:val="00FC3816"/>
    <w:rsid w:val="00FD0958"/>
    <w:rsid w:val="00FF6E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5D3B94"/>
  <w15:chartTrackingRefBased/>
  <w15:docId w15:val="{28675BB8-DE2B-42DA-8205-E5BEBBEC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33C"/>
    <w:rPr>
      <w:rFonts w:eastAsia="MS Mincho"/>
    </w:rPr>
  </w:style>
  <w:style w:type="paragraph" w:styleId="Heading1">
    <w:name w:val="heading 1"/>
    <w:basedOn w:val="Normal"/>
    <w:next w:val="Normal"/>
    <w:link w:val="Heading1Char"/>
    <w:uiPriority w:val="9"/>
    <w:qFormat/>
    <w:rsid w:val="002C35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33C"/>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E233C"/>
    <w:rPr>
      <w:rFonts w:eastAsia="MS Mincho"/>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E233C"/>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E233C"/>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EE233C"/>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EE233C"/>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EE233C"/>
    <w:rPr>
      <w:vertAlign w:val="superscript"/>
    </w:rPr>
  </w:style>
  <w:style w:type="paragraph" w:customStyle="1" w:styleId="Char2">
    <w:name w:val="Char2"/>
    <w:basedOn w:val="Normal"/>
    <w:link w:val="FootnoteReference"/>
    <w:uiPriority w:val="99"/>
    <w:rsid w:val="00EE233C"/>
    <w:pPr>
      <w:spacing w:line="240" w:lineRule="exact"/>
    </w:pPr>
    <w:rPr>
      <w:rFonts w:eastAsiaTheme="minorHAnsi"/>
      <w:vertAlign w:val="superscript"/>
    </w:rPr>
  </w:style>
  <w:style w:type="character" w:customStyle="1" w:styleId="fontstyle01">
    <w:name w:val="fontstyle01"/>
    <w:basedOn w:val="DefaultParagraphFont"/>
    <w:rsid w:val="00EE233C"/>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EE233C"/>
    <w:rPr>
      <w:rFonts w:ascii="TimesNewRomanPS-ItalicMT" w:hAnsi="TimesNewRomanPS-ItalicMT" w:hint="default"/>
      <w:b w:val="0"/>
      <w:bCs w:val="0"/>
      <w:i/>
      <w:iCs/>
      <w:color w:val="000000"/>
      <w:sz w:val="24"/>
      <w:szCs w:val="24"/>
    </w:rPr>
  </w:style>
  <w:style w:type="character" w:customStyle="1" w:styleId="sbb9ee52a">
    <w:name w:val="sbb9ee52a"/>
    <w:basedOn w:val="DefaultParagraphFont"/>
    <w:rsid w:val="00EE233C"/>
  </w:style>
  <w:style w:type="paragraph" w:styleId="BalloonText">
    <w:name w:val="Balloon Text"/>
    <w:basedOn w:val="Normal"/>
    <w:link w:val="BalloonTextChar"/>
    <w:uiPriority w:val="99"/>
    <w:semiHidden/>
    <w:unhideWhenUsed/>
    <w:rsid w:val="00B916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60E"/>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FD0958"/>
    <w:rPr>
      <w:sz w:val="16"/>
      <w:szCs w:val="16"/>
    </w:rPr>
  </w:style>
  <w:style w:type="paragraph" w:styleId="CommentText">
    <w:name w:val="annotation text"/>
    <w:basedOn w:val="Normal"/>
    <w:link w:val="CommentTextChar"/>
    <w:uiPriority w:val="99"/>
    <w:semiHidden/>
    <w:unhideWhenUsed/>
    <w:rsid w:val="00FD0958"/>
    <w:pPr>
      <w:spacing w:line="240" w:lineRule="auto"/>
    </w:pPr>
    <w:rPr>
      <w:sz w:val="20"/>
      <w:szCs w:val="20"/>
    </w:rPr>
  </w:style>
  <w:style w:type="character" w:customStyle="1" w:styleId="CommentTextChar">
    <w:name w:val="Comment Text Char"/>
    <w:basedOn w:val="DefaultParagraphFont"/>
    <w:link w:val="CommentText"/>
    <w:uiPriority w:val="99"/>
    <w:semiHidden/>
    <w:rsid w:val="00FD0958"/>
    <w:rPr>
      <w:rFonts w:eastAsia="MS Mincho"/>
      <w:sz w:val="20"/>
      <w:szCs w:val="20"/>
    </w:rPr>
  </w:style>
  <w:style w:type="paragraph" w:styleId="CommentSubject">
    <w:name w:val="annotation subject"/>
    <w:basedOn w:val="CommentText"/>
    <w:next w:val="CommentText"/>
    <w:link w:val="CommentSubjectChar"/>
    <w:uiPriority w:val="99"/>
    <w:semiHidden/>
    <w:unhideWhenUsed/>
    <w:rsid w:val="00FD0958"/>
    <w:rPr>
      <w:b/>
      <w:bCs/>
    </w:rPr>
  </w:style>
  <w:style w:type="character" w:customStyle="1" w:styleId="CommentSubjectChar">
    <w:name w:val="Comment Subject Char"/>
    <w:basedOn w:val="CommentTextChar"/>
    <w:link w:val="CommentSubject"/>
    <w:uiPriority w:val="99"/>
    <w:semiHidden/>
    <w:rsid w:val="00FD0958"/>
    <w:rPr>
      <w:rFonts w:eastAsia="MS Mincho"/>
      <w:b/>
      <w:bCs/>
      <w:sz w:val="20"/>
      <w:szCs w:val="20"/>
    </w:rPr>
  </w:style>
  <w:style w:type="paragraph" w:styleId="Footer">
    <w:name w:val="footer"/>
    <w:basedOn w:val="Normal"/>
    <w:link w:val="FooterChar"/>
    <w:uiPriority w:val="99"/>
    <w:unhideWhenUsed/>
    <w:rsid w:val="00AD1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D18"/>
    <w:rPr>
      <w:rFonts w:eastAsia="MS Mincho"/>
    </w:rPr>
  </w:style>
  <w:style w:type="character" w:customStyle="1" w:styleId="Heading1Char">
    <w:name w:val="Heading 1 Char"/>
    <w:basedOn w:val="DefaultParagraphFont"/>
    <w:link w:val="Heading1"/>
    <w:uiPriority w:val="9"/>
    <w:rsid w:val="002C35C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61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97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2026-04-17T09:13:33Z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2026-04-16T00:00:00Z</Date_x0020_protokolli>
    <Titulli xmlns="0e656187-b300-4fb0-8bf4-3a50f872073c">Me objekt shfuqizimin e vendimit nr. 00-2024-5292, datë 23.12.2024 të Kolegjit Civil të Gjykatës së Lartë, si i papajtueshëm me Kushtetutën e Republikës së Shqipërisë. Konstatimin e cenimit të së drejtës kushtetuese për një proces të rregullt ligjor si rezultat i mosgjykimit brenda një afati të arsyeshëm, të parashikuar në pikën 2 të nenit 399/7 të Kodit të Procedurës Civile, të kërkesës me nr. regjistrimi 2123/21234-1343, datë 18.10.2019, në sekretarinë e Gjykatës së Apelit të Juridiksionit të Përgjithshëm, si dhe përshpejtimi i shqyrtimit të çështjes.</Titulli>
    <Modifikuesi xmlns="0e656187-b300-4fb0-8bf4-3a50f872073c">elnejda.cokalli</Modifikuesi>
    <Nr_x002e__x0020_prot_x0020_QBZ xmlns="0e656187-b300-4fb0-8bf4-3a50f872073c">835/1</Nr_x002e__x0020_prot_x0020_QBZ>
    <Data_x0020_e_x0020_Modifikimit xmlns="0e656187-b300-4fb0-8bf4-3a50f872073c">2026-04-17T09:35:06Z</Data_x0020_e_x0020_Modifikimit>
    <Dekretuar xmlns="0e656187-b300-4fb0-8bf4-3a50f872073c">false</Dekretuar>
    <Data xmlns="0e656187-b300-4fb0-8bf4-3a50f872073c">2026-03-18T00:00:00Z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15726886E8E451BBA474BF6125B70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001FF3B-141F-42BA-AF71-D5887B2E7F50}">
  <ds:schemaRef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2FBB8E4F-42D6-4EE0-ABAB-849AC9081979}">
  <ds:schemaRefs>
    <ds:schemaRef ds:uri="http://schemas.microsoft.com/sharepoint/v3/contenttype/forms"/>
  </ds:schemaRefs>
</ds:datastoreItem>
</file>

<file path=customXml/itemProps3.xml><?xml version="1.0" encoding="utf-8"?>
<ds:datastoreItem xmlns:ds="http://schemas.openxmlformats.org/officeDocument/2006/customXml" ds:itemID="{69D414D1-FD59-4E5A-A635-33A28DEDA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1760</Words>
  <Characters>10036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00-2024-5292, datë 23.12.2024 të Kolegjit Civil të Gjykatës së Lartë, si i papajtueshëm me Kushtetutën e Republikës së Shqipërisë. Konstatimin e cenimit të së drejtës kushtetuese për një proces të rregullt ligjor si rezultat i mosgjykimit brenda një afati të arsyeshëm, të parashikuar në pikën 2 të nenit 399/7 të Kodit të Procedurës Civile, të kërkesës me nr. regjistrimi 2123/21234-1343, datë 18.10.2019, në sekretarinë e Gjykatës së Apelit të Juridiksionit të Përgjithshëm, si dhe përshpejtimi i shqyrtimit të çështjes.</dc:title>
  <dc:creator>Ilir Toska</dc:creator>
  <cp:lastModifiedBy>fjora.cahani</cp:lastModifiedBy>
  <cp:revision>6</cp:revision>
  <cp:lastPrinted>2026-04-15T07:39:00Z</cp:lastPrinted>
  <dcterms:created xsi:type="dcterms:W3CDTF">2026-04-17T08:21:00Z</dcterms:created>
  <dcterms:modified xsi:type="dcterms:W3CDTF">2026-04-17T08:56:00Z</dcterms:modified>
</cp:coreProperties>
</file>