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AB312" w14:textId="77777777" w:rsidR="0018261C" w:rsidRPr="00986A66" w:rsidRDefault="0018261C" w:rsidP="006B7EB4">
      <w:pPr>
        <w:spacing w:line="240" w:lineRule="auto"/>
        <w:ind w:firstLine="284"/>
        <w:jc w:val="center"/>
        <w:rPr>
          <w:rFonts w:ascii="Garamond" w:hAnsi="Garamond"/>
          <w:b/>
          <w:bCs/>
        </w:rPr>
      </w:pPr>
      <w:r w:rsidRPr="00986A66">
        <w:rPr>
          <w:rFonts w:ascii="Garamond" w:hAnsi="Garamond"/>
          <w:b/>
          <w:bCs/>
        </w:rPr>
        <w:t>VENDIM</w:t>
      </w:r>
    </w:p>
    <w:p w14:paraId="71148C8F" w14:textId="3619D956" w:rsidR="0018261C" w:rsidRPr="00986A66" w:rsidRDefault="0018261C" w:rsidP="006B7EB4">
      <w:pPr>
        <w:spacing w:line="240" w:lineRule="auto"/>
        <w:ind w:firstLine="284"/>
        <w:jc w:val="center"/>
        <w:rPr>
          <w:rFonts w:ascii="Garamond" w:hAnsi="Garamond"/>
          <w:b/>
          <w:bCs/>
        </w:rPr>
      </w:pPr>
      <w:r w:rsidRPr="00986A66">
        <w:rPr>
          <w:rFonts w:ascii="Garamond" w:hAnsi="Garamond"/>
          <w:b/>
          <w:bCs/>
        </w:rPr>
        <w:t>Nr.</w:t>
      </w:r>
      <w:r w:rsidR="00084382">
        <w:rPr>
          <w:rFonts w:ascii="Garamond" w:hAnsi="Garamond"/>
          <w:b/>
          <w:bCs/>
        </w:rPr>
        <w:t xml:space="preserve"> </w:t>
      </w:r>
      <w:r w:rsidRPr="00986A66">
        <w:rPr>
          <w:rFonts w:ascii="Garamond" w:hAnsi="Garamond"/>
          <w:b/>
          <w:bCs/>
        </w:rPr>
        <w:t>39, datë 26.3.2026</w:t>
      </w:r>
    </w:p>
    <w:p w14:paraId="3CB64044" w14:textId="77777777" w:rsidR="006B7EB4" w:rsidRPr="00986A66" w:rsidRDefault="006B7EB4" w:rsidP="006B7EB4">
      <w:pPr>
        <w:spacing w:line="240" w:lineRule="auto"/>
        <w:ind w:firstLine="284"/>
        <w:jc w:val="center"/>
        <w:rPr>
          <w:rFonts w:ascii="Garamond" w:hAnsi="Garamond"/>
          <w:b/>
          <w:bCs/>
        </w:rPr>
      </w:pPr>
    </w:p>
    <w:p w14:paraId="3C612DAE" w14:textId="39A21C34" w:rsidR="0018261C" w:rsidRPr="00986A66" w:rsidRDefault="0018261C" w:rsidP="006B7EB4">
      <w:pPr>
        <w:spacing w:line="240" w:lineRule="auto"/>
        <w:ind w:firstLine="284"/>
        <w:jc w:val="center"/>
        <w:rPr>
          <w:rFonts w:ascii="Garamond" w:hAnsi="Garamond"/>
          <w:b/>
          <w:bCs/>
        </w:rPr>
      </w:pPr>
      <w:r w:rsidRPr="00986A66">
        <w:rPr>
          <w:rFonts w:ascii="Garamond" w:hAnsi="Garamond"/>
          <w:b/>
          <w:bCs/>
        </w:rPr>
        <w:t>NË EMËR TË REPUBLIKËS SË SHQIPËRISË</w:t>
      </w:r>
    </w:p>
    <w:p w14:paraId="77223D0E" w14:textId="77777777" w:rsidR="0018261C" w:rsidRPr="00986A66" w:rsidRDefault="0018261C" w:rsidP="006B7EB4">
      <w:pPr>
        <w:tabs>
          <w:tab w:val="left" w:pos="0"/>
          <w:tab w:val="left" w:pos="720"/>
        </w:tabs>
        <w:spacing w:line="240" w:lineRule="auto"/>
        <w:ind w:firstLine="284"/>
        <w:rPr>
          <w:rFonts w:ascii="Garamond" w:hAnsi="Garamond"/>
        </w:rPr>
      </w:pPr>
    </w:p>
    <w:p w14:paraId="778D41E9" w14:textId="77777777" w:rsidR="0018261C" w:rsidRPr="00986A66" w:rsidRDefault="0018261C" w:rsidP="006B7EB4">
      <w:pPr>
        <w:spacing w:line="240" w:lineRule="auto"/>
        <w:ind w:firstLine="284"/>
        <w:jc w:val="both"/>
        <w:rPr>
          <w:rFonts w:ascii="Garamond" w:hAnsi="Garamond"/>
        </w:rPr>
      </w:pPr>
      <w:r w:rsidRPr="00986A66">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134"/>
      </w:tblGrid>
      <w:tr w:rsidR="00986A66" w:rsidRPr="00986A66" w14:paraId="38D2188C" w14:textId="77777777" w:rsidTr="00986A66">
        <w:tc>
          <w:tcPr>
            <w:tcW w:w="2263" w:type="dxa"/>
          </w:tcPr>
          <w:p w14:paraId="32673730" w14:textId="77777777" w:rsidR="00986A66" w:rsidRPr="00986A66" w:rsidRDefault="00986A66" w:rsidP="00084382">
            <w:pPr>
              <w:jc w:val="both"/>
              <w:rPr>
                <w:rFonts w:ascii="Garamond" w:hAnsi="Garamond"/>
              </w:rPr>
            </w:pPr>
            <w:proofErr w:type="spellStart"/>
            <w:r w:rsidRPr="00986A66">
              <w:rPr>
                <w:rFonts w:ascii="Garamond" w:hAnsi="Garamond"/>
              </w:rPr>
              <w:t>Fiona</w:t>
            </w:r>
            <w:proofErr w:type="spellEnd"/>
            <w:r w:rsidRPr="00986A66">
              <w:rPr>
                <w:rFonts w:ascii="Garamond" w:hAnsi="Garamond"/>
              </w:rPr>
              <w:t xml:space="preserve"> </w:t>
            </w:r>
            <w:proofErr w:type="spellStart"/>
            <w:r w:rsidRPr="00986A66">
              <w:rPr>
                <w:rFonts w:ascii="Garamond" w:hAnsi="Garamond"/>
              </w:rPr>
              <w:t>Papajorgji</w:t>
            </w:r>
            <w:proofErr w:type="spellEnd"/>
          </w:p>
        </w:tc>
        <w:tc>
          <w:tcPr>
            <w:tcW w:w="1134" w:type="dxa"/>
          </w:tcPr>
          <w:p w14:paraId="3CBCFA10" w14:textId="3288B1D9" w:rsidR="00986A66" w:rsidRPr="00986A66" w:rsidRDefault="00084382" w:rsidP="00084382">
            <w:pPr>
              <w:jc w:val="both"/>
              <w:rPr>
                <w:rFonts w:ascii="Garamond" w:hAnsi="Garamond"/>
              </w:rPr>
            </w:pPr>
            <w:r w:rsidRPr="00986A66">
              <w:rPr>
                <w:rFonts w:ascii="Garamond" w:hAnsi="Garamond"/>
              </w:rPr>
              <w:t>kryetare</w:t>
            </w:r>
            <w:r>
              <w:rPr>
                <w:rFonts w:ascii="Garamond" w:hAnsi="Garamond"/>
              </w:rPr>
              <w:t>;</w:t>
            </w:r>
          </w:p>
        </w:tc>
      </w:tr>
      <w:tr w:rsidR="00986A66" w:rsidRPr="00986A66" w14:paraId="2023DE98" w14:textId="77777777" w:rsidTr="00986A66">
        <w:tc>
          <w:tcPr>
            <w:tcW w:w="2263" w:type="dxa"/>
          </w:tcPr>
          <w:p w14:paraId="6F047970" w14:textId="77777777" w:rsidR="00986A66" w:rsidRPr="00986A66" w:rsidRDefault="00986A66" w:rsidP="00084382">
            <w:pPr>
              <w:rPr>
                <w:rFonts w:ascii="Garamond" w:hAnsi="Garamond"/>
              </w:rPr>
            </w:pPr>
            <w:proofErr w:type="spellStart"/>
            <w:r w:rsidRPr="00986A66">
              <w:rPr>
                <w:rFonts w:ascii="Garamond" w:hAnsi="Garamond"/>
              </w:rPr>
              <w:t>Marsida</w:t>
            </w:r>
            <w:proofErr w:type="spellEnd"/>
            <w:r w:rsidRPr="00986A66">
              <w:rPr>
                <w:rFonts w:ascii="Garamond" w:hAnsi="Garamond"/>
              </w:rPr>
              <w:t xml:space="preserve"> </w:t>
            </w:r>
            <w:proofErr w:type="spellStart"/>
            <w:r w:rsidRPr="00986A66">
              <w:rPr>
                <w:rFonts w:ascii="Garamond" w:hAnsi="Garamond"/>
              </w:rPr>
              <w:t>Xhaferllari</w:t>
            </w:r>
            <w:proofErr w:type="spellEnd"/>
          </w:p>
        </w:tc>
        <w:tc>
          <w:tcPr>
            <w:tcW w:w="1134" w:type="dxa"/>
          </w:tcPr>
          <w:p w14:paraId="19B3C1F0" w14:textId="26899CC8" w:rsidR="00986A66" w:rsidRPr="00986A66" w:rsidRDefault="00084382" w:rsidP="00084382">
            <w:pPr>
              <w:rPr>
                <w:rFonts w:ascii="Garamond" w:hAnsi="Garamond"/>
              </w:rPr>
            </w:pPr>
            <w:r w:rsidRPr="00986A66">
              <w:rPr>
                <w:rFonts w:ascii="Garamond" w:hAnsi="Garamond"/>
              </w:rPr>
              <w:t>anëtare</w:t>
            </w:r>
            <w:r>
              <w:rPr>
                <w:rFonts w:ascii="Garamond" w:hAnsi="Garamond"/>
              </w:rPr>
              <w:t>;</w:t>
            </w:r>
          </w:p>
        </w:tc>
      </w:tr>
      <w:tr w:rsidR="00986A66" w:rsidRPr="00986A66" w14:paraId="6532CFF7" w14:textId="77777777" w:rsidTr="00986A66">
        <w:tc>
          <w:tcPr>
            <w:tcW w:w="2263" w:type="dxa"/>
          </w:tcPr>
          <w:p w14:paraId="1B1F2EDC" w14:textId="77777777" w:rsidR="00986A66" w:rsidRPr="00986A66" w:rsidRDefault="00986A66" w:rsidP="00084382">
            <w:pPr>
              <w:rPr>
                <w:rFonts w:ascii="Garamond" w:hAnsi="Garamond"/>
              </w:rPr>
            </w:pPr>
            <w:proofErr w:type="spellStart"/>
            <w:r w:rsidRPr="00986A66">
              <w:rPr>
                <w:rFonts w:ascii="Garamond" w:hAnsi="Garamond"/>
              </w:rPr>
              <w:t>Sandër</w:t>
            </w:r>
            <w:proofErr w:type="spellEnd"/>
            <w:r w:rsidRPr="00986A66">
              <w:rPr>
                <w:rFonts w:ascii="Garamond" w:hAnsi="Garamond"/>
              </w:rPr>
              <w:t xml:space="preserve"> Beci</w:t>
            </w:r>
          </w:p>
        </w:tc>
        <w:tc>
          <w:tcPr>
            <w:tcW w:w="1134" w:type="dxa"/>
          </w:tcPr>
          <w:p w14:paraId="165565E5" w14:textId="49502F83" w:rsidR="00986A66" w:rsidRPr="00986A66" w:rsidRDefault="00084382" w:rsidP="00084382">
            <w:pPr>
              <w:rPr>
                <w:rFonts w:ascii="Garamond" w:hAnsi="Garamond"/>
              </w:rPr>
            </w:pPr>
            <w:r w:rsidRPr="00986A66">
              <w:rPr>
                <w:rFonts w:ascii="Garamond" w:hAnsi="Garamond"/>
              </w:rPr>
              <w:t>anëtar</w:t>
            </w:r>
            <w:r>
              <w:rPr>
                <w:rFonts w:ascii="Garamond" w:hAnsi="Garamond"/>
              </w:rPr>
              <w:t>;</w:t>
            </w:r>
            <w:r w:rsidRPr="00986A66">
              <w:rPr>
                <w:rFonts w:ascii="Garamond" w:hAnsi="Garamond"/>
              </w:rPr>
              <w:t xml:space="preserve"> </w:t>
            </w:r>
          </w:p>
        </w:tc>
      </w:tr>
      <w:tr w:rsidR="00986A66" w:rsidRPr="00986A66" w14:paraId="33AB571D" w14:textId="77777777" w:rsidTr="00986A66">
        <w:tc>
          <w:tcPr>
            <w:tcW w:w="2263" w:type="dxa"/>
          </w:tcPr>
          <w:p w14:paraId="69612566" w14:textId="77777777" w:rsidR="00986A66" w:rsidRPr="00986A66" w:rsidRDefault="00986A66" w:rsidP="00084382">
            <w:pPr>
              <w:rPr>
                <w:rFonts w:ascii="Garamond" w:hAnsi="Garamond"/>
              </w:rPr>
            </w:pPr>
            <w:r w:rsidRPr="00986A66">
              <w:rPr>
                <w:rFonts w:ascii="Garamond" w:hAnsi="Garamond"/>
              </w:rPr>
              <w:t>Ilir Toska</w:t>
            </w:r>
          </w:p>
        </w:tc>
        <w:tc>
          <w:tcPr>
            <w:tcW w:w="1134" w:type="dxa"/>
          </w:tcPr>
          <w:p w14:paraId="4EE49EC2" w14:textId="243B7DF2" w:rsidR="00986A66" w:rsidRPr="00986A66" w:rsidRDefault="00084382" w:rsidP="00084382">
            <w:pPr>
              <w:rPr>
                <w:rFonts w:ascii="Garamond" w:hAnsi="Garamond"/>
              </w:rPr>
            </w:pPr>
            <w:r w:rsidRPr="00986A66">
              <w:rPr>
                <w:rFonts w:ascii="Garamond" w:hAnsi="Garamond"/>
              </w:rPr>
              <w:t>anëtar</w:t>
            </w:r>
            <w:r>
              <w:rPr>
                <w:rFonts w:ascii="Garamond" w:hAnsi="Garamond"/>
              </w:rPr>
              <w:t>;</w:t>
            </w:r>
          </w:p>
        </w:tc>
      </w:tr>
      <w:tr w:rsidR="00986A66" w:rsidRPr="00986A66" w14:paraId="28AC2C29" w14:textId="77777777" w:rsidTr="00986A66">
        <w:tc>
          <w:tcPr>
            <w:tcW w:w="2263" w:type="dxa"/>
          </w:tcPr>
          <w:p w14:paraId="4F39B6D2" w14:textId="77777777" w:rsidR="00986A66" w:rsidRPr="00986A66" w:rsidRDefault="00986A66" w:rsidP="00084382">
            <w:pPr>
              <w:rPr>
                <w:rFonts w:ascii="Garamond" w:hAnsi="Garamond"/>
              </w:rPr>
            </w:pPr>
            <w:r w:rsidRPr="00986A66">
              <w:rPr>
                <w:rFonts w:ascii="Garamond" w:hAnsi="Garamond"/>
              </w:rPr>
              <w:t>Genti Ibrahimi</w:t>
            </w:r>
          </w:p>
        </w:tc>
        <w:tc>
          <w:tcPr>
            <w:tcW w:w="1134" w:type="dxa"/>
          </w:tcPr>
          <w:p w14:paraId="74277479" w14:textId="195B8016" w:rsidR="00986A66" w:rsidRPr="00986A66" w:rsidRDefault="00084382" w:rsidP="00084382">
            <w:pPr>
              <w:rPr>
                <w:rFonts w:ascii="Garamond" w:hAnsi="Garamond"/>
              </w:rPr>
            </w:pPr>
            <w:r w:rsidRPr="00986A66">
              <w:rPr>
                <w:rFonts w:ascii="Garamond" w:hAnsi="Garamond"/>
              </w:rPr>
              <w:t>anëtar</w:t>
            </w:r>
            <w:r>
              <w:rPr>
                <w:rFonts w:ascii="Garamond" w:hAnsi="Garamond"/>
              </w:rPr>
              <w:t>;</w:t>
            </w:r>
            <w:r w:rsidRPr="00986A66">
              <w:rPr>
                <w:rFonts w:ascii="Garamond" w:hAnsi="Garamond"/>
              </w:rPr>
              <w:t xml:space="preserve"> </w:t>
            </w:r>
          </w:p>
        </w:tc>
      </w:tr>
      <w:tr w:rsidR="00986A66" w:rsidRPr="00986A66" w14:paraId="7FB4EC30" w14:textId="77777777" w:rsidTr="00986A66">
        <w:tc>
          <w:tcPr>
            <w:tcW w:w="2263" w:type="dxa"/>
          </w:tcPr>
          <w:p w14:paraId="7026F171" w14:textId="77777777" w:rsidR="00986A66" w:rsidRPr="00986A66" w:rsidRDefault="00986A66" w:rsidP="00084382">
            <w:pPr>
              <w:rPr>
                <w:rFonts w:ascii="Garamond" w:hAnsi="Garamond"/>
              </w:rPr>
            </w:pPr>
            <w:proofErr w:type="spellStart"/>
            <w:r w:rsidRPr="00986A66">
              <w:rPr>
                <w:rFonts w:ascii="Garamond" w:hAnsi="Garamond"/>
              </w:rPr>
              <w:t>Marjana</w:t>
            </w:r>
            <w:proofErr w:type="spellEnd"/>
            <w:r w:rsidRPr="00986A66">
              <w:rPr>
                <w:rFonts w:ascii="Garamond" w:hAnsi="Garamond"/>
              </w:rPr>
              <w:t xml:space="preserve"> </w:t>
            </w:r>
            <w:proofErr w:type="spellStart"/>
            <w:r w:rsidRPr="00986A66">
              <w:rPr>
                <w:rFonts w:ascii="Garamond" w:hAnsi="Garamond"/>
              </w:rPr>
              <w:t>Semini</w:t>
            </w:r>
            <w:proofErr w:type="spellEnd"/>
          </w:p>
        </w:tc>
        <w:tc>
          <w:tcPr>
            <w:tcW w:w="1134" w:type="dxa"/>
          </w:tcPr>
          <w:p w14:paraId="21096002" w14:textId="2C8F8A52" w:rsidR="00986A66" w:rsidRPr="00986A66" w:rsidRDefault="00084382" w:rsidP="00084382">
            <w:pPr>
              <w:rPr>
                <w:rFonts w:ascii="Garamond" w:hAnsi="Garamond"/>
              </w:rPr>
            </w:pPr>
            <w:r w:rsidRPr="00986A66">
              <w:rPr>
                <w:rFonts w:ascii="Garamond" w:hAnsi="Garamond"/>
              </w:rPr>
              <w:t>anëtare</w:t>
            </w:r>
            <w:r>
              <w:rPr>
                <w:rFonts w:ascii="Garamond" w:hAnsi="Garamond"/>
              </w:rPr>
              <w:t>;</w:t>
            </w:r>
          </w:p>
        </w:tc>
      </w:tr>
      <w:tr w:rsidR="00986A66" w:rsidRPr="00986A66" w14:paraId="6E721CCC" w14:textId="77777777" w:rsidTr="00986A66">
        <w:tc>
          <w:tcPr>
            <w:tcW w:w="2263" w:type="dxa"/>
          </w:tcPr>
          <w:p w14:paraId="5AD5E7DE" w14:textId="77777777" w:rsidR="00986A66" w:rsidRPr="00986A66" w:rsidRDefault="00986A66" w:rsidP="00084382">
            <w:pPr>
              <w:rPr>
                <w:rFonts w:ascii="Garamond" w:hAnsi="Garamond"/>
              </w:rPr>
            </w:pPr>
            <w:proofErr w:type="spellStart"/>
            <w:r w:rsidRPr="00986A66">
              <w:rPr>
                <w:rFonts w:ascii="Garamond" w:hAnsi="Garamond"/>
              </w:rPr>
              <w:t>Asim</w:t>
            </w:r>
            <w:proofErr w:type="spellEnd"/>
            <w:r w:rsidRPr="00986A66">
              <w:rPr>
                <w:rFonts w:ascii="Garamond" w:hAnsi="Garamond"/>
              </w:rPr>
              <w:t xml:space="preserve"> </w:t>
            </w:r>
            <w:proofErr w:type="spellStart"/>
            <w:r w:rsidRPr="00986A66">
              <w:rPr>
                <w:rFonts w:ascii="Garamond" w:hAnsi="Garamond"/>
              </w:rPr>
              <w:t>Vokshi</w:t>
            </w:r>
            <w:proofErr w:type="spellEnd"/>
          </w:p>
        </w:tc>
        <w:tc>
          <w:tcPr>
            <w:tcW w:w="1134" w:type="dxa"/>
          </w:tcPr>
          <w:p w14:paraId="5B2D285B" w14:textId="664D974B" w:rsidR="00986A66" w:rsidRPr="00986A66" w:rsidRDefault="00084382" w:rsidP="00084382">
            <w:pPr>
              <w:rPr>
                <w:rFonts w:ascii="Garamond" w:hAnsi="Garamond"/>
              </w:rPr>
            </w:pPr>
            <w:r w:rsidRPr="00986A66">
              <w:rPr>
                <w:rFonts w:ascii="Garamond" w:hAnsi="Garamond"/>
              </w:rPr>
              <w:t>anëtar</w:t>
            </w:r>
            <w:r>
              <w:rPr>
                <w:rFonts w:ascii="Garamond" w:hAnsi="Garamond"/>
              </w:rPr>
              <w:t>;</w:t>
            </w:r>
          </w:p>
        </w:tc>
      </w:tr>
      <w:tr w:rsidR="00986A66" w:rsidRPr="00986A66" w14:paraId="7FE7D4A4" w14:textId="77777777" w:rsidTr="00986A66">
        <w:tc>
          <w:tcPr>
            <w:tcW w:w="2263" w:type="dxa"/>
          </w:tcPr>
          <w:p w14:paraId="2AC7B3F9" w14:textId="77777777" w:rsidR="00986A66" w:rsidRPr="00986A66" w:rsidRDefault="00986A66" w:rsidP="00084382">
            <w:pPr>
              <w:rPr>
                <w:rFonts w:ascii="Garamond" w:hAnsi="Garamond"/>
              </w:rPr>
            </w:pPr>
            <w:proofErr w:type="spellStart"/>
            <w:r w:rsidRPr="00986A66">
              <w:rPr>
                <w:rFonts w:ascii="Garamond" w:hAnsi="Garamond"/>
              </w:rPr>
              <w:t>Sonila</w:t>
            </w:r>
            <w:proofErr w:type="spellEnd"/>
            <w:r w:rsidRPr="00986A66">
              <w:rPr>
                <w:rFonts w:ascii="Garamond" w:hAnsi="Garamond"/>
              </w:rPr>
              <w:t xml:space="preserve"> Bejtja</w:t>
            </w:r>
          </w:p>
        </w:tc>
        <w:tc>
          <w:tcPr>
            <w:tcW w:w="1134" w:type="dxa"/>
          </w:tcPr>
          <w:p w14:paraId="4A5026A8" w14:textId="49B20724" w:rsidR="00986A66" w:rsidRPr="00986A66" w:rsidRDefault="00084382" w:rsidP="00084382">
            <w:pPr>
              <w:rPr>
                <w:rFonts w:ascii="Garamond" w:hAnsi="Garamond"/>
              </w:rPr>
            </w:pPr>
            <w:r w:rsidRPr="00986A66">
              <w:rPr>
                <w:rFonts w:ascii="Garamond" w:hAnsi="Garamond"/>
              </w:rPr>
              <w:t>anëtare</w:t>
            </w:r>
            <w:r>
              <w:rPr>
                <w:rFonts w:ascii="Garamond" w:hAnsi="Garamond"/>
              </w:rPr>
              <w:t>,</w:t>
            </w:r>
          </w:p>
        </w:tc>
      </w:tr>
    </w:tbl>
    <w:p w14:paraId="7696C77D" w14:textId="4DC8C353" w:rsidR="0018261C" w:rsidRPr="00986A66" w:rsidRDefault="0018261C" w:rsidP="006B7EB4">
      <w:pPr>
        <w:tabs>
          <w:tab w:val="left" w:pos="720"/>
        </w:tabs>
        <w:spacing w:line="240" w:lineRule="auto"/>
        <w:ind w:firstLine="284"/>
        <w:jc w:val="both"/>
        <w:rPr>
          <w:rFonts w:ascii="Garamond" w:hAnsi="Garamond"/>
        </w:rPr>
      </w:pPr>
      <w:r w:rsidRPr="00986A66">
        <w:rPr>
          <w:rFonts w:ascii="Garamond" w:hAnsi="Garamond"/>
        </w:rPr>
        <w:t xml:space="preserve">me sekretare </w:t>
      </w:r>
      <w:proofErr w:type="spellStart"/>
      <w:r w:rsidRPr="00986A66">
        <w:rPr>
          <w:rFonts w:ascii="Garamond" w:hAnsi="Garamond"/>
        </w:rPr>
        <w:t>Farisja</w:t>
      </w:r>
      <w:proofErr w:type="spellEnd"/>
      <w:r w:rsidRPr="00986A66">
        <w:rPr>
          <w:rFonts w:ascii="Garamond" w:hAnsi="Garamond"/>
        </w:rPr>
        <w:t xml:space="preserve"> </w:t>
      </w:r>
      <w:proofErr w:type="spellStart"/>
      <w:r w:rsidRPr="00986A66">
        <w:rPr>
          <w:rFonts w:ascii="Garamond" w:hAnsi="Garamond"/>
        </w:rPr>
        <w:t>Idrizaj</w:t>
      </w:r>
      <w:proofErr w:type="spellEnd"/>
      <w:r w:rsidRPr="00986A66">
        <w:rPr>
          <w:rFonts w:ascii="Garamond" w:hAnsi="Garamond"/>
        </w:rPr>
        <w:t>, në datën 26.3.2026 mori në shqyrtim në seancë plenare mbi bazë të dokumenteve çështjen nr. 12 (SH) 2025 të Regjistrit Themeltar, që u përket:</w:t>
      </w:r>
    </w:p>
    <w:p w14:paraId="1016D9AB" w14:textId="1EFFC4B5" w:rsidR="0018261C" w:rsidRPr="00986A66" w:rsidRDefault="0018261C" w:rsidP="006B7EB4">
      <w:pPr>
        <w:spacing w:line="240" w:lineRule="auto"/>
        <w:ind w:firstLine="284"/>
        <w:jc w:val="both"/>
        <w:rPr>
          <w:rFonts w:ascii="Garamond" w:hAnsi="Garamond"/>
        </w:rPr>
      </w:pPr>
      <w:r w:rsidRPr="00986A66">
        <w:rPr>
          <w:rFonts w:ascii="Garamond" w:hAnsi="Garamond"/>
          <w:bCs/>
        </w:rPr>
        <w:t>KËRKUES:</w:t>
      </w:r>
      <w:r w:rsidR="006B7EB4" w:rsidRPr="00986A66">
        <w:rPr>
          <w:rFonts w:ascii="Garamond" w:hAnsi="Garamond"/>
          <w:bCs/>
        </w:rPr>
        <w:t xml:space="preserve"> </w:t>
      </w:r>
      <w:r w:rsidRPr="00986A66">
        <w:rPr>
          <w:rFonts w:ascii="Garamond" w:hAnsi="Garamond"/>
          <w:bCs/>
        </w:rPr>
        <w:t xml:space="preserve">SHOQËRIA “GFI ALBANIA” SH.P.K., ERGYS SELA, </w:t>
      </w:r>
      <w:r w:rsidRPr="00986A66">
        <w:rPr>
          <w:rFonts w:ascii="Garamond" w:hAnsi="Garamond"/>
        </w:rPr>
        <w:t xml:space="preserve">përfaqësuar nga avokatët </w:t>
      </w:r>
      <w:proofErr w:type="spellStart"/>
      <w:r w:rsidRPr="00986A66">
        <w:rPr>
          <w:rFonts w:ascii="Garamond" w:hAnsi="Garamond"/>
        </w:rPr>
        <w:t>Joana</w:t>
      </w:r>
      <w:proofErr w:type="spellEnd"/>
      <w:r w:rsidRPr="00986A66">
        <w:rPr>
          <w:rFonts w:ascii="Garamond" w:hAnsi="Garamond"/>
        </w:rPr>
        <w:t xml:space="preserve"> </w:t>
      </w:r>
      <w:proofErr w:type="spellStart"/>
      <w:r w:rsidRPr="00986A66">
        <w:rPr>
          <w:rFonts w:ascii="Garamond" w:hAnsi="Garamond"/>
        </w:rPr>
        <w:t>Qeleshi</w:t>
      </w:r>
      <w:proofErr w:type="spellEnd"/>
      <w:r w:rsidRPr="00986A66">
        <w:rPr>
          <w:rFonts w:ascii="Garamond" w:hAnsi="Garamond"/>
        </w:rPr>
        <w:t xml:space="preserve"> dhe Ardian </w:t>
      </w:r>
      <w:proofErr w:type="spellStart"/>
      <w:r w:rsidRPr="00986A66">
        <w:rPr>
          <w:rFonts w:ascii="Garamond" w:hAnsi="Garamond"/>
        </w:rPr>
        <w:t>Karaj</w:t>
      </w:r>
      <w:proofErr w:type="spellEnd"/>
      <w:r w:rsidRPr="00986A66">
        <w:rPr>
          <w:rFonts w:ascii="Garamond" w:hAnsi="Garamond"/>
        </w:rPr>
        <w:t>.</w:t>
      </w:r>
    </w:p>
    <w:p w14:paraId="0EAFB0F5" w14:textId="77777777" w:rsidR="0018261C" w:rsidRPr="00986A66" w:rsidRDefault="0018261C" w:rsidP="006B7EB4">
      <w:pPr>
        <w:spacing w:line="240" w:lineRule="auto"/>
        <w:ind w:firstLine="284"/>
        <w:jc w:val="both"/>
        <w:rPr>
          <w:rFonts w:ascii="Garamond" w:hAnsi="Garamond"/>
          <w:bCs/>
        </w:rPr>
      </w:pPr>
      <w:r w:rsidRPr="00986A66">
        <w:rPr>
          <w:rFonts w:ascii="Garamond" w:hAnsi="Garamond"/>
          <w:bCs/>
        </w:rPr>
        <w:t>SUBJEKT I INTERESUAR:</w:t>
      </w:r>
    </w:p>
    <w:p w14:paraId="05245C35" w14:textId="1308FE34" w:rsidR="0018261C" w:rsidRPr="00986A66" w:rsidRDefault="00084382" w:rsidP="006B7EB4">
      <w:pPr>
        <w:spacing w:line="240" w:lineRule="auto"/>
        <w:ind w:firstLine="284"/>
        <w:jc w:val="both"/>
        <w:rPr>
          <w:rFonts w:ascii="Garamond" w:hAnsi="Garamond"/>
        </w:rPr>
      </w:pPr>
      <w:r w:rsidRPr="00986A66">
        <w:rPr>
          <w:rFonts w:ascii="Garamond" w:hAnsi="Garamond"/>
          <w:bCs/>
        </w:rPr>
        <w:t>Prokuroria e Posaçme kundër Korrupsionit dhe Krimit të Organizuar</w:t>
      </w:r>
      <w:r w:rsidR="0018261C" w:rsidRPr="00986A66">
        <w:rPr>
          <w:rFonts w:ascii="Garamond" w:hAnsi="Garamond"/>
          <w:bCs/>
        </w:rPr>
        <w:t xml:space="preserve">, </w:t>
      </w:r>
      <w:r w:rsidR="0018261C" w:rsidRPr="00986A66">
        <w:rPr>
          <w:rFonts w:ascii="Garamond" w:hAnsi="Garamond"/>
        </w:rPr>
        <w:t xml:space="preserve">përfaqësuar nga prokurori </w:t>
      </w:r>
      <w:proofErr w:type="spellStart"/>
      <w:r w:rsidR="0018261C" w:rsidRPr="00986A66">
        <w:rPr>
          <w:rFonts w:ascii="Garamond" w:hAnsi="Garamond"/>
        </w:rPr>
        <w:t>Klodjan</w:t>
      </w:r>
      <w:proofErr w:type="spellEnd"/>
      <w:r w:rsidR="0018261C" w:rsidRPr="00986A66">
        <w:rPr>
          <w:rFonts w:ascii="Garamond" w:hAnsi="Garamond"/>
        </w:rPr>
        <w:t xml:space="preserve"> </w:t>
      </w:r>
      <w:proofErr w:type="spellStart"/>
      <w:r w:rsidR="0018261C" w:rsidRPr="00986A66">
        <w:rPr>
          <w:rFonts w:ascii="Garamond" w:hAnsi="Garamond"/>
        </w:rPr>
        <w:t>Braho</w:t>
      </w:r>
      <w:proofErr w:type="spellEnd"/>
      <w:r w:rsidR="0018261C" w:rsidRPr="00986A66">
        <w:rPr>
          <w:rFonts w:ascii="Garamond" w:hAnsi="Garamond"/>
        </w:rPr>
        <w:t>.</w:t>
      </w:r>
    </w:p>
    <w:p w14:paraId="0744E9F0" w14:textId="22BD86F1" w:rsidR="0018261C" w:rsidRPr="00986A66" w:rsidRDefault="0018261C" w:rsidP="006B7EB4">
      <w:pPr>
        <w:spacing w:line="240" w:lineRule="auto"/>
        <w:ind w:firstLine="284"/>
        <w:jc w:val="both"/>
        <w:rPr>
          <w:rFonts w:ascii="Garamond" w:hAnsi="Garamond"/>
          <w:bCs/>
        </w:rPr>
      </w:pPr>
      <w:r w:rsidRPr="00986A66">
        <w:rPr>
          <w:rFonts w:ascii="Garamond" w:hAnsi="Garamond"/>
          <w:bCs/>
        </w:rPr>
        <w:t>OBJEKTI:</w:t>
      </w:r>
      <w:r w:rsidR="00084382">
        <w:rPr>
          <w:rFonts w:ascii="Garamond" w:hAnsi="Garamond"/>
        </w:rPr>
        <w:t xml:space="preserve"> </w:t>
      </w:r>
      <w:r w:rsidRPr="00986A66">
        <w:rPr>
          <w:rFonts w:ascii="Garamond" w:hAnsi="Garamond"/>
          <w:bCs/>
        </w:rPr>
        <w:t>Shfuqizimi i vendimeve “Për vleftësimin e sekuestrimit”, datë 22.2.2024</w:t>
      </w:r>
      <w:r w:rsidR="00084382">
        <w:rPr>
          <w:rFonts w:ascii="Garamond" w:hAnsi="Garamond"/>
          <w:bCs/>
        </w:rPr>
        <w:t>,</w:t>
      </w:r>
      <w:r w:rsidRPr="00986A66">
        <w:rPr>
          <w:rFonts w:ascii="Garamond" w:hAnsi="Garamond"/>
          <w:bCs/>
        </w:rPr>
        <w:t xml:space="preserve"> të Prokurorisë së Posaçme për Korrupsionin dhe Krimin e Organizuar; nr. 159, datë 16.4.2024</w:t>
      </w:r>
      <w:r w:rsidR="00084382">
        <w:rPr>
          <w:rFonts w:ascii="Garamond" w:hAnsi="Garamond"/>
          <w:bCs/>
        </w:rPr>
        <w:t>,</w:t>
      </w:r>
      <w:r w:rsidRPr="00986A66">
        <w:rPr>
          <w:rFonts w:ascii="Garamond" w:hAnsi="Garamond"/>
          <w:bCs/>
        </w:rPr>
        <w:t xml:space="preserve"> të Gjykatës së Posaçme të Shkallës së Parë për Korrupsionin dhe Krimin e Organizuar; nr. 101 (87-2024-146), datë 30.5.2024</w:t>
      </w:r>
      <w:r w:rsidR="00084382">
        <w:rPr>
          <w:rFonts w:ascii="Garamond" w:hAnsi="Garamond"/>
          <w:bCs/>
        </w:rPr>
        <w:t>,</w:t>
      </w:r>
      <w:r w:rsidRPr="00986A66">
        <w:rPr>
          <w:rFonts w:ascii="Garamond" w:hAnsi="Garamond"/>
          <w:bCs/>
        </w:rPr>
        <w:t xml:space="preserve"> të Gjykatës së Posaçme të Apelit për Korrupsionin dhe Krimin e Organizuar; nr. 00-2024-1703, datë 17.10.2024</w:t>
      </w:r>
      <w:r w:rsidR="00084382">
        <w:rPr>
          <w:rFonts w:ascii="Garamond" w:hAnsi="Garamond"/>
          <w:bCs/>
        </w:rPr>
        <w:t>,</w:t>
      </w:r>
      <w:r w:rsidRPr="00986A66">
        <w:rPr>
          <w:rFonts w:ascii="Garamond" w:hAnsi="Garamond"/>
          <w:bCs/>
        </w:rPr>
        <w:t xml:space="preserve"> të Kolegjit Penal të Gjykatës së Lartë, si të papajtueshme me Kushtetutën e Republikës së Shqipërisë.</w:t>
      </w:r>
    </w:p>
    <w:p w14:paraId="79CF4CAA" w14:textId="77777777" w:rsidR="0018261C" w:rsidRPr="00986A66" w:rsidRDefault="0018261C" w:rsidP="006B7EB4">
      <w:pPr>
        <w:pStyle w:val="BodyTextIndent2"/>
        <w:spacing w:line="240" w:lineRule="auto"/>
        <w:ind w:left="0" w:firstLine="284"/>
        <w:rPr>
          <w:rFonts w:ascii="Garamond" w:hAnsi="Garamond"/>
          <w:b w:val="0"/>
        </w:rPr>
      </w:pPr>
      <w:r w:rsidRPr="00986A66">
        <w:rPr>
          <w:rFonts w:ascii="Garamond" w:hAnsi="Garamond"/>
          <w:b w:val="0"/>
        </w:rPr>
        <w:t xml:space="preserve">Dërgimi i çështjes për rigjykim në Gjykatën e Posaçme të Shkallës së Parë për Korrupsionin dhe Krimin e Organizuar ose në alternativë në Kolegjin Penal të Gjykatës së Lartë. </w:t>
      </w:r>
    </w:p>
    <w:p w14:paraId="0E400FE1" w14:textId="74B51695" w:rsidR="0018261C" w:rsidRPr="00986A66" w:rsidRDefault="0018261C" w:rsidP="006B7EB4">
      <w:pPr>
        <w:pStyle w:val="BodyTextIndent2"/>
        <w:spacing w:line="240" w:lineRule="auto"/>
        <w:ind w:left="0" w:firstLine="284"/>
        <w:rPr>
          <w:rFonts w:ascii="Garamond" w:hAnsi="Garamond"/>
          <w:b w:val="0"/>
        </w:rPr>
      </w:pPr>
      <w:r w:rsidRPr="00986A66">
        <w:rPr>
          <w:rFonts w:ascii="Garamond" w:hAnsi="Garamond"/>
          <w:b w:val="0"/>
        </w:rPr>
        <w:t>BAZA LIGJORE:</w:t>
      </w:r>
      <w:r w:rsidR="006B7EB4" w:rsidRPr="00986A66">
        <w:rPr>
          <w:rFonts w:ascii="Garamond" w:hAnsi="Garamond"/>
          <w:b w:val="0"/>
        </w:rPr>
        <w:t xml:space="preserve"> </w:t>
      </w:r>
      <w:r w:rsidRPr="00986A66">
        <w:rPr>
          <w:rFonts w:ascii="Garamond" w:hAnsi="Garamond"/>
          <w:b w:val="0"/>
        </w:rPr>
        <w:t xml:space="preserve">Nenet 3, 15, 17, 35, 36, 37, 41, 42, 131, pika 1, shkronja “f”, 134, pika 1, 141 dhe 142 të Kushtetutës së Republikës së Shqipërisë </w:t>
      </w:r>
      <w:r w:rsidRPr="00986A66">
        <w:rPr>
          <w:rFonts w:ascii="Garamond" w:hAnsi="Garamond"/>
          <w:b w:val="0"/>
          <w:i/>
          <w:iCs/>
        </w:rPr>
        <w:t>(Kushtetuta)</w:t>
      </w:r>
      <w:r w:rsidRPr="00986A66">
        <w:rPr>
          <w:rFonts w:ascii="Garamond" w:hAnsi="Garamond"/>
          <w:b w:val="0"/>
        </w:rPr>
        <w:t xml:space="preserve">; nenet 6 dhe 8 Konventës Evropiane për të Drejtat e Njeriut </w:t>
      </w:r>
      <w:r w:rsidRPr="00E8264A">
        <w:rPr>
          <w:rFonts w:ascii="Garamond" w:hAnsi="Garamond"/>
          <w:b w:val="0"/>
          <w:i/>
          <w:iCs/>
        </w:rPr>
        <w:t>(KEDNJ),</w:t>
      </w:r>
      <w:r w:rsidRPr="00986A66">
        <w:rPr>
          <w:rFonts w:ascii="Garamond" w:hAnsi="Garamond"/>
          <w:b w:val="0"/>
        </w:rPr>
        <w:t xml:space="preserve"> si dhe neni 1 i Protokollit nr. 1 të saj; nenet 71, 71/a dhe 71/b të ligjit nr. 8577, datë 10.2.2000</w:t>
      </w:r>
      <w:r w:rsidR="0098310A">
        <w:rPr>
          <w:rFonts w:ascii="Garamond" w:hAnsi="Garamond"/>
          <w:b w:val="0"/>
        </w:rPr>
        <w:t>,</w:t>
      </w:r>
      <w:r w:rsidRPr="00986A66">
        <w:rPr>
          <w:rFonts w:ascii="Garamond" w:hAnsi="Garamond"/>
          <w:b w:val="0"/>
        </w:rPr>
        <w:t xml:space="preserve"> “Për organizimin dhe funksionimin e Gjykatës Kushtetuese të Republikës së Shqipërisë”, të ndryshuar</w:t>
      </w:r>
      <w:r w:rsidRPr="00986A66">
        <w:rPr>
          <w:rFonts w:ascii="Garamond" w:hAnsi="Garamond"/>
          <w:b w:val="0"/>
          <w:i/>
          <w:iCs/>
        </w:rPr>
        <w:t xml:space="preserve"> </w:t>
      </w:r>
      <w:r w:rsidRPr="00E8264A">
        <w:rPr>
          <w:rFonts w:ascii="Garamond" w:hAnsi="Garamond"/>
          <w:b w:val="0"/>
          <w:i/>
          <w:iCs/>
        </w:rPr>
        <w:t>(Ligji Organik i Gjykatës).</w:t>
      </w:r>
    </w:p>
    <w:p w14:paraId="094CEB83" w14:textId="77777777" w:rsidR="0018261C" w:rsidRPr="00986A66" w:rsidRDefault="0018261C" w:rsidP="006B7EB4">
      <w:pPr>
        <w:spacing w:line="240" w:lineRule="auto"/>
        <w:ind w:firstLine="284"/>
        <w:jc w:val="both"/>
        <w:rPr>
          <w:rFonts w:ascii="Garamond" w:hAnsi="Garamond"/>
        </w:rPr>
      </w:pPr>
      <w:r w:rsidRPr="00986A66">
        <w:rPr>
          <w:rFonts w:ascii="Garamond" w:hAnsi="Garamond"/>
        </w:rPr>
        <w:t xml:space="preserve">pasi dëgjoi </w:t>
      </w:r>
      <w:proofErr w:type="spellStart"/>
      <w:r w:rsidRPr="00986A66">
        <w:rPr>
          <w:rFonts w:ascii="Garamond" w:hAnsi="Garamond"/>
        </w:rPr>
        <w:t>relatoren</w:t>
      </w:r>
      <w:proofErr w:type="spellEnd"/>
      <w:r w:rsidRPr="00986A66">
        <w:rPr>
          <w:rFonts w:ascii="Garamond" w:hAnsi="Garamond"/>
        </w:rPr>
        <w:t xml:space="preserve"> e çështjes </w:t>
      </w:r>
      <w:proofErr w:type="spellStart"/>
      <w:r w:rsidRPr="00986A66">
        <w:rPr>
          <w:rFonts w:ascii="Garamond" w:hAnsi="Garamond"/>
        </w:rPr>
        <w:t>Sonila</w:t>
      </w:r>
      <w:proofErr w:type="spellEnd"/>
      <w:r w:rsidRPr="00986A66">
        <w:rPr>
          <w:rFonts w:ascii="Garamond" w:hAnsi="Garamond"/>
        </w:rPr>
        <w:t xml:space="preserve"> Bejtja, mori në shqyrtim parashtrimet me shkrim të kërkueses, shoqërisë “GFI </w:t>
      </w:r>
      <w:proofErr w:type="spellStart"/>
      <w:r w:rsidRPr="00986A66">
        <w:rPr>
          <w:rFonts w:ascii="Garamond" w:hAnsi="Garamond"/>
        </w:rPr>
        <w:t>Albania</w:t>
      </w:r>
      <w:proofErr w:type="spellEnd"/>
      <w:r w:rsidRPr="00986A66">
        <w:rPr>
          <w:rFonts w:ascii="Garamond" w:hAnsi="Garamond"/>
        </w:rPr>
        <w:t xml:space="preserve">” </w:t>
      </w:r>
      <w:proofErr w:type="spellStart"/>
      <w:r w:rsidRPr="00986A66">
        <w:rPr>
          <w:rFonts w:ascii="Garamond" w:hAnsi="Garamond"/>
        </w:rPr>
        <w:t>sh.p.k</w:t>
      </w:r>
      <w:proofErr w:type="spellEnd"/>
      <w:r w:rsidRPr="00986A66">
        <w:rPr>
          <w:rFonts w:ascii="Garamond" w:hAnsi="Garamond"/>
        </w:rPr>
        <w:t xml:space="preserve">. </w:t>
      </w:r>
      <w:r w:rsidRPr="00084382">
        <w:rPr>
          <w:rFonts w:ascii="Garamond" w:hAnsi="Garamond"/>
          <w:i/>
          <w:iCs/>
        </w:rPr>
        <w:t>(kërkuesja e parë)</w:t>
      </w:r>
      <w:r w:rsidRPr="00986A66">
        <w:rPr>
          <w:rFonts w:ascii="Garamond" w:hAnsi="Garamond"/>
        </w:rPr>
        <w:t xml:space="preserve"> dhe kërkuesit </w:t>
      </w:r>
      <w:proofErr w:type="spellStart"/>
      <w:r w:rsidRPr="00986A66">
        <w:rPr>
          <w:rFonts w:ascii="Garamond" w:hAnsi="Garamond"/>
        </w:rPr>
        <w:t>Ergys</w:t>
      </w:r>
      <w:proofErr w:type="spellEnd"/>
      <w:r w:rsidRPr="00986A66">
        <w:rPr>
          <w:rFonts w:ascii="Garamond" w:hAnsi="Garamond"/>
        </w:rPr>
        <w:t xml:space="preserve"> </w:t>
      </w:r>
      <w:proofErr w:type="spellStart"/>
      <w:r w:rsidRPr="00986A66">
        <w:rPr>
          <w:rFonts w:ascii="Garamond" w:hAnsi="Garamond"/>
        </w:rPr>
        <w:t>Sela</w:t>
      </w:r>
      <w:proofErr w:type="spellEnd"/>
      <w:r w:rsidRPr="00986A66">
        <w:rPr>
          <w:rFonts w:ascii="Garamond" w:hAnsi="Garamond"/>
        </w:rPr>
        <w:t xml:space="preserve"> (</w:t>
      </w:r>
      <w:r w:rsidRPr="00986A66">
        <w:rPr>
          <w:rFonts w:ascii="Garamond" w:hAnsi="Garamond"/>
          <w:i/>
          <w:iCs/>
        </w:rPr>
        <w:t>kërkuesi i dytë</w:t>
      </w:r>
      <w:r w:rsidRPr="00986A66">
        <w:rPr>
          <w:rFonts w:ascii="Garamond" w:hAnsi="Garamond"/>
        </w:rPr>
        <w:t xml:space="preserve">), që kanë kërkuar pranimin e kërkesës, prapësimet me shkrim të subjektit të interesuar, Prokurorisë së Posaçme kundër Korrupsionit dhe Krimit të Organizuar </w:t>
      </w:r>
      <w:r w:rsidRPr="00986A66">
        <w:rPr>
          <w:rFonts w:ascii="Garamond" w:hAnsi="Garamond"/>
          <w:i/>
          <w:iCs/>
        </w:rPr>
        <w:t>(Prokuroria e Posaçme)</w:t>
      </w:r>
      <w:r w:rsidRPr="00986A66">
        <w:rPr>
          <w:rFonts w:ascii="Garamond" w:hAnsi="Garamond"/>
        </w:rPr>
        <w:t xml:space="preserve">, që ka kërkuar rrëzimin e kërkesës, si dhe diskutoi çështjen në tërësi, </w:t>
      </w:r>
    </w:p>
    <w:p w14:paraId="66F3B989" w14:textId="77777777" w:rsidR="0018261C" w:rsidRPr="00986A66" w:rsidRDefault="0018261C" w:rsidP="006B7EB4">
      <w:pPr>
        <w:spacing w:line="240" w:lineRule="auto"/>
        <w:ind w:firstLine="284"/>
        <w:jc w:val="center"/>
        <w:rPr>
          <w:rFonts w:ascii="Garamond" w:hAnsi="Garamond"/>
          <w:b/>
          <w:bCs/>
        </w:rPr>
      </w:pPr>
    </w:p>
    <w:p w14:paraId="2F219868" w14:textId="5DED38BE" w:rsidR="0018261C" w:rsidRPr="00986A66" w:rsidRDefault="0018261C" w:rsidP="006B7EB4">
      <w:pPr>
        <w:spacing w:line="240" w:lineRule="auto"/>
        <w:ind w:firstLine="284"/>
        <w:jc w:val="center"/>
        <w:rPr>
          <w:rFonts w:ascii="Garamond" w:hAnsi="Garamond"/>
          <w:bCs/>
        </w:rPr>
      </w:pPr>
      <w:r w:rsidRPr="00986A66">
        <w:rPr>
          <w:rFonts w:ascii="Garamond" w:hAnsi="Garamond"/>
          <w:bCs/>
        </w:rPr>
        <w:t>VËREN:</w:t>
      </w:r>
    </w:p>
    <w:p w14:paraId="7A74C00B" w14:textId="77777777" w:rsidR="00986A66" w:rsidRPr="00986A66" w:rsidRDefault="00986A66" w:rsidP="006B7EB4">
      <w:pPr>
        <w:spacing w:line="240" w:lineRule="auto"/>
        <w:ind w:firstLine="284"/>
        <w:jc w:val="center"/>
        <w:rPr>
          <w:rFonts w:ascii="Garamond" w:hAnsi="Garamond"/>
          <w:b/>
          <w:bCs/>
        </w:rPr>
      </w:pPr>
    </w:p>
    <w:p w14:paraId="36E0AD3E" w14:textId="7137884C" w:rsidR="0018261C" w:rsidRPr="00986A66" w:rsidRDefault="0018261C" w:rsidP="006B7EB4">
      <w:pPr>
        <w:spacing w:line="240" w:lineRule="auto"/>
        <w:ind w:firstLine="284"/>
        <w:jc w:val="center"/>
        <w:rPr>
          <w:rFonts w:ascii="Garamond" w:hAnsi="Garamond"/>
          <w:b/>
          <w:bCs/>
        </w:rPr>
      </w:pPr>
      <w:r w:rsidRPr="00986A66">
        <w:rPr>
          <w:rFonts w:ascii="Garamond" w:hAnsi="Garamond"/>
          <w:b/>
          <w:bCs/>
        </w:rPr>
        <w:t>I</w:t>
      </w:r>
    </w:p>
    <w:p w14:paraId="6462E6BB" w14:textId="77777777" w:rsidR="0018261C" w:rsidRPr="00986A66" w:rsidRDefault="0018261C" w:rsidP="006B7EB4">
      <w:pPr>
        <w:spacing w:line="240" w:lineRule="auto"/>
        <w:ind w:firstLine="284"/>
        <w:jc w:val="center"/>
        <w:rPr>
          <w:rFonts w:ascii="Garamond" w:hAnsi="Garamond"/>
          <w:b/>
          <w:bCs/>
        </w:rPr>
      </w:pPr>
      <w:r w:rsidRPr="00986A66">
        <w:rPr>
          <w:rFonts w:ascii="Garamond" w:hAnsi="Garamond"/>
          <w:b/>
          <w:bCs/>
        </w:rPr>
        <w:t>Rrethanat e çështjes</w:t>
      </w:r>
    </w:p>
    <w:p w14:paraId="4F4DA81F" w14:textId="77777777" w:rsidR="00986A66" w:rsidRPr="00986A66" w:rsidRDefault="00986A66" w:rsidP="006B7EB4">
      <w:pPr>
        <w:tabs>
          <w:tab w:val="left" w:pos="980"/>
        </w:tabs>
        <w:spacing w:line="240" w:lineRule="auto"/>
        <w:ind w:firstLine="284"/>
        <w:jc w:val="both"/>
        <w:rPr>
          <w:rFonts w:ascii="Garamond" w:hAnsi="Garamond"/>
        </w:rPr>
      </w:pPr>
    </w:p>
    <w:p w14:paraId="413A9183" w14:textId="2A09CBE3" w:rsidR="0018261C" w:rsidRPr="00986A66" w:rsidRDefault="0018261C" w:rsidP="006B7EB4">
      <w:pPr>
        <w:tabs>
          <w:tab w:val="left" w:pos="980"/>
        </w:tabs>
        <w:spacing w:line="240" w:lineRule="auto"/>
        <w:ind w:firstLine="284"/>
        <w:jc w:val="both"/>
        <w:rPr>
          <w:rFonts w:ascii="Garamond" w:hAnsi="Garamond"/>
        </w:rPr>
      </w:pPr>
      <w:r w:rsidRPr="00986A66">
        <w:rPr>
          <w:rFonts w:ascii="Garamond" w:hAnsi="Garamond"/>
        </w:rPr>
        <w:t>1.</w:t>
      </w:r>
      <w:r w:rsidR="006B7EB4" w:rsidRPr="00986A66">
        <w:rPr>
          <w:rFonts w:ascii="Garamond" w:hAnsi="Garamond"/>
        </w:rPr>
        <w:t xml:space="preserve"> </w:t>
      </w:r>
      <w:r w:rsidRPr="00986A66">
        <w:rPr>
          <w:rFonts w:ascii="Garamond" w:hAnsi="Garamond"/>
        </w:rPr>
        <w:t xml:space="preserve">Kërkuesja e parë është një shoqëri tregtare me përgjegjësi të kufizuar e themeluar si një bashkim operatorësh ekonomikë në kuadër të kontratës </w:t>
      </w:r>
      <w:proofErr w:type="spellStart"/>
      <w:r w:rsidRPr="00986A66">
        <w:rPr>
          <w:rFonts w:ascii="Garamond" w:hAnsi="Garamond"/>
        </w:rPr>
        <w:t>koncesionare</w:t>
      </w:r>
      <w:proofErr w:type="spellEnd"/>
      <w:r w:rsidRPr="00986A66">
        <w:rPr>
          <w:rFonts w:ascii="Garamond" w:hAnsi="Garamond"/>
        </w:rPr>
        <w:t xml:space="preserve"> nr. 14859/23 </w:t>
      </w:r>
      <w:proofErr w:type="spellStart"/>
      <w:r w:rsidRPr="00986A66">
        <w:rPr>
          <w:rFonts w:ascii="Garamond" w:hAnsi="Garamond"/>
        </w:rPr>
        <w:t>prot</w:t>
      </w:r>
      <w:proofErr w:type="spellEnd"/>
      <w:r w:rsidRPr="00986A66">
        <w:rPr>
          <w:rFonts w:ascii="Garamond" w:hAnsi="Garamond"/>
        </w:rPr>
        <w:t>., datë 27.2.2013</w:t>
      </w:r>
      <w:r w:rsidR="00084382">
        <w:rPr>
          <w:rFonts w:ascii="Garamond" w:hAnsi="Garamond"/>
        </w:rPr>
        <w:t>,</w:t>
      </w:r>
      <w:r w:rsidRPr="00986A66">
        <w:rPr>
          <w:rFonts w:ascii="Garamond" w:hAnsi="Garamond"/>
        </w:rPr>
        <w:t xml:space="preserve"> “Për shërbimin e </w:t>
      </w:r>
      <w:proofErr w:type="spellStart"/>
      <w:r w:rsidRPr="00986A66">
        <w:rPr>
          <w:rFonts w:ascii="Garamond" w:hAnsi="Garamond"/>
        </w:rPr>
        <w:t>markimit</w:t>
      </w:r>
      <w:proofErr w:type="spellEnd"/>
      <w:r w:rsidRPr="00986A66">
        <w:rPr>
          <w:rFonts w:ascii="Garamond" w:hAnsi="Garamond"/>
        </w:rPr>
        <w:t xml:space="preserve"> dhe të monitorimit të karburanteve në Republikën e Shqipërisë” të lidhur me Ministrinë e Financave dhe të miratuar me vendimin nr. 200, datë 13.3.2013 të Këshillit të Ministrave </w:t>
      </w:r>
      <w:r w:rsidRPr="00084382">
        <w:rPr>
          <w:rFonts w:ascii="Garamond" w:hAnsi="Garamond"/>
          <w:i/>
          <w:iCs/>
        </w:rPr>
        <w:t>(kontrata e koncesionit).</w:t>
      </w:r>
      <w:r w:rsidRPr="00986A66">
        <w:rPr>
          <w:rFonts w:ascii="Garamond" w:hAnsi="Garamond"/>
        </w:rPr>
        <w:t xml:space="preserve"> Kërkuesi i dytë ka qenë administrator i saj nga data 1.2.2022 deri në datën 31.1.2025, në të cilën është larguar me vendimin e ortakut të vetëm të shoqërisë.</w:t>
      </w:r>
    </w:p>
    <w:p w14:paraId="7EED38E9" w14:textId="44F489A3" w:rsidR="0018261C" w:rsidRPr="00986A66" w:rsidRDefault="0018261C" w:rsidP="006B7EB4">
      <w:pPr>
        <w:tabs>
          <w:tab w:val="left" w:pos="980"/>
        </w:tabs>
        <w:spacing w:line="240" w:lineRule="auto"/>
        <w:ind w:firstLine="284"/>
        <w:jc w:val="both"/>
        <w:rPr>
          <w:rFonts w:ascii="Garamond" w:hAnsi="Garamond"/>
        </w:rPr>
      </w:pPr>
      <w:r w:rsidRPr="00986A66">
        <w:rPr>
          <w:rFonts w:ascii="Garamond" w:hAnsi="Garamond"/>
        </w:rPr>
        <w:t>2.</w:t>
      </w:r>
      <w:r w:rsidR="006B7EB4" w:rsidRPr="00986A66">
        <w:rPr>
          <w:rFonts w:ascii="Garamond" w:hAnsi="Garamond"/>
        </w:rPr>
        <w:t xml:space="preserve"> </w:t>
      </w:r>
      <w:r w:rsidRPr="00986A66">
        <w:rPr>
          <w:rFonts w:ascii="Garamond" w:hAnsi="Garamond"/>
        </w:rPr>
        <w:t xml:space="preserve">Në kuadër të procedimit penal nr. 279/1 të vitit 2023, të regjistruar për veprat penale “Korrupsioni pasiv i funksionarëve të lartë shtetërorë apo i të zgjedhurve vendorë” dhe “Pastrimi i produkteve të veprës penale ose veprimtarisë kriminale”, të parashikuara nga nenet 260 dhe 287 </w:t>
      </w:r>
      <w:r w:rsidRPr="00986A66">
        <w:rPr>
          <w:rFonts w:ascii="Garamond" w:hAnsi="Garamond"/>
        </w:rPr>
        <w:lastRenderedPageBreak/>
        <w:t xml:space="preserve">të Kodit Penal </w:t>
      </w:r>
      <w:r w:rsidRPr="00754A19">
        <w:rPr>
          <w:rFonts w:ascii="Garamond" w:hAnsi="Garamond"/>
          <w:i/>
          <w:iCs/>
        </w:rPr>
        <w:t>(KP),</w:t>
      </w:r>
      <w:r w:rsidRPr="00986A66">
        <w:rPr>
          <w:rFonts w:ascii="Garamond" w:hAnsi="Garamond"/>
        </w:rPr>
        <w:t xml:space="preserve"> Prokuroria e Posaçme ka kërkuar në gjykatë lejimin për kryerjen e kontrollit personal dhe të banesës për disa persona dhe shoqëri, duke pretenduar se nga hetimet krijohen dyshime dhe arsye të bazuara për të besuar se në zyrat e atyre shoqërive tregtare, përfshirë kërkuesen e parë, apo pranë kërkuesit të dytë, në cilësinë e administratorit të saj, mundet të fshihen dokumente, prova materiale ose sende që mund t’u përkasin veprave penale të dyshuara. Sipas tyre, një shtetas që ka zotëruar në mënyrë indirekte kapitalin e kërkueses së parë i ka kaluar personalisht ose nëpërmjet një shoqërie tregtare shuma monetare djalit të një ish-funksionari publik, me qëllim marrjen e përfitimeve financiare përmes kontratës së koncesionit.</w:t>
      </w:r>
    </w:p>
    <w:p w14:paraId="6DAD392E" w14:textId="623039C1" w:rsidR="0018261C" w:rsidRPr="00986A66" w:rsidRDefault="0018261C" w:rsidP="006B7EB4">
      <w:pPr>
        <w:tabs>
          <w:tab w:val="left" w:pos="980"/>
        </w:tabs>
        <w:spacing w:line="240" w:lineRule="auto"/>
        <w:ind w:firstLine="284"/>
        <w:jc w:val="both"/>
        <w:rPr>
          <w:rFonts w:ascii="Garamond" w:hAnsi="Garamond"/>
        </w:rPr>
      </w:pPr>
      <w:r w:rsidRPr="00986A66">
        <w:rPr>
          <w:rFonts w:ascii="Garamond" w:hAnsi="Garamond"/>
        </w:rPr>
        <w:t>3.</w:t>
      </w:r>
      <w:r w:rsidR="006B7EB4" w:rsidRPr="00986A66">
        <w:rPr>
          <w:rFonts w:ascii="Garamond" w:hAnsi="Garamond"/>
        </w:rPr>
        <w:t xml:space="preserve"> </w:t>
      </w:r>
      <w:r w:rsidRPr="00986A66">
        <w:rPr>
          <w:rFonts w:ascii="Garamond" w:hAnsi="Garamond"/>
        </w:rPr>
        <w:t xml:space="preserve">Kjo kërkesë është pranuar nga Gjykata e Posaçme e Shkallës së Parë për Korrupsionin dhe Krimin e Organizuar </w:t>
      </w:r>
      <w:r w:rsidRPr="00084382">
        <w:rPr>
          <w:rFonts w:ascii="Garamond" w:hAnsi="Garamond"/>
          <w:i/>
          <w:iCs/>
        </w:rPr>
        <w:t>(GJKKO-ja e Shkallës së Parë),</w:t>
      </w:r>
      <w:r w:rsidRPr="00986A66">
        <w:rPr>
          <w:rFonts w:ascii="Garamond" w:hAnsi="Garamond"/>
        </w:rPr>
        <w:t xml:space="preserve"> gjyqtarja e hetimeve paraprake, me vendimin nr. 119, datë 19.2.2024, e cila ka lejuar kontrollin e zyrave të kërkueses së parë dhe kontrollin personal të kërkuesit të dytë </w:t>
      </w:r>
      <w:r w:rsidRPr="00084382">
        <w:rPr>
          <w:rFonts w:ascii="Garamond" w:hAnsi="Garamond"/>
          <w:i/>
          <w:iCs/>
        </w:rPr>
        <w:t>(vendimi për lejimin e kontrollit).</w:t>
      </w:r>
      <w:r w:rsidRPr="00986A66">
        <w:rPr>
          <w:rFonts w:ascii="Garamond" w:hAnsi="Garamond"/>
        </w:rPr>
        <w:t xml:space="preserve"> Ajo gjykatë ka vlerësuar se, në kuptim të nenit 202/a të Kodit të Procedurës Penale (</w:t>
      </w:r>
      <w:r w:rsidRPr="00986A66">
        <w:rPr>
          <w:rFonts w:ascii="Garamond" w:hAnsi="Garamond"/>
          <w:i/>
          <w:iCs/>
        </w:rPr>
        <w:t>KPP</w:t>
      </w:r>
      <w:r w:rsidRPr="00986A66">
        <w:rPr>
          <w:rFonts w:ascii="Garamond" w:hAnsi="Garamond"/>
        </w:rPr>
        <w:t xml:space="preserve">) dhe nga analiza e të dhënave të marra gjatë hetimit paraprak deri në ato momente, ka arsye të bazuara për të menduar se në personat ose ambientet ku kërkohet të ushtrohet kontroll mund të gjenden prova materiale që lidhen me veprat penale të kryera nga ata ose mund të fshihen dokumente, të dhëna të </w:t>
      </w:r>
      <w:proofErr w:type="spellStart"/>
      <w:r w:rsidRPr="00986A66">
        <w:rPr>
          <w:rFonts w:ascii="Garamond" w:hAnsi="Garamond"/>
        </w:rPr>
        <w:t>memorizuara</w:t>
      </w:r>
      <w:proofErr w:type="spellEnd"/>
      <w:r w:rsidRPr="00986A66">
        <w:rPr>
          <w:rFonts w:ascii="Garamond" w:hAnsi="Garamond"/>
        </w:rPr>
        <w:t xml:space="preserve"> në formë elektronike apo prova të tjera materiale, të cilat mund të kenë vlerë provuese për natyrën e marrëdhënieve </w:t>
      </w:r>
      <w:proofErr w:type="spellStart"/>
      <w:r w:rsidRPr="00986A66">
        <w:rPr>
          <w:rFonts w:ascii="Garamond" w:hAnsi="Garamond"/>
        </w:rPr>
        <w:t>kontraktore</w:t>
      </w:r>
      <w:proofErr w:type="spellEnd"/>
      <w:r w:rsidRPr="00986A66">
        <w:rPr>
          <w:rFonts w:ascii="Garamond" w:hAnsi="Garamond"/>
        </w:rPr>
        <w:t xml:space="preserve">, për qëllimin e kryerjes së transaksioneve, si dhe për parregullsi të mundshme në zhvillimin e procedurës së koncesionit të përfituar nga kërkuesja e parë, ose të dhëna të tjera që mund të kenë vlerë provuese për të vërtetuar marrjen e përfitimeve të parregullta nga funksionarët publikë të ngarkuar me kryerjen e kontrollit të procedurave të koncesionit. </w:t>
      </w:r>
    </w:p>
    <w:p w14:paraId="29778157" w14:textId="66C42658" w:rsidR="0018261C" w:rsidRPr="00986A66" w:rsidRDefault="0018261C" w:rsidP="006B7EB4">
      <w:pPr>
        <w:tabs>
          <w:tab w:val="left" w:pos="980"/>
        </w:tabs>
        <w:spacing w:line="240" w:lineRule="auto"/>
        <w:ind w:firstLine="284"/>
        <w:jc w:val="both"/>
        <w:rPr>
          <w:rFonts w:ascii="Garamond" w:hAnsi="Garamond"/>
        </w:rPr>
      </w:pPr>
      <w:r w:rsidRPr="00986A66">
        <w:rPr>
          <w:rFonts w:ascii="Garamond" w:hAnsi="Garamond"/>
        </w:rPr>
        <w:t>4.</w:t>
      </w:r>
      <w:r w:rsidR="006B7EB4" w:rsidRPr="00986A66">
        <w:rPr>
          <w:rFonts w:ascii="Garamond" w:hAnsi="Garamond"/>
        </w:rPr>
        <w:t xml:space="preserve"> </w:t>
      </w:r>
      <w:r w:rsidRPr="00986A66">
        <w:rPr>
          <w:rFonts w:ascii="Garamond" w:hAnsi="Garamond"/>
        </w:rPr>
        <w:t xml:space="preserve">Oficerët e policisë gjyqësore në Byronë Kombëtare të Hetimit </w:t>
      </w:r>
      <w:r w:rsidRPr="00084382">
        <w:rPr>
          <w:rFonts w:ascii="Garamond" w:hAnsi="Garamond"/>
          <w:i/>
          <w:iCs/>
        </w:rPr>
        <w:t>(oficerët e BKH-së)</w:t>
      </w:r>
      <w:r w:rsidR="00084382">
        <w:rPr>
          <w:rFonts w:ascii="Garamond" w:hAnsi="Garamond"/>
          <w:i/>
          <w:iCs/>
        </w:rPr>
        <w:t xml:space="preserve"> </w:t>
      </w:r>
      <w:r w:rsidRPr="00986A66">
        <w:rPr>
          <w:rFonts w:ascii="Garamond" w:hAnsi="Garamond"/>
        </w:rPr>
        <w:t xml:space="preserve">dhe një ekspert kanë ekzekutuar vendimin e gjykatës në bazë të urdhrit “Për ekzekutimin e vendimit të kontrollit” të datës 19.2.2024 të prokurorit të çështjes. Ndër veprimet procedurale të kryera janë kontrolli i zyrave të kërkueses së parë dhe sekuestrimi i 61 sendeve të gjetura në të dhe të vlerësuara si prova materiale ose sende të lidhura me veprën penale (të pasqyruara në procesverbalin e kontrollit të vendeve të datës 20.2.2024 dhe procesverbalin për sekuestrimin e sendeve të po asaj date), si dhe kontrolli personal i kërkuesit të dytë dhe sekuestrimi i 2 aparateve celulare (të pasqyruara në procesverbalin për kontrollin personal të datës 20.2.2024 dhe procesverbalin për sekuestrimin e sendeve të po asaj date). </w:t>
      </w:r>
    </w:p>
    <w:p w14:paraId="68A9A22C" w14:textId="1F44064C" w:rsidR="0018261C" w:rsidRPr="00986A66" w:rsidRDefault="0018261C" w:rsidP="006B7EB4">
      <w:pPr>
        <w:tabs>
          <w:tab w:val="left" w:pos="980"/>
        </w:tabs>
        <w:spacing w:line="240" w:lineRule="auto"/>
        <w:ind w:firstLine="284"/>
        <w:jc w:val="both"/>
        <w:rPr>
          <w:rFonts w:ascii="Garamond" w:hAnsi="Garamond"/>
        </w:rPr>
      </w:pPr>
      <w:r w:rsidRPr="00986A66">
        <w:rPr>
          <w:rFonts w:ascii="Garamond" w:hAnsi="Garamond"/>
        </w:rPr>
        <w:t>5.</w:t>
      </w:r>
      <w:r w:rsidR="006B7EB4" w:rsidRPr="00986A66">
        <w:rPr>
          <w:rFonts w:ascii="Garamond" w:hAnsi="Garamond"/>
        </w:rPr>
        <w:t xml:space="preserve"> </w:t>
      </w:r>
      <w:r w:rsidRPr="00986A66">
        <w:rPr>
          <w:rFonts w:ascii="Garamond" w:hAnsi="Garamond"/>
        </w:rPr>
        <w:t xml:space="preserve">Prokurori i çështjes, me vendimin e datës 22.2.2024, i ka vleftësuar të ligjshme sekuestrimet e kryera nga oficerët e BKH-së dhe ka vendosur që ato të ruhen sipas kërkesave të nenit 214 të KPP-së. Ky vendim është kundërshtuar në gjykatë veçmas nga kërkuesja e parë dhe kërkuesi i dytë. Këto çështje janë bashkuar në vijim në seancë gjyqësore. </w:t>
      </w:r>
    </w:p>
    <w:p w14:paraId="4EBF5B55" w14:textId="48D42357" w:rsidR="0018261C" w:rsidRPr="00986A66" w:rsidRDefault="0018261C" w:rsidP="006B7EB4">
      <w:pPr>
        <w:tabs>
          <w:tab w:val="left" w:pos="980"/>
        </w:tabs>
        <w:spacing w:line="240" w:lineRule="auto"/>
        <w:ind w:firstLine="284"/>
        <w:jc w:val="both"/>
        <w:rPr>
          <w:rFonts w:ascii="Garamond" w:hAnsi="Garamond"/>
        </w:rPr>
      </w:pPr>
      <w:r w:rsidRPr="00986A66">
        <w:rPr>
          <w:rFonts w:ascii="Garamond" w:hAnsi="Garamond"/>
        </w:rPr>
        <w:t>6.</w:t>
      </w:r>
      <w:r w:rsidR="006B7EB4" w:rsidRPr="00986A66">
        <w:rPr>
          <w:rFonts w:ascii="Garamond" w:hAnsi="Garamond"/>
        </w:rPr>
        <w:t xml:space="preserve"> </w:t>
      </w:r>
      <w:r w:rsidRPr="00986A66">
        <w:rPr>
          <w:rFonts w:ascii="Garamond" w:hAnsi="Garamond"/>
        </w:rPr>
        <w:t xml:space="preserve">GJKKO-ja e Shkallës së Parë, me vendimin nr. 159, datë 16.4.2024, ka vendosur rrëzimin e kërkesës ankimore të kërkuesve. Ajo gjykatë ka evidentuar fillimisht se objekt i gjykimit nuk është vendimi për lejimin e kontrollit, pasi ligji procedural penal nuk parashikon të drejtën e ankimit ndaj </w:t>
      </w:r>
      <w:proofErr w:type="spellStart"/>
      <w:r w:rsidRPr="00986A66">
        <w:rPr>
          <w:rFonts w:ascii="Garamond" w:hAnsi="Garamond"/>
        </w:rPr>
        <w:t>disponimit</w:t>
      </w:r>
      <w:proofErr w:type="spellEnd"/>
      <w:r w:rsidRPr="00986A66">
        <w:rPr>
          <w:rFonts w:ascii="Garamond" w:hAnsi="Garamond"/>
        </w:rPr>
        <w:t xml:space="preserve"> të gjykatës për lejimin e kontrollit, por vetëm ndaj </w:t>
      </w:r>
      <w:proofErr w:type="spellStart"/>
      <w:r w:rsidRPr="00986A66">
        <w:rPr>
          <w:rFonts w:ascii="Garamond" w:hAnsi="Garamond"/>
        </w:rPr>
        <w:t>disponimit</w:t>
      </w:r>
      <w:proofErr w:type="spellEnd"/>
      <w:r w:rsidRPr="00986A66">
        <w:rPr>
          <w:rFonts w:ascii="Garamond" w:hAnsi="Garamond"/>
        </w:rPr>
        <w:t xml:space="preserve"> për refuzimin e kërkesës për kontroll.</w:t>
      </w:r>
      <w:r w:rsidRPr="00986A66">
        <w:rPr>
          <w:rFonts w:ascii="Garamond" w:hAnsi="Garamond"/>
          <w:i/>
          <w:iCs/>
        </w:rPr>
        <w:t xml:space="preserve"> </w:t>
      </w:r>
      <w:r w:rsidRPr="00986A66">
        <w:rPr>
          <w:rFonts w:ascii="Garamond" w:hAnsi="Garamond"/>
        </w:rPr>
        <w:t xml:space="preserve">Sipas saj, qëllimi i kontrolleve ka qenë për të gjetur dokumente, të dhëna të </w:t>
      </w:r>
      <w:proofErr w:type="spellStart"/>
      <w:r w:rsidRPr="00986A66">
        <w:rPr>
          <w:rFonts w:ascii="Garamond" w:hAnsi="Garamond"/>
        </w:rPr>
        <w:t>memorizuara</w:t>
      </w:r>
      <w:proofErr w:type="spellEnd"/>
      <w:r w:rsidRPr="00986A66">
        <w:rPr>
          <w:rFonts w:ascii="Garamond" w:hAnsi="Garamond"/>
        </w:rPr>
        <w:t xml:space="preserve">, gjurmë ose prova materiale që mund të ndihmojnë hetimin e këtij procedimi penal dhe jo ndërhyrja në jetën private të </w:t>
      </w:r>
      <w:proofErr w:type="spellStart"/>
      <w:r w:rsidRPr="00986A66">
        <w:rPr>
          <w:rFonts w:ascii="Garamond" w:hAnsi="Garamond"/>
        </w:rPr>
        <w:t>të</w:t>
      </w:r>
      <w:proofErr w:type="spellEnd"/>
      <w:r w:rsidRPr="00986A66">
        <w:rPr>
          <w:rFonts w:ascii="Garamond" w:hAnsi="Garamond"/>
        </w:rPr>
        <w:t xml:space="preserve"> kontrolluarve. Pretendimin e kërkuesve se kontrolli është ushtruar pa iu dorëzuar atyre vendimi i Gjykatës për lejimin e kontrollit dhe pa pasur ata mundësinë që të kërkojnë praninë e një personi të besuar, ajo gjykatë e ka çmuar të pambështetur në prova, me arsyetimin se sekuestrimet janë kryer në ekzekutim të vendimit për lejimin e kontrollit dhe se sekuestrimi i sendeve është kryer në prani të avokatit A.V.</w:t>
      </w:r>
      <w:r w:rsidR="00084382">
        <w:rPr>
          <w:rFonts w:ascii="Garamond" w:hAnsi="Garamond"/>
        </w:rPr>
        <w:t xml:space="preserve"> </w:t>
      </w:r>
      <w:r w:rsidRPr="00986A66">
        <w:rPr>
          <w:rFonts w:ascii="Garamond" w:hAnsi="Garamond"/>
        </w:rPr>
        <w:t xml:space="preserve">Për pretendimin se sekuestrimi i aparateve celulare nuk është një sekuestrim i thjeshtë i një sendi dhe se oficerët e BKH-së duhet të kishin mbajtur parasysh dispozitat e KPP-së për korrespondencën, ajo gjykatë ka arsyetuar se referuar pikës 1 të nenit 209 të KPP-së qartazi nuk jemi përpara sekuestrimit të korrespondencës. Për më tepër, sipas saj, për shkak të kontrolleve nuk është cenuar ose penguar as veprimtaria e përditshme e shoqërisë, pasi të dhënat e sekuestruara nga kompjuterët janë kopjuar në </w:t>
      </w:r>
      <w:proofErr w:type="spellStart"/>
      <w:r w:rsidRPr="00B574C3">
        <w:rPr>
          <w:rFonts w:ascii="Garamond" w:hAnsi="Garamond"/>
        </w:rPr>
        <w:t>hard</w:t>
      </w:r>
      <w:proofErr w:type="spellEnd"/>
      <w:r w:rsidRPr="00B574C3">
        <w:rPr>
          <w:rFonts w:ascii="Garamond" w:hAnsi="Garamond"/>
        </w:rPr>
        <w:t xml:space="preserve"> disk</w:t>
      </w:r>
      <w:r w:rsidRPr="00986A66">
        <w:rPr>
          <w:rFonts w:ascii="Garamond" w:hAnsi="Garamond"/>
        </w:rPr>
        <w:t xml:space="preserve"> të jashtëm dhe i janë vënë në dispozicion shoqërisë. Sipas GJKKO-së së Shkallës së Parë, vendimi i prokurorit për vleftësimin e </w:t>
      </w:r>
      <w:proofErr w:type="spellStart"/>
      <w:r w:rsidRPr="00986A66">
        <w:rPr>
          <w:rFonts w:ascii="Garamond" w:hAnsi="Garamond"/>
        </w:rPr>
        <w:t>sekuestros</w:t>
      </w:r>
      <w:proofErr w:type="spellEnd"/>
      <w:r w:rsidRPr="00986A66">
        <w:rPr>
          <w:rFonts w:ascii="Garamond" w:hAnsi="Garamond"/>
        </w:rPr>
        <w:t>, referuar pikës 2 të nenit 301 të KPP-së, duhet të jetë i motivuar, sikurse rezulton se është, dhe jo i arsyetuar, sikurse pretendohet se duhet të jetë. Si përfundim, ajo gjykatë e ka çmuar</w:t>
      </w:r>
      <w:r w:rsidR="00084382">
        <w:rPr>
          <w:rFonts w:ascii="Garamond" w:hAnsi="Garamond"/>
        </w:rPr>
        <w:t xml:space="preserve"> </w:t>
      </w:r>
      <w:r w:rsidRPr="00986A66">
        <w:rPr>
          <w:rFonts w:ascii="Garamond" w:hAnsi="Garamond"/>
        </w:rPr>
        <w:t xml:space="preserve">sekuestrimin e këtyre pajisjeve të domosdoshëm për nxjerrjen e të dhënave, e për pasojë të ligjshëm. Megjithatë, ajo gjykatë e ka orientuar prokurorin të tregojë </w:t>
      </w:r>
      <w:proofErr w:type="spellStart"/>
      <w:r w:rsidRPr="00986A66">
        <w:rPr>
          <w:rFonts w:ascii="Garamond" w:hAnsi="Garamond"/>
        </w:rPr>
        <w:lastRenderedPageBreak/>
        <w:t>diligjencën</w:t>
      </w:r>
      <w:proofErr w:type="spellEnd"/>
      <w:r w:rsidRPr="00986A66">
        <w:rPr>
          <w:rFonts w:ascii="Garamond" w:hAnsi="Garamond"/>
        </w:rPr>
        <w:t xml:space="preserve"> e duhur dhe në përfundim të ekspertimeve të operohet me kthimin e tyre, sipas rastit. Kundër këtij vendimi kanë paraqitur apel kërkuesit.</w:t>
      </w:r>
    </w:p>
    <w:p w14:paraId="1E1FB48E" w14:textId="7168C428" w:rsidR="0018261C" w:rsidRPr="00986A66" w:rsidRDefault="0018261C" w:rsidP="006B7EB4">
      <w:pPr>
        <w:tabs>
          <w:tab w:val="left" w:pos="980"/>
        </w:tabs>
        <w:spacing w:line="240" w:lineRule="auto"/>
        <w:ind w:firstLine="284"/>
        <w:jc w:val="both"/>
        <w:rPr>
          <w:rFonts w:ascii="Garamond" w:hAnsi="Garamond"/>
        </w:rPr>
      </w:pPr>
      <w:r w:rsidRPr="00986A66">
        <w:rPr>
          <w:rFonts w:ascii="Garamond" w:hAnsi="Garamond"/>
        </w:rPr>
        <w:t>7.</w:t>
      </w:r>
      <w:r w:rsidR="006B7EB4" w:rsidRPr="00986A66">
        <w:rPr>
          <w:rFonts w:ascii="Garamond" w:hAnsi="Garamond"/>
        </w:rPr>
        <w:t xml:space="preserve"> </w:t>
      </w:r>
      <w:r w:rsidRPr="00986A66">
        <w:rPr>
          <w:rFonts w:ascii="Garamond" w:hAnsi="Garamond"/>
        </w:rPr>
        <w:t>Gjykata e Posaçme e Apelit për Korrupsionin dhe Krimin e Organizuar (</w:t>
      </w:r>
      <w:r w:rsidRPr="00986A66">
        <w:rPr>
          <w:rFonts w:ascii="Garamond" w:hAnsi="Garamond"/>
          <w:i/>
          <w:iCs/>
        </w:rPr>
        <w:t>GJKKO-ja</w:t>
      </w:r>
      <w:r w:rsidR="00084382">
        <w:rPr>
          <w:rFonts w:ascii="Garamond" w:hAnsi="Garamond"/>
          <w:i/>
          <w:iCs/>
        </w:rPr>
        <w:t xml:space="preserve"> </w:t>
      </w:r>
      <w:r w:rsidRPr="00986A66">
        <w:rPr>
          <w:rFonts w:ascii="Garamond" w:hAnsi="Garamond"/>
          <w:i/>
          <w:iCs/>
        </w:rPr>
        <w:t>e Apelit</w:t>
      </w:r>
      <w:r w:rsidRPr="00986A66">
        <w:rPr>
          <w:rFonts w:ascii="Garamond" w:hAnsi="Garamond"/>
        </w:rPr>
        <w:t>), me vendimin nr. 101 (87-2024-146), datë 30.5.2024, ka vendosur të miratojë vendimin e GJKKO-së së Shkallës së Parë. Në referim të nenit 202 të KPP-së, ajo gjykatë ka vlerësuar se hetimet janë kryer në kuadër të një procedimi penal; se mbi të dhënat e marra gjatë hetimit paraprak deri në ato momente kanë ekzistuar arsye të bazuara për të menduar se në ambientet e kërkueses së parë ose tek kërkuesi i dytë mund të gjendeshin prova materiale që lidheshin me veprat penale për të cilat ishte regjistruar procedimi penal; se kryerja e kontrollit është bërë nga oficerët e BKH-së sipas përcaktimeve ligjore, duke u garantuar kërkuesve të drejta procedurale të parashikuara për këtë fazë. Në këtë drejtim, në lidhje me pretendimin e kërkuesve se nuk u është vënë në dispozicion vendimi i gjykatës për lejimin e kontrollit dhe se avokati ka mbërritur me vonesë për shkak të sekuestrimit të telefonit celular, sipas asaj gjykate</w:t>
      </w:r>
      <w:r w:rsidR="0098310A">
        <w:rPr>
          <w:rFonts w:ascii="Garamond" w:hAnsi="Garamond"/>
        </w:rPr>
        <w:t>:</w:t>
      </w:r>
      <w:r w:rsidR="00084382">
        <w:rPr>
          <w:rFonts w:ascii="Garamond" w:hAnsi="Garamond"/>
        </w:rPr>
        <w:t xml:space="preserve"> </w:t>
      </w:r>
      <w:r w:rsidRPr="00986A66">
        <w:rPr>
          <w:rFonts w:ascii="Garamond" w:hAnsi="Garamond"/>
        </w:rPr>
        <w:t>“</w:t>
      </w:r>
      <w:r w:rsidRPr="00986A66">
        <w:rPr>
          <w:rFonts w:ascii="Garamond" w:hAnsi="Garamond"/>
          <w:i/>
          <w:iCs/>
        </w:rPr>
        <w:t>ky pretendim</w:t>
      </w:r>
      <w:r w:rsidRPr="00986A66">
        <w:rPr>
          <w:rFonts w:ascii="Garamond" w:hAnsi="Garamond"/>
        </w:rPr>
        <w:t xml:space="preserve"> </w:t>
      </w:r>
      <w:r w:rsidRPr="00986A66">
        <w:rPr>
          <w:rFonts w:ascii="Garamond" w:hAnsi="Garamond"/>
          <w:i/>
          <w:iCs/>
        </w:rPr>
        <w:t>nuk gjendet i mbështetur për sa kohë nuk mund të provohet me asnjë akt/provë</w:t>
      </w:r>
      <w:r w:rsidRPr="00986A66">
        <w:rPr>
          <w:rFonts w:ascii="Garamond" w:hAnsi="Garamond"/>
        </w:rPr>
        <w:t>”. Më tej, ajo gjykatë ka evidentuar se në procesverbalin e kontrollit personal të kërkuesit të dytë është vënë vetëm shënimi</w:t>
      </w:r>
      <w:r w:rsidR="00754A19">
        <w:rPr>
          <w:rFonts w:ascii="Garamond" w:hAnsi="Garamond"/>
        </w:rPr>
        <w:t>:</w:t>
      </w:r>
      <w:r w:rsidRPr="00986A66">
        <w:rPr>
          <w:rFonts w:ascii="Garamond" w:hAnsi="Garamond"/>
        </w:rPr>
        <w:t xml:space="preserve"> </w:t>
      </w:r>
      <w:r w:rsidRPr="00754A19">
        <w:rPr>
          <w:rFonts w:ascii="Garamond" w:hAnsi="Garamond"/>
          <w:i/>
          <w:iCs/>
        </w:rPr>
        <w:t>“</w:t>
      </w:r>
      <w:r w:rsidRPr="00986A66">
        <w:rPr>
          <w:rFonts w:ascii="Garamond" w:hAnsi="Garamond"/>
          <w:i/>
          <w:iCs/>
        </w:rPr>
        <w:t>refuzon të japë kodin e hapjes</w:t>
      </w:r>
      <w:r w:rsidRPr="00754A19">
        <w:rPr>
          <w:rFonts w:ascii="Garamond" w:hAnsi="Garamond"/>
          <w:i/>
          <w:iCs/>
        </w:rPr>
        <w:t>”</w:t>
      </w:r>
      <w:r w:rsidRPr="00986A66">
        <w:rPr>
          <w:rFonts w:ascii="Garamond" w:hAnsi="Garamond"/>
        </w:rPr>
        <w:t>, ndërsa në procesverbalet e sekuestrimit janë vendosur shënimet</w:t>
      </w:r>
      <w:r w:rsidR="00754A19">
        <w:rPr>
          <w:rFonts w:ascii="Garamond" w:hAnsi="Garamond"/>
        </w:rPr>
        <w:t>:</w:t>
      </w:r>
      <w:r w:rsidRPr="00986A66">
        <w:rPr>
          <w:rFonts w:ascii="Garamond" w:hAnsi="Garamond"/>
        </w:rPr>
        <w:t xml:space="preserve"> </w:t>
      </w:r>
      <w:r w:rsidRPr="00754A19">
        <w:rPr>
          <w:rFonts w:ascii="Garamond" w:hAnsi="Garamond"/>
          <w:i/>
          <w:iCs/>
        </w:rPr>
        <w:t>“</w:t>
      </w:r>
      <w:r w:rsidRPr="00986A66">
        <w:rPr>
          <w:rFonts w:ascii="Garamond" w:hAnsi="Garamond"/>
          <w:i/>
          <w:iCs/>
        </w:rPr>
        <w:t>nuk jam dakord për sekuestrimin e telefonit, pasi është personal</w:t>
      </w:r>
      <w:r w:rsidRPr="00754A19">
        <w:rPr>
          <w:rFonts w:ascii="Garamond" w:hAnsi="Garamond"/>
          <w:i/>
          <w:iCs/>
        </w:rPr>
        <w:t>”</w:t>
      </w:r>
      <w:r w:rsidR="00754A19">
        <w:rPr>
          <w:rFonts w:ascii="Garamond" w:hAnsi="Garamond"/>
        </w:rPr>
        <w:t>,</w:t>
      </w:r>
      <w:r w:rsidRPr="00986A66">
        <w:rPr>
          <w:rFonts w:ascii="Garamond" w:hAnsi="Garamond"/>
        </w:rPr>
        <w:t xml:space="preserve"> dhe</w:t>
      </w:r>
      <w:r w:rsidR="00754A19">
        <w:rPr>
          <w:rFonts w:ascii="Garamond" w:hAnsi="Garamond"/>
        </w:rPr>
        <w:t>:</w:t>
      </w:r>
      <w:r w:rsidRPr="00986A66">
        <w:rPr>
          <w:rFonts w:ascii="Garamond" w:hAnsi="Garamond"/>
        </w:rPr>
        <w:t xml:space="preserve"> </w:t>
      </w:r>
      <w:r w:rsidRPr="00754A19">
        <w:rPr>
          <w:rFonts w:ascii="Garamond" w:hAnsi="Garamond"/>
          <w:i/>
          <w:iCs/>
        </w:rPr>
        <w:t>“n</w:t>
      </w:r>
      <w:r w:rsidRPr="00986A66">
        <w:rPr>
          <w:rFonts w:ascii="Garamond" w:hAnsi="Garamond"/>
          <w:i/>
          <w:iCs/>
        </w:rPr>
        <w:t>uk jam dakord, pasi është tejkaluar objekti i kontrollit</w:t>
      </w:r>
      <w:r w:rsidRPr="00754A19">
        <w:rPr>
          <w:rFonts w:ascii="Garamond" w:hAnsi="Garamond"/>
          <w:i/>
          <w:iCs/>
        </w:rPr>
        <w:t>”</w:t>
      </w:r>
      <w:r w:rsidRPr="00986A66">
        <w:rPr>
          <w:rFonts w:ascii="Garamond" w:hAnsi="Garamond"/>
        </w:rPr>
        <w:t xml:space="preserve"> </w:t>
      </w:r>
      <w:r w:rsidRPr="00084382">
        <w:rPr>
          <w:rFonts w:ascii="Garamond" w:hAnsi="Garamond"/>
          <w:i/>
          <w:iCs/>
        </w:rPr>
        <w:t>(shih faqet 22</w:t>
      </w:r>
      <w:r w:rsidR="00754A19">
        <w:rPr>
          <w:rFonts w:ascii="Garamond" w:hAnsi="Garamond"/>
          <w:i/>
          <w:iCs/>
        </w:rPr>
        <w:t>–</w:t>
      </w:r>
      <w:r w:rsidRPr="00084382">
        <w:rPr>
          <w:rFonts w:ascii="Garamond" w:hAnsi="Garamond"/>
          <w:i/>
          <w:iCs/>
        </w:rPr>
        <w:t>23 të vendimit të GJKKO-së së Apelit).</w:t>
      </w:r>
      <w:r w:rsidRPr="00986A66">
        <w:rPr>
          <w:rFonts w:ascii="Garamond" w:hAnsi="Garamond"/>
        </w:rPr>
        <w:t xml:space="preserve"> GJKKO-ja e Apelit e ka çmuar të drejtë qëndrimin e prokurorit që ka vleftësuar të ligjshme sekuestrimet e kryera me argumentin</w:t>
      </w:r>
      <w:r w:rsidR="00084382">
        <w:rPr>
          <w:rFonts w:ascii="Garamond" w:hAnsi="Garamond"/>
        </w:rPr>
        <w:t>,</w:t>
      </w:r>
      <w:r w:rsidRPr="00986A66">
        <w:rPr>
          <w:rFonts w:ascii="Garamond" w:hAnsi="Garamond"/>
        </w:rPr>
        <w:t xml:space="preserve"> se</w:t>
      </w:r>
      <w:r w:rsidR="00084382">
        <w:rPr>
          <w:rFonts w:ascii="Garamond" w:hAnsi="Garamond"/>
        </w:rPr>
        <w:t>:</w:t>
      </w:r>
      <w:r w:rsidRPr="00986A66">
        <w:rPr>
          <w:rFonts w:ascii="Garamond" w:hAnsi="Garamond"/>
        </w:rPr>
        <w:t xml:space="preserve"> </w:t>
      </w:r>
      <w:r w:rsidRPr="00084382">
        <w:rPr>
          <w:rFonts w:ascii="Garamond" w:hAnsi="Garamond"/>
          <w:i/>
          <w:iCs/>
        </w:rPr>
        <w:t>“ka dyshime se mbi sendet mund të gjenden gjurmë dhe sende që mund të ndihmojnë në sqarimin e rrethanave të çështjes”,</w:t>
      </w:r>
      <w:r w:rsidRPr="00986A66">
        <w:rPr>
          <w:rFonts w:ascii="Garamond" w:hAnsi="Garamond"/>
        </w:rPr>
        <w:t xml:space="preserve"> argument që përputhet, sipas saj, me kuptimin që ligji procedural i jep provës materiale. Po kështu, ajo gjykatë ka vlerësuar se sekuestrimi në rastin konkret është realizuar në zbatim të vendimit të gjykatës që ka lejuar kontrollin. Lidhur me </w:t>
      </w:r>
      <w:proofErr w:type="spellStart"/>
      <w:r w:rsidRPr="00986A66">
        <w:rPr>
          <w:rFonts w:ascii="Garamond" w:hAnsi="Garamond"/>
        </w:rPr>
        <w:t>proporcionalitetin</w:t>
      </w:r>
      <w:proofErr w:type="spellEnd"/>
      <w:r w:rsidRPr="00986A66">
        <w:rPr>
          <w:rFonts w:ascii="Garamond" w:hAnsi="Garamond"/>
        </w:rPr>
        <w:t>, GJKKO-ja e Apelit ka arsyetuar se në rastin objekt gjykimi Prokuroria e Posaçme po heton për dy vepra penale, të parashikuara nga nenet 260 e 287 të KP-së, arsye për të cilën sekuestrimi i sendeve ka ndjekur një qëllim provues dhe të drejtë.</w:t>
      </w:r>
    </w:p>
    <w:p w14:paraId="415E7BE9" w14:textId="3E0CA0CE" w:rsidR="0018261C" w:rsidRPr="00986A66" w:rsidRDefault="0018261C" w:rsidP="006B7EB4">
      <w:pPr>
        <w:tabs>
          <w:tab w:val="left" w:pos="980"/>
        </w:tabs>
        <w:spacing w:line="240" w:lineRule="auto"/>
        <w:ind w:firstLine="284"/>
        <w:jc w:val="both"/>
        <w:rPr>
          <w:rFonts w:ascii="Garamond" w:hAnsi="Garamond"/>
        </w:rPr>
      </w:pPr>
      <w:r w:rsidRPr="00986A66">
        <w:rPr>
          <w:rFonts w:ascii="Garamond" w:hAnsi="Garamond"/>
        </w:rPr>
        <w:t>8.</w:t>
      </w:r>
      <w:r w:rsidR="006B7EB4" w:rsidRPr="00986A66">
        <w:rPr>
          <w:rFonts w:ascii="Garamond" w:hAnsi="Garamond"/>
        </w:rPr>
        <w:t xml:space="preserve"> </w:t>
      </w:r>
      <w:r w:rsidRPr="00986A66">
        <w:rPr>
          <w:rFonts w:ascii="Garamond" w:hAnsi="Garamond"/>
        </w:rPr>
        <w:t>Në lidhje me pretendimin se në vendimin e kontrollit nuk janë përmendur sendet që duhet të kontrollohen ose sekuestrohen dhe janë kapërcyer kompetencat e vendimit të gjykatës për kontrollin, duke iu referuar kryesisht aparateve celulare, ajo gjykatë ka arsyetuar se veprimet e kontrollit dhe të sekuestrimit janë kryer nga oficerët duke u bazuar në nenet 202</w:t>
      </w:r>
      <w:r w:rsidR="006A2915">
        <w:rPr>
          <w:rFonts w:ascii="Garamond" w:hAnsi="Garamond"/>
        </w:rPr>
        <w:t>–</w:t>
      </w:r>
      <w:r w:rsidRPr="00986A66">
        <w:rPr>
          <w:rFonts w:ascii="Garamond" w:hAnsi="Garamond"/>
        </w:rPr>
        <w:t xml:space="preserve">205, 207, 298, 300, 301 dhe 303 të KPP-së, pasi i kanë konsideruar si sende që përmbajnë të dhëna me rëndësi për faktet objekt hetimi. Në këto rrethana, ajo gjykatë, duke mbështetur gjykatën e shkallës së parë, e ka çmuar të bazuar në nenin 300, pika 2, të KPP-së, të kombinuar me nenin 187 të saj, veprimin e sekuestrimit të sendeve, si njësi kompjuterike, </w:t>
      </w:r>
      <w:proofErr w:type="spellStart"/>
      <w:r w:rsidRPr="00986A66">
        <w:rPr>
          <w:rFonts w:ascii="Garamond" w:hAnsi="Garamond"/>
        </w:rPr>
        <w:t>hard</w:t>
      </w:r>
      <w:proofErr w:type="spellEnd"/>
      <w:r w:rsidRPr="00986A66">
        <w:rPr>
          <w:rFonts w:ascii="Garamond" w:hAnsi="Garamond"/>
        </w:rPr>
        <w:t xml:space="preserve"> disk, telefona celularë dhe USB, nga ana e oficerëve të BKH-së dhe vendimmarrjen e prokurorit për vleftësimin të ligjshme. Pretendimin se janë shkelur neni 208/a i KPP-së dhe vendimi njësues i Gjykatës së Lartë, ajo gjykatë e ka gjetur të pabazuar, me arsyetimin se sendet, përfshirë edhe pajisjet elektronike, njësi kompjuterike, </w:t>
      </w:r>
      <w:proofErr w:type="spellStart"/>
      <w:r w:rsidRPr="00986A66">
        <w:rPr>
          <w:rFonts w:ascii="Garamond" w:hAnsi="Garamond"/>
        </w:rPr>
        <w:t>hard</w:t>
      </w:r>
      <w:proofErr w:type="spellEnd"/>
      <w:r w:rsidRPr="00986A66">
        <w:rPr>
          <w:rFonts w:ascii="Garamond" w:hAnsi="Garamond"/>
        </w:rPr>
        <w:t xml:space="preserve"> disk dhe telefona celularë e USB, janë sekuestruar si sende në kuptim të neneve 187 dhe 191 të KPP-së, pra sende që me të dhënat ose gjurmët që mund të përmbajnë shërbejnë si prova materiale që mund të ndihmojnë zbardhjen e fakteve objekt hetimi, duke evidentuar se në rastin e sekuestrimit të telefonave, njësive kompjuterike ose </w:t>
      </w:r>
      <w:proofErr w:type="spellStart"/>
      <w:r w:rsidRPr="00986A66">
        <w:rPr>
          <w:rFonts w:ascii="Garamond" w:hAnsi="Garamond"/>
        </w:rPr>
        <w:t>hard</w:t>
      </w:r>
      <w:proofErr w:type="spellEnd"/>
      <w:r w:rsidRPr="00986A66">
        <w:rPr>
          <w:rFonts w:ascii="Garamond" w:hAnsi="Garamond"/>
        </w:rPr>
        <w:t xml:space="preserve"> disk e USB, nuk kemi të bëjmë me sekuestrim të dhënash ose sistemesh kompjuterike, por thjesht me sekuestrim sendesh që mund të shërbejnë si prova materiale. </w:t>
      </w:r>
    </w:p>
    <w:p w14:paraId="60C468B1" w14:textId="2CDBBC53" w:rsidR="0018261C" w:rsidRPr="00986A66" w:rsidRDefault="0018261C" w:rsidP="006B7EB4">
      <w:pPr>
        <w:tabs>
          <w:tab w:val="left" w:pos="980"/>
        </w:tabs>
        <w:spacing w:line="240" w:lineRule="auto"/>
        <w:ind w:firstLine="284"/>
        <w:jc w:val="both"/>
        <w:rPr>
          <w:rFonts w:ascii="Garamond" w:hAnsi="Garamond"/>
        </w:rPr>
      </w:pPr>
      <w:r w:rsidRPr="00986A66">
        <w:rPr>
          <w:rFonts w:ascii="Garamond" w:hAnsi="Garamond"/>
        </w:rPr>
        <w:t>9.</w:t>
      </w:r>
      <w:r w:rsidR="006B7EB4" w:rsidRPr="00986A66">
        <w:rPr>
          <w:rFonts w:ascii="Garamond" w:hAnsi="Garamond"/>
        </w:rPr>
        <w:t xml:space="preserve"> </w:t>
      </w:r>
      <w:r w:rsidRPr="00986A66">
        <w:rPr>
          <w:rFonts w:ascii="Garamond" w:hAnsi="Garamond"/>
        </w:rPr>
        <w:t xml:space="preserve">Lidhur me pretendimin për shkeljen e nenit 8 të KEDNJ-së dhe neneve 36 dhe 37 të Kushtetutës, ajo gjykatë ka arsyetuar se e drejta themelore për mbrojtje të jetës personale dhe familjare nuk është një e drejtë absolute, por duhet të trajtohet në raport me funksionin e saj në shoqëri. Në nenin 17 të Kushtetutës, ku është përcaktuar se kufizimet e të drejtave, që bëhen përmes ligjit, për një interes publik ose për mbrojtjen e të drejtave të </w:t>
      </w:r>
      <w:proofErr w:type="spellStart"/>
      <w:r w:rsidRPr="00986A66">
        <w:rPr>
          <w:rFonts w:ascii="Garamond" w:hAnsi="Garamond"/>
        </w:rPr>
        <w:t>të</w:t>
      </w:r>
      <w:proofErr w:type="spellEnd"/>
      <w:r w:rsidRPr="00986A66">
        <w:rPr>
          <w:rFonts w:ascii="Garamond" w:hAnsi="Garamond"/>
        </w:rPr>
        <w:t xml:space="preserve"> tjerëve, duhet të jenë në përpjesëtim me të drejtën që e ka diktuar atë. Në rastin konkret, ajo gjykatë ka çmuar se ndërhyrja është bërë me ligj, konkretisht nenet 202</w:t>
      </w:r>
      <w:r w:rsidR="00B574C3">
        <w:rPr>
          <w:rFonts w:ascii="Garamond" w:hAnsi="Garamond"/>
        </w:rPr>
        <w:t>–</w:t>
      </w:r>
      <w:r w:rsidRPr="00986A66">
        <w:rPr>
          <w:rFonts w:ascii="Garamond" w:hAnsi="Garamond"/>
        </w:rPr>
        <w:t>207 të KPP-së, pra detyrimi për parashikimin e ndërhyrjeve me ligj në kuptimin formal rezulton të jetë respektuar, kufizimet janë kryer për një interes publik dhe në kuadër të një hetimi nga Prokuroria e Posaçme. Masa e vendosur ka si qëllim të identifikojë personat përgjegjës lidhur me procedimin penal dhe prokurori ka theksuar se me këtë veprim kontrolli është synuar gjetja e provave materiale në drejtim të identifikimit të përgjegjësisë së personit juridik (kërkueses së parë) ose personat që “fshihen” pas saj,</w:t>
      </w:r>
      <w:r w:rsidR="00084382">
        <w:rPr>
          <w:rFonts w:ascii="Garamond" w:hAnsi="Garamond"/>
        </w:rPr>
        <w:t xml:space="preserve"> </w:t>
      </w:r>
      <w:r w:rsidRPr="00986A66">
        <w:rPr>
          <w:rFonts w:ascii="Garamond" w:hAnsi="Garamond"/>
        </w:rPr>
        <w:t>përfshirjen e shoqërisë në rrethanat objekt të hetimeve të këtij procedimi penal në vitet 2022</w:t>
      </w:r>
      <w:r w:rsidR="00084382">
        <w:rPr>
          <w:rFonts w:ascii="Garamond" w:hAnsi="Garamond"/>
        </w:rPr>
        <w:t>–</w:t>
      </w:r>
      <w:r w:rsidRPr="00986A66">
        <w:rPr>
          <w:rFonts w:ascii="Garamond" w:hAnsi="Garamond"/>
        </w:rPr>
        <w:t xml:space="preserve">2024, kohë kur </w:t>
      </w:r>
      <w:r w:rsidRPr="00986A66">
        <w:rPr>
          <w:rFonts w:ascii="Garamond" w:hAnsi="Garamond"/>
        </w:rPr>
        <w:lastRenderedPageBreak/>
        <w:t xml:space="preserve">ka qenë administrator pikërisht kërkuesi i dytë. Lidhur me pretendimin se sekuestrimi i pajisjeve elektronike shkel të drejtën e lirisë dhe fshehtësisë së korrespondencës, pasi në to ka korrespondencë me të tretë ose personale, ajo gjykatë ka arsyetuar se nuk qëndron, pasi këto marrëdhënie me “të tretët” nuk ndikohen nga sekuestrimi i sendeve të sipërcituara dhe se qëllimi i organit procedues është të përdorë informacionet e marra nga provat materiale të sekuestruara vetëm për qëllim të hetimit. Kundër këtij vendimi kanë paraqitur rekurs të dy kërkuesit. </w:t>
      </w:r>
    </w:p>
    <w:p w14:paraId="69F14057" w14:textId="2B3323B7"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10.</w:t>
      </w:r>
      <w:r w:rsidR="006B7EB4" w:rsidRPr="00986A66">
        <w:rPr>
          <w:rFonts w:ascii="Garamond" w:hAnsi="Garamond"/>
        </w:rPr>
        <w:t xml:space="preserve"> </w:t>
      </w:r>
      <w:r w:rsidRPr="00986A66">
        <w:rPr>
          <w:rFonts w:ascii="Garamond" w:hAnsi="Garamond"/>
        </w:rPr>
        <w:t xml:space="preserve">Kolegji Penal i Gjykatës së Lartë, me vendimin nr. 00–2024–1703, datë 17.10.2024, ka vendosur mospranimin vetëm të rekursit të paraqitur nga kërkuesi i dytë, me arsyetimin se ai nuk përmbante asnjë nga shkaqet e përcaktuara në nenin 432 të KPP-së, ndërsa nuk është shprehur dhe as nuk e ka pasqyruar në vendim rekursin e kërkueses së parë. Ai kolegj ka vlerësuar se gjykatat e faktit e kanë arsyetuar mjaftueshëm vendimmarrjen e tyre dhe se shkaqet e paraqitura në rekurs marrin përgjigje të plotë dhe të argumentuar mjaftueshëm në vendimmarrjen e gjykatës së apelit, ndërsa nuk ka konstatuar moszbatim të ligjit penal (material ose procedural) nga ana e asaj gjykate, me rëndësi për njësimin ose zhvillimin e praktikës gjyqësore, nuk ka konstatuar shkelje procedurale me pasojë pavlefshmërinë e vendimit, pavlefshmërinë absolute të akteve ose </w:t>
      </w:r>
      <w:proofErr w:type="spellStart"/>
      <w:r w:rsidRPr="00986A66">
        <w:rPr>
          <w:rFonts w:ascii="Garamond" w:hAnsi="Garamond"/>
        </w:rPr>
        <w:t>papërdorshmërinë</w:t>
      </w:r>
      <w:proofErr w:type="spellEnd"/>
      <w:r w:rsidRPr="00986A66">
        <w:rPr>
          <w:rFonts w:ascii="Garamond" w:hAnsi="Garamond"/>
        </w:rPr>
        <w:t xml:space="preserve"> e provave, si dhe nuk ka rezultuar që vendimi i </w:t>
      </w:r>
      <w:proofErr w:type="spellStart"/>
      <w:r w:rsidRPr="00986A66">
        <w:rPr>
          <w:rFonts w:ascii="Garamond" w:hAnsi="Garamond"/>
        </w:rPr>
        <w:t>rekursuar</w:t>
      </w:r>
      <w:proofErr w:type="spellEnd"/>
      <w:r w:rsidRPr="00986A66">
        <w:rPr>
          <w:rFonts w:ascii="Garamond" w:hAnsi="Garamond"/>
        </w:rPr>
        <w:t xml:space="preserve"> të jetë në kundërshtim me praktikën e Kolegjit Penal ose të Kolegjeve të Bashkuara të Gjykatës së Lartë. </w:t>
      </w:r>
    </w:p>
    <w:p w14:paraId="673E34FA" w14:textId="46015304"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11.</w:t>
      </w:r>
      <w:r w:rsidR="006B7EB4" w:rsidRPr="00986A66">
        <w:rPr>
          <w:rFonts w:ascii="Garamond" w:hAnsi="Garamond"/>
        </w:rPr>
        <w:t xml:space="preserve"> </w:t>
      </w:r>
      <w:r w:rsidRPr="00986A66">
        <w:rPr>
          <w:rFonts w:ascii="Garamond" w:hAnsi="Garamond"/>
        </w:rPr>
        <w:t xml:space="preserve">Në datën 25.4.2025 kërkuesit i janë drejtuar Gjykatës Kushtetuese </w:t>
      </w:r>
      <w:r w:rsidRPr="000804C5">
        <w:rPr>
          <w:rFonts w:ascii="Garamond" w:hAnsi="Garamond"/>
          <w:i/>
          <w:iCs/>
        </w:rPr>
        <w:t xml:space="preserve">(Gjykata) </w:t>
      </w:r>
      <w:r w:rsidRPr="00986A66">
        <w:rPr>
          <w:rFonts w:ascii="Garamond" w:hAnsi="Garamond"/>
        </w:rPr>
        <w:t xml:space="preserve">me kërkesë sipas objektit, e cila, pasi është plotësuar në përputhje me parashikimet ligjore, është regjistruar në datën 5.5.2025. Kolegji i Gjykatës, me vendimin e datës 16.7.2025, ka vendosur kalimin e çështjes për shqyrtim në seancë plenare mbi bazë të dokumenteve. </w:t>
      </w:r>
    </w:p>
    <w:p w14:paraId="58833FD3" w14:textId="77777777" w:rsidR="0018261C" w:rsidRPr="00986A66" w:rsidRDefault="0018261C" w:rsidP="006B7EB4">
      <w:pPr>
        <w:pStyle w:val="BodyTextIndent2"/>
        <w:tabs>
          <w:tab w:val="left" w:pos="980"/>
        </w:tabs>
        <w:spacing w:line="240" w:lineRule="auto"/>
        <w:ind w:left="0" w:firstLine="284"/>
        <w:jc w:val="center"/>
        <w:rPr>
          <w:rFonts w:ascii="Garamond" w:hAnsi="Garamond"/>
        </w:rPr>
      </w:pPr>
    </w:p>
    <w:p w14:paraId="3E3455CC" w14:textId="77777777" w:rsidR="0018261C" w:rsidRPr="00986A66" w:rsidRDefault="0018261C" w:rsidP="006B7EB4">
      <w:pPr>
        <w:pStyle w:val="BodyTextIndent2"/>
        <w:tabs>
          <w:tab w:val="left" w:pos="980"/>
        </w:tabs>
        <w:spacing w:line="240" w:lineRule="auto"/>
        <w:ind w:left="0" w:firstLine="284"/>
        <w:jc w:val="center"/>
        <w:rPr>
          <w:rFonts w:ascii="Garamond" w:hAnsi="Garamond"/>
        </w:rPr>
      </w:pPr>
      <w:r w:rsidRPr="00986A66">
        <w:rPr>
          <w:rFonts w:ascii="Garamond" w:hAnsi="Garamond"/>
        </w:rPr>
        <w:t>II</w:t>
      </w:r>
    </w:p>
    <w:p w14:paraId="78CC4C45" w14:textId="77777777" w:rsidR="0018261C" w:rsidRPr="00986A66" w:rsidRDefault="0018261C" w:rsidP="006B7EB4">
      <w:pPr>
        <w:pStyle w:val="BodyTextIndent2"/>
        <w:tabs>
          <w:tab w:val="left" w:pos="980"/>
        </w:tabs>
        <w:spacing w:line="240" w:lineRule="auto"/>
        <w:ind w:left="0" w:firstLine="284"/>
        <w:jc w:val="center"/>
        <w:rPr>
          <w:rFonts w:ascii="Garamond" w:hAnsi="Garamond"/>
        </w:rPr>
      </w:pPr>
      <w:r w:rsidRPr="00986A66">
        <w:rPr>
          <w:rFonts w:ascii="Garamond" w:hAnsi="Garamond"/>
        </w:rPr>
        <w:t>Pretendimet në Gjykatën Kushtetuese</w:t>
      </w:r>
    </w:p>
    <w:p w14:paraId="48E3C4B1" w14:textId="77777777" w:rsidR="00986A66" w:rsidRPr="00986A66" w:rsidRDefault="00986A66" w:rsidP="006B7EB4">
      <w:pPr>
        <w:tabs>
          <w:tab w:val="left" w:pos="1080"/>
        </w:tabs>
        <w:spacing w:line="240" w:lineRule="auto"/>
        <w:ind w:firstLine="284"/>
        <w:jc w:val="both"/>
        <w:rPr>
          <w:rFonts w:ascii="Garamond" w:hAnsi="Garamond"/>
        </w:rPr>
      </w:pPr>
    </w:p>
    <w:p w14:paraId="5096F91D" w14:textId="70A6C516" w:rsidR="0018261C" w:rsidRPr="00986A66" w:rsidRDefault="0018261C" w:rsidP="006B7EB4">
      <w:pPr>
        <w:tabs>
          <w:tab w:val="left" w:pos="1080"/>
        </w:tabs>
        <w:spacing w:line="240" w:lineRule="auto"/>
        <w:ind w:firstLine="284"/>
        <w:jc w:val="both"/>
        <w:rPr>
          <w:rFonts w:ascii="Garamond" w:hAnsi="Garamond"/>
          <w:b/>
          <w:bCs/>
        </w:rPr>
      </w:pPr>
      <w:r w:rsidRPr="00986A66">
        <w:rPr>
          <w:rFonts w:ascii="Garamond" w:hAnsi="Garamond"/>
        </w:rPr>
        <w:t>12.</w:t>
      </w:r>
      <w:r w:rsidR="006B7EB4" w:rsidRPr="00986A66">
        <w:rPr>
          <w:rFonts w:ascii="Garamond" w:hAnsi="Garamond"/>
        </w:rPr>
        <w:t xml:space="preserve"> </w:t>
      </w:r>
      <w:r w:rsidRPr="00986A66">
        <w:rPr>
          <w:rFonts w:ascii="Garamond" w:hAnsi="Garamond"/>
          <w:b/>
          <w:bCs/>
          <w:i/>
          <w:iCs/>
        </w:rPr>
        <w:t>Kërkuesit</w:t>
      </w:r>
      <w:r w:rsidRPr="00986A66">
        <w:rPr>
          <w:rFonts w:ascii="Garamond" w:hAnsi="Garamond"/>
          <w:i/>
          <w:iCs/>
        </w:rPr>
        <w:t>,</w:t>
      </w:r>
      <w:r w:rsidRPr="00986A66">
        <w:rPr>
          <w:rFonts w:ascii="Garamond" w:hAnsi="Garamond"/>
        </w:rPr>
        <w:t xml:space="preserve"> në mënyrë të përmbledhur, kanë pretenduar se u janë cenuar:</w:t>
      </w:r>
    </w:p>
    <w:p w14:paraId="4ADFA5BA" w14:textId="5A13B5B0" w:rsidR="0018261C" w:rsidRPr="00986A66" w:rsidRDefault="0018261C" w:rsidP="006B7EB4">
      <w:pPr>
        <w:pStyle w:val="BodyTextIndent2"/>
        <w:tabs>
          <w:tab w:val="left" w:pos="1080"/>
        </w:tabs>
        <w:spacing w:line="240" w:lineRule="auto"/>
        <w:ind w:left="0" w:firstLine="284"/>
        <w:rPr>
          <w:rFonts w:ascii="Garamond" w:hAnsi="Garamond"/>
          <w:b w:val="0"/>
          <w:bCs/>
          <w:i/>
          <w:iCs/>
        </w:rPr>
      </w:pPr>
      <w:r w:rsidRPr="00986A66">
        <w:rPr>
          <w:rFonts w:ascii="Garamond" w:hAnsi="Garamond"/>
          <w:b w:val="0"/>
          <w:bCs/>
        </w:rPr>
        <w:t>12.1.</w:t>
      </w:r>
      <w:r w:rsidR="006B7EB4" w:rsidRPr="00986A66">
        <w:rPr>
          <w:rFonts w:ascii="Garamond" w:hAnsi="Garamond"/>
          <w:b w:val="0"/>
          <w:bCs/>
        </w:rPr>
        <w:t xml:space="preserve"> </w:t>
      </w:r>
      <w:r w:rsidRPr="00986A66">
        <w:rPr>
          <w:rFonts w:ascii="Garamond" w:hAnsi="Garamond"/>
          <w:b w:val="0"/>
          <w:bCs/>
          <w:i/>
          <w:iCs/>
        </w:rPr>
        <w:t>E drejta për proces të rregullt ligjor,</w:t>
      </w:r>
      <w:r w:rsidRPr="00986A66">
        <w:rPr>
          <w:rFonts w:ascii="Garamond" w:hAnsi="Garamond"/>
          <w:b w:val="0"/>
          <w:bCs/>
        </w:rPr>
        <w:t xml:space="preserve"> e garantuar nga neni 42 i Kushtetutës, në drejtim </w:t>
      </w:r>
      <w:r w:rsidRPr="00986A66">
        <w:rPr>
          <w:rFonts w:ascii="Garamond" w:hAnsi="Garamond"/>
          <w:b w:val="0"/>
          <w:bCs/>
          <w:i/>
          <w:iCs/>
        </w:rPr>
        <w:t xml:space="preserve">të së drejtës së </w:t>
      </w:r>
      <w:proofErr w:type="spellStart"/>
      <w:r w:rsidRPr="00986A66">
        <w:rPr>
          <w:rFonts w:ascii="Garamond" w:hAnsi="Garamond"/>
          <w:b w:val="0"/>
          <w:bCs/>
          <w:i/>
          <w:iCs/>
        </w:rPr>
        <w:t>aksesit</w:t>
      </w:r>
      <w:proofErr w:type="spellEnd"/>
      <w:r w:rsidRPr="00986A66">
        <w:rPr>
          <w:rFonts w:ascii="Garamond" w:hAnsi="Garamond"/>
          <w:b w:val="0"/>
          <w:bCs/>
          <w:i/>
          <w:iCs/>
        </w:rPr>
        <w:t xml:space="preserve"> </w:t>
      </w:r>
      <w:r w:rsidRPr="00986A66">
        <w:rPr>
          <w:rFonts w:ascii="Garamond" w:hAnsi="Garamond"/>
          <w:b w:val="0"/>
          <w:bCs/>
        </w:rPr>
        <w:t>të lidhur me</w:t>
      </w:r>
      <w:r w:rsidRPr="00986A66">
        <w:rPr>
          <w:rFonts w:ascii="Garamond" w:hAnsi="Garamond"/>
          <w:b w:val="0"/>
          <w:bCs/>
          <w:i/>
          <w:iCs/>
        </w:rPr>
        <w:t xml:space="preserve"> standardin e arsyetimit të vendimit gjyqësor</w:t>
      </w:r>
      <w:r w:rsidRPr="00986A66">
        <w:rPr>
          <w:rFonts w:ascii="Garamond" w:hAnsi="Garamond"/>
          <w:b w:val="0"/>
          <w:bCs/>
        </w:rPr>
        <w:t xml:space="preserve"> dhe </w:t>
      </w:r>
      <w:r w:rsidRPr="00986A66">
        <w:rPr>
          <w:rFonts w:ascii="Garamond" w:hAnsi="Garamond"/>
          <w:b w:val="0"/>
          <w:bCs/>
          <w:i/>
          <w:iCs/>
        </w:rPr>
        <w:t>parimin e sigurisë juridike</w:t>
      </w:r>
      <w:r w:rsidRPr="00986A66">
        <w:rPr>
          <w:rFonts w:ascii="Garamond" w:hAnsi="Garamond"/>
          <w:b w:val="0"/>
          <w:bCs/>
        </w:rPr>
        <w:t xml:space="preserve">, pasi Gjykata e Lartë nuk është shprehur për pretendimet e ngritura në rekurs. Në vendimin e saj, ndonëse paraqet si </w:t>
      </w:r>
      <w:proofErr w:type="spellStart"/>
      <w:r w:rsidRPr="00986A66">
        <w:rPr>
          <w:rFonts w:ascii="Garamond" w:hAnsi="Garamond"/>
          <w:b w:val="0"/>
          <w:bCs/>
        </w:rPr>
        <w:t>rekursues</w:t>
      </w:r>
      <w:proofErr w:type="spellEnd"/>
      <w:r w:rsidRPr="00986A66">
        <w:rPr>
          <w:rFonts w:ascii="Garamond" w:hAnsi="Garamond"/>
          <w:b w:val="0"/>
          <w:bCs/>
        </w:rPr>
        <w:t xml:space="preserve"> të dy kërkuesit, ka renditur vetëm shkaqet e rekursit të kërkuesit të dytë dhe ka disponuar vetëm për të dhe jo për kërkuesen e parë. Gjithashtu, vendimet e kundërshtuara bien ndesh me vendimin njësues nr. 147, datë 23.12.2021</w:t>
      </w:r>
      <w:r w:rsidR="0098310A">
        <w:rPr>
          <w:rFonts w:ascii="Garamond" w:hAnsi="Garamond"/>
          <w:b w:val="0"/>
          <w:bCs/>
        </w:rPr>
        <w:t>,</w:t>
      </w:r>
      <w:r w:rsidRPr="00986A66">
        <w:rPr>
          <w:rFonts w:ascii="Garamond" w:hAnsi="Garamond"/>
          <w:b w:val="0"/>
          <w:bCs/>
        </w:rPr>
        <w:t xml:space="preserve"> të Gjykatës së Lartë, për shkak të mosrespektimit të kritereve të përcaktuara në të për lejimin e sekuestrimit të </w:t>
      </w:r>
      <w:proofErr w:type="spellStart"/>
      <w:r w:rsidRPr="00986A66">
        <w:rPr>
          <w:rFonts w:ascii="Garamond" w:hAnsi="Garamond"/>
          <w:b w:val="0"/>
          <w:bCs/>
        </w:rPr>
        <w:t>të</w:t>
      </w:r>
      <w:proofErr w:type="spellEnd"/>
      <w:r w:rsidRPr="00986A66">
        <w:rPr>
          <w:rFonts w:ascii="Garamond" w:hAnsi="Garamond"/>
          <w:b w:val="0"/>
          <w:bCs/>
        </w:rPr>
        <w:t xml:space="preserve"> dhënave ose sistemeve kompjuterike.</w:t>
      </w:r>
    </w:p>
    <w:p w14:paraId="00E5A265" w14:textId="02FCA818" w:rsidR="0018261C" w:rsidRPr="00986A66" w:rsidRDefault="0018261C" w:rsidP="006B7EB4">
      <w:pPr>
        <w:pStyle w:val="BodyTextIndent2"/>
        <w:tabs>
          <w:tab w:val="left" w:pos="1080"/>
        </w:tabs>
        <w:spacing w:line="240" w:lineRule="auto"/>
        <w:ind w:left="0" w:firstLine="284"/>
        <w:rPr>
          <w:rFonts w:ascii="Garamond" w:hAnsi="Garamond"/>
          <w:b w:val="0"/>
          <w:bCs/>
        </w:rPr>
      </w:pPr>
      <w:r w:rsidRPr="00986A66">
        <w:rPr>
          <w:rFonts w:ascii="Garamond" w:hAnsi="Garamond"/>
          <w:b w:val="0"/>
          <w:bCs/>
        </w:rPr>
        <w:t>12.2.</w:t>
      </w:r>
      <w:r w:rsidR="006B7EB4" w:rsidRPr="00986A66">
        <w:rPr>
          <w:rFonts w:ascii="Garamond" w:hAnsi="Garamond"/>
          <w:b w:val="0"/>
          <w:bCs/>
        </w:rPr>
        <w:t xml:space="preserve"> </w:t>
      </w:r>
      <w:r w:rsidRPr="00986A66">
        <w:rPr>
          <w:rFonts w:ascii="Garamond" w:hAnsi="Garamond"/>
          <w:b w:val="0"/>
          <w:bCs/>
          <w:i/>
          <w:iCs/>
        </w:rPr>
        <w:t>E drejta për jetë private</w:t>
      </w:r>
      <w:r w:rsidRPr="00986A66">
        <w:rPr>
          <w:rFonts w:ascii="Garamond" w:hAnsi="Garamond"/>
          <w:b w:val="0"/>
          <w:bCs/>
        </w:rPr>
        <w:t xml:space="preserve"> në aspektin e mbrojtjes </w:t>
      </w:r>
      <w:r w:rsidRPr="00986A66">
        <w:rPr>
          <w:rFonts w:ascii="Garamond" w:hAnsi="Garamond"/>
          <w:b w:val="0"/>
          <w:bCs/>
          <w:i/>
          <w:iCs/>
        </w:rPr>
        <w:t>të</w:t>
      </w:r>
      <w:r w:rsidRPr="00986A66">
        <w:rPr>
          <w:rFonts w:ascii="Garamond" w:hAnsi="Garamond"/>
          <w:b w:val="0"/>
          <w:bCs/>
        </w:rPr>
        <w:t xml:space="preserve"> </w:t>
      </w:r>
      <w:proofErr w:type="spellStart"/>
      <w:r w:rsidRPr="00986A66">
        <w:rPr>
          <w:rFonts w:ascii="Garamond" w:hAnsi="Garamond"/>
          <w:b w:val="0"/>
          <w:bCs/>
          <w:i/>
          <w:iCs/>
        </w:rPr>
        <w:t>të</w:t>
      </w:r>
      <w:proofErr w:type="spellEnd"/>
      <w:r w:rsidRPr="00986A66">
        <w:rPr>
          <w:rFonts w:ascii="Garamond" w:hAnsi="Garamond"/>
          <w:b w:val="0"/>
          <w:bCs/>
          <w:i/>
          <w:iCs/>
        </w:rPr>
        <w:t xml:space="preserve"> dhënave personale,</w:t>
      </w:r>
      <w:r w:rsidRPr="00986A66">
        <w:rPr>
          <w:rFonts w:ascii="Garamond" w:hAnsi="Garamond"/>
          <w:b w:val="0"/>
          <w:bCs/>
        </w:rPr>
        <w:t xml:space="preserve"> </w:t>
      </w:r>
      <w:r w:rsidRPr="00986A66">
        <w:rPr>
          <w:rFonts w:ascii="Garamond" w:hAnsi="Garamond"/>
          <w:b w:val="0"/>
          <w:bCs/>
          <w:i/>
          <w:iCs/>
        </w:rPr>
        <w:t>lirisë dhe fshehtësisë së korrespondencës</w:t>
      </w:r>
      <w:r w:rsidRPr="00986A66">
        <w:rPr>
          <w:rFonts w:ascii="Garamond" w:hAnsi="Garamond"/>
          <w:b w:val="0"/>
          <w:bCs/>
        </w:rPr>
        <w:t xml:space="preserve"> dhe </w:t>
      </w:r>
      <w:r w:rsidRPr="00986A66">
        <w:rPr>
          <w:rFonts w:ascii="Garamond" w:hAnsi="Garamond"/>
          <w:b w:val="0"/>
          <w:bCs/>
          <w:i/>
          <w:iCs/>
        </w:rPr>
        <w:t>paprekshmërisë së banesës</w:t>
      </w:r>
      <w:r w:rsidRPr="00986A66">
        <w:rPr>
          <w:rFonts w:ascii="Garamond" w:hAnsi="Garamond"/>
          <w:b w:val="0"/>
          <w:bCs/>
        </w:rPr>
        <w:t xml:space="preserve">, të garantuara nga nenet 35, 36 dhe 37 të Kushtetutës dhe neni 8 i KEDNJ-së, duke u bazuar në disa argumente: </w:t>
      </w:r>
    </w:p>
    <w:p w14:paraId="0493BDA8" w14:textId="10DE6B4C" w:rsidR="0018261C" w:rsidRPr="00986A66" w:rsidRDefault="0018261C" w:rsidP="006B7EB4">
      <w:pPr>
        <w:pStyle w:val="BodyTextIndent2"/>
        <w:tabs>
          <w:tab w:val="left" w:pos="1080"/>
        </w:tabs>
        <w:spacing w:line="240" w:lineRule="auto"/>
        <w:ind w:left="0" w:firstLine="284"/>
        <w:rPr>
          <w:rFonts w:ascii="Garamond" w:hAnsi="Garamond"/>
          <w:b w:val="0"/>
          <w:bCs/>
        </w:rPr>
      </w:pPr>
      <w:r w:rsidRPr="00986A66">
        <w:rPr>
          <w:rFonts w:ascii="Garamond" w:hAnsi="Garamond"/>
          <w:b w:val="0"/>
          <w:bCs/>
        </w:rPr>
        <w:t>12.2.1.</w:t>
      </w:r>
      <w:r w:rsidR="006B7EB4" w:rsidRPr="00986A66">
        <w:rPr>
          <w:rFonts w:ascii="Garamond" w:hAnsi="Garamond"/>
          <w:b w:val="0"/>
          <w:bCs/>
        </w:rPr>
        <w:t xml:space="preserve"> </w:t>
      </w:r>
      <w:r w:rsidRPr="00986A66">
        <w:rPr>
          <w:rFonts w:ascii="Garamond" w:hAnsi="Garamond"/>
          <w:b w:val="0"/>
          <w:bCs/>
        </w:rPr>
        <w:t xml:space="preserve">Vendimi për lejimin e kontrollit është i paligjshëm, për shkak se është i përgjithshëm dhe nuk përcakton se cilat sende/dokumente do t’i nënshtroheshin kontrollit dhe eventualisht sekuestrimit. Neni 207 i KPP-së përcakton se sendet e gjetura gjatë kontrollit sekuestrohen, me kusht që të jenë të përcaktuara në vendimin për lejimin e kontrollit. Duke vendosur sekuestrimin e telefonave celularë të legjitimuar nga një vendim </w:t>
      </w:r>
      <w:proofErr w:type="spellStart"/>
      <w:r w:rsidRPr="00986A66">
        <w:rPr>
          <w:rFonts w:ascii="Garamond" w:hAnsi="Garamond"/>
          <w:b w:val="0"/>
          <w:bCs/>
        </w:rPr>
        <w:t>evaziv</w:t>
      </w:r>
      <w:proofErr w:type="spellEnd"/>
      <w:r w:rsidRPr="00986A66">
        <w:rPr>
          <w:rFonts w:ascii="Garamond" w:hAnsi="Garamond"/>
          <w:b w:val="0"/>
          <w:bCs/>
        </w:rPr>
        <w:t xml:space="preserve"> i kontrollit, kërkuesit të dytë i është shkaktuar një cenim i pajustifikuar në të drejtën e tij për jetë private, duke qenë se nga mënyra si është operuar, të dhëna të tjera të gjendura në ata telefona janë bërë të </w:t>
      </w:r>
      <w:proofErr w:type="spellStart"/>
      <w:r w:rsidRPr="00986A66">
        <w:rPr>
          <w:rFonts w:ascii="Garamond" w:hAnsi="Garamond"/>
          <w:b w:val="0"/>
          <w:bCs/>
        </w:rPr>
        <w:t>aksesueshme</w:t>
      </w:r>
      <w:proofErr w:type="spellEnd"/>
      <w:r w:rsidRPr="00986A66">
        <w:rPr>
          <w:rFonts w:ascii="Garamond" w:hAnsi="Garamond"/>
          <w:b w:val="0"/>
          <w:bCs/>
        </w:rPr>
        <w:t xml:space="preserve"> për oficerët e BKH-së. </w:t>
      </w:r>
    </w:p>
    <w:p w14:paraId="32DF9C04" w14:textId="2CEC9074" w:rsidR="0018261C" w:rsidRPr="00986A66" w:rsidRDefault="0018261C" w:rsidP="006B7EB4">
      <w:pPr>
        <w:pStyle w:val="BodyTextIndent2"/>
        <w:tabs>
          <w:tab w:val="left" w:pos="1080"/>
        </w:tabs>
        <w:spacing w:line="240" w:lineRule="auto"/>
        <w:ind w:left="0" w:firstLine="284"/>
        <w:rPr>
          <w:rFonts w:ascii="Garamond" w:hAnsi="Garamond"/>
          <w:b w:val="0"/>
          <w:bCs/>
        </w:rPr>
      </w:pPr>
      <w:r w:rsidRPr="00986A66">
        <w:rPr>
          <w:rFonts w:ascii="Garamond" w:hAnsi="Garamond"/>
          <w:b w:val="0"/>
          <w:bCs/>
        </w:rPr>
        <w:t>12.2.2.</w:t>
      </w:r>
      <w:r w:rsidR="006B7EB4" w:rsidRPr="00986A66">
        <w:rPr>
          <w:rFonts w:ascii="Garamond" w:hAnsi="Garamond"/>
          <w:b w:val="0"/>
          <w:bCs/>
        </w:rPr>
        <w:t xml:space="preserve"> </w:t>
      </w:r>
      <w:r w:rsidRPr="00986A66">
        <w:rPr>
          <w:rFonts w:ascii="Garamond" w:hAnsi="Garamond"/>
          <w:b w:val="0"/>
          <w:bCs/>
        </w:rPr>
        <w:t>Ai vendim është i paligjshëm edhe për shkak të mungesës së lidhjes logjike midis ngjarjes objekt hetimi, kontrollit të ushtruar dhe sendeve të sekuestruara në kuadër të kontrollit. Vendimi i Këshillit të Ministrave që ka miratuar kontratën e koncesionit daton mbi 10 vjet më parë, ndërsa kërkuesi i dytë ka ushtruar funksionin e administratorit të kërkueses së parë shumë vite më vonë (2022</w:t>
      </w:r>
      <w:r w:rsidR="000804C5">
        <w:rPr>
          <w:rFonts w:ascii="Garamond" w:hAnsi="Garamond"/>
          <w:b w:val="0"/>
          <w:bCs/>
        </w:rPr>
        <w:t>–</w:t>
      </w:r>
      <w:r w:rsidRPr="00986A66">
        <w:rPr>
          <w:rFonts w:ascii="Garamond" w:hAnsi="Garamond"/>
          <w:b w:val="0"/>
          <w:bCs/>
        </w:rPr>
        <w:t xml:space="preserve">2024). </w:t>
      </w:r>
    </w:p>
    <w:p w14:paraId="47711D74" w14:textId="191CEF1E" w:rsidR="0018261C" w:rsidRPr="00986A66" w:rsidRDefault="0018261C" w:rsidP="006B7EB4">
      <w:pPr>
        <w:pStyle w:val="BodyTextIndent2"/>
        <w:tabs>
          <w:tab w:val="left" w:pos="1080"/>
        </w:tabs>
        <w:spacing w:line="240" w:lineRule="auto"/>
        <w:ind w:left="0" w:firstLine="284"/>
        <w:rPr>
          <w:rFonts w:ascii="Garamond" w:hAnsi="Garamond"/>
          <w:b w:val="0"/>
          <w:bCs/>
        </w:rPr>
      </w:pPr>
      <w:r w:rsidRPr="00986A66">
        <w:rPr>
          <w:rFonts w:ascii="Garamond" w:hAnsi="Garamond"/>
          <w:b w:val="0"/>
          <w:bCs/>
        </w:rPr>
        <w:t>12.2.3.</w:t>
      </w:r>
      <w:r w:rsidR="006B7EB4" w:rsidRPr="00986A66">
        <w:rPr>
          <w:rFonts w:ascii="Garamond" w:hAnsi="Garamond"/>
          <w:b w:val="0"/>
          <w:bCs/>
        </w:rPr>
        <w:t xml:space="preserve"> </w:t>
      </w:r>
      <w:r w:rsidRPr="00986A66">
        <w:rPr>
          <w:rFonts w:ascii="Garamond" w:hAnsi="Garamond"/>
          <w:b w:val="0"/>
          <w:bCs/>
        </w:rPr>
        <w:t xml:space="preserve">Prokuroria e Posaçme dhe gjykatat nuk kanë arsyetuar për dyshimin e arsyeshëm të konkretizuar dhe të individualizuar për rastin konkret lidhur me mundësin e gjetjes së sendeve dhe provave që lidhen me veprën penale. Duke marrë parasysh se kontrolli si mjet i kërkimit të provës, i pasuar nga sekuestrimi, lidhet me kufizimin e lirive dhe të drejtave themelore të njeriut, nevojitet të bëhet në përputhje me nenin 17 të Kushtetutës. Vendimet e kundërshtuara janë antikushtetuese </w:t>
      </w:r>
      <w:r w:rsidRPr="00986A66">
        <w:rPr>
          <w:rFonts w:ascii="Garamond" w:hAnsi="Garamond"/>
          <w:b w:val="0"/>
          <w:bCs/>
        </w:rPr>
        <w:lastRenderedPageBreak/>
        <w:t xml:space="preserve">për shkak të mosrespektimit të parimit të </w:t>
      </w:r>
      <w:proofErr w:type="spellStart"/>
      <w:r w:rsidRPr="00986A66">
        <w:rPr>
          <w:rFonts w:ascii="Garamond" w:hAnsi="Garamond"/>
          <w:b w:val="0"/>
          <w:bCs/>
        </w:rPr>
        <w:t>proporcionalitetit</w:t>
      </w:r>
      <w:proofErr w:type="spellEnd"/>
      <w:r w:rsidRPr="00986A66">
        <w:rPr>
          <w:rFonts w:ascii="Garamond" w:hAnsi="Garamond"/>
          <w:b w:val="0"/>
          <w:bCs/>
        </w:rPr>
        <w:t>, por edhe të parimit të domosdoshmërisë, pasi prokuroria dhe gjykatat nuk kanë arsyetuar se cila ka qenë nevoja e sekuestrimit të sendeve me iniciativë të oficerëve të BKH-së.</w:t>
      </w:r>
      <w:r w:rsidR="00084382">
        <w:rPr>
          <w:rFonts w:ascii="Garamond" w:hAnsi="Garamond"/>
          <w:b w:val="0"/>
          <w:bCs/>
        </w:rPr>
        <w:t xml:space="preserve"> </w:t>
      </w:r>
    </w:p>
    <w:p w14:paraId="5983B714" w14:textId="07AEEEAD" w:rsidR="0018261C" w:rsidRPr="00986A66" w:rsidRDefault="0018261C" w:rsidP="006B7EB4">
      <w:pPr>
        <w:pStyle w:val="BodyTextIndent2"/>
        <w:tabs>
          <w:tab w:val="left" w:pos="1080"/>
        </w:tabs>
        <w:spacing w:line="240" w:lineRule="auto"/>
        <w:ind w:left="0" w:firstLine="284"/>
        <w:rPr>
          <w:rFonts w:ascii="Garamond" w:hAnsi="Garamond"/>
          <w:b w:val="0"/>
          <w:bCs/>
        </w:rPr>
      </w:pPr>
      <w:r w:rsidRPr="00986A66">
        <w:rPr>
          <w:rFonts w:ascii="Garamond" w:hAnsi="Garamond"/>
          <w:b w:val="0"/>
          <w:bCs/>
        </w:rPr>
        <w:t>12.2.4.</w:t>
      </w:r>
      <w:r w:rsidR="006B7EB4" w:rsidRPr="00986A66">
        <w:rPr>
          <w:rFonts w:ascii="Garamond" w:hAnsi="Garamond"/>
          <w:b w:val="0"/>
          <w:bCs/>
        </w:rPr>
        <w:t xml:space="preserve"> </w:t>
      </w:r>
      <w:r w:rsidRPr="00986A66">
        <w:rPr>
          <w:rFonts w:ascii="Garamond" w:hAnsi="Garamond"/>
          <w:b w:val="0"/>
          <w:bCs/>
        </w:rPr>
        <w:t>Oficerët e BKH-së kanë tejkaluar vendimin e gjykatës, duke vendosur sekuestrimin e korrespondencës së kërkueses së parë dhe të disa punonjësve të saj, si dhe telefonat celularë të kërkuesit të dytë. Në vendimin për lejimin e kontrollit nuk përcaktohet se duhet të kontrollohen dhe më pas të sekuestrohen korrespondenca dhe telefonat celularë. Oficerët e BKH-së kanë proceduar drejtpërsëdrejti me sekuestrimin e sendeve, pa u kryer kontrolli i tyre më parë, pra sekuestrimi nuk ka ardhur si pasojë e kontrollit, por vendimi për lejimin e kontrollit është përdorur si mjet për realizimin e qëllimit të vetëm, sekuestrimin e korrespondencës dhe të dhënave kompjuterike. Pra, del e qartë se oficerët kanë vepruar me iniciativën e tyre, në tejkalim të vendimit gjyqësor. Për më tepër, ata kanë sekuestruar çdo send të gjetur, pa verifikuar më parë rëndësinë e tyre në raport me atë që synohet të gjendet.</w:t>
      </w:r>
    </w:p>
    <w:p w14:paraId="2D136ACF" w14:textId="62221A5C" w:rsidR="0018261C" w:rsidRPr="00986A66" w:rsidRDefault="0018261C" w:rsidP="006B7EB4">
      <w:pPr>
        <w:pStyle w:val="BodyTextIndent2"/>
        <w:tabs>
          <w:tab w:val="left" w:pos="1080"/>
        </w:tabs>
        <w:spacing w:line="240" w:lineRule="auto"/>
        <w:ind w:left="0" w:firstLine="284"/>
        <w:rPr>
          <w:rFonts w:ascii="Garamond" w:hAnsi="Garamond"/>
          <w:b w:val="0"/>
          <w:bCs/>
        </w:rPr>
      </w:pPr>
      <w:r w:rsidRPr="00986A66">
        <w:rPr>
          <w:rFonts w:ascii="Garamond" w:hAnsi="Garamond"/>
          <w:b w:val="0"/>
          <w:bCs/>
        </w:rPr>
        <w:t>12.2.5.</w:t>
      </w:r>
      <w:r w:rsidR="006B7EB4" w:rsidRPr="00986A66">
        <w:rPr>
          <w:rFonts w:ascii="Garamond" w:hAnsi="Garamond"/>
          <w:b w:val="0"/>
          <w:bCs/>
        </w:rPr>
        <w:t xml:space="preserve"> </w:t>
      </w:r>
      <w:r w:rsidRPr="00986A66">
        <w:rPr>
          <w:rFonts w:ascii="Garamond" w:hAnsi="Garamond"/>
          <w:b w:val="0"/>
          <w:bCs/>
        </w:rPr>
        <w:t xml:space="preserve">Në vendimin e vleftësimit të sekuestrimit të sendeve prokuroria ka dështuar të përcaktojë domosdoshmërinë e këtyre sendeve, shkelje e cila nuk është konstatuar as nga gjykatat. Përjashtim nga rregulli i përgjithshëm bën rasti kur gjatë kontrollit oficerët e BKH-së gjejnë sende që nuk përfshihen në vendimin për lejimin e kontrollit, por që lidhen me veprën penale. Në rastin konkret sendet e sekuestruara nuk kanë asnjë lidhje me kryerjen e ndonjë vepre, madje pjesa më e madhe e tyre </w:t>
      </w:r>
      <w:proofErr w:type="spellStart"/>
      <w:r w:rsidRPr="00986A66">
        <w:rPr>
          <w:rFonts w:ascii="Garamond" w:hAnsi="Garamond"/>
          <w:b w:val="0"/>
          <w:bCs/>
        </w:rPr>
        <w:t>aksesohen</w:t>
      </w:r>
      <w:proofErr w:type="spellEnd"/>
      <w:r w:rsidRPr="00986A66">
        <w:rPr>
          <w:rFonts w:ascii="Garamond" w:hAnsi="Garamond"/>
          <w:b w:val="0"/>
          <w:bCs/>
        </w:rPr>
        <w:t xml:space="preserve"> </w:t>
      </w:r>
      <w:proofErr w:type="spellStart"/>
      <w:r w:rsidRPr="000804C5">
        <w:rPr>
          <w:rFonts w:ascii="Garamond" w:hAnsi="Garamond"/>
          <w:b w:val="0"/>
          <w:bCs/>
          <w:i/>
          <w:iCs/>
        </w:rPr>
        <w:t>online</w:t>
      </w:r>
      <w:proofErr w:type="spellEnd"/>
      <w:r w:rsidRPr="000804C5">
        <w:rPr>
          <w:rFonts w:ascii="Garamond" w:hAnsi="Garamond"/>
          <w:b w:val="0"/>
          <w:bCs/>
          <w:i/>
          <w:iCs/>
        </w:rPr>
        <w:t xml:space="preserve">. </w:t>
      </w:r>
      <w:r w:rsidRPr="00986A66">
        <w:rPr>
          <w:rFonts w:ascii="Garamond" w:hAnsi="Garamond"/>
          <w:b w:val="0"/>
          <w:bCs/>
        </w:rPr>
        <w:t>Në këtë kuptim, evidentohet se janë sekuestruar në bllok të gjitha sendet e gjetura, duke mos u shqetësuar aspak për veçimin e sendeve që nuk lidheshin me procedimin penal.</w:t>
      </w:r>
      <w:r w:rsidR="00084382">
        <w:rPr>
          <w:rFonts w:ascii="Garamond" w:hAnsi="Garamond"/>
          <w:b w:val="0"/>
          <w:bCs/>
        </w:rPr>
        <w:t xml:space="preserve"> </w:t>
      </w:r>
    </w:p>
    <w:p w14:paraId="5CF55A4B" w14:textId="7F170B67" w:rsidR="0018261C" w:rsidRPr="00986A66" w:rsidRDefault="0018261C" w:rsidP="006B7EB4">
      <w:pPr>
        <w:pStyle w:val="BodyTextIndent2"/>
        <w:tabs>
          <w:tab w:val="left" w:pos="1080"/>
        </w:tabs>
        <w:spacing w:line="240" w:lineRule="auto"/>
        <w:ind w:left="0" w:firstLine="284"/>
        <w:rPr>
          <w:rFonts w:ascii="Garamond" w:hAnsi="Garamond"/>
          <w:b w:val="0"/>
          <w:bCs/>
        </w:rPr>
      </w:pPr>
      <w:r w:rsidRPr="00986A66">
        <w:rPr>
          <w:rFonts w:ascii="Garamond" w:hAnsi="Garamond"/>
          <w:b w:val="0"/>
          <w:bCs/>
        </w:rPr>
        <w:t>12.2.6.</w:t>
      </w:r>
      <w:r w:rsidR="006B7EB4" w:rsidRPr="00986A66">
        <w:rPr>
          <w:rFonts w:ascii="Garamond" w:hAnsi="Garamond"/>
          <w:b w:val="0"/>
          <w:bCs/>
        </w:rPr>
        <w:t xml:space="preserve"> </w:t>
      </w:r>
      <w:r w:rsidRPr="00986A66">
        <w:rPr>
          <w:rFonts w:ascii="Garamond" w:hAnsi="Garamond"/>
          <w:b w:val="0"/>
          <w:bCs/>
        </w:rPr>
        <w:t>Mosrespektimi i modaliteteve në lidhje me sekuestrimin e të dhënave dhe pajisjeve kompjuterike, si rezultat i të cilit mund të ekspozohen të dhëna të tjera që nuk kanë lidhje me faktin penal.</w:t>
      </w:r>
    </w:p>
    <w:p w14:paraId="4B95D9F2" w14:textId="08884622" w:rsidR="0018261C" w:rsidRPr="00986A66" w:rsidRDefault="0018261C" w:rsidP="006B7EB4">
      <w:pPr>
        <w:pStyle w:val="BodyTextIndent2"/>
        <w:tabs>
          <w:tab w:val="left" w:pos="1080"/>
        </w:tabs>
        <w:spacing w:line="240" w:lineRule="auto"/>
        <w:ind w:left="0" w:firstLine="284"/>
        <w:rPr>
          <w:rFonts w:ascii="Garamond" w:hAnsi="Garamond"/>
          <w:b w:val="0"/>
          <w:bCs/>
        </w:rPr>
      </w:pPr>
      <w:r w:rsidRPr="00986A66">
        <w:rPr>
          <w:rFonts w:ascii="Garamond" w:hAnsi="Garamond"/>
          <w:b w:val="0"/>
          <w:bCs/>
        </w:rPr>
        <w:t>12.2.7.</w:t>
      </w:r>
      <w:r w:rsidR="006B7EB4" w:rsidRPr="00986A66">
        <w:rPr>
          <w:rFonts w:ascii="Garamond" w:hAnsi="Garamond"/>
          <w:b w:val="0"/>
          <w:bCs/>
        </w:rPr>
        <w:t xml:space="preserve"> </w:t>
      </w:r>
      <w:r w:rsidRPr="00986A66">
        <w:rPr>
          <w:rFonts w:ascii="Garamond" w:hAnsi="Garamond"/>
          <w:b w:val="0"/>
          <w:bCs/>
        </w:rPr>
        <w:t xml:space="preserve">Kontrolli është ushtruar pa iu dorëzuar kërkuesve vendimi i kontrollit, si dhe pa iu dhënë mundësia të kërkojnë praninë e një personi të besuar. Në lidhje me këtë pretendim nga ana e gjykatave është mbajtur një qëndrim tërësisht formal, duke arsyetuar se ky pretendim nuk mund të provohet me asnjë provë. Në fakt, këto pretendime vërtetohen nga pamjet e kamerave </w:t>
      </w:r>
      <w:proofErr w:type="spellStart"/>
      <w:r w:rsidRPr="00986A66">
        <w:rPr>
          <w:rFonts w:ascii="Garamond" w:hAnsi="Garamond"/>
          <w:b w:val="0"/>
          <w:bCs/>
        </w:rPr>
        <w:t>ambientale</w:t>
      </w:r>
      <w:proofErr w:type="spellEnd"/>
      <w:r w:rsidRPr="00986A66">
        <w:rPr>
          <w:rFonts w:ascii="Garamond" w:hAnsi="Garamond"/>
          <w:b w:val="0"/>
          <w:bCs/>
        </w:rPr>
        <w:t>, si dhe nga fakti se kërkuesi i dytë i ka telefonuar avokatit nga telefoni i oficerit të BKH-së.</w:t>
      </w:r>
      <w:r w:rsidR="00084382">
        <w:rPr>
          <w:rFonts w:ascii="Garamond" w:hAnsi="Garamond"/>
          <w:b w:val="0"/>
          <w:bCs/>
        </w:rPr>
        <w:t xml:space="preserve"> </w:t>
      </w:r>
    </w:p>
    <w:p w14:paraId="4ED6E591" w14:textId="60FC7B82" w:rsidR="0018261C" w:rsidRPr="00986A66" w:rsidRDefault="0018261C" w:rsidP="006B7EB4">
      <w:pPr>
        <w:pStyle w:val="BodyTextIndent2"/>
        <w:tabs>
          <w:tab w:val="left" w:pos="1080"/>
        </w:tabs>
        <w:spacing w:line="240" w:lineRule="auto"/>
        <w:ind w:left="0" w:firstLine="284"/>
        <w:rPr>
          <w:rFonts w:ascii="Garamond" w:hAnsi="Garamond"/>
          <w:b w:val="0"/>
          <w:bCs/>
        </w:rPr>
      </w:pPr>
      <w:r w:rsidRPr="00986A66">
        <w:rPr>
          <w:rFonts w:ascii="Garamond" w:hAnsi="Garamond"/>
          <w:b w:val="0"/>
          <w:bCs/>
        </w:rPr>
        <w:t>12.3.</w:t>
      </w:r>
      <w:r w:rsidR="006B7EB4" w:rsidRPr="00986A66">
        <w:rPr>
          <w:rFonts w:ascii="Garamond" w:hAnsi="Garamond"/>
          <w:b w:val="0"/>
          <w:bCs/>
        </w:rPr>
        <w:t xml:space="preserve"> </w:t>
      </w:r>
      <w:r w:rsidRPr="00986A66">
        <w:rPr>
          <w:rFonts w:ascii="Garamond" w:hAnsi="Garamond"/>
          <w:b w:val="0"/>
          <w:bCs/>
          <w:i/>
          <w:iCs/>
        </w:rPr>
        <w:t>E drejta e pronës private</w:t>
      </w:r>
      <w:r w:rsidRPr="00986A66">
        <w:rPr>
          <w:rFonts w:ascii="Garamond" w:hAnsi="Garamond"/>
          <w:b w:val="0"/>
          <w:bCs/>
        </w:rPr>
        <w:t>, e garantuar nga neni 41 i Kushtetutës, si rrjedhojë e kontrollit dhe sekuestrimit të paligjshëm të sendeve të kërkuesve.</w:t>
      </w:r>
    </w:p>
    <w:p w14:paraId="2531BE8C" w14:textId="1416163F"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13.</w:t>
      </w:r>
      <w:r w:rsidR="006B7EB4" w:rsidRPr="00986A66">
        <w:rPr>
          <w:rFonts w:ascii="Garamond" w:hAnsi="Garamond"/>
        </w:rPr>
        <w:t xml:space="preserve"> </w:t>
      </w:r>
      <w:r w:rsidRPr="00986A66">
        <w:rPr>
          <w:rFonts w:ascii="Garamond" w:hAnsi="Garamond"/>
          <w:b/>
          <w:bCs/>
          <w:i/>
          <w:iCs/>
        </w:rPr>
        <w:t>Subjekti i interesuar</w:t>
      </w:r>
      <w:r w:rsidRPr="00986A66">
        <w:rPr>
          <w:rFonts w:ascii="Garamond" w:hAnsi="Garamond"/>
          <w:i/>
          <w:iCs/>
        </w:rPr>
        <w:t xml:space="preserve">, </w:t>
      </w:r>
      <w:r w:rsidRPr="00986A66">
        <w:rPr>
          <w:rFonts w:ascii="Garamond" w:hAnsi="Garamond"/>
          <w:b/>
          <w:bCs/>
          <w:i/>
          <w:iCs/>
        </w:rPr>
        <w:t>Prokuroria e Posaçme</w:t>
      </w:r>
      <w:r w:rsidRPr="00986A66">
        <w:rPr>
          <w:rFonts w:ascii="Garamond" w:hAnsi="Garamond"/>
          <w:i/>
          <w:iCs/>
        </w:rPr>
        <w:t xml:space="preserve">, </w:t>
      </w:r>
      <w:r w:rsidRPr="00986A66">
        <w:rPr>
          <w:rFonts w:ascii="Garamond" w:hAnsi="Garamond"/>
        </w:rPr>
        <w:t>nuk ka paraqitur prapësime në lidhje me pretendimet e kërkuesve për cenimin e</w:t>
      </w:r>
      <w:r w:rsidRPr="00986A66">
        <w:rPr>
          <w:rFonts w:ascii="Garamond" w:hAnsi="Garamond"/>
          <w:i/>
          <w:iCs/>
        </w:rPr>
        <w:t xml:space="preserve"> procesit të rregullt ligjor, </w:t>
      </w:r>
      <w:r w:rsidRPr="00986A66">
        <w:rPr>
          <w:rFonts w:ascii="Garamond" w:hAnsi="Garamond"/>
        </w:rPr>
        <w:t>të garantuar nga neni 42 i Kushtetutës, por,</w:t>
      </w:r>
      <w:r w:rsidRPr="00986A66">
        <w:rPr>
          <w:rFonts w:ascii="Garamond" w:hAnsi="Garamond"/>
          <w:i/>
          <w:iCs/>
        </w:rPr>
        <w:t xml:space="preserve"> </w:t>
      </w:r>
      <w:r w:rsidRPr="00986A66">
        <w:rPr>
          <w:rFonts w:ascii="Garamond" w:hAnsi="Garamond"/>
        </w:rPr>
        <w:t>në mënyrë të përmbledhur, ka prapësuar sa vijon:</w:t>
      </w:r>
    </w:p>
    <w:p w14:paraId="0067D6A8" w14:textId="3FAC7C96"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13.1.</w:t>
      </w:r>
      <w:r w:rsidRPr="00986A66">
        <w:rPr>
          <w:rFonts w:ascii="Garamond" w:hAnsi="Garamond"/>
          <w:b/>
          <w:bCs/>
          <w:i/>
          <w:iCs/>
        </w:rPr>
        <w:t xml:space="preserve"> </w:t>
      </w:r>
      <w:r w:rsidRPr="00986A66">
        <w:rPr>
          <w:rFonts w:ascii="Garamond" w:hAnsi="Garamond"/>
        </w:rPr>
        <w:t xml:space="preserve">Pretendimi për cenimin e së </w:t>
      </w:r>
      <w:r w:rsidRPr="00986A66">
        <w:rPr>
          <w:rFonts w:ascii="Garamond" w:hAnsi="Garamond"/>
          <w:i/>
          <w:iCs/>
        </w:rPr>
        <w:t>drejtës për jetë private</w:t>
      </w:r>
      <w:r w:rsidRPr="00986A66">
        <w:rPr>
          <w:rFonts w:ascii="Garamond" w:hAnsi="Garamond"/>
        </w:rPr>
        <w:t>, të garantuar nga nenet 35</w:t>
      </w:r>
      <w:r w:rsidR="00B574C3">
        <w:rPr>
          <w:rFonts w:ascii="Garamond" w:hAnsi="Garamond"/>
        </w:rPr>
        <w:t>–</w:t>
      </w:r>
      <w:r w:rsidRPr="00986A66">
        <w:rPr>
          <w:rFonts w:ascii="Garamond" w:hAnsi="Garamond"/>
        </w:rPr>
        <w:t xml:space="preserve">37 të Kushtetutës, nuk qëndron, pasi: </w:t>
      </w:r>
    </w:p>
    <w:p w14:paraId="2AA29DAF" w14:textId="2958226C" w:rsidR="0018261C" w:rsidRPr="00986A66" w:rsidRDefault="0018261C" w:rsidP="006B7EB4">
      <w:pPr>
        <w:pStyle w:val="ListParagraph"/>
        <w:tabs>
          <w:tab w:val="left" w:pos="1080"/>
          <w:tab w:val="left" w:pos="1520"/>
        </w:tabs>
        <w:spacing w:line="240" w:lineRule="auto"/>
        <w:ind w:left="0" w:firstLine="284"/>
        <w:jc w:val="both"/>
        <w:rPr>
          <w:rFonts w:ascii="Garamond" w:hAnsi="Garamond"/>
        </w:rPr>
      </w:pPr>
      <w:r w:rsidRPr="00986A66">
        <w:rPr>
          <w:rFonts w:ascii="Garamond" w:hAnsi="Garamond"/>
        </w:rPr>
        <w:t>13.1.1. Kontrolli personal, në të kundërt nga sa pretendohet, është në përputhje me kufizimin e lejuar nga pika 3 e nenit 37 të Kushtetutës, pasi është urdhëruar nga gjykata për hetimet paraprake në një proces penal në përputhje me nevojat e procedimit dhe parashikimet në nenet 202</w:t>
      </w:r>
      <w:r w:rsidR="00B574C3">
        <w:rPr>
          <w:rFonts w:ascii="Garamond" w:hAnsi="Garamond"/>
        </w:rPr>
        <w:t>–</w:t>
      </w:r>
      <w:r w:rsidRPr="00986A66">
        <w:rPr>
          <w:rFonts w:ascii="Garamond" w:hAnsi="Garamond"/>
        </w:rPr>
        <w:t xml:space="preserve">205 dhe 207 të KPP-së. Organi procedues ka si qëllim të përdorë informacionet e marra nga provat materiale të sekuestruara në bazë të vendimit për lejimin e kontrollit, vetëm për të bërë të mundur zbulimin e të dhënave që mund të çojnë në identifikimin e personave përgjegjës që dyshohet se mund të kenë kryer vepra penale. Ky fakt përforcohet nga </w:t>
      </w:r>
      <w:proofErr w:type="spellStart"/>
      <w:r w:rsidRPr="00986A66">
        <w:rPr>
          <w:rFonts w:ascii="Garamond" w:hAnsi="Garamond"/>
        </w:rPr>
        <w:t>diligjenca</w:t>
      </w:r>
      <w:proofErr w:type="spellEnd"/>
      <w:r w:rsidRPr="00986A66">
        <w:rPr>
          <w:rFonts w:ascii="Garamond" w:hAnsi="Garamond"/>
        </w:rPr>
        <w:t xml:space="preserve"> e organit procedues, pasi oficerët e BKH-së, në prezencë të ekspertit të BKH-së dhe specialistit të IT-së të kërkueses së parë, i kanë vënë në dispozicion shoqërisë kopje të </w:t>
      </w:r>
      <w:proofErr w:type="spellStart"/>
      <w:r w:rsidRPr="00986A66">
        <w:rPr>
          <w:rFonts w:ascii="Garamond" w:hAnsi="Garamond"/>
        </w:rPr>
        <w:t>të</w:t>
      </w:r>
      <w:proofErr w:type="spellEnd"/>
      <w:r w:rsidRPr="00986A66">
        <w:rPr>
          <w:rFonts w:ascii="Garamond" w:hAnsi="Garamond"/>
        </w:rPr>
        <w:t xml:space="preserve"> gjithë të dhënave që janë gjetur në njësitë kompjuterike të sekuestruara.</w:t>
      </w:r>
    </w:p>
    <w:p w14:paraId="3B881453" w14:textId="7A730F51" w:rsidR="0018261C" w:rsidRPr="00986A66" w:rsidRDefault="0018261C" w:rsidP="006B7EB4">
      <w:pPr>
        <w:pStyle w:val="ListParagraph"/>
        <w:tabs>
          <w:tab w:val="left" w:pos="1080"/>
          <w:tab w:val="left" w:pos="1520"/>
        </w:tabs>
        <w:spacing w:line="240" w:lineRule="auto"/>
        <w:ind w:left="0" w:firstLine="284"/>
        <w:jc w:val="both"/>
        <w:rPr>
          <w:rFonts w:ascii="Garamond" w:hAnsi="Garamond"/>
        </w:rPr>
      </w:pPr>
      <w:r w:rsidRPr="00986A66">
        <w:rPr>
          <w:rFonts w:ascii="Garamond" w:hAnsi="Garamond"/>
        </w:rPr>
        <w:t xml:space="preserve">13.1.2. E drejta themelore për jetë personale dhe familjare nuk është një e drejtë absolute, referuar edhe jurisprudencës së GJEDNJ-së, por duhet të trajtohet në raport me funksionin e saj në shoqëri. Neni 17 i Kushtetutës ka përcaktuar se kufizimet e të drejtave që bëhen përmes ligjit, për një interes publik ose për mbrojtjen e të drejtave të </w:t>
      </w:r>
      <w:proofErr w:type="spellStart"/>
      <w:r w:rsidRPr="00986A66">
        <w:rPr>
          <w:rFonts w:ascii="Garamond" w:hAnsi="Garamond"/>
        </w:rPr>
        <w:t>të</w:t>
      </w:r>
      <w:proofErr w:type="spellEnd"/>
      <w:r w:rsidRPr="00986A66">
        <w:rPr>
          <w:rFonts w:ascii="Garamond" w:hAnsi="Garamond"/>
        </w:rPr>
        <w:t xml:space="preserve"> tjerëve, duhet të jenë në përpjesëtim me të drejtën që e ka diktuar atë. Në rastin konkret ndërhyrja është bërë në referim të neneve 202</w:t>
      </w:r>
      <w:r w:rsidR="000804C5">
        <w:rPr>
          <w:rFonts w:ascii="Garamond" w:hAnsi="Garamond"/>
        </w:rPr>
        <w:t>–</w:t>
      </w:r>
      <w:r w:rsidRPr="00986A66">
        <w:rPr>
          <w:rFonts w:ascii="Garamond" w:hAnsi="Garamond"/>
        </w:rPr>
        <w:t xml:space="preserve">207 të KPP-së, në këtë kuptim detyrimi për parashikimin e ndërhyrjeve me ligj në kuptimin formal është respektuar. Ashtu siç ka vlerësuar edhe Gjykata e Lartë, arsyet e paraqitura nga prokurori janë “relevante dhe të mjaftueshme” dhe “proporcionale me synim legjitim të ndjekur”. Kërkimi i prokurorisë dhe miratimi nga gjykatat për lejimin e kontrollit janë bazuar në një vlerësim të </w:t>
      </w:r>
      <w:r w:rsidRPr="00986A66">
        <w:rPr>
          <w:rFonts w:ascii="Garamond" w:hAnsi="Garamond"/>
        </w:rPr>
        <w:lastRenderedPageBreak/>
        <w:t>arsyeshëm të fakteve. Masa e vendosur ka si qëllim të identifikojë personat përgjegjës lidhur me procedimin penal dhe me këtë veprim kontrolli është synuar gjetja e provave materiale në drejtim të identifikimit të përgjegjësisë së personit juridik ose personat që fshihen pas tij, si dhe përfshirja e shoqërisë në rrethanat objekt të hetimeve në vitet 2022</w:t>
      </w:r>
      <w:r w:rsidR="0098310A">
        <w:rPr>
          <w:rFonts w:ascii="Garamond" w:hAnsi="Garamond"/>
        </w:rPr>
        <w:t>–</w:t>
      </w:r>
      <w:r w:rsidRPr="00986A66">
        <w:rPr>
          <w:rFonts w:ascii="Garamond" w:hAnsi="Garamond"/>
        </w:rPr>
        <w:t xml:space="preserve">2024 kur administrator ka qenë kërkuesi i dytë. </w:t>
      </w:r>
    </w:p>
    <w:p w14:paraId="6E807C88" w14:textId="77777777" w:rsidR="0018261C" w:rsidRPr="00986A66" w:rsidRDefault="0018261C" w:rsidP="006B7EB4">
      <w:pPr>
        <w:pStyle w:val="ListParagraph"/>
        <w:tabs>
          <w:tab w:val="left" w:pos="1080"/>
          <w:tab w:val="left" w:pos="1520"/>
        </w:tabs>
        <w:spacing w:line="240" w:lineRule="auto"/>
        <w:ind w:left="0" w:firstLine="284"/>
        <w:jc w:val="both"/>
        <w:rPr>
          <w:rFonts w:ascii="Garamond" w:hAnsi="Garamond"/>
        </w:rPr>
      </w:pPr>
      <w:r w:rsidRPr="00986A66">
        <w:rPr>
          <w:rFonts w:ascii="Garamond" w:hAnsi="Garamond"/>
        </w:rPr>
        <w:t xml:space="preserve">13.1.3. Sekuestrimi i provave materiale, përfshirë akte/fashikuj, telefona, USB, njësi kompjuterike, </w:t>
      </w:r>
      <w:proofErr w:type="spellStart"/>
      <w:r w:rsidRPr="0098310A">
        <w:rPr>
          <w:rFonts w:ascii="Garamond" w:hAnsi="Garamond"/>
        </w:rPr>
        <w:t>hard</w:t>
      </w:r>
      <w:proofErr w:type="spellEnd"/>
      <w:r w:rsidRPr="0098310A">
        <w:rPr>
          <w:rFonts w:ascii="Garamond" w:hAnsi="Garamond"/>
        </w:rPr>
        <w:t xml:space="preserve"> disqe,</w:t>
      </w:r>
      <w:r w:rsidRPr="00986A66">
        <w:rPr>
          <w:rFonts w:ascii="Garamond" w:hAnsi="Garamond"/>
        </w:rPr>
        <w:t xml:space="preserve"> është i justifikuar referuar nenit 17 të Kushtetutës. Kufizimet janë kryer për një interes publik në kuadër të një hetimi nga Prokuroria e Posaçme, e cila është duke hetuar për dy vepra penale të parashikuara nga nenet 260 dhe 287 të KP-së dhe, për këto arsye, sekuestrimi i sendeve ka ndjekur një qëllim provues dhe të drejtë, pasi nëpërmjet ekzaminimit të sendeve të sekuestruara organi procedues kërkon të marrë të dhëna për të bërë të mundur identifikimin e personit/</w:t>
      </w:r>
      <w:proofErr w:type="spellStart"/>
      <w:r w:rsidRPr="00986A66">
        <w:rPr>
          <w:rFonts w:ascii="Garamond" w:hAnsi="Garamond"/>
        </w:rPr>
        <w:t>ave</w:t>
      </w:r>
      <w:proofErr w:type="spellEnd"/>
      <w:r w:rsidRPr="00986A66">
        <w:rPr>
          <w:rFonts w:ascii="Garamond" w:hAnsi="Garamond"/>
        </w:rPr>
        <w:t xml:space="preserve"> përgjegjës lidhur me faktin nëse ka veprime të dyshuara si fiktive ose </w:t>
      </w:r>
      <w:proofErr w:type="spellStart"/>
      <w:r w:rsidRPr="00986A66">
        <w:rPr>
          <w:rFonts w:ascii="Garamond" w:hAnsi="Garamond"/>
        </w:rPr>
        <w:t>korruptive</w:t>
      </w:r>
      <w:proofErr w:type="spellEnd"/>
      <w:r w:rsidRPr="00986A66">
        <w:rPr>
          <w:rFonts w:ascii="Garamond" w:hAnsi="Garamond"/>
        </w:rPr>
        <w:t xml:space="preserve"> në kuadër të hetimit të zhvilluar për procedimin penal në fjalë.</w:t>
      </w:r>
    </w:p>
    <w:p w14:paraId="52365914" w14:textId="77777777" w:rsidR="0018261C" w:rsidRPr="00986A66" w:rsidRDefault="0018261C" w:rsidP="006B7EB4">
      <w:pPr>
        <w:pStyle w:val="ListParagraph"/>
        <w:tabs>
          <w:tab w:val="left" w:pos="1080"/>
          <w:tab w:val="left" w:pos="1520"/>
        </w:tabs>
        <w:spacing w:line="240" w:lineRule="auto"/>
        <w:ind w:left="0" w:firstLine="284"/>
        <w:jc w:val="both"/>
        <w:rPr>
          <w:rFonts w:ascii="Garamond" w:hAnsi="Garamond"/>
        </w:rPr>
      </w:pPr>
      <w:r w:rsidRPr="00986A66">
        <w:rPr>
          <w:rFonts w:ascii="Garamond" w:hAnsi="Garamond"/>
        </w:rPr>
        <w:t xml:space="preserve">13.1.4. Nuk ka cenim të veprimtarisë së shoqërisë ose pengim të aktivitetit tregtar të saj, pasi oficerët e BKH-së i kanë dhënë shoqërisë kopje të </w:t>
      </w:r>
      <w:proofErr w:type="spellStart"/>
      <w:r w:rsidRPr="00986A66">
        <w:rPr>
          <w:rFonts w:ascii="Garamond" w:hAnsi="Garamond"/>
        </w:rPr>
        <w:t>të</w:t>
      </w:r>
      <w:proofErr w:type="spellEnd"/>
      <w:r w:rsidRPr="00986A66">
        <w:rPr>
          <w:rFonts w:ascii="Garamond" w:hAnsi="Garamond"/>
        </w:rPr>
        <w:t xml:space="preserve"> gjitha të dhënave që janë gjetur në njësitë kompjuterike të sekuestruara.</w:t>
      </w:r>
    </w:p>
    <w:p w14:paraId="0A042EDC" w14:textId="77777777" w:rsidR="0018261C" w:rsidRPr="00986A66" w:rsidRDefault="0018261C" w:rsidP="006B7EB4">
      <w:pPr>
        <w:pStyle w:val="BodyTextIndent2"/>
        <w:tabs>
          <w:tab w:val="left" w:pos="980"/>
        </w:tabs>
        <w:spacing w:line="240" w:lineRule="auto"/>
        <w:ind w:left="0" w:firstLine="284"/>
        <w:jc w:val="center"/>
        <w:rPr>
          <w:rFonts w:ascii="Garamond" w:hAnsi="Garamond"/>
        </w:rPr>
      </w:pPr>
    </w:p>
    <w:p w14:paraId="5D865230" w14:textId="77777777" w:rsidR="0018261C" w:rsidRPr="00986A66" w:rsidRDefault="0018261C" w:rsidP="006B7EB4">
      <w:pPr>
        <w:pStyle w:val="BodyTextIndent2"/>
        <w:tabs>
          <w:tab w:val="left" w:pos="980"/>
        </w:tabs>
        <w:spacing w:line="240" w:lineRule="auto"/>
        <w:ind w:left="0" w:firstLine="284"/>
        <w:jc w:val="center"/>
        <w:rPr>
          <w:rFonts w:ascii="Garamond" w:hAnsi="Garamond"/>
        </w:rPr>
      </w:pPr>
      <w:r w:rsidRPr="00986A66">
        <w:rPr>
          <w:rFonts w:ascii="Garamond" w:hAnsi="Garamond"/>
        </w:rPr>
        <w:t>III</w:t>
      </w:r>
    </w:p>
    <w:p w14:paraId="050BD1FC" w14:textId="77777777" w:rsidR="0018261C" w:rsidRPr="00986A66" w:rsidRDefault="0018261C" w:rsidP="006B7EB4">
      <w:pPr>
        <w:pStyle w:val="BodyTextIndent2"/>
        <w:tabs>
          <w:tab w:val="left" w:pos="1260"/>
        </w:tabs>
        <w:spacing w:line="240" w:lineRule="auto"/>
        <w:ind w:left="0" w:firstLine="284"/>
        <w:jc w:val="center"/>
        <w:rPr>
          <w:rFonts w:ascii="Garamond" w:hAnsi="Garamond"/>
        </w:rPr>
      </w:pPr>
      <w:r w:rsidRPr="00986A66">
        <w:rPr>
          <w:rFonts w:ascii="Garamond" w:hAnsi="Garamond"/>
        </w:rPr>
        <w:t>Vlerësimi i Gjykatës Kushtetuese</w:t>
      </w:r>
    </w:p>
    <w:p w14:paraId="7167E0E2" w14:textId="77777777" w:rsidR="00986A66" w:rsidRDefault="00986A66" w:rsidP="006B7EB4">
      <w:pPr>
        <w:pStyle w:val="BodyTextIndent2"/>
        <w:tabs>
          <w:tab w:val="left" w:pos="0"/>
        </w:tabs>
        <w:spacing w:line="240" w:lineRule="auto"/>
        <w:ind w:left="0" w:firstLine="284"/>
        <w:rPr>
          <w:rFonts w:ascii="Garamond" w:hAnsi="Garamond"/>
          <w:b w:val="0"/>
          <w:bCs/>
          <w:i/>
          <w:iCs/>
        </w:rPr>
      </w:pPr>
    </w:p>
    <w:p w14:paraId="31835C28" w14:textId="64FDA320" w:rsidR="0018261C" w:rsidRPr="00986A66" w:rsidRDefault="0018261C" w:rsidP="006B7EB4">
      <w:pPr>
        <w:pStyle w:val="BodyTextIndent2"/>
        <w:tabs>
          <w:tab w:val="left" w:pos="0"/>
        </w:tabs>
        <w:spacing w:line="240" w:lineRule="auto"/>
        <w:ind w:left="0" w:firstLine="284"/>
        <w:rPr>
          <w:rFonts w:ascii="Garamond" w:hAnsi="Garamond"/>
          <w:b w:val="0"/>
          <w:bCs/>
          <w:i/>
          <w:iCs/>
        </w:rPr>
      </w:pPr>
      <w:r w:rsidRPr="00986A66">
        <w:rPr>
          <w:rFonts w:ascii="Garamond" w:hAnsi="Garamond"/>
          <w:b w:val="0"/>
          <w:bCs/>
          <w:i/>
          <w:iCs/>
        </w:rPr>
        <w:t>A. Për legjitimimin e kërkuesve</w:t>
      </w:r>
    </w:p>
    <w:p w14:paraId="1773396F" w14:textId="3CC1F10A" w:rsidR="0018261C" w:rsidRPr="00986A66" w:rsidRDefault="0018261C" w:rsidP="006B7EB4">
      <w:pPr>
        <w:tabs>
          <w:tab w:val="left" w:pos="1080"/>
        </w:tabs>
        <w:spacing w:line="240" w:lineRule="auto"/>
        <w:ind w:firstLine="284"/>
        <w:jc w:val="both"/>
        <w:rPr>
          <w:rFonts w:ascii="Garamond" w:hAnsi="Garamond"/>
          <w:b/>
          <w:bCs/>
        </w:rPr>
      </w:pPr>
      <w:r w:rsidRPr="00986A66">
        <w:rPr>
          <w:rFonts w:ascii="Garamond" w:hAnsi="Garamond"/>
        </w:rPr>
        <w:t>14.</w:t>
      </w:r>
      <w:r w:rsidR="006B7EB4" w:rsidRPr="00986A66">
        <w:rPr>
          <w:rFonts w:ascii="Garamond" w:hAnsi="Garamond"/>
        </w:rPr>
        <w:t xml:space="preserve"> </w:t>
      </w:r>
      <w:r w:rsidRPr="00986A66">
        <w:rPr>
          <w:rFonts w:ascii="Garamond" w:hAnsi="Garamond"/>
        </w:rPr>
        <w:t xml:space="preserve">Çështja e legjitimimit </w:t>
      </w:r>
      <w:r w:rsidRPr="0098310A">
        <w:rPr>
          <w:rFonts w:ascii="Garamond" w:hAnsi="Garamond"/>
          <w:i/>
          <w:iCs/>
        </w:rPr>
        <w:t>(</w:t>
      </w:r>
      <w:proofErr w:type="spellStart"/>
      <w:r w:rsidRPr="0098310A">
        <w:rPr>
          <w:rFonts w:ascii="Garamond" w:hAnsi="Garamond"/>
          <w:i/>
          <w:iCs/>
        </w:rPr>
        <w:t>locus</w:t>
      </w:r>
      <w:proofErr w:type="spellEnd"/>
      <w:r w:rsidRPr="0098310A">
        <w:rPr>
          <w:rFonts w:ascii="Garamond" w:hAnsi="Garamond"/>
          <w:i/>
          <w:iCs/>
        </w:rPr>
        <w:t xml:space="preserve"> </w:t>
      </w:r>
      <w:proofErr w:type="spellStart"/>
      <w:r w:rsidRPr="0098310A">
        <w:rPr>
          <w:rFonts w:ascii="Garamond" w:hAnsi="Garamond"/>
          <w:i/>
          <w:iCs/>
        </w:rPr>
        <w:t>standi</w:t>
      </w:r>
      <w:proofErr w:type="spellEnd"/>
      <w:r w:rsidRPr="0098310A">
        <w:rPr>
          <w:rFonts w:ascii="Garamond" w:hAnsi="Garamond"/>
          <w:i/>
          <w:iCs/>
        </w:rPr>
        <w:t>)</w:t>
      </w:r>
      <w:r w:rsidRPr="00986A66">
        <w:rPr>
          <w:rFonts w:ascii="Garamond" w:hAnsi="Garamond"/>
        </w:rPr>
        <w:t xml:space="preserve"> është një ndër aspektet kryesore që lidhet me nisjen e një procesi kushtetues. Sipas neneve 131, pika 1, shkronja “f” dhe 134, pikat 1, shkronja “i” dhe 2, të Kushtetutës, si dhe nenit 71 të Ligjit Organik të Gjykatës, çdo person fizik ose juridik, subjekt i së drejtës private,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986A66">
        <w:rPr>
          <w:rFonts w:ascii="Garamond" w:hAnsi="Garamond"/>
        </w:rPr>
        <w:t>kumulative</w:t>
      </w:r>
      <w:proofErr w:type="spellEnd"/>
      <w:r w:rsidRPr="00986A66">
        <w:rPr>
          <w:rFonts w:ascii="Garamond" w:hAnsi="Garamond"/>
        </w:rPr>
        <w:t xml:space="preser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3A6F1511" w14:textId="79E84098"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15.</w:t>
      </w:r>
      <w:r w:rsidR="006B7EB4" w:rsidRPr="00986A66">
        <w:rPr>
          <w:rFonts w:ascii="Garamond" w:hAnsi="Garamond"/>
        </w:rPr>
        <w:t xml:space="preserve"> </w:t>
      </w:r>
      <w:r w:rsidRPr="00986A66">
        <w:rPr>
          <w:rFonts w:ascii="Garamond" w:hAnsi="Garamond"/>
        </w:rPr>
        <w:t xml:space="preserve">Në lidhje me legjitimimin </w:t>
      </w:r>
      <w:proofErr w:type="spellStart"/>
      <w:r w:rsidRPr="00986A66">
        <w:rPr>
          <w:rFonts w:ascii="Garamond" w:hAnsi="Garamond"/>
          <w:i/>
          <w:iCs/>
        </w:rPr>
        <w:t>ratione</w:t>
      </w:r>
      <w:proofErr w:type="spellEnd"/>
      <w:r w:rsidRPr="00986A66">
        <w:rPr>
          <w:rFonts w:ascii="Garamond" w:hAnsi="Garamond"/>
          <w:i/>
          <w:iCs/>
        </w:rPr>
        <w:t xml:space="preserve"> </w:t>
      </w:r>
      <w:proofErr w:type="spellStart"/>
      <w:r w:rsidRPr="00986A66">
        <w:rPr>
          <w:rFonts w:ascii="Garamond" w:hAnsi="Garamond"/>
          <w:i/>
          <w:iCs/>
        </w:rPr>
        <w:t>personae</w:t>
      </w:r>
      <w:proofErr w:type="spellEnd"/>
      <w:r w:rsidRPr="00986A66">
        <w:rPr>
          <w:rFonts w:ascii="Garamond" w:hAnsi="Garamond"/>
        </w:rPr>
        <w:t xml:space="preserve">, Gjykata ka theksuar se në kuptim të neneve 131, pika 1, shkronja “f” dhe 134, pikat 1, shkronja “i” dhe 2, të Kushtetutës, individi mund të bëjë ankim kushtetues individual vetëm për çështje që lidhen me të drejtat themelore të tij, duke treguar se është viktimë e një shkeljeje dhe se pasojat nga akti i kundërshtuar janë të drejtpërdrejta dhe reale për të </w:t>
      </w:r>
      <w:r w:rsidRPr="0098310A">
        <w:rPr>
          <w:rFonts w:ascii="Garamond" w:hAnsi="Garamond"/>
          <w:i/>
          <w:iCs/>
        </w:rPr>
        <w:t>(</w:t>
      </w:r>
      <w:r w:rsidRPr="00986A66">
        <w:rPr>
          <w:rFonts w:ascii="Garamond" w:hAnsi="Garamond"/>
          <w:i/>
          <w:iCs/>
        </w:rPr>
        <w:t>shih vendimet nr. 21, datë 22.4.2025; nr. 17, datë 13.3.2024; nr. 44, datë 26.9.2023</w:t>
      </w:r>
      <w:r w:rsidR="0098310A">
        <w:rPr>
          <w:rFonts w:ascii="Garamond" w:hAnsi="Garamond"/>
          <w:i/>
          <w:iCs/>
        </w:rPr>
        <w:t>,</w:t>
      </w:r>
      <w:r w:rsidRPr="00986A66">
        <w:rPr>
          <w:rFonts w:ascii="Garamond" w:hAnsi="Garamond"/>
          <w:i/>
          <w:iCs/>
        </w:rPr>
        <w:t xml:space="preserve"> të Gjykatës Kushtetuese</w:t>
      </w:r>
      <w:r w:rsidRPr="0098310A">
        <w:rPr>
          <w:rFonts w:ascii="Garamond" w:hAnsi="Garamond"/>
          <w:i/>
          <w:iCs/>
        </w:rPr>
        <w:t>).</w:t>
      </w:r>
      <w:r w:rsidRPr="00986A66">
        <w:rPr>
          <w:rFonts w:ascii="Garamond" w:hAnsi="Garamond"/>
        </w:rPr>
        <w:t xml:space="preserve"> Kjo do të thotë se kërkuesi duhet të provojë legjitimimin e tij si në aspektin procedural, ashtu edhe në atë substancial </w:t>
      </w:r>
      <w:r w:rsidRPr="0098310A">
        <w:rPr>
          <w:rFonts w:ascii="Garamond" w:hAnsi="Garamond"/>
          <w:i/>
          <w:iCs/>
        </w:rPr>
        <w:t>(</w:t>
      </w:r>
      <w:r w:rsidRPr="00986A66">
        <w:rPr>
          <w:rFonts w:ascii="Garamond" w:hAnsi="Garamond"/>
          <w:i/>
          <w:iCs/>
        </w:rPr>
        <w:t>shih vendimin nr. 29, datë 16.4.2024</w:t>
      </w:r>
      <w:r w:rsidR="0098310A">
        <w:rPr>
          <w:rFonts w:ascii="Garamond" w:hAnsi="Garamond"/>
          <w:i/>
          <w:iCs/>
        </w:rPr>
        <w:t>,</w:t>
      </w:r>
      <w:r w:rsidRPr="00986A66">
        <w:rPr>
          <w:rFonts w:ascii="Garamond" w:hAnsi="Garamond"/>
          <w:i/>
          <w:iCs/>
        </w:rPr>
        <w:t xml:space="preserve"> të Gjykatës Kushtetuese</w:t>
      </w:r>
      <w:r w:rsidRPr="0098310A">
        <w:rPr>
          <w:rFonts w:ascii="Garamond" w:hAnsi="Garamond"/>
          <w:i/>
          <w:iCs/>
        </w:rPr>
        <w:t>).</w:t>
      </w:r>
      <w:r w:rsidRPr="00986A66">
        <w:rPr>
          <w:rFonts w:ascii="Garamond" w:hAnsi="Garamond"/>
        </w:rPr>
        <w:t xml:space="preserve"> Gjithashtu, në kuptim të nenit 16 të Kushtetutës, të drejtat dhe liritë themelore të parashikuara në Kushtetutë vlejnë edhe për personat juridikë, për aq sa përputhen me qëllimet e përgjithshme të tyre dhe me thelbin e këtyre të drejtave e lirive.</w:t>
      </w:r>
    </w:p>
    <w:p w14:paraId="5287FA6D" w14:textId="20D3CA6B"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16.</w:t>
      </w:r>
      <w:r w:rsidR="006B7EB4" w:rsidRPr="00986A66">
        <w:rPr>
          <w:rFonts w:ascii="Garamond" w:hAnsi="Garamond"/>
        </w:rPr>
        <w:t xml:space="preserve"> </w:t>
      </w:r>
      <w:r w:rsidRPr="00986A66">
        <w:rPr>
          <w:rFonts w:ascii="Garamond" w:hAnsi="Garamond"/>
        </w:rPr>
        <w:t xml:space="preserve">Në çështjen në shqyrtim, Gjykata vëren se kërkuesit kanë kundërshtuar vendimin e GJKKO-së së Shkallës së Parë për lejimin e kontrollit të zyrës së kërkueses së parë dhe atë personal të kërkuesit të dytë, mënyrën e zbatimit të tij nga oficerët e BKH-së, sikundër edhe vendimin për vleftësimin e masës së sekuestrimit për qëllime provuese të prokurorit, si dhe vendimet gjyqësore që kanë rrëzuar ankimin e tyre, me pretendimin se masa dhe veprimi hetimor në fjalë, si dhe ligjërimi i tyre nga gjykatat e zakonshme kanë ndërhyrë drejtpërdrejt në të drejtat themelore të tyre. Në këto kushte, Gjykata çmon se kërkuesit kanë qenë palë në proces dhe justifikojnë interesin në çështjen e parashtruar dhe, për rrjedhojë, legjitimohen </w:t>
      </w:r>
      <w:proofErr w:type="spellStart"/>
      <w:r w:rsidRPr="00986A66">
        <w:rPr>
          <w:rFonts w:ascii="Garamond" w:hAnsi="Garamond"/>
          <w:i/>
          <w:iCs/>
        </w:rPr>
        <w:t>ratione</w:t>
      </w:r>
      <w:proofErr w:type="spellEnd"/>
      <w:r w:rsidRPr="00986A66">
        <w:rPr>
          <w:rFonts w:ascii="Garamond" w:hAnsi="Garamond"/>
          <w:i/>
          <w:iCs/>
        </w:rPr>
        <w:t xml:space="preserve"> </w:t>
      </w:r>
      <w:proofErr w:type="spellStart"/>
      <w:r w:rsidRPr="00986A66">
        <w:rPr>
          <w:rFonts w:ascii="Garamond" w:hAnsi="Garamond"/>
          <w:i/>
          <w:iCs/>
        </w:rPr>
        <w:t>personae</w:t>
      </w:r>
      <w:proofErr w:type="spellEnd"/>
      <w:r w:rsidRPr="00986A66">
        <w:rPr>
          <w:rFonts w:ascii="Garamond" w:hAnsi="Garamond"/>
        </w:rPr>
        <w:t xml:space="preserve">. </w:t>
      </w:r>
    </w:p>
    <w:p w14:paraId="459F0BDA" w14:textId="194D2275"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17.</w:t>
      </w:r>
      <w:r w:rsidR="006B7EB4" w:rsidRPr="00986A66">
        <w:rPr>
          <w:rFonts w:ascii="Garamond" w:hAnsi="Garamond"/>
        </w:rPr>
        <w:t xml:space="preserve"> </w:t>
      </w:r>
      <w:r w:rsidRPr="00986A66">
        <w:rPr>
          <w:rFonts w:ascii="Garamond" w:hAnsi="Garamond"/>
        </w:rPr>
        <w:t xml:space="preserve">Për sa i takon kriterit të </w:t>
      </w:r>
      <w:r w:rsidRPr="00986A66">
        <w:rPr>
          <w:rFonts w:ascii="Garamond" w:hAnsi="Garamond"/>
          <w:i/>
          <w:iCs/>
        </w:rPr>
        <w:t>shterimit të mjeteve juridike efektive</w:t>
      </w:r>
      <w:r w:rsidRPr="00986A66">
        <w:rPr>
          <w:rFonts w:ascii="Garamond" w:hAnsi="Garamond"/>
        </w:rPr>
        <w:t xml:space="preserve">, duke pasur parasysh se vendimet e ndërmjetme të </w:t>
      </w:r>
      <w:proofErr w:type="spellStart"/>
      <w:r w:rsidRPr="00986A66">
        <w:rPr>
          <w:rFonts w:ascii="Garamond" w:hAnsi="Garamond"/>
        </w:rPr>
        <w:t>sekuestros</w:t>
      </w:r>
      <w:proofErr w:type="spellEnd"/>
      <w:r w:rsidRPr="00986A66">
        <w:rPr>
          <w:rFonts w:ascii="Garamond" w:hAnsi="Garamond"/>
        </w:rPr>
        <w:t xml:space="preserve"> provuese, të zbatuara gjatë hetimeve paraprake, i janë nënshtruar kontrollit kushtetues duke u konsideruar si vendime përfundimtare, në kuptim të nenit 131, pika 1, shkronja “f”, të Kushtetutës, për sa kohë ndërhyjnë në të drejtat kushtetuese individuale </w:t>
      </w:r>
      <w:r w:rsidRPr="0098310A">
        <w:rPr>
          <w:rFonts w:ascii="Garamond" w:hAnsi="Garamond"/>
          <w:i/>
          <w:iCs/>
        </w:rPr>
        <w:t>(shih vendimet nr. 42, datë 1.7.2025; nr. 21, datë 22.4.2025</w:t>
      </w:r>
      <w:r w:rsidR="0098310A" w:rsidRPr="0098310A">
        <w:rPr>
          <w:rFonts w:ascii="Garamond" w:hAnsi="Garamond"/>
          <w:i/>
          <w:iCs/>
        </w:rPr>
        <w:t>,</w:t>
      </w:r>
      <w:r w:rsidRPr="0098310A">
        <w:rPr>
          <w:rFonts w:ascii="Garamond" w:hAnsi="Garamond"/>
          <w:i/>
          <w:iCs/>
        </w:rPr>
        <w:t xml:space="preserve"> të Gjykatës Kushtetuese),</w:t>
      </w:r>
      <w:r w:rsidRPr="00986A66">
        <w:rPr>
          <w:rFonts w:ascii="Garamond" w:hAnsi="Garamond"/>
        </w:rPr>
        <w:t xml:space="preserve"> si dhe faktin se pretendimet në ankimin kushtetues individual kërkuesit i kanë paraqitur më parë, në formë dhe në substancë, përpara gjykatave të zakonshme, Gjykata vlerëson se ata nuk kanë mjete të tjera juridike </w:t>
      </w:r>
      <w:r w:rsidRPr="00986A66">
        <w:rPr>
          <w:rFonts w:ascii="Garamond" w:hAnsi="Garamond"/>
        </w:rPr>
        <w:lastRenderedPageBreak/>
        <w:t>në dispozicion për mbrojtjen e të drejtave kushtetuese përveç ankimit kushtetues individual, ndaj edhe ky kriter plotësohet.</w:t>
      </w:r>
    </w:p>
    <w:p w14:paraId="01968563" w14:textId="0DFFE6CC"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18.</w:t>
      </w:r>
      <w:r w:rsidR="006B7EB4" w:rsidRPr="00986A66">
        <w:rPr>
          <w:rFonts w:ascii="Garamond" w:hAnsi="Garamond"/>
        </w:rPr>
        <w:t xml:space="preserve"> </w:t>
      </w:r>
      <w:r w:rsidRPr="00986A66">
        <w:rPr>
          <w:rFonts w:ascii="Garamond" w:hAnsi="Garamond"/>
        </w:rPr>
        <w:t xml:space="preserve">Kërkuesit legjitimohen edhe </w:t>
      </w:r>
      <w:proofErr w:type="spellStart"/>
      <w:r w:rsidRPr="00986A66">
        <w:rPr>
          <w:rFonts w:ascii="Garamond" w:hAnsi="Garamond"/>
          <w:i/>
          <w:iCs/>
        </w:rPr>
        <w:t>ratione</w:t>
      </w:r>
      <w:proofErr w:type="spellEnd"/>
      <w:r w:rsidRPr="00986A66">
        <w:rPr>
          <w:rFonts w:ascii="Garamond" w:hAnsi="Garamond"/>
          <w:i/>
          <w:iCs/>
        </w:rPr>
        <w:t xml:space="preserve"> </w:t>
      </w:r>
      <w:proofErr w:type="spellStart"/>
      <w:r w:rsidRPr="00986A66">
        <w:rPr>
          <w:rFonts w:ascii="Garamond" w:hAnsi="Garamond"/>
          <w:i/>
          <w:iCs/>
        </w:rPr>
        <w:t>temporis</w:t>
      </w:r>
      <w:proofErr w:type="spellEnd"/>
      <w:r w:rsidRPr="00986A66">
        <w:rPr>
          <w:rFonts w:ascii="Garamond" w:hAnsi="Garamond"/>
        </w:rPr>
        <w:t>, sipas nenit 71/a, pika 1, shkronja “b”, të Ligjit Organik të Gjykatës, pasi vendimi i Gjykatës së Lartë mban datën 17.10.2024 dhe është publikuar në faqen zyrtare të asaj gjykate në datën 23.12.2024, ndërsa ankimi kushtetues individual është dërguar nëpërmjet shërbimit postar në datën 15.4.2025, pra brenda afatit ligjor 4-mujor.</w:t>
      </w:r>
    </w:p>
    <w:p w14:paraId="0687DC9E" w14:textId="425311DB"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19.</w:t>
      </w:r>
      <w:r w:rsidR="006B7EB4" w:rsidRPr="00986A66">
        <w:rPr>
          <w:rFonts w:ascii="Garamond" w:hAnsi="Garamond"/>
        </w:rPr>
        <w:t xml:space="preserve"> </w:t>
      </w:r>
      <w:r w:rsidRPr="00986A66">
        <w:rPr>
          <w:rFonts w:ascii="Garamond" w:hAnsi="Garamond"/>
        </w:rPr>
        <w:t xml:space="preserve">Në drejtim të legjitimimit </w:t>
      </w:r>
      <w:proofErr w:type="spellStart"/>
      <w:r w:rsidRPr="00986A66">
        <w:rPr>
          <w:rFonts w:ascii="Garamond" w:hAnsi="Garamond"/>
          <w:i/>
          <w:iCs/>
        </w:rPr>
        <w:t>ratione</w:t>
      </w:r>
      <w:proofErr w:type="spellEnd"/>
      <w:r w:rsidRPr="00986A66">
        <w:rPr>
          <w:rFonts w:ascii="Garamond" w:hAnsi="Garamond"/>
          <w:i/>
          <w:iCs/>
        </w:rPr>
        <w:t xml:space="preserve"> </w:t>
      </w:r>
      <w:proofErr w:type="spellStart"/>
      <w:r w:rsidRPr="00986A66">
        <w:rPr>
          <w:rFonts w:ascii="Garamond" w:hAnsi="Garamond"/>
          <w:i/>
          <w:iCs/>
        </w:rPr>
        <w:t>materiae</w:t>
      </w:r>
      <w:proofErr w:type="spellEnd"/>
      <w:r w:rsidRPr="00986A66">
        <w:rPr>
          <w:rFonts w:ascii="Garamond" w:hAnsi="Garamond"/>
        </w:rPr>
        <w:t xml:space="preserve">, Gjykata vëren se kërkuesit kanë pretenduar cenimin e së </w:t>
      </w:r>
      <w:r w:rsidRPr="00986A66">
        <w:rPr>
          <w:rFonts w:ascii="Garamond" w:hAnsi="Garamond"/>
          <w:i/>
          <w:iCs/>
        </w:rPr>
        <w:t>drejtës për jetë private</w:t>
      </w:r>
      <w:r w:rsidRPr="00986A66">
        <w:rPr>
          <w:rFonts w:ascii="Garamond" w:hAnsi="Garamond"/>
        </w:rPr>
        <w:t xml:space="preserve"> në disa aspekte, për shkak të kontrolleve të ushtruara dhe sekuestrimit të pajisjeve dhe të dhënave kompjuterike që i kanë pasuar ato, ndërsa kanë kundërshtuar vendimet e gjykatave të posaçme, duke pretenduar edhe cenimin e </w:t>
      </w:r>
      <w:r w:rsidRPr="0098310A">
        <w:rPr>
          <w:rFonts w:ascii="Garamond" w:hAnsi="Garamond"/>
          <w:i/>
          <w:iCs/>
        </w:rPr>
        <w:t>së</w:t>
      </w:r>
      <w:r w:rsidRPr="00986A66">
        <w:rPr>
          <w:rFonts w:ascii="Garamond" w:hAnsi="Garamond"/>
        </w:rPr>
        <w:t xml:space="preserve"> </w:t>
      </w:r>
      <w:r w:rsidRPr="00986A66">
        <w:rPr>
          <w:rFonts w:ascii="Garamond" w:hAnsi="Garamond"/>
          <w:i/>
          <w:iCs/>
        </w:rPr>
        <w:t xml:space="preserve">drejtës për proces të rregull ligjor </w:t>
      </w:r>
      <w:r w:rsidRPr="00986A66">
        <w:rPr>
          <w:rFonts w:ascii="Garamond" w:hAnsi="Garamond"/>
        </w:rPr>
        <w:t>në disa aspekte,</w:t>
      </w:r>
      <w:r w:rsidRPr="00986A66">
        <w:rPr>
          <w:rFonts w:ascii="Garamond" w:hAnsi="Garamond"/>
          <w:i/>
          <w:iCs/>
        </w:rPr>
        <w:t xml:space="preserve"> </w:t>
      </w:r>
      <w:r w:rsidRPr="00986A66">
        <w:rPr>
          <w:rFonts w:ascii="Garamond" w:hAnsi="Garamond"/>
        </w:rPr>
        <w:t xml:space="preserve">si dhe </w:t>
      </w:r>
      <w:r w:rsidRPr="00986A66">
        <w:rPr>
          <w:rFonts w:ascii="Garamond" w:hAnsi="Garamond"/>
          <w:i/>
          <w:iCs/>
        </w:rPr>
        <w:t>drejtën për pronë private</w:t>
      </w:r>
      <w:r w:rsidRPr="00986A66">
        <w:rPr>
          <w:rFonts w:ascii="Garamond" w:hAnsi="Garamond"/>
        </w:rPr>
        <w:t xml:space="preserve">. </w:t>
      </w:r>
    </w:p>
    <w:p w14:paraId="25274EFA" w14:textId="58CC07DD"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20.</w:t>
      </w:r>
      <w:r w:rsidR="006B7EB4" w:rsidRPr="00986A66">
        <w:rPr>
          <w:rFonts w:ascii="Garamond" w:hAnsi="Garamond"/>
        </w:rPr>
        <w:t xml:space="preserve"> </w:t>
      </w:r>
      <w:r w:rsidRPr="00986A66">
        <w:rPr>
          <w:rFonts w:ascii="Garamond" w:hAnsi="Garamond"/>
        </w:rPr>
        <w:t xml:space="preserve">Lidhur me pretendimin për cenimin e së </w:t>
      </w:r>
      <w:r w:rsidRPr="00986A66">
        <w:rPr>
          <w:rFonts w:ascii="Garamond" w:hAnsi="Garamond"/>
          <w:i/>
          <w:iCs/>
        </w:rPr>
        <w:t>drejtës së pronës private</w:t>
      </w:r>
      <w:r w:rsidRPr="00986A66">
        <w:rPr>
          <w:rFonts w:ascii="Garamond" w:hAnsi="Garamond"/>
        </w:rPr>
        <w:t>, sipas nenit 41 të Kushtetutës, Gjykata evidenton se kërkuesit nuk kanë paraqitur ndonjë argument kushtetues në mbështetje të tij, por janë përqendruar vetëm tek e drejta për mbrojtjen e të dhënave personale dhe fshehtësinë e korrespondencës. Për këto arsye, Gjykata çmon se ky pretendim nuk mund të merret në shqyrtim.</w:t>
      </w:r>
    </w:p>
    <w:p w14:paraId="700D86EB" w14:textId="5FBD76A0"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21.</w:t>
      </w:r>
      <w:r w:rsidR="006B7EB4" w:rsidRPr="00986A66">
        <w:rPr>
          <w:rFonts w:ascii="Garamond" w:hAnsi="Garamond"/>
        </w:rPr>
        <w:t xml:space="preserve"> </w:t>
      </w:r>
      <w:r w:rsidRPr="00986A66">
        <w:rPr>
          <w:rFonts w:ascii="Garamond" w:hAnsi="Garamond"/>
        </w:rPr>
        <w:t xml:space="preserve">Për sa i përket pretendimit për cenimin e </w:t>
      </w:r>
      <w:r w:rsidRPr="0098310A">
        <w:rPr>
          <w:rFonts w:ascii="Garamond" w:hAnsi="Garamond"/>
          <w:i/>
          <w:iCs/>
        </w:rPr>
        <w:t>së</w:t>
      </w:r>
      <w:r w:rsidRPr="00986A66">
        <w:rPr>
          <w:rFonts w:ascii="Garamond" w:hAnsi="Garamond"/>
        </w:rPr>
        <w:t xml:space="preserve"> </w:t>
      </w:r>
      <w:r w:rsidRPr="00986A66">
        <w:rPr>
          <w:rFonts w:ascii="Garamond" w:hAnsi="Garamond"/>
          <w:i/>
          <w:iCs/>
        </w:rPr>
        <w:t>drejtës për jetë private</w:t>
      </w:r>
      <w:r w:rsidRPr="00986A66">
        <w:rPr>
          <w:rFonts w:ascii="Garamond" w:hAnsi="Garamond"/>
        </w:rPr>
        <w:t xml:space="preserve">, Gjykata vëren se kërkuesit e kanë argumentuar atë në aspektin e mbrojtjes të </w:t>
      </w:r>
      <w:proofErr w:type="spellStart"/>
      <w:r w:rsidRPr="00986A66">
        <w:rPr>
          <w:rFonts w:ascii="Garamond" w:hAnsi="Garamond"/>
        </w:rPr>
        <w:t>të</w:t>
      </w:r>
      <w:proofErr w:type="spellEnd"/>
      <w:r w:rsidRPr="00986A66">
        <w:rPr>
          <w:rFonts w:ascii="Garamond" w:hAnsi="Garamond"/>
        </w:rPr>
        <w:t xml:space="preserve"> dhënave personale, lirisë dhe fshehtësisë së korrespondencës dhe paprekshmërisë së banesës, të garantuara nga nenet 35, 36 dhe 37 të Kushtetutës. Nga ana tjetër, kërkuesit kanë pretenduar edhe cenimin e së </w:t>
      </w:r>
      <w:r w:rsidRPr="00986A66">
        <w:rPr>
          <w:rFonts w:ascii="Garamond" w:hAnsi="Garamond"/>
          <w:i/>
          <w:iCs/>
        </w:rPr>
        <w:t xml:space="preserve">drejtës për proces të rregullt ligjor, </w:t>
      </w:r>
      <w:r w:rsidRPr="00986A66">
        <w:rPr>
          <w:rFonts w:ascii="Garamond" w:hAnsi="Garamond"/>
        </w:rPr>
        <w:t xml:space="preserve">të garantuar nga neni 42 i Kushtetutës, në drejtim të së drejtës së </w:t>
      </w:r>
      <w:proofErr w:type="spellStart"/>
      <w:r w:rsidRPr="00986A66">
        <w:rPr>
          <w:rFonts w:ascii="Garamond" w:hAnsi="Garamond"/>
        </w:rPr>
        <w:t>aksesit</w:t>
      </w:r>
      <w:proofErr w:type="spellEnd"/>
      <w:r w:rsidRPr="00986A66">
        <w:rPr>
          <w:rFonts w:ascii="Garamond" w:hAnsi="Garamond"/>
        </w:rPr>
        <w:t xml:space="preserve"> të lidhur me standardin e arsyetimit të vendimit gjyqësor dhe parimin e sigurisë juridike, duke argumentuar se Gjykata e Lartë nuk është shprehur për rekursin e paraqitur nga kërkuesja e parë, ndërsa lidhur me rekursin e kërkuesit të dytë ajo gjykatë nuk u ka dhënë përgjigje pretendimeve me natyrë kushtetuese, konkretisht atyre në lidhje me tri aspektet e së drejtës për jetë private të pretenduar si të cenuar. </w:t>
      </w:r>
    </w:p>
    <w:p w14:paraId="51FDEBD4" w14:textId="0A36241A"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22.</w:t>
      </w:r>
      <w:r w:rsidR="006B7EB4" w:rsidRPr="00986A66">
        <w:rPr>
          <w:rFonts w:ascii="Garamond" w:hAnsi="Garamond"/>
        </w:rPr>
        <w:t xml:space="preserve"> </w:t>
      </w:r>
      <w:r w:rsidRPr="00986A66">
        <w:rPr>
          <w:rFonts w:ascii="Garamond" w:hAnsi="Garamond"/>
        </w:rPr>
        <w:t>Gjykata, në konsideratë të jurisprudencës së saj të konsoliduar, sipas së cilës kontrolli i respektimit të standardeve kushtetuese të procesit të rregullt ligjor është funksion edhe i gjykatave të zakonshme</w:t>
      </w:r>
      <w:r w:rsidRPr="00986A66">
        <w:rPr>
          <w:rFonts w:ascii="Garamond" w:hAnsi="Garamond"/>
          <w:b/>
          <w:bCs/>
        </w:rPr>
        <w:t xml:space="preserve"> dhe, në mënyrë të veçantë, </w:t>
      </w:r>
      <w:r w:rsidRPr="00986A66">
        <w:rPr>
          <w:rFonts w:ascii="Garamond" w:hAnsi="Garamond"/>
        </w:rPr>
        <w:t xml:space="preserve">i Gjykatës së Lartë </w:t>
      </w:r>
      <w:r w:rsidRPr="0098310A">
        <w:rPr>
          <w:rFonts w:ascii="Garamond" w:hAnsi="Garamond"/>
          <w:i/>
          <w:iCs/>
        </w:rPr>
        <w:t>(shih vendimin nr. 6, datë 16.2.2021</w:t>
      </w:r>
      <w:r w:rsidR="0098310A">
        <w:rPr>
          <w:rFonts w:ascii="Garamond" w:hAnsi="Garamond"/>
          <w:i/>
          <w:iCs/>
        </w:rPr>
        <w:t>,</w:t>
      </w:r>
      <w:r w:rsidRPr="0098310A">
        <w:rPr>
          <w:rFonts w:ascii="Garamond" w:hAnsi="Garamond"/>
          <w:i/>
          <w:iCs/>
        </w:rPr>
        <w:t xml:space="preserve"> të Gjykatës Kushtetuese),</w:t>
      </w:r>
      <w:r w:rsidRPr="00986A66">
        <w:rPr>
          <w:rFonts w:ascii="Garamond" w:hAnsi="Garamond"/>
        </w:rPr>
        <w:t xml:space="preserve"> çmon që fillimisht t’u japë përgjigje pretendimeve të kërkuesve për cenimin e së drejtës së </w:t>
      </w:r>
      <w:proofErr w:type="spellStart"/>
      <w:r w:rsidRPr="00986A66">
        <w:rPr>
          <w:rFonts w:ascii="Garamond" w:hAnsi="Garamond"/>
        </w:rPr>
        <w:t>aksesit</w:t>
      </w:r>
      <w:proofErr w:type="spellEnd"/>
      <w:r w:rsidRPr="00986A66">
        <w:rPr>
          <w:rFonts w:ascii="Garamond" w:hAnsi="Garamond"/>
        </w:rPr>
        <w:t xml:space="preserve"> në gjykatë në lidhje me të drejtën e ankimit substancial</w:t>
      </w:r>
      <w:r w:rsidRPr="00986A66">
        <w:rPr>
          <w:rFonts w:ascii="Garamond" w:hAnsi="Garamond"/>
          <w:i/>
          <w:iCs/>
        </w:rPr>
        <w:t xml:space="preserve"> </w:t>
      </w:r>
      <w:r w:rsidRPr="00986A66">
        <w:rPr>
          <w:rFonts w:ascii="Garamond" w:hAnsi="Garamond"/>
        </w:rPr>
        <w:t>dhe standardin e arsyetimit të vendimit gjyqësor dhe, më pas, të kontrollojë pretendimet e tyre për shkeljen e të drejtave substanciale.</w:t>
      </w:r>
    </w:p>
    <w:p w14:paraId="48542DF8" w14:textId="77777777" w:rsidR="0018261C" w:rsidRPr="00986A66" w:rsidRDefault="0018261C" w:rsidP="006B7EB4">
      <w:pPr>
        <w:pStyle w:val="BodyTextIndent2"/>
        <w:tabs>
          <w:tab w:val="left" w:pos="1080"/>
        </w:tabs>
        <w:spacing w:line="240" w:lineRule="auto"/>
        <w:ind w:left="0" w:firstLine="284"/>
        <w:rPr>
          <w:rFonts w:ascii="Garamond" w:hAnsi="Garamond"/>
          <w:b w:val="0"/>
          <w:bCs/>
          <w:i/>
          <w:iCs/>
        </w:rPr>
      </w:pPr>
      <w:r w:rsidRPr="00986A66">
        <w:rPr>
          <w:rFonts w:ascii="Garamond" w:hAnsi="Garamond"/>
          <w:b w:val="0"/>
          <w:bCs/>
          <w:i/>
          <w:iCs/>
        </w:rPr>
        <w:t>B. Për themelin e pretendimeve</w:t>
      </w:r>
    </w:p>
    <w:p w14:paraId="6074573D" w14:textId="77777777" w:rsidR="0018261C" w:rsidRPr="00986A66" w:rsidRDefault="0018261C" w:rsidP="006B7EB4">
      <w:pPr>
        <w:pStyle w:val="BodyTextIndent2"/>
        <w:tabs>
          <w:tab w:val="left" w:pos="1080"/>
        </w:tabs>
        <w:spacing w:line="240" w:lineRule="auto"/>
        <w:ind w:left="0" w:firstLine="284"/>
        <w:rPr>
          <w:rFonts w:ascii="Garamond" w:hAnsi="Garamond"/>
          <w:b w:val="0"/>
          <w:bCs/>
          <w:i/>
          <w:iCs/>
        </w:rPr>
      </w:pPr>
      <w:r w:rsidRPr="00986A66">
        <w:rPr>
          <w:rFonts w:ascii="Garamond" w:hAnsi="Garamond"/>
          <w:b w:val="0"/>
          <w:bCs/>
          <w:i/>
          <w:iCs/>
        </w:rPr>
        <w:t xml:space="preserve">B.1. Për cenimin e së drejtës së </w:t>
      </w:r>
      <w:proofErr w:type="spellStart"/>
      <w:r w:rsidRPr="00986A66">
        <w:rPr>
          <w:rFonts w:ascii="Garamond" w:hAnsi="Garamond"/>
          <w:b w:val="0"/>
          <w:bCs/>
          <w:i/>
          <w:iCs/>
        </w:rPr>
        <w:t>aksesit</w:t>
      </w:r>
      <w:proofErr w:type="spellEnd"/>
      <w:r w:rsidRPr="00986A66">
        <w:rPr>
          <w:rFonts w:ascii="Garamond" w:hAnsi="Garamond"/>
          <w:b w:val="0"/>
          <w:bCs/>
          <w:i/>
          <w:iCs/>
        </w:rPr>
        <w:t xml:space="preserve"> në gjykatë në lidhje me të drejtën e ankimit substancial dhe standardin e arsyetimit të vendimit gjyqësor </w:t>
      </w:r>
    </w:p>
    <w:p w14:paraId="6A439853" w14:textId="0C4E3C50" w:rsidR="0018261C" w:rsidRPr="00986A66" w:rsidRDefault="0018261C" w:rsidP="006B7EB4">
      <w:pPr>
        <w:tabs>
          <w:tab w:val="left" w:pos="1080"/>
        </w:tabs>
        <w:spacing w:line="240" w:lineRule="auto"/>
        <w:ind w:firstLine="284"/>
        <w:jc w:val="both"/>
        <w:rPr>
          <w:rFonts w:ascii="Garamond" w:hAnsi="Garamond"/>
          <w:i/>
          <w:iCs/>
        </w:rPr>
      </w:pPr>
      <w:r w:rsidRPr="00986A66">
        <w:rPr>
          <w:rFonts w:ascii="Garamond" w:hAnsi="Garamond"/>
        </w:rPr>
        <w:t>23.</w:t>
      </w:r>
      <w:r w:rsidR="006B7EB4" w:rsidRPr="00986A66">
        <w:rPr>
          <w:rFonts w:ascii="Garamond" w:hAnsi="Garamond"/>
        </w:rPr>
        <w:t xml:space="preserve"> </w:t>
      </w:r>
      <w:r w:rsidRPr="00986A66">
        <w:rPr>
          <w:rFonts w:ascii="Garamond" w:hAnsi="Garamond"/>
        </w:rPr>
        <w:t xml:space="preserve">Kërkuesit kanë pretenduar se Gjykata e Lartë nuk i ka analizuar shkaqet e rekursit të kërkueses së parë dhe nuk ka disponuar për të, ndonëse e paraqet si </w:t>
      </w:r>
      <w:proofErr w:type="spellStart"/>
      <w:r w:rsidRPr="00986A66">
        <w:rPr>
          <w:rFonts w:ascii="Garamond" w:hAnsi="Garamond"/>
        </w:rPr>
        <w:t>rekursuese</w:t>
      </w:r>
      <w:proofErr w:type="spellEnd"/>
      <w:r w:rsidRPr="00986A66">
        <w:rPr>
          <w:rFonts w:ascii="Garamond" w:hAnsi="Garamond"/>
        </w:rPr>
        <w:t xml:space="preserve"> në vendim. Për sa i takon kërkuesit të dytë, ajo gjykatë nuk është shprehur për pretendimet me natyrë kushtetuese të ngritura në rekursin e tij, duke </w:t>
      </w:r>
      <w:proofErr w:type="spellStart"/>
      <w:r w:rsidRPr="00986A66">
        <w:rPr>
          <w:rFonts w:ascii="Garamond" w:hAnsi="Garamond"/>
        </w:rPr>
        <w:t>mosrespektuar</w:t>
      </w:r>
      <w:proofErr w:type="spellEnd"/>
      <w:r w:rsidRPr="00986A66">
        <w:rPr>
          <w:rFonts w:ascii="Garamond" w:hAnsi="Garamond"/>
        </w:rPr>
        <w:t xml:space="preserve"> kriteret e përcaktuara nga vetë ajo në vendimin njësues nr. 147, datë 23.12.2021 për lejimin e sekuestrimit të </w:t>
      </w:r>
      <w:proofErr w:type="spellStart"/>
      <w:r w:rsidRPr="00986A66">
        <w:rPr>
          <w:rFonts w:ascii="Garamond" w:hAnsi="Garamond"/>
        </w:rPr>
        <w:t>të</w:t>
      </w:r>
      <w:proofErr w:type="spellEnd"/>
      <w:r w:rsidRPr="00986A66">
        <w:rPr>
          <w:rFonts w:ascii="Garamond" w:hAnsi="Garamond"/>
        </w:rPr>
        <w:t xml:space="preserve"> dhënave ose sistemeve kompjuterike. Subjekti i interesuar, Prokuroria e Posaçme, nuk ka paraqitur ndonjë prapësim për këtë pretendim.</w:t>
      </w:r>
    </w:p>
    <w:p w14:paraId="3E3787D6" w14:textId="4FF9DD8B" w:rsidR="0018261C" w:rsidRPr="0098310A" w:rsidRDefault="0018261C" w:rsidP="006B7EB4">
      <w:pPr>
        <w:tabs>
          <w:tab w:val="left" w:pos="1080"/>
        </w:tabs>
        <w:spacing w:line="240" w:lineRule="auto"/>
        <w:ind w:firstLine="284"/>
        <w:jc w:val="both"/>
        <w:rPr>
          <w:rFonts w:ascii="Garamond" w:hAnsi="Garamond"/>
          <w:i/>
          <w:iCs/>
        </w:rPr>
      </w:pPr>
      <w:r w:rsidRPr="00986A66">
        <w:rPr>
          <w:rFonts w:ascii="Garamond" w:hAnsi="Garamond"/>
        </w:rPr>
        <w:t>24.</w:t>
      </w:r>
      <w:r w:rsidR="006B7EB4" w:rsidRPr="00986A66">
        <w:rPr>
          <w:rFonts w:ascii="Garamond" w:hAnsi="Garamond"/>
        </w:rPr>
        <w:t xml:space="preserve"> </w:t>
      </w:r>
      <w:r w:rsidRPr="00986A66">
        <w:rPr>
          <w:rFonts w:ascii="Garamond" w:hAnsi="Garamond"/>
        </w:rPr>
        <w:t xml:space="preserve">Në jurisprudencën e saj Gjykata ka theksuar se e drejta e </w:t>
      </w:r>
      <w:proofErr w:type="spellStart"/>
      <w:r w:rsidRPr="00986A66">
        <w:rPr>
          <w:rFonts w:ascii="Garamond" w:hAnsi="Garamond"/>
        </w:rPr>
        <w:t>aksesit</w:t>
      </w:r>
      <w:proofErr w:type="spellEnd"/>
      <w:r w:rsidRPr="00986A66">
        <w:rPr>
          <w:rFonts w:ascii="Garamond" w:hAnsi="Garamond"/>
        </w:rPr>
        <w:t xml:space="preserve"> në gjykatë nuk përfshin vetëm të drejtën për të filluar një proces, por edhe të drejtën për të pasur, nga ana e gjykatës, një zgjidhje përfundimtare për mosmarrëveshjen objekt gjykimi, pasi </w:t>
      </w:r>
      <w:proofErr w:type="spellStart"/>
      <w:r w:rsidRPr="00986A66">
        <w:rPr>
          <w:rFonts w:ascii="Garamond" w:hAnsi="Garamond"/>
        </w:rPr>
        <w:t>aksesi</w:t>
      </w:r>
      <w:proofErr w:type="spellEnd"/>
      <w:r w:rsidRPr="00986A66">
        <w:rPr>
          <w:rFonts w:ascii="Garamond" w:hAnsi="Garamond"/>
        </w:rPr>
        <w:t xml:space="preserve"> në gjykatë duhet të jetë substancial dhe jo thjesht formal </w:t>
      </w:r>
      <w:r w:rsidRPr="0098310A">
        <w:rPr>
          <w:rFonts w:ascii="Garamond" w:hAnsi="Garamond"/>
          <w:i/>
          <w:iCs/>
        </w:rPr>
        <w:t>(shih vendimet nr. 32, datë 3.11.2022; nr. 5, datë 22.2.2022; nr. 22, datë 29.4.2021</w:t>
      </w:r>
      <w:r w:rsidR="0098310A">
        <w:rPr>
          <w:rFonts w:ascii="Garamond" w:hAnsi="Garamond"/>
          <w:i/>
          <w:iCs/>
        </w:rPr>
        <w:t>,</w:t>
      </w:r>
      <w:r w:rsidRPr="0098310A">
        <w:rPr>
          <w:rFonts w:ascii="Garamond" w:hAnsi="Garamond"/>
          <w:i/>
          <w:iCs/>
        </w:rPr>
        <w:t xml:space="preserve"> të Gjykatës Kushtetuese).</w:t>
      </w:r>
      <w:r w:rsidRPr="00986A66">
        <w:rPr>
          <w:rFonts w:ascii="Garamond" w:hAnsi="Garamond"/>
        </w:rPr>
        <w:t xml:space="preserve"> Për sa u përket vendimeve të Gjykatës së Lartë për mospranimin e rekursit, Gjykata ka theksuar se ato mund të arsyetohen në mënyrë të kufizuar, me kusht që në pjesën hyrëse të listohen shkaqet e rekursit. Ky arsyetim i kufizuar nuk cenon standardin e arsyetimit të vendimit gjyqësor, përderisa, në thelb, shpreh shkaqet e mospranimit të rekursit nga ana e kolegjeve të saj gjatë shqyrtimit paraprak të tij në dhomën e këshillimit </w:t>
      </w:r>
      <w:r w:rsidRPr="0098310A">
        <w:rPr>
          <w:rFonts w:ascii="Garamond" w:hAnsi="Garamond"/>
          <w:i/>
          <w:iCs/>
        </w:rPr>
        <w:t>(shih vendimet nr. 10, datë 7.3.2023; nr. 2, datë 11.2.2021; nr. 21, datë 16.4.2015</w:t>
      </w:r>
      <w:r w:rsidR="0098310A">
        <w:rPr>
          <w:rFonts w:ascii="Garamond" w:hAnsi="Garamond"/>
          <w:i/>
          <w:iCs/>
        </w:rPr>
        <w:t>,</w:t>
      </w:r>
      <w:r w:rsidRPr="0098310A">
        <w:rPr>
          <w:rFonts w:ascii="Garamond" w:hAnsi="Garamond"/>
          <w:i/>
          <w:iCs/>
        </w:rPr>
        <w:t xml:space="preserve"> të Gjykatës Kushtetuese).</w:t>
      </w:r>
      <w:r w:rsidRPr="00986A66">
        <w:rPr>
          <w:rFonts w:ascii="Garamond" w:hAnsi="Garamond"/>
        </w:rPr>
        <w:t xml:space="preserve"> Po kështu, Gjykata ka pohuar se standardi i arsyetimit është i lidhur edhe me respektimin e së drejtës së </w:t>
      </w:r>
      <w:proofErr w:type="spellStart"/>
      <w:r w:rsidRPr="00986A66">
        <w:rPr>
          <w:rFonts w:ascii="Garamond" w:hAnsi="Garamond"/>
        </w:rPr>
        <w:t>aksesit</w:t>
      </w:r>
      <w:proofErr w:type="spellEnd"/>
      <w:r w:rsidRPr="00986A66">
        <w:rPr>
          <w:rFonts w:ascii="Garamond" w:hAnsi="Garamond"/>
        </w:rPr>
        <w:t xml:space="preserve"> në gjykim dhe së drejtës së ankimit efektiv. Në rastet kur kërkuesi nuk merr përgjigje për pretendimet e tij me natyrë kushtetuese, për shkak të vendimit të mospranimit të rekursit, i cenohet jo vetëm </w:t>
      </w:r>
      <w:r w:rsidRPr="00986A66">
        <w:rPr>
          <w:rFonts w:ascii="Garamond" w:hAnsi="Garamond"/>
        </w:rPr>
        <w:lastRenderedPageBreak/>
        <w:t xml:space="preserve">standardi i arsyetimit të vendimit, por edhe e drejta e </w:t>
      </w:r>
      <w:proofErr w:type="spellStart"/>
      <w:r w:rsidRPr="00986A66">
        <w:rPr>
          <w:rFonts w:ascii="Garamond" w:hAnsi="Garamond"/>
        </w:rPr>
        <w:t>aksesit</w:t>
      </w:r>
      <w:proofErr w:type="spellEnd"/>
      <w:r w:rsidRPr="00986A66">
        <w:rPr>
          <w:rFonts w:ascii="Garamond" w:hAnsi="Garamond"/>
        </w:rPr>
        <w:t>, në kuptim të nenit 42 të Kushtetutës, si dhe e drejta e ankimit në kuptimin substancial, e parashikuar në nenin 43 të Kushtetutës</w:t>
      </w:r>
      <w:r w:rsidRPr="00986A66">
        <w:rPr>
          <w:rFonts w:ascii="Garamond" w:hAnsi="Garamond"/>
          <w:i/>
          <w:iCs/>
        </w:rPr>
        <w:t xml:space="preserve"> </w:t>
      </w:r>
      <w:r w:rsidRPr="0098310A">
        <w:rPr>
          <w:rFonts w:ascii="Garamond" w:hAnsi="Garamond"/>
          <w:i/>
          <w:iCs/>
        </w:rPr>
        <w:t>(</w:t>
      </w:r>
      <w:r w:rsidRPr="00986A66">
        <w:rPr>
          <w:rFonts w:ascii="Garamond" w:hAnsi="Garamond"/>
          <w:i/>
          <w:iCs/>
        </w:rPr>
        <w:t>shih vendimet nr. 25, datë 5.3.2026; nr. 1, datë 26.1.2021; nr. 45, datë 3.7.2017</w:t>
      </w:r>
      <w:r w:rsidR="0098310A">
        <w:rPr>
          <w:rFonts w:ascii="Garamond" w:hAnsi="Garamond"/>
          <w:i/>
          <w:iCs/>
        </w:rPr>
        <w:t>,</w:t>
      </w:r>
      <w:r w:rsidRPr="00986A66">
        <w:rPr>
          <w:rFonts w:ascii="Garamond" w:hAnsi="Garamond"/>
          <w:i/>
          <w:iCs/>
        </w:rPr>
        <w:t xml:space="preserve"> të Gjykatës Kushtetuese).</w:t>
      </w:r>
      <w:r w:rsidRPr="00986A66">
        <w:rPr>
          <w:rFonts w:ascii="Garamond" w:hAnsi="Garamond"/>
        </w:rPr>
        <w:t xml:space="preserve"> Sipas saj, Gjykata e Lartë, </w:t>
      </w:r>
      <w:r w:rsidRPr="00986A66">
        <w:rPr>
          <w:rFonts w:ascii="Garamond" w:hAnsi="Garamond"/>
          <w:b/>
          <w:bCs/>
        </w:rPr>
        <w:t>në kuadër</w:t>
      </w:r>
      <w:r w:rsidRPr="00986A66">
        <w:rPr>
          <w:rFonts w:ascii="Garamond" w:hAnsi="Garamond"/>
        </w:rPr>
        <w:t xml:space="preserve"> të parimit të </w:t>
      </w:r>
      <w:proofErr w:type="spellStart"/>
      <w:r w:rsidRPr="00986A66">
        <w:rPr>
          <w:rFonts w:ascii="Garamond" w:hAnsi="Garamond"/>
          <w:i/>
          <w:iCs/>
        </w:rPr>
        <w:t>subsidiaritetit</w:t>
      </w:r>
      <w:proofErr w:type="spellEnd"/>
      <w:r w:rsidRPr="00986A66">
        <w:rPr>
          <w:rFonts w:ascii="Garamond" w:hAnsi="Garamond"/>
        </w:rPr>
        <w:t xml:space="preserve"> që udhëheq raportet ndërmjet juridiksionit kushtetues dhe juridiksionit të gjykatave të zakonshme, duhet të investohet në ekzaminimin e pretendimeve të natyrës kushtetuese të ngritura në rekurs dhe të mbajë një qëndrim të shprehur për to </w:t>
      </w:r>
      <w:r w:rsidRPr="0098310A">
        <w:rPr>
          <w:rFonts w:ascii="Garamond" w:hAnsi="Garamond"/>
          <w:i/>
          <w:iCs/>
        </w:rPr>
        <w:t>(shih vendimin nr. 11, datë 16.4.2018</w:t>
      </w:r>
      <w:r w:rsidR="0098310A" w:rsidRPr="0098310A">
        <w:rPr>
          <w:rFonts w:ascii="Garamond" w:hAnsi="Garamond"/>
          <w:i/>
          <w:iCs/>
        </w:rPr>
        <w:t>,</w:t>
      </w:r>
      <w:r w:rsidRPr="0098310A">
        <w:rPr>
          <w:rFonts w:ascii="Garamond" w:hAnsi="Garamond"/>
          <w:i/>
          <w:iCs/>
        </w:rPr>
        <w:t xml:space="preserve"> të Gjykatës Kushtetuese).</w:t>
      </w:r>
    </w:p>
    <w:p w14:paraId="7362F4DB" w14:textId="1F5AF5B4" w:rsidR="0018261C" w:rsidRPr="00986A66" w:rsidRDefault="0018261C" w:rsidP="006B7EB4">
      <w:pPr>
        <w:tabs>
          <w:tab w:val="left" w:pos="1080"/>
        </w:tabs>
        <w:spacing w:line="240" w:lineRule="auto"/>
        <w:ind w:firstLine="284"/>
        <w:jc w:val="both"/>
        <w:rPr>
          <w:rFonts w:ascii="Garamond" w:hAnsi="Garamond"/>
          <w:i/>
          <w:iCs/>
        </w:rPr>
      </w:pPr>
      <w:r w:rsidRPr="00986A66">
        <w:rPr>
          <w:rFonts w:ascii="Garamond" w:hAnsi="Garamond"/>
        </w:rPr>
        <w:t>25.</w:t>
      </w:r>
      <w:r w:rsidR="006B7EB4" w:rsidRPr="00986A66">
        <w:rPr>
          <w:rFonts w:ascii="Garamond" w:hAnsi="Garamond"/>
        </w:rPr>
        <w:t xml:space="preserve"> </w:t>
      </w:r>
      <w:r w:rsidRPr="00986A66">
        <w:rPr>
          <w:rFonts w:ascii="Garamond" w:hAnsi="Garamond"/>
        </w:rPr>
        <w:t xml:space="preserve">Nën dritën e standardeve kushtetuese të mësipërme, si dhe duke pasur parasysh natyrën dhe thelbin e pretendimeve të kërkuesve, Gjykata në vijim do të kontrollojë nëse Gjykata e Lartë i ka marrë në shqyrtim shkaqet e rekursit të kërkueses së parë dhe nëse ka disponuar për to, në respektim të së drejtës së </w:t>
      </w:r>
      <w:proofErr w:type="spellStart"/>
      <w:r w:rsidRPr="00986A66">
        <w:rPr>
          <w:rFonts w:ascii="Garamond" w:hAnsi="Garamond"/>
        </w:rPr>
        <w:t>aksesit</w:t>
      </w:r>
      <w:proofErr w:type="spellEnd"/>
      <w:r w:rsidRPr="00986A66">
        <w:rPr>
          <w:rFonts w:ascii="Garamond" w:hAnsi="Garamond"/>
        </w:rPr>
        <w:t xml:space="preserve"> në gjykatë të lidhur me të drejtën e ankimin substancial, duke iu referuar për këtë qëllim arsyetimit të vendimit të Gjykatës së Lartë. Po kështu, Gjykata do të verifikojë nëse pretendimi për cenimin e së drejtës për jetë private të lidhur me standardin e arsyetimit të vendimit nga gjykatat e posaçme, duke qenë me natyrë kushtetuese, ka qenë i tillë që të</w:t>
      </w:r>
      <w:r w:rsidR="00084382">
        <w:rPr>
          <w:rFonts w:ascii="Garamond" w:hAnsi="Garamond"/>
        </w:rPr>
        <w:t xml:space="preserve"> </w:t>
      </w:r>
      <w:r w:rsidRPr="00986A66">
        <w:rPr>
          <w:rFonts w:ascii="Garamond" w:hAnsi="Garamond"/>
        </w:rPr>
        <w:t xml:space="preserve">kërkonte një përgjigje të shprehur dhe të arsyetuar nga Gjykata e Lartë përpara se ai pretendim, në respektim të parimit të </w:t>
      </w:r>
      <w:proofErr w:type="spellStart"/>
      <w:r w:rsidRPr="00986A66">
        <w:rPr>
          <w:rFonts w:ascii="Garamond" w:hAnsi="Garamond"/>
        </w:rPr>
        <w:t>subsidiaritetit</w:t>
      </w:r>
      <w:proofErr w:type="spellEnd"/>
      <w:r w:rsidRPr="00986A66">
        <w:rPr>
          <w:rFonts w:ascii="Garamond" w:hAnsi="Garamond"/>
        </w:rPr>
        <w:t xml:space="preserve">, t’i nënshtrohej kontrollit kushtetues. </w:t>
      </w:r>
    </w:p>
    <w:p w14:paraId="365866C7" w14:textId="3FB4EF8B" w:rsidR="0018261C" w:rsidRPr="00986A66" w:rsidRDefault="0018261C" w:rsidP="006B7EB4">
      <w:pPr>
        <w:tabs>
          <w:tab w:val="left" w:pos="1080"/>
        </w:tabs>
        <w:spacing w:line="240" w:lineRule="auto"/>
        <w:ind w:firstLine="284"/>
        <w:jc w:val="both"/>
        <w:rPr>
          <w:rFonts w:ascii="Garamond" w:hAnsi="Garamond"/>
          <w:i/>
          <w:iCs/>
        </w:rPr>
      </w:pPr>
      <w:r w:rsidRPr="00986A66">
        <w:rPr>
          <w:rFonts w:ascii="Garamond" w:hAnsi="Garamond"/>
        </w:rPr>
        <w:t>26.</w:t>
      </w:r>
      <w:r w:rsidR="006B7EB4" w:rsidRPr="00986A66">
        <w:rPr>
          <w:rFonts w:ascii="Garamond" w:hAnsi="Garamond"/>
        </w:rPr>
        <w:t xml:space="preserve"> </w:t>
      </w:r>
      <w:r w:rsidRPr="00986A66">
        <w:rPr>
          <w:rFonts w:ascii="Garamond" w:hAnsi="Garamond"/>
        </w:rPr>
        <w:t xml:space="preserve">Referuar dosjes gjyqësore të administruar për qëllim të shqyrtimit të çështjes në seancë plenare, në datën 14.8.2024 pranë GJKKO-së së Apelit ka depozituar rekurs kërkuesi i dytë (nr. R-206). Po në të njëjtën datë ka depozituar rekurs edhe kërkuesja e parë (nr. R-207). Kolegji Penal i Gjykatës së Lartë, edhe pse në pjesën hyrëse të vendimit në përcaktimin e palëve </w:t>
      </w:r>
      <w:proofErr w:type="spellStart"/>
      <w:r w:rsidRPr="00986A66">
        <w:rPr>
          <w:rFonts w:ascii="Garamond" w:hAnsi="Garamond"/>
        </w:rPr>
        <w:t>ndërgjyqëse</w:t>
      </w:r>
      <w:proofErr w:type="spellEnd"/>
      <w:r w:rsidRPr="00986A66">
        <w:rPr>
          <w:rFonts w:ascii="Garamond" w:hAnsi="Garamond"/>
        </w:rPr>
        <w:t xml:space="preserve"> ka pasqyruar të dy kërkuesit, në pjesën ku parashtrohen palët që kanë paraqitur rekurs ndaj vendimit të gjykatës së apelit dhe shkaqet përkatëse, ka dështuar të rendisë të dy kërkuesit si </w:t>
      </w:r>
      <w:proofErr w:type="spellStart"/>
      <w:r w:rsidRPr="00986A66">
        <w:rPr>
          <w:rFonts w:ascii="Garamond" w:hAnsi="Garamond"/>
        </w:rPr>
        <w:t>rekursues</w:t>
      </w:r>
      <w:proofErr w:type="spellEnd"/>
      <w:r w:rsidRPr="00986A66">
        <w:rPr>
          <w:rFonts w:ascii="Garamond" w:hAnsi="Garamond"/>
        </w:rPr>
        <w:t>, duke evidentuar në vendim vetëm rekursin e kërkuesit të dytë. Në këtë kuptim, ai kolegj ka marrë në shqyrtim vetëm shkaqet e rekursit të kërkuesit të dytë, për të cilin ka arritur në përfundimin se ai nuk përmbante asnjë nga shkaqet e përcaktuara në nenin 432 të KPP-së dhe se shkaqet e paraqitura në rekurs marrin përgjigje të plotë dhe të argumentuar mjaftueshëm në vendimmarrjen e gjykatës së apelit. Në përfundim, Gjykata e Lartë ka disponuar vetëm për të dhe jo për rekursin e palës tjetër, të cilin, siç u tha më lart,</w:t>
      </w:r>
      <w:r w:rsidR="00084382">
        <w:rPr>
          <w:rFonts w:ascii="Garamond" w:hAnsi="Garamond"/>
        </w:rPr>
        <w:t xml:space="preserve"> </w:t>
      </w:r>
      <w:r w:rsidRPr="00986A66">
        <w:rPr>
          <w:rFonts w:ascii="Garamond" w:hAnsi="Garamond"/>
        </w:rPr>
        <w:t xml:space="preserve">nuk e ka përmendur, ndonëse ishte pjesë e dosjes gjyqësore. </w:t>
      </w:r>
    </w:p>
    <w:p w14:paraId="786BA573" w14:textId="7B78A680"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27.</w:t>
      </w:r>
      <w:r w:rsidR="006B7EB4" w:rsidRPr="00986A66">
        <w:rPr>
          <w:rFonts w:ascii="Garamond" w:hAnsi="Garamond"/>
        </w:rPr>
        <w:t xml:space="preserve"> </w:t>
      </w:r>
      <w:r w:rsidRPr="00986A66">
        <w:rPr>
          <w:rFonts w:ascii="Garamond" w:hAnsi="Garamond"/>
        </w:rPr>
        <w:t xml:space="preserve">Nga sa më sipër, Gjykata evidenton se, ndonëse në pjesën hyrëse të vendimit të Gjykatës së Lartë është pasqyruar se çështja penale konkrete ka dy palë kërkuese (kërkuesen e parë dhe kërkuesin e dytë), më tej në atë vendim janë pasqyruar vetëm shkaqet e rekursit të kërkuesit të dytë dhe nuk është pasqyruar asnjë nga shkaqet e rekursit të kërkueses së parë dhe as nuk është disponuar për to. Për rrjedhojë, Gjykata çmon se duke vepruar në këtë mënyrë, Gjykata e Lartë i ka mohuar plotësisht kërkueses së parë (shoqërisë “GFI </w:t>
      </w:r>
      <w:proofErr w:type="spellStart"/>
      <w:r w:rsidRPr="00986A66">
        <w:rPr>
          <w:rFonts w:ascii="Garamond" w:hAnsi="Garamond"/>
        </w:rPr>
        <w:t>Albania</w:t>
      </w:r>
      <w:proofErr w:type="spellEnd"/>
      <w:r w:rsidRPr="00986A66">
        <w:rPr>
          <w:rFonts w:ascii="Garamond" w:hAnsi="Garamond"/>
        </w:rPr>
        <w:t xml:space="preserve">” </w:t>
      </w:r>
      <w:proofErr w:type="spellStart"/>
      <w:r w:rsidRPr="00986A66">
        <w:rPr>
          <w:rFonts w:ascii="Garamond" w:hAnsi="Garamond"/>
        </w:rPr>
        <w:t>sh.p.k</w:t>
      </w:r>
      <w:proofErr w:type="spellEnd"/>
      <w:r w:rsidRPr="00986A66">
        <w:rPr>
          <w:rFonts w:ascii="Garamond" w:hAnsi="Garamond"/>
        </w:rPr>
        <w:t xml:space="preserve">.) të drejtën e </w:t>
      </w:r>
      <w:proofErr w:type="spellStart"/>
      <w:r w:rsidRPr="00986A66">
        <w:rPr>
          <w:rFonts w:ascii="Garamond" w:hAnsi="Garamond"/>
        </w:rPr>
        <w:t>aksesit</w:t>
      </w:r>
      <w:proofErr w:type="spellEnd"/>
      <w:r w:rsidRPr="00986A66">
        <w:rPr>
          <w:rFonts w:ascii="Garamond" w:hAnsi="Garamond"/>
        </w:rPr>
        <w:t xml:space="preserve"> në gjykatë në lidhje me të drejtën e ankimit substancial, në kuptim të marrjes përgjigje për pretendimet e ngritura në rekurs. Po kështu, Gjykata vëren se kërkuesi i dytë në rekurs ka ngritur një pretendim me natyrë kushtetuese, atë për cenimin e së drejtës për jetë private, për shkak të mosrespektimit të modaliteteve të sekuestrimit të </w:t>
      </w:r>
      <w:proofErr w:type="spellStart"/>
      <w:r w:rsidRPr="00986A66">
        <w:rPr>
          <w:rFonts w:ascii="Garamond" w:hAnsi="Garamond"/>
        </w:rPr>
        <w:t>të</w:t>
      </w:r>
      <w:proofErr w:type="spellEnd"/>
      <w:r w:rsidRPr="00986A66">
        <w:rPr>
          <w:rFonts w:ascii="Garamond" w:hAnsi="Garamond"/>
        </w:rPr>
        <w:t xml:space="preserve"> dhënave dhe pajisjeve kompjuterike, që mund të ekspozojë të dhëna të tjera që nuk kanë lidhje me faktin penal. Ndonëse Gjykata e Lartë e ka pasqyruar këtë pretendim në pjesën përshkruese të shkaqeve të rekursit, ajo nuk ka mbajtur një qëndrim të shprehur dhe konkret ndaj tij. Në këtë mënyrë, Gjykata e Lartë nuk i ka dhënë përgjigje të shprehur pretendimit kushtetues të kërkuesit të dytë (</w:t>
      </w:r>
      <w:proofErr w:type="spellStart"/>
      <w:r w:rsidRPr="00986A66">
        <w:rPr>
          <w:rFonts w:ascii="Garamond" w:hAnsi="Garamond"/>
        </w:rPr>
        <w:t>Ergys</w:t>
      </w:r>
      <w:proofErr w:type="spellEnd"/>
      <w:r w:rsidRPr="00986A66">
        <w:rPr>
          <w:rFonts w:ascii="Garamond" w:hAnsi="Garamond"/>
        </w:rPr>
        <w:t xml:space="preserve"> </w:t>
      </w:r>
      <w:proofErr w:type="spellStart"/>
      <w:r w:rsidRPr="00986A66">
        <w:rPr>
          <w:rFonts w:ascii="Garamond" w:hAnsi="Garamond"/>
        </w:rPr>
        <w:t>Sela</w:t>
      </w:r>
      <w:proofErr w:type="spellEnd"/>
      <w:r w:rsidRPr="00986A66">
        <w:rPr>
          <w:rFonts w:ascii="Garamond" w:hAnsi="Garamond"/>
        </w:rPr>
        <w:t>) për mënyrën se si kishin vepruar prokuroria dhe gjykatat e posaçme në kontrollin dhe sekuestrimin e pajisjeve dhe të dhënave kompjuterike.</w:t>
      </w:r>
    </w:p>
    <w:p w14:paraId="54B71FB7" w14:textId="4E31A573"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28.</w:t>
      </w:r>
      <w:r w:rsidR="006B7EB4" w:rsidRPr="00986A66">
        <w:rPr>
          <w:rFonts w:ascii="Garamond" w:hAnsi="Garamond"/>
        </w:rPr>
        <w:t xml:space="preserve"> </w:t>
      </w:r>
      <w:r w:rsidRPr="00986A66">
        <w:rPr>
          <w:rFonts w:ascii="Garamond" w:hAnsi="Garamond"/>
        </w:rPr>
        <w:t xml:space="preserve">Për sa më sipër, Gjykata vlerëson se çështja duhet të merret sërish në shqyrtim nga Gjykata e Lartë, e cila duhet të vlerësojë shkaqet e rekursit të kërkueses së parë dhe të shprehet lidhur me to, si dhe të mbajë një qëndrim të shprehur dhe të arsyetuar për pretendimin me natyrë kushtetuese të ngritur në rekursin e kërkuesit të dytë, duke konsideruar lidhjen ndërmjet shkaqeve të dy rekurseve. Prandaj, nisur nga roli i Gjykatës së Lartë në kuadër të parimit të </w:t>
      </w:r>
      <w:proofErr w:type="spellStart"/>
      <w:r w:rsidRPr="00986A66">
        <w:rPr>
          <w:rFonts w:ascii="Garamond" w:hAnsi="Garamond"/>
        </w:rPr>
        <w:t>subsidiaritetit</w:t>
      </w:r>
      <w:proofErr w:type="spellEnd"/>
      <w:r w:rsidRPr="00986A66">
        <w:rPr>
          <w:rFonts w:ascii="Garamond" w:hAnsi="Garamond"/>
        </w:rPr>
        <w:t xml:space="preserve">, Gjykata çmon të mos ndalet në analizimin e mëtejshëm të </w:t>
      </w:r>
      <w:bookmarkStart w:id="0" w:name="_GoBack"/>
      <w:r w:rsidRPr="00C3745C">
        <w:rPr>
          <w:rFonts w:ascii="Garamond" w:hAnsi="Garamond"/>
        </w:rPr>
        <w:t xml:space="preserve">tij, </w:t>
      </w:r>
      <w:r w:rsidRPr="00C3745C">
        <w:rPr>
          <w:rFonts w:ascii="Garamond" w:hAnsi="Garamond"/>
          <w:bCs/>
        </w:rPr>
        <w:t>përtej</w:t>
      </w:r>
      <w:r w:rsidRPr="00986A66">
        <w:rPr>
          <w:rFonts w:ascii="Garamond" w:hAnsi="Garamond"/>
          <w:b/>
          <w:bCs/>
        </w:rPr>
        <w:t xml:space="preserve"> </w:t>
      </w:r>
      <w:bookmarkEnd w:id="0"/>
      <w:r w:rsidRPr="00986A66">
        <w:rPr>
          <w:rFonts w:ascii="Garamond" w:hAnsi="Garamond"/>
        </w:rPr>
        <w:t xml:space="preserve">konstatimit të faktit se Gjykata e Lartë nuk i ka dhënë një përgjigje të shprehur dhe të arsyetuar këtij pretendimi, vlerësimi i mëtejshëm i të cilit i takon, në radhë të parë, Gjykatës së Lartë. </w:t>
      </w:r>
    </w:p>
    <w:p w14:paraId="1048A1E6" w14:textId="1340C0F9" w:rsidR="0018261C" w:rsidRPr="00986A66" w:rsidRDefault="0018261C" w:rsidP="006B7EB4">
      <w:pPr>
        <w:tabs>
          <w:tab w:val="left" w:pos="1080"/>
        </w:tabs>
        <w:spacing w:line="240" w:lineRule="auto"/>
        <w:ind w:firstLine="284"/>
        <w:jc w:val="both"/>
        <w:rPr>
          <w:rFonts w:ascii="Garamond" w:hAnsi="Garamond"/>
        </w:rPr>
      </w:pPr>
      <w:r w:rsidRPr="00986A66">
        <w:rPr>
          <w:rFonts w:ascii="Garamond" w:hAnsi="Garamond"/>
        </w:rPr>
        <w:t>29.</w:t>
      </w:r>
      <w:r w:rsidR="006B7EB4" w:rsidRPr="00986A66">
        <w:rPr>
          <w:rFonts w:ascii="Garamond" w:hAnsi="Garamond"/>
        </w:rPr>
        <w:t xml:space="preserve"> </w:t>
      </w:r>
      <w:r w:rsidRPr="00986A66">
        <w:rPr>
          <w:rFonts w:ascii="Garamond" w:hAnsi="Garamond"/>
        </w:rPr>
        <w:t xml:space="preserve">Në përfundim, Gjykata çmon se pretendimi i kërkuesve për cenimin e së drejtës së </w:t>
      </w:r>
      <w:proofErr w:type="spellStart"/>
      <w:r w:rsidRPr="00986A66">
        <w:rPr>
          <w:rFonts w:ascii="Garamond" w:hAnsi="Garamond"/>
        </w:rPr>
        <w:t>aksesit</w:t>
      </w:r>
      <w:proofErr w:type="spellEnd"/>
      <w:r w:rsidRPr="00986A66">
        <w:rPr>
          <w:rFonts w:ascii="Garamond" w:hAnsi="Garamond"/>
        </w:rPr>
        <w:t xml:space="preserve"> në gjykatë në lidhje me të drejtën e ankimit substancial dhe standardin e arsyetimit të vendimit gjyqësor është i bazuar, sipas arsyetimit të mësipërm të këtij vendimi, ndaj kërkesa pranohet pjesërisht.</w:t>
      </w:r>
    </w:p>
    <w:p w14:paraId="4D77B60B" w14:textId="77777777" w:rsidR="0018261C" w:rsidRPr="00986A66" w:rsidRDefault="0018261C" w:rsidP="006B7EB4">
      <w:pPr>
        <w:pStyle w:val="BodyTextIndent2"/>
        <w:tabs>
          <w:tab w:val="left" w:pos="1080"/>
        </w:tabs>
        <w:spacing w:line="240" w:lineRule="auto"/>
        <w:ind w:left="0" w:firstLine="284"/>
        <w:rPr>
          <w:rFonts w:ascii="Garamond" w:hAnsi="Garamond"/>
          <w:b w:val="0"/>
          <w:bCs/>
        </w:rPr>
      </w:pPr>
    </w:p>
    <w:p w14:paraId="048F9466" w14:textId="77777777" w:rsidR="0018261C" w:rsidRPr="00986A66" w:rsidRDefault="0018261C" w:rsidP="006B7EB4">
      <w:pPr>
        <w:tabs>
          <w:tab w:val="left" w:pos="0"/>
          <w:tab w:val="left" w:pos="720"/>
          <w:tab w:val="left" w:pos="980"/>
          <w:tab w:val="left" w:pos="1080"/>
          <w:tab w:val="left" w:pos="1160"/>
          <w:tab w:val="left" w:pos="4220"/>
        </w:tabs>
        <w:spacing w:line="240" w:lineRule="auto"/>
        <w:ind w:firstLine="284"/>
        <w:jc w:val="center"/>
        <w:rPr>
          <w:rFonts w:ascii="Garamond" w:hAnsi="Garamond"/>
          <w:bCs/>
        </w:rPr>
      </w:pPr>
      <w:r w:rsidRPr="00986A66">
        <w:rPr>
          <w:rFonts w:ascii="Garamond" w:hAnsi="Garamond"/>
          <w:bCs/>
        </w:rPr>
        <w:t>PËR KËTO ARSYE,</w:t>
      </w:r>
    </w:p>
    <w:p w14:paraId="4827E8EE" w14:textId="77777777" w:rsidR="00986A66" w:rsidRDefault="00986A66" w:rsidP="006B7EB4">
      <w:pPr>
        <w:pStyle w:val="ListParagraph"/>
        <w:tabs>
          <w:tab w:val="left" w:pos="440"/>
          <w:tab w:val="left" w:pos="540"/>
          <w:tab w:val="left" w:pos="720"/>
          <w:tab w:val="left" w:pos="980"/>
          <w:tab w:val="left" w:pos="1160"/>
          <w:tab w:val="left" w:pos="4220"/>
        </w:tabs>
        <w:spacing w:line="240" w:lineRule="auto"/>
        <w:ind w:left="0" w:firstLine="284"/>
        <w:jc w:val="both"/>
        <w:rPr>
          <w:rFonts w:ascii="Garamond" w:hAnsi="Garamond"/>
        </w:rPr>
      </w:pPr>
    </w:p>
    <w:p w14:paraId="133CBCB6" w14:textId="2D45D802" w:rsidR="0018261C" w:rsidRPr="00986A66" w:rsidRDefault="0018261C" w:rsidP="006B7EB4">
      <w:pPr>
        <w:pStyle w:val="ListParagraph"/>
        <w:tabs>
          <w:tab w:val="left" w:pos="440"/>
          <w:tab w:val="left" w:pos="540"/>
          <w:tab w:val="left" w:pos="720"/>
          <w:tab w:val="left" w:pos="980"/>
          <w:tab w:val="left" w:pos="1160"/>
          <w:tab w:val="left" w:pos="4220"/>
        </w:tabs>
        <w:spacing w:line="240" w:lineRule="auto"/>
        <w:ind w:left="0" w:firstLine="284"/>
        <w:jc w:val="both"/>
        <w:rPr>
          <w:rFonts w:ascii="Garamond" w:hAnsi="Garamond"/>
        </w:rPr>
      </w:pPr>
      <w:r w:rsidRPr="00986A66">
        <w:rPr>
          <w:rFonts w:ascii="Garamond" w:hAnsi="Garamond"/>
        </w:rPr>
        <w:t>Gjykata Kushtetuese, në mbështetje të neneve 131, pika 1, shkronja “f” dhe 134, pika 1, shkronja “i”, të Kushtetutës, si dhe neneve 72 e vijues</w:t>
      </w:r>
      <w:r w:rsidR="0098310A">
        <w:rPr>
          <w:rFonts w:ascii="Garamond" w:hAnsi="Garamond"/>
        </w:rPr>
        <w:t>e</w:t>
      </w:r>
      <w:r w:rsidRPr="00986A66">
        <w:rPr>
          <w:rFonts w:ascii="Garamond" w:hAnsi="Garamond"/>
        </w:rPr>
        <w:t xml:space="preserve"> të ligjit nr. 8577, datë 10.2.2000</w:t>
      </w:r>
      <w:r w:rsidR="0098310A">
        <w:rPr>
          <w:rFonts w:ascii="Garamond" w:hAnsi="Garamond"/>
        </w:rPr>
        <w:t>,</w:t>
      </w:r>
      <w:r w:rsidRPr="00986A66">
        <w:rPr>
          <w:rFonts w:ascii="Garamond" w:hAnsi="Garamond"/>
        </w:rPr>
        <w:t xml:space="preserve"> “Për organizimin dhe funksionimin e Gjykatës Kushtetuese të Republikës së Shqipërisë”, të ndryshuar, njëzëri, </w:t>
      </w:r>
    </w:p>
    <w:p w14:paraId="1C2059AD" w14:textId="77777777" w:rsidR="0018261C" w:rsidRPr="00986A66" w:rsidRDefault="0018261C" w:rsidP="006B7EB4">
      <w:pPr>
        <w:pStyle w:val="ListParagraph"/>
        <w:tabs>
          <w:tab w:val="left" w:pos="0"/>
          <w:tab w:val="left" w:pos="720"/>
          <w:tab w:val="left" w:pos="980"/>
          <w:tab w:val="left" w:pos="1160"/>
          <w:tab w:val="left" w:pos="4220"/>
        </w:tabs>
        <w:spacing w:line="240" w:lineRule="auto"/>
        <w:ind w:left="0" w:firstLine="284"/>
        <w:jc w:val="center"/>
        <w:rPr>
          <w:rFonts w:ascii="Garamond" w:hAnsi="Garamond"/>
          <w:b/>
          <w:bCs/>
        </w:rPr>
      </w:pPr>
    </w:p>
    <w:p w14:paraId="201D073C" w14:textId="093D897F" w:rsidR="0018261C" w:rsidRPr="00986A66" w:rsidRDefault="0018261C" w:rsidP="006B7EB4">
      <w:pPr>
        <w:tabs>
          <w:tab w:val="left" w:pos="0"/>
          <w:tab w:val="left" w:pos="720"/>
          <w:tab w:val="left" w:pos="980"/>
          <w:tab w:val="left" w:pos="1160"/>
          <w:tab w:val="left" w:pos="4220"/>
        </w:tabs>
        <w:spacing w:line="240" w:lineRule="auto"/>
        <w:ind w:firstLine="284"/>
        <w:jc w:val="center"/>
        <w:rPr>
          <w:rFonts w:ascii="Garamond" w:hAnsi="Garamond"/>
          <w:bCs/>
        </w:rPr>
      </w:pPr>
      <w:r w:rsidRPr="00986A66">
        <w:rPr>
          <w:rFonts w:ascii="Garamond" w:hAnsi="Garamond"/>
          <w:bCs/>
        </w:rPr>
        <w:t>VENDOSI:</w:t>
      </w:r>
    </w:p>
    <w:p w14:paraId="14AB43EB" w14:textId="77777777" w:rsidR="0018261C" w:rsidRPr="00986A66" w:rsidRDefault="0018261C" w:rsidP="006B7EB4">
      <w:pPr>
        <w:pStyle w:val="ListParagraph"/>
        <w:tabs>
          <w:tab w:val="left" w:pos="0"/>
          <w:tab w:val="left" w:pos="720"/>
          <w:tab w:val="left" w:pos="980"/>
          <w:tab w:val="left" w:pos="1160"/>
          <w:tab w:val="left" w:pos="4220"/>
        </w:tabs>
        <w:spacing w:line="240" w:lineRule="auto"/>
        <w:ind w:left="0" w:firstLine="284"/>
        <w:jc w:val="center"/>
        <w:rPr>
          <w:rFonts w:ascii="Garamond" w:hAnsi="Garamond"/>
          <w:b/>
          <w:bCs/>
        </w:rPr>
      </w:pPr>
    </w:p>
    <w:p w14:paraId="09594DEA" w14:textId="15644DFD" w:rsidR="0018261C" w:rsidRPr="00986A66" w:rsidRDefault="0018261C" w:rsidP="006B7EB4">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r w:rsidRPr="00986A66">
        <w:rPr>
          <w:rFonts w:ascii="Garamond" w:hAnsi="Garamond"/>
        </w:rPr>
        <w:t>1.</w:t>
      </w:r>
      <w:r w:rsidR="006B7EB4" w:rsidRPr="00986A66">
        <w:rPr>
          <w:rFonts w:ascii="Garamond" w:hAnsi="Garamond"/>
        </w:rPr>
        <w:t xml:space="preserve"> </w:t>
      </w:r>
      <w:r w:rsidRPr="00986A66">
        <w:rPr>
          <w:rFonts w:ascii="Garamond" w:hAnsi="Garamond"/>
        </w:rPr>
        <w:t>Pranimin pjesërisht të kërkesës.</w:t>
      </w:r>
    </w:p>
    <w:p w14:paraId="420EBEAF" w14:textId="6269FFFB" w:rsidR="0018261C" w:rsidRPr="00986A66" w:rsidRDefault="0018261C" w:rsidP="006B7EB4">
      <w:pPr>
        <w:pStyle w:val="ListParagraph"/>
        <w:tabs>
          <w:tab w:val="left" w:pos="0"/>
          <w:tab w:val="left" w:pos="720"/>
          <w:tab w:val="left" w:pos="980"/>
          <w:tab w:val="left" w:pos="1080"/>
          <w:tab w:val="left" w:pos="1160"/>
          <w:tab w:val="left" w:pos="4220"/>
        </w:tabs>
        <w:spacing w:line="240" w:lineRule="auto"/>
        <w:ind w:left="0" w:firstLine="284"/>
        <w:jc w:val="both"/>
        <w:rPr>
          <w:rFonts w:ascii="Garamond" w:hAnsi="Garamond"/>
        </w:rPr>
      </w:pPr>
      <w:r w:rsidRPr="00986A66">
        <w:rPr>
          <w:rFonts w:ascii="Garamond" w:hAnsi="Garamond"/>
        </w:rPr>
        <w:t>2.</w:t>
      </w:r>
      <w:r w:rsidR="006B7EB4" w:rsidRPr="00986A66">
        <w:rPr>
          <w:rFonts w:ascii="Garamond" w:hAnsi="Garamond"/>
        </w:rPr>
        <w:t xml:space="preserve"> </w:t>
      </w:r>
      <w:r w:rsidRPr="00986A66">
        <w:rPr>
          <w:rFonts w:ascii="Garamond" w:hAnsi="Garamond"/>
        </w:rPr>
        <w:t>Shfuqizimin e vendimit nr. 00-2024-1703, datë 17.10.2024</w:t>
      </w:r>
      <w:r w:rsidR="0098310A">
        <w:rPr>
          <w:rFonts w:ascii="Garamond" w:hAnsi="Garamond"/>
        </w:rPr>
        <w:t>,</w:t>
      </w:r>
      <w:r w:rsidRPr="00986A66">
        <w:rPr>
          <w:rFonts w:ascii="Garamond" w:hAnsi="Garamond"/>
        </w:rPr>
        <w:t xml:space="preserve"> të Kolegjit Penal të Gjykatës së Lartë, si të papajtueshëm me Kushtetutën e Republikës së Shqipërisë.</w:t>
      </w:r>
    </w:p>
    <w:p w14:paraId="4AB60DA6" w14:textId="09DF1FF1" w:rsidR="0018261C" w:rsidRPr="00986A66" w:rsidRDefault="0018261C" w:rsidP="006B7EB4">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r w:rsidRPr="00986A66">
        <w:rPr>
          <w:rFonts w:ascii="Garamond" w:hAnsi="Garamond"/>
        </w:rPr>
        <w:t>3.</w:t>
      </w:r>
      <w:r w:rsidR="006B7EB4" w:rsidRPr="00986A66">
        <w:rPr>
          <w:rFonts w:ascii="Garamond" w:hAnsi="Garamond"/>
        </w:rPr>
        <w:t xml:space="preserve"> </w:t>
      </w:r>
      <w:r w:rsidRPr="00986A66">
        <w:rPr>
          <w:rFonts w:ascii="Garamond" w:hAnsi="Garamond"/>
        </w:rPr>
        <w:t>Dërgimin e çështjes për shqyrtim në Gjykatën e Lartë.</w:t>
      </w:r>
    </w:p>
    <w:p w14:paraId="45367D7C" w14:textId="58EFFF09" w:rsidR="0018261C" w:rsidRPr="00986A66" w:rsidRDefault="006B7EB4" w:rsidP="006B7EB4">
      <w:pPr>
        <w:pStyle w:val="ListParagraph"/>
        <w:tabs>
          <w:tab w:val="left" w:pos="0"/>
          <w:tab w:val="left" w:pos="720"/>
          <w:tab w:val="left" w:pos="980"/>
          <w:tab w:val="left" w:pos="1160"/>
          <w:tab w:val="left" w:pos="4220"/>
        </w:tabs>
        <w:spacing w:line="240" w:lineRule="auto"/>
        <w:ind w:left="0" w:firstLine="284"/>
        <w:rPr>
          <w:rFonts w:ascii="Garamond" w:hAnsi="Garamond"/>
        </w:rPr>
      </w:pPr>
      <w:r w:rsidRPr="00986A66">
        <w:rPr>
          <w:rFonts w:ascii="Garamond" w:hAnsi="Garamond"/>
        </w:rPr>
        <w:t xml:space="preserve"> </w:t>
      </w:r>
      <w:r w:rsidR="0018261C" w:rsidRPr="00986A66">
        <w:rPr>
          <w:rFonts w:ascii="Garamond" w:hAnsi="Garamond"/>
        </w:rPr>
        <w:t>Ky vendim është përfundimtar dhe hyn në fuqi ditën e botimit në Fletoren Zyrtare.</w:t>
      </w:r>
    </w:p>
    <w:p w14:paraId="20D8FEC3" w14:textId="77777777" w:rsidR="0098310A" w:rsidRDefault="0098310A" w:rsidP="006B7EB4">
      <w:pPr>
        <w:tabs>
          <w:tab w:val="left" w:pos="0"/>
          <w:tab w:val="left" w:pos="720"/>
          <w:tab w:val="left" w:pos="980"/>
          <w:tab w:val="left" w:pos="1080"/>
          <w:tab w:val="left" w:pos="1160"/>
          <w:tab w:val="left" w:pos="4220"/>
        </w:tabs>
        <w:spacing w:line="240" w:lineRule="auto"/>
        <w:ind w:firstLine="284"/>
        <w:rPr>
          <w:rFonts w:ascii="Garamond" w:hAnsi="Garamond"/>
          <w:b/>
          <w:bCs/>
        </w:rPr>
      </w:pPr>
    </w:p>
    <w:p w14:paraId="5678D244" w14:textId="268B5B5A" w:rsidR="0018261C" w:rsidRPr="00986A66" w:rsidRDefault="0018261C" w:rsidP="006B7EB4">
      <w:pPr>
        <w:tabs>
          <w:tab w:val="left" w:pos="0"/>
          <w:tab w:val="left" w:pos="720"/>
          <w:tab w:val="left" w:pos="980"/>
          <w:tab w:val="left" w:pos="1080"/>
          <w:tab w:val="left" w:pos="1160"/>
          <w:tab w:val="left" w:pos="4220"/>
        </w:tabs>
        <w:spacing w:line="240" w:lineRule="auto"/>
        <w:ind w:firstLine="284"/>
        <w:rPr>
          <w:rFonts w:ascii="Garamond" w:hAnsi="Garamond"/>
          <w:b/>
          <w:bCs/>
        </w:rPr>
      </w:pPr>
      <w:r w:rsidRPr="00986A66">
        <w:rPr>
          <w:rFonts w:ascii="Garamond" w:hAnsi="Garamond"/>
          <w:b/>
          <w:bCs/>
        </w:rPr>
        <w:t>Marrë më 26.3.2026</w:t>
      </w:r>
      <w:r w:rsidR="0098310A">
        <w:rPr>
          <w:rFonts w:ascii="Garamond" w:hAnsi="Garamond"/>
          <w:b/>
          <w:bCs/>
        </w:rPr>
        <w:t>.</w:t>
      </w:r>
    </w:p>
    <w:p w14:paraId="74275AD5" w14:textId="4B3C4683" w:rsidR="0018261C" w:rsidRPr="00986A66" w:rsidRDefault="0018261C" w:rsidP="006B7EB4">
      <w:pPr>
        <w:tabs>
          <w:tab w:val="left" w:pos="0"/>
          <w:tab w:val="left" w:pos="720"/>
          <w:tab w:val="left" w:pos="980"/>
          <w:tab w:val="left" w:pos="1080"/>
          <w:tab w:val="left" w:pos="1160"/>
          <w:tab w:val="left" w:pos="4220"/>
        </w:tabs>
        <w:spacing w:line="240" w:lineRule="auto"/>
        <w:ind w:firstLine="284"/>
        <w:rPr>
          <w:rFonts w:ascii="Garamond" w:hAnsi="Garamond"/>
          <w:b/>
          <w:bCs/>
        </w:rPr>
      </w:pPr>
      <w:r w:rsidRPr="00986A66">
        <w:rPr>
          <w:rFonts w:ascii="Garamond" w:hAnsi="Garamond"/>
          <w:b/>
          <w:bCs/>
        </w:rPr>
        <w:t>Shpallur më 7.5.2026</w:t>
      </w:r>
      <w:r w:rsidR="0098310A">
        <w:rPr>
          <w:rFonts w:ascii="Garamond" w:hAnsi="Garamond"/>
          <w:b/>
          <w:bCs/>
        </w:rPr>
        <w:t>.</w:t>
      </w:r>
    </w:p>
    <w:p w14:paraId="24D49F4E" w14:textId="18D06FC2" w:rsidR="0018261C" w:rsidRDefault="0018261C" w:rsidP="006B7EB4">
      <w:pPr>
        <w:tabs>
          <w:tab w:val="left" w:pos="720"/>
          <w:tab w:val="left" w:pos="980"/>
          <w:tab w:val="left" w:pos="1080"/>
          <w:tab w:val="left" w:pos="1160"/>
          <w:tab w:val="left" w:pos="4220"/>
        </w:tabs>
        <w:spacing w:line="240" w:lineRule="auto"/>
        <w:ind w:firstLine="284"/>
        <w:rPr>
          <w:rFonts w:ascii="Garamond" w:hAnsi="Garamond"/>
          <w:b/>
          <w:bCs/>
        </w:rPr>
      </w:pPr>
    </w:p>
    <w:p w14:paraId="0F5C15CF" w14:textId="10D1E12F" w:rsidR="00986A66" w:rsidRDefault="00986A66" w:rsidP="006B7EB4">
      <w:pPr>
        <w:tabs>
          <w:tab w:val="left" w:pos="720"/>
          <w:tab w:val="left" w:pos="980"/>
          <w:tab w:val="left" w:pos="1080"/>
          <w:tab w:val="left" w:pos="1160"/>
          <w:tab w:val="left" w:pos="4220"/>
        </w:tabs>
        <w:spacing w:line="240" w:lineRule="auto"/>
        <w:ind w:firstLine="284"/>
        <w:rPr>
          <w:rFonts w:ascii="Garamond" w:hAnsi="Garamond"/>
          <w:b/>
          <w:bCs/>
        </w:rPr>
      </w:pPr>
      <w:r>
        <w:rPr>
          <w:rFonts w:ascii="Garamond" w:hAnsi="Garamond"/>
          <w:b/>
          <w:bCs/>
        </w:rPr>
        <w:t xml:space="preserve">Kryetare: </w:t>
      </w:r>
      <w:proofErr w:type="spellStart"/>
      <w:r w:rsidRPr="00986A66">
        <w:rPr>
          <w:rFonts w:ascii="Garamond" w:hAnsi="Garamond"/>
          <w:bCs/>
        </w:rPr>
        <w:t>Fiona</w:t>
      </w:r>
      <w:proofErr w:type="spellEnd"/>
      <w:r w:rsidRPr="00986A66">
        <w:rPr>
          <w:rFonts w:ascii="Garamond" w:hAnsi="Garamond"/>
          <w:bCs/>
        </w:rPr>
        <w:t xml:space="preserve"> </w:t>
      </w:r>
      <w:proofErr w:type="spellStart"/>
      <w:r w:rsidRPr="00986A66">
        <w:rPr>
          <w:rFonts w:ascii="Garamond" w:hAnsi="Garamond"/>
          <w:bCs/>
        </w:rPr>
        <w:t>Papajorgji</w:t>
      </w:r>
      <w:proofErr w:type="spellEnd"/>
    </w:p>
    <w:p w14:paraId="2E0EE90C" w14:textId="6330C90C" w:rsidR="00986A66" w:rsidRDefault="00986A66" w:rsidP="006B7EB4">
      <w:pPr>
        <w:tabs>
          <w:tab w:val="left" w:pos="720"/>
          <w:tab w:val="left" w:pos="980"/>
          <w:tab w:val="left" w:pos="1080"/>
          <w:tab w:val="left" w:pos="1160"/>
          <w:tab w:val="left" w:pos="4220"/>
        </w:tabs>
        <w:spacing w:line="240" w:lineRule="auto"/>
        <w:ind w:firstLine="284"/>
        <w:rPr>
          <w:rFonts w:ascii="Garamond" w:hAnsi="Garamond"/>
          <w:b/>
          <w:bCs/>
        </w:rPr>
      </w:pPr>
      <w:r>
        <w:rPr>
          <w:rFonts w:ascii="Garamond" w:hAnsi="Garamond"/>
          <w:b/>
          <w:bCs/>
        </w:rPr>
        <w:t>Anëtarë:</w:t>
      </w:r>
      <w:r w:rsidRPr="00986A66">
        <w:rPr>
          <w:rFonts w:ascii="Garamond" w:hAnsi="Garamond"/>
          <w:bCs/>
        </w:rPr>
        <w:t xml:space="preserve"> </w:t>
      </w:r>
      <w:proofErr w:type="spellStart"/>
      <w:r w:rsidRPr="00986A66">
        <w:rPr>
          <w:rFonts w:ascii="Garamond" w:hAnsi="Garamond"/>
          <w:bCs/>
        </w:rPr>
        <w:t>Sandër</w:t>
      </w:r>
      <w:proofErr w:type="spellEnd"/>
      <w:r w:rsidRPr="00986A66">
        <w:rPr>
          <w:rFonts w:ascii="Garamond" w:hAnsi="Garamond"/>
          <w:bCs/>
        </w:rPr>
        <w:t xml:space="preserve"> Beci</w:t>
      </w:r>
      <w:r>
        <w:rPr>
          <w:rFonts w:ascii="Garamond" w:hAnsi="Garamond"/>
          <w:bCs/>
        </w:rPr>
        <w:t>,</w:t>
      </w:r>
      <w:r w:rsidRPr="00986A66">
        <w:rPr>
          <w:rFonts w:ascii="Garamond" w:hAnsi="Garamond"/>
          <w:bCs/>
        </w:rPr>
        <w:t xml:space="preserve"> </w:t>
      </w:r>
      <w:proofErr w:type="spellStart"/>
      <w:r w:rsidRPr="00986A66">
        <w:rPr>
          <w:rFonts w:ascii="Garamond" w:hAnsi="Garamond"/>
          <w:bCs/>
        </w:rPr>
        <w:t>Marsida</w:t>
      </w:r>
      <w:proofErr w:type="spellEnd"/>
      <w:r w:rsidRPr="00986A66">
        <w:rPr>
          <w:rFonts w:ascii="Garamond" w:hAnsi="Garamond"/>
          <w:bCs/>
        </w:rPr>
        <w:t xml:space="preserve"> </w:t>
      </w:r>
      <w:proofErr w:type="spellStart"/>
      <w:r w:rsidRPr="00986A66">
        <w:rPr>
          <w:rFonts w:ascii="Garamond" w:hAnsi="Garamond"/>
          <w:bCs/>
        </w:rPr>
        <w:t>Xhaferllari</w:t>
      </w:r>
      <w:proofErr w:type="spellEnd"/>
      <w:r>
        <w:rPr>
          <w:rFonts w:ascii="Garamond" w:hAnsi="Garamond"/>
          <w:bCs/>
        </w:rPr>
        <w:t>,</w:t>
      </w:r>
      <w:r w:rsidRPr="00986A66">
        <w:rPr>
          <w:rFonts w:ascii="Garamond" w:hAnsi="Garamond"/>
          <w:bCs/>
        </w:rPr>
        <w:t xml:space="preserve"> </w:t>
      </w:r>
      <w:proofErr w:type="spellStart"/>
      <w:r w:rsidRPr="00986A66">
        <w:rPr>
          <w:rFonts w:ascii="Garamond" w:hAnsi="Garamond"/>
          <w:bCs/>
        </w:rPr>
        <w:t>Marjana</w:t>
      </w:r>
      <w:proofErr w:type="spellEnd"/>
      <w:r w:rsidRPr="00986A66">
        <w:rPr>
          <w:rFonts w:ascii="Garamond" w:hAnsi="Garamond"/>
          <w:bCs/>
        </w:rPr>
        <w:t xml:space="preserve"> </w:t>
      </w:r>
      <w:proofErr w:type="spellStart"/>
      <w:r w:rsidRPr="00986A66">
        <w:rPr>
          <w:rFonts w:ascii="Garamond" w:hAnsi="Garamond"/>
          <w:bCs/>
        </w:rPr>
        <w:t>Semini</w:t>
      </w:r>
      <w:proofErr w:type="spellEnd"/>
      <w:r>
        <w:rPr>
          <w:rFonts w:ascii="Garamond" w:hAnsi="Garamond"/>
          <w:bCs/>
        </w:rPr>
        <w:t>,</w:t>
      </w:r>
      <w:r w:rsidRPr="00986A66">
        <w:rPr>
          <w:rFonts w:ascii="Garamond" w:hAnsi="Garamond"/>
          <w:bCs/>
        </w:rPr>
        <w:t xml:space="preserve"> Genti Ibrahimi</w:t>
      </w:r>
      <w:r>
        <w:rPr>
          <w:rFonts w:ascii="Garamond" w:hAnsi="Garamond"/>
          <w:bCs/>
        </w:rPr>
        <w:t>,</w:t>
      </w:r>
      <w:r w:rsidRPr="00986A66">
        <w:rPr>
          <w:rFonts w:ascii="Garamond" w:hAnsi="Garamond"/>
          <w:bCs/>
        </w:rPr>
        <w:t xml:space="preserve"> Ilir Toska</w:t>
      </w:r>
      <w:r>
        <w:rPr>
          <w:rFonts w:ascii="Garamond" w:hAnsi="Garamond"/>
          <w:bCs/>
        </w:rPr>
        <w:t>,</w:t>
      </w:r>
      <w:r w:rsidRPr="00986A66">
        <w:rPr>
          <w:rFonts w:ascii="Garamond" w:hAnsi="Garamond"/>
          <w:bCs/>
        </w:rPr>
        <w:t xml:space="preserve"> </w:t>
      </w:r>
      <w:proofErr w:type="spellStart"/>
      <w:r w:rsidRPr="00986A66">
        <w:rPr>
          <w:rFonts w:ascii="Garamond" w:hAnsi="Garamond"/>
          <w:bCs/>
        </w:rPr>
        <w:t>Sonila</w:t>
      </w:r>
      <w:proofErr w:type="spellEnd"/>
      <w:r w:rsidRPr="00986A66">
        <w:rPr>
          <w:rFonts w:ascii="Garamond" w:hAnsi="Garamond"/>
          <w:bCs/>
        </w:rPr>
        <w:t xml:space="preserve"> Bejtja</w:t>
      </w:r>
      <w:r>
        <w:rPr>
          <w:rFonts w:ascii="Garamond" w:hAnsi="Garamond"/>
          <w:bCs/>
        </w:rPr>
        <w:t>,</w:t>
      </w:r>
      <w:r w:rsidRPr="00986A66">
        <w:rPr>
          <w:rFonts w:ascii="Garamond" w:hAnsi="Garamond"/>
          <w:bCs/>
        </w:rPr>
        <w:t xml:space="preserve"> </w:t>
      </w:r>
      <w:proofErr w:type="spellStart"/>
      <w:r w:rsidRPr="00986A66">
        <w:rPr>
          <w:rFonts w:ascii="Garamond" w:hAnsi="Garamond"/>
          <w:bCs/>
        </w:rPr>
        <w:t>Asim</w:t>
      </w:r>
      <w:proofErr w:type="spellEnd"/>
      <w:r w:rsidRPr="00986A66">
        <w:rPr>
          <w:rFonts w:ascii="Garamond" w:hAnsi="Garamond"/>
          <w:bCs/>
        </w:rPr>
        <w:t xml:space="preserve"> </w:t>
      </w:r>
      <w:proofErr w:type="spellStart"/>
      <w:r w:rsidRPr="00986A66">
        <w:rPr>
          <w:rFonts w:ascii="Garamond" w:hAnsi="Garamond"/>
          <w:bCs/>
        </w:rPr>
        <w:t>Vokshi</w:t>
      </w:r>
      <w:proofErr w:type="spellEnd"/>
    </w:p>
    <w:p w14:paraId="1AAB8468" w14:textId="410344D3" w:rsidR="00986A66" w:rsidRDefault="00986A66" w:rsidP="006B7EB4">
      <w:pPr>
        <w:tabs>
          <w:tab w:val="left" w:pos="720"/>
          <w:tab w:val="left" w:pos="980"/>
          <w:tab w:val="left" w:pos="1080"/>
          <w:tab w:val="left" w:pos="1160"/>
          <w:tab w:val="left" w:pos="4220"/>
        </w:tabs>
        <w:spacing w:line="240" w:lineRule="auto"/>
        <w:ind w:firstLine="284"/>
        <w:rPr>
          <w:rFonts w:ascii="Garamond" w:hAnsi="Garamond"/>
          <w:b/>
          <w:bCs/>
        </w:rPr>
      </w:pPr>
    </w:p>
    <w:p w14:paraId="35743196" w14:textId="77777777" w:rsidR="00986A66" w:rsidRPr="00986A66" w:rsidRDefault="00986A66" w:rsidP="006B7EB4">
      <w:pPr>
        <w:tabs>
          <w:tab w:val="left" w:pos="720"/>
          <w:tab w:val="left" w:pos="980"/>
          <w:tab w:val="left" w:pos="1080"/>
          <w:tab w:val="left" w:pos="1160"/>
          <w:tab w:val="left" w:pos="4220"/>
        </w:tabs>
        <w:spacing w:line="240" w:lineRule="auto"/>
        <w:ind w:firstLine="284"/>
        <w:rPr>
          <w:rFonts w:ascii="Garamond" w:hAnsi="Garamond"/>
          <w:b/>
          <w:bCs/>
        </w:rPr>
      </w:pPr>
    </w:p>
    <w:sectPr w:rsidR="00986A66" w:rsidRPr="00986A66" w:rsidSect="00FD08FE">
      <w:footerReference w:type="first" r:id="rId13"/>
      <w:pgSz w:w="11906" w:h="16838"/>
      <w:pgMar w:top="720" w:right="1440" w:bottom="1267" w:left="1440" w:header="720" w:footer="366"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9C76B2" w16cex:dateUtc="2026-05-06T19:43:00Z"/>
  <w16cex:commentExtensible w16cex:durableId="0627D4F6" w16cex:dateUtc="2026-05-06T19:59:00Z"/>
  <w16cex:commentExtensible w16cex:durableId="6123346A" w16cex:dateUtc="2026-05-06T20:33:00Z"/>
  <w16cex:commentExtensible w16cex:durableId="51FA6CC8" w16cex:dateUtc="2026-05-06T21:03:00Z"/>
  <w16cex:commentExtensible w16cex:durableId="6C35D887" w16cex:dateUtc="2026-05-06T20: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31297" w14:textId="77777777" w:rsidR="00C3745C" w:rsidRDefault="00C3745C" w:rsidP="009D6BFB">
      <w:pPr>
        <w:spacing w:line="240" w:lineRule="auto"/>
      </w:pPr>
      <w:r>
        <w:separator/>
      </w:r>
    </w:p>
  </w:endnote>
  <w:endnote w:type="continuationSeparator" w:id="0">
    <w:p w14:paraId="0179509A" w14:textId="77777777" w:rsidR="00C3745C" w:rsidRDefault="00C3745C" w:rsidP="009D6BFB">
      <w:pPr>
        <w:spacing w:line="240" w:lineRule="auto"/>
      </w:pPr>
      <w:r>
        <w:continuationSeparator/>
      </w:r>
    </w:p>
  </w:endnote>
  <w:endnote w:type="continuationNotice" w:id="1">
    <w:p w14:paraId="2FAE13A2" w14:textId="77777777" w:rsidR="00C3745C" w:rsidRDefault="00C374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F51E1" w14:textId="77777777" w:rsidR="00C3745C" w:rsidRDefault="00C3745C">
    <w:pPr>
      <w:pStyle w:val="Footer"/>
      <w:jc w:val="right"/>
    </w:pPr>
  </w:p>
  <w:p w14:paraId="240F51E2" w14:textId="77777777" w:rsidR="00C3745C" w:rsidRDefault="00C37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CC464" w14:textId="77777777" w:rsidR="00C3745C" w:rsidRDefault="00C3745C" w:rsidP="009D6BFB">
      <w:pPr>
        <w:spacing w:line="240" w:lineRule="auto"/>
      </w:pPr>
      <w:r>
        <w:separator/>
      </w:r>
    </w:p>
  </w:footnote>
  <w:footnote w:type="continuationSeparator" w:id="0">
    <w:p w14:paraId="017B2AC9" w14:textId="77777777" w:rsidR="00C3745C" w:rsidRDefault="00C3745C" w:rsidP="009D6BFB">
      <w:pPr>
        <w:spacing w:line="240" w:lineRule="auto"/>
      </w:pPr>
      <w:r>
        <w:continuationSeparator/>
      </w:r>
    </w:p>
  </w:footnote>
  <w:footnote w:type="continuationNotice" w:id="1">
    <w:p w14:paraId="425F4002" w14:textId="77777777" w:rsidR="00C3745C" w:rsidRDefault="00C3745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7044CC"/>
    <w:multiLevelType w:val="multilevel"/>
    <w:tmpl w:val="083435D8"/>
    <w:lvl w:ilvl="0">
      <w:start w:val="7"/>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DBD3B85"/>
    <w:multiLevelType w:val="multilevel"/>
    <w:tmpl w:val="751E8FF0"/>
    <w:lvl w:ilvl="0">
      <w:start w:val="7"/>
      <w:numFmt w:val="decimal"/>
      <w:lvlText w:val="%1."/>
      <w:lvlJc w:val="left"/>
      <w:pPr>
        <w:ind w:left="1980" w:hanging="360"/>
      </w:pPr>
      <w:rPr>
        <w:rFonts w:ascii="Times New Roman" w:hAnsi="Times New Roman" w:cs="Times New Roman" w:hint="default"/>
        <w:b w:val="0"/>
        <w:i w:val="0"/>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15:restartNumberingAfterBreak="0">
    <w:nsid w:val="0F572921"/>
    <w:multiLevelType w:val="hybridMultilevel"/>
    <w:tmpl w:val="DA1CF6DA"/>
    <w:lvl w:ilvl="0" w:tplc="54D01DD6">
      <w:start w:val="2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2D37E4"/>
    <w:multiLevelType w:val="multilevel"/>
    <w:tmpl w:val="A3F0B304"/>
    <w:lvl w:ilvl="0">
      <w:start w:val="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9" w15:restartNumberingAfterBreak="0">
    <w:nsid w:val="129873C8"/>
    <w:multiLevelType w:val="hybridMultilevel"/>
    <w:tmpl w:val="88103A90"/>
    <w:lvl w:ilvl="0" w:tplc="8312BD6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1C44C9"/>
    <w:multiLevelType w:val="multilevel"/>
    <w:tmpl w:val="2F88D000"/>
    <w:lvl w:ilvl="0">
      <w:start w:val="1"/>
      <w:numFmt w:val="decimal"/>
      <w:lvlText w:val="%1."/>
      <w:lvlJc w:val="left"/>
      <w:pPr>
        <w:ind w:left="378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1"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2"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3"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15" w15:restartNumberingAfterBreak="0">
    <w:nsid w:val="26A410BB"/>
    <w:multiLevelType w:val="multilevel"/>
    <w:tmpl w:val="31BED03A"/>
    <w:lvl w:ilvl="0">
      <w:start w:val="7"/>
      <w:numFmt w:val="decimal"/>
      <w:lvlText w:val="%1."/>
      <w:lvlJc w:val="left"/>
      <w:pPr>
        <w:ind w:left="900" w:hanging="360"/>
      </w:pPr>
      <w:rPr>
        <w:rFonts w:eastAsia="Arial Unicode MS" w:hint="default"/>
        <w:b w:val="0"/>
        <w:i w:val="0"/>
      </w:rPr>
    </w:lvl>
    <w:lvl w:ilvl="1">
      <w:start w:val="1"/>
      <w:numFmt w:val="decimal"/>
      <w:lvlText w:val="%1.%2."/>
      <w:lvlJc w:val="left"/>
      <w:pPr>
        <w:ind w:left="1494" w:hanging="360"/>
      </w:pPr>
      <w:rPr>
        <w:rFonts w:eastAsia="Arial Unicode MS" w:hint="default"/>
        <w:b w:val="0"/>
        <w:i w:val="0"/>
      </w:rPr>
    </w:lvl>
    <w:lvl w:ilvl="2">
      <w:start w:val="1"/>
      <w:numFmt w:val="decimal"/>
      <w:lvlText w:val="%1.%2.%3."/>
      <w:lvlJc w:val="left"/>
      <w:pPr>
        <w:ind w:left="2988" w:hanging="720"/>
      </w:pPr>
      <w:rPr>
        <w:rFonts w:eastAsia="Arial Unicode MS" w:hint="default"/>
        <w:b w:val="0"/>
        <w:i w:val="0"/>
      </w:rPr>
    </w:lvl>
    <w:lvl w:ilvl="3">
      <w:start w:val="1"/>
      <w:numFmt w:val="decimal"/>
      <w:lvlText w:val="%1.%2.%3.%4."/>
      <w:lvlJc w:val="left"/>
      <w:pPr>
        <w:ind w:left="4122" w:hanging="720"/>
      </w:pPr>
      <w:rPr>
        <w:rFonts w:eastAsia="Arial Unicode MS" w:hint="default"/>
        <w:b w:val="0"/>
      </w:rPr>
    </w:lvl>
    <w:lvl w:ilvl="4">
      <w:start w:val="1"/>
      <w:numFmt w:val="decimal"/>
      <w:lvlText w:val="%1.%2.%3.%4.%5."/>
      <w:lvlJc w:val="left"/>
      <w:pPr>
        <w:ind w:left="5616" w:hanging="1080"/>
      </w:pPr>
      <w:rPr>
        <w:rFonts w:eastAsia="Arial Unicode MS" w:hint="default"/>
        <w:b w:val="0"/>
      </w:rPr>
    </w:lvl>
    <w:lvl w:ilvl="5">
      <w:start w:val="1"/>
      <w:numFmt w:val="decimal"/>
      <w:lvlText w:val="%1.%2.%3.%4.%5.%6."/>
      <w:lvlJc w:val="left"/>
      <w:pPr>
        <w:ind w:left="6750" w:hanging="1080"/>
      </w:pPr>
      <w:rPr>
        <w:rFonts w:eastAsia="Arial Unicode MS" w:hint="default"/>
        <w:b w:val="0"/>
      </w:rPr>
    </w:lvl>
    <w:lvl w:ilvl="6">
      <w:start w:val="1"/>
      <w:numFmt w:val="decimal"/>
      <w:lvlText w:val="%1.%2.%3.%4.%5.%6.%7."/>
      <w:lvlJc w:val="left"/>
      <w:pPr>
        <w:ind w:left="8244" w:hanging="1440"/>
      </w:pPr>
      <w:rPr>
        <w:rFonts w:eastAsia="Arial Unicode MS" w:hint="default"/>
        <w:b w:val="0"/>
      </w:rPr>
    </w:lvl>
    <w:lvl w:ilvl="7">
      <w:start w:val="1"/>
      <w:numFmt w:val="decimal"/>
      <w:lvlText w:val="%1.%2.%3.%4.%5.%6.%7.%8."/>
      <w:lvlJc w:val="left"/>
      <w:pPr>
        <w:ind w:left="9378" w:hanging="1440"/>
      </w:pPr>
      <w:rPr>
        <w:rFonts w:eastAsia="Arial Unicode MS" w:hint="default"/>
        <w:b w:val="0"/>
      </w:rPr>
    </w:lvl>
    <w:lvl w:ilvl="8">
      <w:start w:val="1"/>
      <w:numFmt w:val="decimal"/>
      <w:lvlText w:val="%1.%2.%3.%4.%5.%6.%7.%8.%9."/>
      <w:lvlJc w:val="left"/>
      <w:pPr>
        <w:ind w:left="10872" w:hanging="1800"/>
      </w:pPr>
      <w:rPr>
        <w:rFonts w:eastAsia="Arial Unicode MS" w:hint="default"/>
        <w:b w:val="0"/>
      </w:rPr>
    </w:lvl>
  </w:abstractNum>
  <w:abstractNum w:abstractNumId="16" w15:restartNumberingAfterBreak="0">
    <w:nsid w:val="2A9C548C"/>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937706"/>
    <w:multiLevelType w:val="multilevel"/>
    <w:tmpl w:val="B198B326"/>
    <w:lvl w:ilvl="0">
      <w:start w:val="12"/>
      <w:numFmt w:val="decimal"/>
      <w:lvlText w:val="%1."/>
      <w:lvlJc w:val="left"/>
      <w:pPr>
        <w:ind w:left="480" w:hanging="480"/>
      </w:pPr>
      <w:rPr>
        <w:rFonts w:eastAsia="Calibri" w:hint="default"/>
        <w:b w:val="0"/>
        <w:i w:val="0"/>
      </w:rPr>
    </w:lvl>
    <w:lvl w:ilvl="1">
      <w:start w:val="1"/>
      <w:numFmt w:val="decimal"/>
      <w:lvlText w:val="%1.%2."/>
      <w:lvlJc w:val="left"/>
      <w:pPr>
        <w:ind w:left="840" w:hanging="480"/>
      </w:pPr>
      <w:rPr>
        <w:rFonts w:eastAsia="Calibri" w:hint="default"/>
        <w:b w:val="0"/>
        <w:i w:val="0"/>
      </w:rPr>
    </w:lvl>
    <w:lvl w:ilvl="2">
      <w:start w:val="1"/>
      <w:numFmt w:val="decimal"/>
      <w:lvlText w:val="%1.%2.%3."/>
      <w:lvlJc w:val="left"/>
      <w:pPr>
        <w:ind w:left="1440" w:hanging="720"/>
      </w:pPr>
      <w:rPr>
        <w:rFonts w:eastAsia="Calibri" w:hint="default"/>
        <w:i/>
      </w:rPr>
    </w:lvl>
    <w:lvl w:ilvl="3">
      <w:start w:val="1"/>
      <w:numFmt w:val="decimal"/>
      <w:lvlText w:val="%1.%2.%3.%4."/>
      <w:lvlJc w:val="left"/>
      <w:pPr>
        <w:ind w:left="1800" w:hanging="720"/>
      </w:pPr>
      <w:rPr>
        <w:rFonts w:eastAsia="Calibri" w:hint="default"/>
        <w:i/>
      </w:rPr>
    </w:lvl>
    <w:lvl w:ilvl="4">
      <w:start w:val="1"/>
      <w:numFmt w:val="decimal"/>
      <w:lvlText w:val="%1.%2.%3.%4.%5."/>
      <w:lvlJc w:val="left"/>
      <w:pPr>
        <w:ind w:left="2520" w:hanging="1080"/>
      </w:pPr>
      <w:rPr>
        <w:rFonts w:eastAsia="Calibri" w:hint="default"/>
        <w:i/>
      </w:rPr>
    </w:lvl>
    <w:lvl w:ilvl="5">
      <w:start w:val="1"/>
      <w:numFmt w:val="decimal"/>
      <w:lvlText w:val="%1.%2.%3.%4.%5.%6."/>
      <w:lvlJc w:val="left"/>
      <w:pPr>
        <w:ind w:left="2880" w:hanging="1080"/>
      </w:pPr>
      <w:rPr>
        <w:rFonts w:eastAsia="Calibri" w:hint="default"/>
        <w:i/>
      </w:rPr>
    </w:lvl>
    <w:lvl w:ilvl="6">
      <w:start w:val="1"/>
      <w:numFmt w:val="decimal"/>
      <w:lvlText w:val="%1.%2.%3.%4.%5.%6.%7."/>
      <w:lvlJc w:val="left"/>
      <w:pPr>
        <w:ind w:left="3600" w:hanging="1440"/>
      </w:pPr>
      <w:rPr>
        <w:rFonts w:eastAsia="Calibri" w:hint="default"/>
        <w:i/>
      </w:rPr>
    </w:lvl>
    <w:lvl w:ilvl="7">
      <w:start w:val="1"/>
      <w:numFmt w:val="decimal"/>
      <w:lvlText w:val="%1.%2.%3.%4.%5.%6.%7.%8."/>
      <w:lvlJc w:val="left"/>
      <w:pPr>
        <w:ind w:left="3960" w:hanging="1440"/>
      </w:pPr>
      <w:rPr>
        <w:rFonts w:eastAsia="Calibri" w:hint="default"/>
        <w:i/>
      </w:rPr>
    </w:lvl>
    <w:lvl w:ilvl="8">
      <w:start w:val="1"/>
      <w:numFmt w:val="decimal"/>
      <w:lvlText w:val="%1.%2.%3.%4.%5.%6.%7.%8.%9."/>
      <w:lvlJc w:val="left"/>
      <w:pPr>
        <w:ind w:left="4680" w:hanging="1800"/>
      </w:pPr>
      <w:rPr>
        <w:rFonts w:eastAsia="Calibri" w:hint="default"/>
        <w:i/>
      </w:rPr>
    </w:lvl>
  </w:abstractNum>
  <w:abstractNum w:abstractNumId="18" w15:restartNumberingAfterBreak="0">
    <w:nsid w:val="2F0B74A6"/>
    <w:multiLevelType w:val="hybridMultilevel"/>
    <w:tmpl w:val="775EB45C"/>
    <w:lvl w:ilvl="0" w:tplc="1A9C42C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0F97B36"/>
    <w:multiLevelType w:val="hybridMultilevel"/>
    <w:tmpl w:val="3AC896E4"/>
    <w:lvl w:ilvl="0" w:tplc="757A23BA">
      <w:start w:val="1"/>
      <w:numFmt w:val="upperRoman"/>
      <w:lvlText w:val="%1."/>
      <w:lvlJc w:val="left"/>
      <w:pPr>
        <w:ind w:left="1080" w:hanging="720"/>
      </w:pPr>
      <w:rPr>
        <w:rFonts w:hint="default"/>
        <w:i/>
      </w:rPr>
    </w:lvl>
    <w:lvl w:ilvl="1" w:tplc="041C0019">
      <w:start w:val="1"/>
      <w:numFmt w:val="lowerLetter"/>
      <w:lvlText w:val="%2."/>
      <w:lvlJc w:val="left"/>
      <w:pPr>
        <w:ind w:left="1440" w:hanging="360"/>
      </w:pPr>
    </w:lvl>
    <w:lvl w:ilvl="2" w:tplc="0409000F">
      <w:start w:val="1"/>
      <w:numFmt w:val="decimal"/>
      <w:lvlText w:val="%3."/>
      <w:lvlJc w:val="lef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21" w15:restartNumberingAfterBreak="0">
    <w:nsid w:val="3A79726F"/>
    <w:multiLevelType w:val="multilevel"/>
    <w:tmpl w:val="AFD4C7D6"/>
    <w:lvl w:ilvl="0">
      <w:start w:val="4"/>
      <w:numFmt w:val="decimal"/>
      <w:lvlText w:val="%1."/>
      <w:lvlJc w:val="left"/>
      <w:pPr>
        <w:ind w:left="288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2" w15:restartNumberingAfterBreak="0">
    <w:nsid w:val="3D535B62"/>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455F9B"/>
    <w:multiLevelType w:val="multilevel"/>
    <w:tmpl w:val="188041D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29F5CC2"/>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6524B4F"/>
    <w:multiLevelType w:val="multilevel"/>
    <w:tmpl w:val="F3444342"/>
    <w:lvl w:ilvl="0">
      <w:start w:val="8"/>
      <w:numFmt w:val="decimal"/>
      <w:lvlText w:val="%1."/>
      <w:lvlJc w:val="left"/>
      <w:pPr>
        <w:ind w:left="1440" w:hanging="360"/>
      </w:pPr>
      <w:rPr>
        <w:rFonts w:hint="default"/>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D2406A5"/>
    <w:multiLevelType w:val="multilevel"/>
    <w:tmpl w:val="D5443CD8"/>
    <w:lvl w:ilvl="0">
      <w:start w:val="7"/>
      <w:numFmt w:val="decimal"/>
      <w:lvlText w:val="%1."/>
      <w:lvlJc w:val="left"/>
      <w:pPr>
        <w:ind w:left="108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0" w15:restartNumberingAfterBreak="0">
    <w:nsid w:val="60FD0E1B"/>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2733189"/>
    <w:multiLevelType w:val="multilevel"/>
    <w:tmpl w:val="A7004EC2"/>
    <w:lvl w:ilvl="0">
      <w:start w:val="7"/>
      <w:numFmt w:val="decimal"/>
      <w:lvlText w:val="%1."/>
      <w:lvlJc w:val="left"/>
      <w:pPr>
        <w:ind w:left="2070" w:hanging="360"/>
      </w:pPr>
      <w:rPr>
        <w:rFonts w:hint="default"/>
        <w:i w:val="0"/>
        <w:color w:val="auto"/>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32" w15:restartNumberingAfterBreak="0">
    <w:nsid w:val="64734A53"/>
    <w:multiLevelType w:val="multilevel"/>
    <w:tmpl w:val="3B103532"/>
    <w:lvl w:ilvl="0">
      <w:start w:val="6"/>
      <w:numFmt w:val="decimal"/>
      <w:lvlText w:val="%1."/>
      <w:lvlJc w:val="left"/>
      <w:pPr>
        <w:ind w:left="279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33"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34" w15:restartNumberingAfterBreak="0">
    <w:nsid w:val="674050A2"/>
    <w:multiLevelType w:val="multilevel"/>
    <w:tmpl w:val="E2488110"/>
    <w:lvl w:ilvl="0">
      <w:start w:val="19"/>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6" w15:restartNumberingAfterBreak="0">
    <w:nsid w:val="718F3A90"/>
    <w:multiLevelType w:val="multilevel"/>
    <w:tmpl w:val="AF8656DA"/>
    <w:lvl w:ilvl="0">
      <w:start w:val="40"/>
      <w:numFmt w:val="decimal"/>
      <w:lvlText w:val="%1."/>
      <w:lvlJc w:val="left"/>
      <w:pPr>
        <w:ind w:left="1260" w:hanging="360"/>
      </w:pPr>
      <w:rPr>
        <w:rFonts w:hint="default"/>
        <w:b w:val="0"/>
        <w:i w:val="0"/>
        <w:color w:val="auto"/>
      </w:rPr>
    </w:lvl>
    <w:lvl w:ilvl="1">
      <w:start w:val="1"/>
      <w:numFmt w:val="decimal"/>
      <w:lvlText w:val="%1.%2."/>
      <w:lvlJc w:val="left"/>
      <w:pPr>
        <w:ind w:left="1080" w:hanging="360"/>
      </w:pPr>
      <w:rPr>
        <w:rFonts w:hint="default"/>
        <w:b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38"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A417AB"/>
    <w:multiLevelType w:val="hybridMultilevel"/>
    <w:tmpl w:val="DAE2A71E"/>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0" w15:restartNumberingAfterBreak="0">
    <w:nsid w:val="78453D56"/>
    <w:multiLevelType w:val="multilevel"/>
    <w:tmpl w:val="C42E978A"/>
    <w:lvl w:ilvl="0">
      <w:start w:val="1"/>
      <w:numFmt w:val="decimal"/>
      <w:lvlText w:val="%1."/>
      <w:lvlJc w:val="left"/>
      <w:pPr>
        <w:ind w:left="1069" w:hanging="360"/>
      </w:pPr>
      <w:rPr>
        <w:rFonts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41" w15:restartNumberingAfterBreak="0">
    <w:nsid w:val="79FF0DC4"/>
    <w:multiLevelType w:val="multilevel"/>
    <w:tmpl w:val="31BED03A"/>
    <w:lvl w:ilvl="0">
      <w:start w:val="7"/>
      <w:numFmt w:val="decimal"/>
      <w:lvlText w:val="%1."/>
      <w:lvlJc w:val="left"/>
      <w:pPr>
        <w:ind w:left="900" w:hanging="360"/>
      </w:pPr>
      <w:rPr>
        <w:rFonts w:eastAsia="Arial Unicode MS" w:hint="default"/>
        <w:b w:val="0"/>
        <w:i w:val="0"/>
      </w:rPr>
    </w:lvl>
    <w:lvl w:ilvl="1">
      <w:start w:val="1"/>
      <w:numFmt w:val="decimal"/>
      <w:lvlText w:val="%1.%2."/>
      <w:lvlJc w:val="left"/>
      <w:pPr>
        <w:ind w:left="1494" w:hanging="360"/>
      </w:pPr>
      <w:rPr>
        <w:rFonts w:eastAsia="Arial Unicode MS" w:hint="default"/>
        <w:b w:val="0"/>
        <w:i w:val="0"/>
      </w:rPr>
    </w:lvl>
    <w:lvl w:ilvl="2">
      <w:start w:val="1"/>
      <w:numFmt w:val="decimal"/>
      <w:lvlText w:val="%1.%2.%3."/>
      <w:lvlJc w:val="left"/>
      <w:pPr>
        <w:ind w:left="2988" w:hanging="720"/>
      </w:pPr>
      <w:rPr>
        <w:rFonts w:eastAsia="Arial Unicode MS" w:hint="default"/>
        <w:b w:val="0"/>
        <w:i w:val="0"/>
      </w:rPr>
    </w:lvl>
    <w:lvl w:ilvl="3">
      <w:start w:val="1"/>
      <w:numFmt w:val="decimal"/>
      <w:lvlText w:val="%1.%2.%3.%4."/>
      <w:lvlJc w:val="left"/>
      <w:pPr>
        <w:ind w:left="4122" w:hanging="720"/>
      </w:pPr>
      <w:rPr>
        <w:rFonts w:eastAsia="Arial Unicode MS" w:hint="default"/>
        <w:b w:val="0"/>
      </w:rPr>
    </w:lvl>
    <w:lvl w:ilvl="4">
      <w:start w:val="1"/>
      <w:numFmt w:val="decimal"/>
      <w:lvlText w:val="%1.%2.%3.%4.%5."/>
      <w:lvlJc w:val="left"/>
      <w:pPr>
        <w:ind w:left="5616" w:hanging="1080"/>
      </w:pPr>
      <w:rPr>
        <w:rFonts w:eastAsia="Arial Unicode MS" w:hint="default"/>
        <w:b w:val="0"/>
      </w:rPr>
    </w:lvl>
    <w:lvl w:ilvl="5">
      <w:start w:val="1"/>
      <w:numFmt w:val="decimal"/>
      <w:lvlText w:val="%1.%2.%3.%4.%5.%6."/>
      <w:lvlJc w:val="left"/>
      <w:pPr>
        <w:ind w:left="6750" w:hanging="1080"/>
      </w:pPr>
      <w:rPr>
        <w:rFonts w:eastAsia="Arial Unicode MS" w:hint="default"/>
        <w:b w:val="0"/>
      </w:rPr>
    </w:lvl>
    <w:lvl w:ilvl="6">
      <w:start w:val="1"/>
      <w:numFmt w:val="decimal"/>
      <w:lvlText w:val="%1.%2.%3.%4.%5.%6.%7."/>
      <w:lvlJc w:val="left"/>
      <w:pPr>
        <w:ind w:left="8244" w:hanging="1440"/>
      </w:pPr>
      <w:rPr>
        <w:rFonts w:eastAsia="Arial Unicode MS" w:hint="default"/>
        <w:b w:val="0"/>
      </w:rPr>
    </w:lvl>
    <w:lvl w:ilvl="7">
      <w:start w:val="1"/>
      <w:numFmt w:val="decimal"/>
      <w:lvlText w:val="%1.%2.%3.%4.%5.%6.%7.%8."/>
      <w:lvlJc w:val="left"/>
      <w:pPr>
        <w:ind w:left="9378" w:hanging="1440"/>
      </w:pPr>
      <w:rPr>
        <w:rFonts w:eastAsia="Arial Unicode MS" w:hint="default"/>
        <w:b w:val="0"/>
      </w:rPr>
    </w:lvl>
    <w:lvl w:ilvl="8">
      <w:start w:val="1"/>
      <w:numFmt w:val="decimal"/>
      <w:lvlText w:val="%1.%2.%3.%4.%5.%6.%7.%8.%9."/>
      <w:lvlJc w:val="left"/>
      <w:pPr>
        <w:ind w:left="10872" w:hanging="1800"/>
      </w:pPr>
      <w:rPr>
        <w:rFonts w:eastAsia="Arial Unicode MS" w:hint="default"/>
        <w:b w:val="0"/>
      </w:rPr>
    </w:lvl>
  </w:abstractNum>
  <w:num w:numId="1">
    <w:abstractNumId w:val="28"/>
  </w:num>
  <w:num w:numId="2">
    <w:abstractNumId w:val="27"/>
  </w:num>
  <w:num w:numId="3">
    <w:abstractNumId w:val="13"/>
  </w:num>
  <w:num w:numId="4">
    <w:abstractNumId w:val="33"/>
  </w:num>
  <w:num w:numId="5">
    <w:abstractNumId w:val="12"/>
  </w:num>
  <w:num w:numId="6">
    <w:abstractNumId w:val="7"/>
  </w:num>
  <w:num w:numId="7">
    <w:abstractNumId w:val="20"/>
  </w:num>
  <w:num w:numId="8">
    <w:abstractNumId w:val="1"/>
  </w:num>
  <w:num w:numId="9">
    <w:abstractNumId w:val="37"/>
  </w:num>
  <w:num w:numId="10">
    <w:abstractNumId w:val="2"/>
  </w:num>
  <w:num w:numId="11">
    <w:abstractNumId w:val="38"/>
  </w:num>
  <w:num w:numId="12">
    <w:abstractNumId w:val="24"/>
  </w:num>
  <w:num w:numId="13">
    <w:abstractNumId w:val="35"/>
  </w:num>
  <w:num w:numId="14">
    <w:abstractNumId w:val="8"/>
  </w:num>
  <w:num w:numId="15">
    <w:abstractNumId w:val="25"/>
  </w:num>
  <w:num w:numId="16">
    <w:abstractNumId w:val="29"/>
  </w:num>
  <w:num w:numId="17">
    <w:abstractNumId w:val="32"/>
  </w:num>
  <w:num w:numId="18">
    <w:abstractNumId w:val="31"/>
  </w:num>
  <w:num w:numId="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30"/>
  </w:num>
  <w:num w:numId="22">
    <w:abstractNumId w:val="23"/>
  </w:num>
  <w:num w:numId="23">
    <w:abstractNumId w:val="19"/>
  </w:num>
  <w:num w:numId="24">
    <w:abstractNumId w:val="15"/>
  </w:num>
  <w:num w:numId="25">
    <w:abstractNumId w:val="3"/>
  </w:num>
  <w:num w:numId="26">
    <w:abstractNumId w:val="0"/>
  </w:num>
  <w:num w:numId="27">
    <w:abstractNumId w:val="5"/>
  </w:num>
  <w:num w:numId="28">
    <w:abstractNumId w:val="9"/>
  </w:num>
  <w:num w:numId="29">
    <w:abstractNumId w:val="34"/>
  </w:num>
  <w:num w:numId="30">
    <w:abstractNumId w:val="22"/>
  </w:num>
  <w:num w:numId="31">
    <w:abstractNumId w:val="4"/>
  </w:num>
  <w:num w:numId="32">
    <w:abstractNumId w:val="17"/>
  </w:num>
  <w:num w:numId="33">
    <w:abstractNumId w:val="6"/>
  </w:num>
  <w:num w:numId="34">
    <w:abstractNumId w:val="41"/>
  </w:num>
  <w:num w:numId="35">
    <w:abstractNumId w:val="21"/>
  </w:num>
  <w:num w:numId="36">
    <w:abstractNumId w:val="39"/>
  </w:num>
  <w:num w:numId="37">
    <w:abstractNumId w:val="14"/>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 w:numId="40">
    <w:abstractNumId w:val="26"/>
  </w:num>
  <w:num w:numId="41">
    <w:abstractNumId w:val="36"/>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stylePaneSortMethod w:val="0000"/>
  <w:revisionView w:inkAnnotations="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108D"/>
    <w:rsid w:val="00001DFB"/>
    <w:rsid w:val="000024D1"/>
    <w:rsid w:val="00002950"/>
    <w:rsid w:val="00003B28"/>
    <w:rsid w:val="00005C2D"/>
    <w:rsid w:val="00005E0A"/>
    <w:rsid w:val="00006B5D"/>
    <w:rsid w:val="00006EC9"/>
    <w:rsid w:val="00010593"/>
    <w:rsid w:val="00011418"/>
    <w:rsid w:val="0001196A"/>
    <w:rsid w:val="00012436"/>
    <w:rsid w:val="0001284D"/>
    <w:rsid w:val="00012F34"/>
    <w:rsid w:val="00012FED"/>
    <w:rsid w:val="00013456"/>
    <w:rsid w:val="00013508"/>
    <w:rsid w:val="0001352E"/>
    <w:rsid w:val="00013B89"/>
    <w:rsid w:val="00013BD1"/>
    <w:rsid w:val="000146AC"/>
    <w:rsid w:val="000147C4"/>
    <w:rsid w:val="00014B6D"/>
    <w:rsid w:val="00014E0F"/>
    <w:rsid w:val="00014EEB"/>
    <w:rsid w:val="000152AF"/>
    <w:rsid w:val="00016E3E"/>
    <w:rsid w:val="00021979"/>
    <w:rsid w:val="00022381"/>
    <w:rsid w:val="000223BA"/>
    <w:rsid w:val="00022AD5"/>
    <w:rsid w:val="00022D89"/>
    <w:rsid w:val="00022E48"/>
    <w:rsid w:val="00022FE5"/>
    <w:rsid w:val="0002321C"/>
    <w:rsid w:val="00023EEF"/>
    <w:rsid w:val="000241BF"/>
    <w:rsid w:val="00024203"/>
    <w:rsid w:val="00024659"/>
    <w:rsid w:val="00024AE1"/>
    <w:rsid w:val="000253F2"/>
    <w:rsid w:val="00025E57"/>
    <w:rsid w:val="000273E5"/>
    <w:rsid w:val="000303E8"/>
    <w:rsid w:val="000305E8"/>
    <w:rsid w:val="0003109E"/>
    <w:rsid w:val="00031689"/>
    <w:rsid w:val="00031851"/>
    <w:rsid w:val="00031F68"/>
    <w:rsid w:val="00032804"/>
    <w:rsid w:val="00033156"/>
    <w:rsid w:val="00033638"/>
    <w:rsid w:val="00033783"/>
    <w:rsid w:val="0003456A"/>
    <w:rsid w:val="00035CE4"/>
    <w:rsid w:val="00040D58"/>
    <w:rsid w:val="00043545"/>
    <w:rsid w:val="000436BA"/>
    <w:rsid w:val="00044DB0"/>
    <w:rsid w:val="00045482"/>
    <w:rsid w:val="00047164"/>
    <w:rsid w:val="00047B44"/>
    <w:rsid w:val="0005065F"/>
    <w:rsid w:val="00051423"/>
    <w:rsid w:val="000519C6"/>
    <w:rsid w:val="00052556"/>
    <w:rsid w:val="00052D30"/>
    <w:rsid w:val="00052E7B"/>
    <w:rsid w:val="000534AB"/>
    <w:rsid w:val="000542CE"/>
    <w:rsid w:val="00054599"/>
    <w:rsid w:val="00054814"/>
    <w:rsid w:val="0005497D"/>
    <w:rsid w:val="00054A24"/>
    <w:rsid w:val="00055A57"/>
    <w:rsid w:val="00057016"/>
    <w:rsid w:val="00057922"/>
    <w:rsid w:val="00057B11"/>
    <w:rsid w:val="00060AA9"/>
    <w:rsid w:val="000610E7"/>
    <w:rsid w:val="000611B1"/>
    <w:rsid w:val="000620F1"/>
    <w:rsid w:val="00062107"/>
    <w:rsid w:val="000628F0"/>
    <w:rsid w:val="00062C8F"/>
    <w:rsid w:val="00062CF9"/>
    <w:rsid w:val="000630E6"/>
    <w:rsid w:val="00063917"/>
    <w:rsid w:val="00064396"/>
    <w:rsid w:val="00064FEE"/>
    <w:rsid w:val="000669CA"/>
    <w:rsid w:val="00066EA0"/>
    <w:rsid w:val="00067B36"/>
    <w:rsid w:val="000709A8"/>
    <w:rsid w:val="000719BE"/>
    <w:rsid w:val="00071D1B"/>
    <w:rsid w:val="00071E7B"/>
    <w:rsid w:val="000731C2"/>
    <w:rsid w:val="00074782"/>
    <w:rsid w:val="000755FC"/>
    <w:rsid w:val="000773B4"/>
    <w:rsid w:val="00077E5E"/>
    <w:rsid w:val="00080086"/>
    <w:rsid w:val="000804C5"/>
    <w:rsid w:val="0008086F"/>
    <w:rsid w:val="00081816"/>
    <w:rsid w:val="00081E60"/>
    <w:rsid w:val="000821A8"/>
    <w:rsid w:val="0008276E"/>
    <w:rsid w:val="00083A07"/>
    <w:rsid w:val="00083F7C"/>
    <w:rsid w:val="00084382"/>
    <w:rsid w:val="0008455C"/>
    <w:rsid w:val="000847D9"/>
    <w:rsid w:val="00085875"/>
    <w:rsid w:val="00086DDF"/>
    <w:rsid w:val="0008744D"/>
    <w:rsid w:val="000879E2"/>
    <w:rsid w:val="000905FE"/>
    <w:rsid w:val="00090A19"/>
    <w:rsid w:val="0009183C"/>
    <w:rsid w:val="000921AE"/>
    <w:rsid w:val="0009225F"/>
    <w:rsid w:val="000933A9"/>
    <w:rsid w:val="000954D2"/>
    <w:rsid w:val="00095CDA"/>
    <w:rsid w:val="000979A9"/>
    <w:rsid w:val="000A0EE9"/>
    <w:rsid w:val="000A18DB"/>
    <w:rsid w:val="000A1B9C"/>
    <w:rsid w:val="000A1EDB"/>
    <w:rsid w:val="000A1F65"/>
    <w:rsid w:val="000A2011"/>
    <w:rsid w:val="000A2A44"/>
    <w:rsid w:val="000A4170"/>
    <w:rsid w:val="000A4AB0"/>
    <w:rsid w:val="000A5585"/>
    <w:rsid w:val="000A5F09"/>
    <w:rsid w:val="000A6591"/>
    <w:rsid w:val="000A6B5C"/>
    <w:rsid w:val="000A7D02"/>
    <w:rsid w:val="000B0539"/>
    <w:rsid w:val="000B0682"/>
    <w:rsid w:val="000B09DC"/>
    <w:rsid w:val="000B144C"/>
    <w:rsid w:val="000B27DC"/>
    <w:rsid w:val="000B3E4B"/>
    <w:rsid w:val="000B473E"/>
    <w:rsid w:val="000B4822"/>
    <w:rsid w:val="000B4C8F"/>
    <w:rsid w:val="000B5640"/>
    <w:rsid w:val="000B5A70"/>
    <w:rsid w:val="000B66C6"/>
    <w:rsid w:val="000B6C4A"/>
    <w:rsid w:val="000B7440"/>
    <w:rsid w:val="000B7BFD"/>
    <w:rsid w:val="000C2B42"/>
    <w:rsid w:val="000C3762"/>
    <w:rsid w:val="000C37FD"/>
    <w:rsid w:val="000C3AA0"/>
    <w:rsid w:val="000C4552"/>
    <w:rsid w:val="000C55FB"/>
    <w:rsid w:val="000C610C"/>
    <w:rsid w:val="000C65B8"/>
    <w:rsid w:val="000C6769"/>
    <w:rsid w:val="000C7886"/>
    <w:rsid w:val="000D03FF"/>
    <w:rsid w:val="000D11EF"/>
    <w:rsid w:val="000D186B"/>
    <w:rsid w:val="000D269C"/>
    <w:rsid w:val="000D2CA5"/>
    <w:rsid w:val="000D2D48"/>
    <w:rsid w:val="000D4208"/>
    <w:rsid w:val="000D4855"/>
    <w:rsid w:val="000D4B5A"/>
    <w:rsid w:val="000D61D7"/>
    <w:rsid w:val="000D6904"/>
    <w:rsid w:val="000D7DBE"/>
    <w:rsid w:val="000E00CB"/>
    <w:rsid w:val="000E2E5D"/>
    <w:rsid w:val="000E45BA"/>
    <w:rsid w:val="000E557E"/>
    <w:rsid w:val="000E64CA"/>
    <w:rsid w:val="000E7C09"/>
    <w:rsid w:val="000F0349"/>
    <w:rsid w:val="000F0A91"/>
    <w:rsid w:val="000F0D63"/>
    <w:rsid w:val="000F1529"/>
    <w:rsid w:val="000F1A16"/>
    <w:rsid w:val="000F1C2A"/>
    <w:rsid w:val="000F29E7"/>
    <w:rsid w:val="000F2AE3"/>
    <w:rsid w:val="000F5F37"/>
    <w:rsid w:val="000F77C6"/>
    <w:rsid w:val="00101C54"/>
    <w:rsid w:val="00101E52"/>
    <w:rsid w:val="001023F2"/>
    <w:rsid w:val="00103709"/>
    <w:rsid w:val="001050E5"/>
    <w:rsid w:val="00105C79"/>
    <w:rsid w:val="00106108"/>
    <w:rsid w:val="0010637A"/>
    <w:rsid w:val="00106943"/>
    <w:rsid w:val="00106D66"/>
    <w:rsid w:val="00110683"/>
    <w:rsid w:val="00111B3A"/>
    <w:rsid w:val="00111BB6"/>
    <w:rsid w:val="00112A95"/>
    <w:rsid w:val="001136E0"/>
    <w:rsid w:val="00113B70"/>
    <w:rsid w:val="0011432F"/>
    <w:rsid w:val="00114758"/>
    <w:rsid w:val="00114D6E"/>
    <w:rsid w:val="0011657D"/>
    <w:rsid w:val="00116ACA"/>
    <w:rsid w:val="0011779A"/>
    <w:rsid w:val="00117E74"/>
    <w:rsid w:val="00120302"/>
    <w:rsid w:val="001208FB"/>
    <w:rsid w:val="00120C71"/>
    <w:rsid w:val="0012101B"/>
    <w:rsid w:val="0012127D"/>
    <w:rsid w:val="00121BBA"/>
    <w:rsid w:val="0012299B"/>
    <w:rsid w:val="00122F98"/>
    <w:rsid w:val="00125A1B"/>
    <w:rsid w:val="00125F18"/>
    <w:rsid w:val="001279F6"/>
    <w:rsid w:val="00127A7E"/>
    <w:rsid w:val="00127D60"/>
    <w:rsid w:val="00130CD7"/>
    <w:rsid w:val="00131B03"/>
    <w:rsid w:val="00132ACA"/>
    <w:rsid w:val="0013304F"/>
    <w:rsid w:val="0013392E"/>
    <w:rsid w:val="00133B1F"/>
    <w:rsid w:val="001352BE"/>
    <w:rsid w:val="001354A5"/>
    <w:rsid w:val="001357CE"/>
    <w:rsid w:val="00137A8D"/>
    <w:rsid w:val="00137CE5"/>
    <w:rsid w:val="00137CF9"/>
    <w:rsid w:val="00137DD8"/>
    <w:rsid w:val="00140B41"/>
    <w:rsid w:val="00141067"/>
    <w:rsid w:val="00141A5E"/>
    <w:rsid w:val="001431E2"/>
    <w:rsid w:val="00143628"/>
    <w:rsid w:val="0014364D"/>
    <w:rsid w:val="00144BA7"/>
    <w:rsid w:val="00144E3B"/>
    <w:rsid w:val="00146117"/>
    <w:rsid w:val="0014635C"/>
    <w:rsid w:val="001467AB"/>
    <w:rsid w:val="00146DD4"/>
    <w:rsid w:val="0015077D"/>
    <w:rsid w:val="00150DC2"/>
    <w:rsid w:val="0015111D"/>
    <w:rsid w:val="001518A8"/>
    <w:rsid w:val="00151917"/>
    <w:rsid w:val="00151B6D"/>
    <w:rsid w:val="00151BBB"/>
    <w:rsid w:val="00151EFE"/>
    <w:rsid w:val="001525E8"/>
    <w:rsid w:val="0015285A"/>
    <w:rsid w:val="001528B1"/>
    <w:rsid w:val="00152A83"/>
    <w:rsid w:val="00153A25"/>
    <w:rsid w:val="00153E11"/>
    <w:rsid w:val="00154E11"/>
    <w:rsid w:val="00154E70"/>
    <w:rsid w:val="00155097"/>
    <w:rsid w:val="0015545A"/>
    <w:rsid w:val="00155E00"/>
    <w:rsid w:val="00156736"/>
    <w:rsid w:val="001568BC"/>
    <w:rsid w:val="0015787F"/>
    <w:rsid w:val="00157C08"/>
    <w:rsid w:val="00160C27"/>
    <w:rsid w:val="00161565"/>
    <w:rsid w:val="001618F1"/>
    <w:rsid w:val="00161905"/>
    <w:rsid w:val="00161F27"/>
    <w:rsid w:val="00163168"/>
    <w:rsid w:val="001632B8"/>
    <w:rsid w:val="001645AF"/>
    <w:rsid w:val="00166B6A"/>
    <w:rsid w:val="00167E6D"/>
    <w:rsid w:val="00170293"/>
    <w:rsid w:val="001707DB"/>
    <w:rsid w:val="001718B7"/>
    <w:rsid w:val="001719F6"/>
    <w:rsid w:val="00171EEC"/>
    <w:rsid w:val="00173313"/>
    <w:rsid w:val="001738F7"/>
    <w:rsid w:val="00173A8C"/>
    <w:rsid w:val="00173CD8"/>
    <w:rsid w:val="0017407F"/>
    <w:rsid w:val="001742C7"/>
    <w:rsid w:val="0017497B"/>
    <w:rsid w:val="00177017"/>
    <w:rsid w:val="00177BC5"/>
    <w:rsid w:val="00180000"/>
    <w:rsid w:val="001801F2"/>
    <w:rsid w:val="00180391"/>
    <w:rsid w:val="0018093D"/>
    <w:rsid w:val="0018111D"/>
    <w:rsid w:val="0018261C"/>
    <w:rsid w:val="00182B92"/>
    <w:rsid w:val="00184720"/>
    <w:rsid w:val="00185E2A"/>
    <w:rsid w:val="00187156"/>
    <w:rsid w:val="00190E7C"/>
    <w:rsid w:val="00190FBF"/>
    <w:rsid w:val="001914DD"/>
    <w:rsid w:val="00191635"/>
    <w:rsid w:val="00192380"/>
    <w:rsid w:val="00193A1B"/>
    <w:rsid w:val="00194736"/>
    <w:rsid w:val="001976A6"/>
    <w:rsid w:val="00197D20"/>
    <w:rsid w:val="001A2923"/>
    <w:rsid w:val="001A2D67"/>
    <w:rsid w:val="001A4589"/>
    <w:rsid w:val="001A4EEE"/>
    <w:rsid w:val="001A54D7"/>
    <w:rsid w:val="001A608D"/>
    <w:rsid w:val="001A7071"/>
    <w:rsid w:val="001A70D1"/>
    <w:rsid w:val="001A7401"/>
    <w:rsid w:val="001A7871"/>
    <w:rsid w:val="001A796A"/>
    <w:rsid w:val="001B0C91"/>
    <w:rsid w:val="001B20F3"/>
    <w:rsid w:val="001B2E68"/>
    <w:rsid w:val="001B3319"/>
    <w:rsid w:val="001B4E11"/>
    <w:rsid w:val="001B6641"/>
    <w:rsid w:val="001B6B75"/>
    <w:rsid w:val="001B75C5"/>
    <w:rsid w:val="001C1187"/>
    <w:rsid w:val="001C1249"/>
    <w:rsid w:val="001C216D"/>
    <w:rsid w:val="001C3193"/>
    <w:rsid w:val="001C3DE7"/>
    <w:rsid w:val="001C5510"/>
    <w:rsid w:val="001C66CB"/>
    <w:rsid w:val="001C6D7F"/>
    <w:rsid w:val="001C7E27"/>
    <w:rsid w:val="001D1DBC"/>
    <w:rsid w:val="001D2161"/>
    <w:rsid w:val="001D3ADA"/>
    <w:rsid w:val="001D4C00"/>
    <w:rsid w:val="001D4C26"/>
    <w:rsid w:val="001D511A"/>
    <w:rsid w:val="001D57A4"/>
    <w:rsid w:val="001D7B69"/>
    <w:rsid w:val="001E07DA"/>
    <w:rsid w:val="001E091D"/>
    <w:rsid w:val="001E095A"/>
    <w:rsid w:val="001E1218"/>
    <w:rsid w:val="001E2876"/>
    <w:rsid w:val="001E305E"/>
    <w:rsid w:val="001E329A"/>
    <w:rsid w:val="001E3C4E"/>
    <w:rsid w:val="001E4720"/>
    <w:rsid w:val="001E4DEE"/>
    <w:rsid w:val="001E5272"/>
    <w:rsid w:val="001E5B59"/>
    <w:rsid w:val="001E749F"/>
    <w:rsid w:val="001F004A"/>
    <w:rsid w:val="001F013A"/>
    <w:rsid w:val="001F1FE8"/>
    <w:rsid w:val="001F2096"/>
    <w:rsid w:val="001F2B92"/>
    <w:rsid w:val="001F405C"/>
    <w:rsid w:val="001F4BCE"/>
    <w:rsid w:val="001F4CFB"/>
    <w:rsid w:val="001F5AF9"/>
    <w:rsid w:val="001F77A4"/>
    <w:rsid w:val="002004E6"/>
    <w:rsid w:val="002008E2"/>
    <w:rsid w:val="002015CE"/>
    <w:rsid w:val="002024A5"/>
    <w:rsid w:val="00202A46"/>
    <w:rsid w:val="00204F16"/>
    <w:rsid w:val="002051A6"/>
    <w:rsid w:val="002059C8"/>
    <w:rsid w:val="00205B18"/>
    <w:rsid w:val="00205ECB"/>
    <w:rsid w:val="00206C50"/>
    <w:rsid w:val="002079B9"/>
    <w:rsid w:val="00211473"/>
    <w:rsid w:val="0021344E"/>
    <w:rsid w:val="00213953"/>
    <w:rsid w:val="00215695"/>
    <w:rsid w:val="002165F9"/>
    <w:rsid w:val="00216B37"/>
    <w:rsid w:val="00220427"/>
    <w:rsid w:val="002207D8"/>
    <w:rsid w:val="002209F5"/>
    <w:rsid w:val="00221DAA"/>
    <w:rsid w:val="00221EB5"/>
    <w:rsid w:val="002224CD"/>
    <w:rsid w:val="00222A82"/>
    <w:rsid w:val="00224551"/>
    <w:rsid w:val="00224564"/>
    <w:rsid w:val="00224813"/>
    <w:rsid w:val="00225418"/>
    <w:rsid w:val="00225C29"/>
    <w:rsid w:val="0022671F"/>
    <w:rsid w:val="002273B4"/>
    <w:rsid w:val="002279FF"/>
    <w:rsid w:val="00230819"/>
    <w:rsid w:val="00230B3C"/>
    <w:rsid w:val="0023111D"/>
    <w:rsid w:val="0023153B"/>
    <w:rsid w:val="00231F54"/>
    <w:rsid w:val="002327E7"/>
    <w:rsid w:val="00232FCF"/>
    <w:rsid w:val="00233751"/>
    <w:rsid w:val="00234EDD"/>
    <w:rsid w:val="0023525E"/>
    <w:rsid w:val="0023529E"/>
    <w:rsid w:val="002353A9"/>
    <w:rsid w:val="00235DD4"/>
    <w:rsid w:val="0023624A"/>
    <w:rsid w:val="002363F4"/>
    <w:rsid w:val="0024024B"/>
    <w:rsid w:val="0024026F"/>
    <w:rsid w:val="00244007"/>
    <w:rsid w:val="0024478B"/>
    <w:rsid w:val="0024597D"/>
    <w:rsid w:val="00246609"/>
    <w:rsid w:val="00246751"/>
    <w:rsid w:val="00246BF1"/>
    <w:rsid w:val="00247034"/>
    <w:rsid w:val="0024727A"/>
    <w:rsid w:val="00247979"/>
    <w:rsid w:val="00247FC6"/>
    <w:rsid w:val="0025154B"/>
    <w:rsid w:val="002535EE"/>
    <w:rsid w:val="002539FE"/>
    <w:rsid w:val="0025492C"/>
    <w:rsid w:val="00255405"/>
    <w:rsid w:val="00256D3E"/>
    <w:rsid w:val="00261AB8"/>
    <w:rsid w:val="00261F85"/>
    <w:rsid w:val="00263845"/>
    <w:rsid w:val="00264318"/>
    <w:rsid w:val="00264EC7"/>
    <w:rsid w:val="002665A6"/>
    <w:rsid w:val="00266D66"/>
    <w:rsid w:val="002711DD"/>
    <w:rsid w:val="002713E2"/>
    <w:rsid w:val="0027286B"/>
    <w:rsid w:val="00273291"/>
    <w:rsid w:val="002737C8"/>
    <w:rsid w:val="0027517D"/>
    <w:rsid w:val="00276E1A"/>
    <w:rsid w:val="002770E7"/>
    <w:rsid w:val="00277791"/>
    <w:rsid w:val="0028067F"/>
    <w:rsid w:val="00281C6C"/>
    <w:rsid w:val="00281CA0"/>
    <w:rsid w:val="00281D81"/>
    <w:rsid w:val="002833A8"/>
    <w:rsid w:val="00287D50"/>
    <w:rsid w:val="00290BE9"/>
    <w:rsid w:val="002910D3"/>
    <w:rsid w:val="00291663"/>
    <w:rsid w:val="00291E6E"/>
    <w:rsid w:val="00291E74"/>
    <w:rsid w:val="0029341C"/>
    <w:rsid w:val="002946D4"/>
    <w:rsid w:val="0029481A"/>
    <w:rsid w:val="00294A5F"/>
    <w:rsid w:val="00295157"/>
    <w:rsid w:val="00296060"/>
    <w:rsid w:val="00296362"/>
    <w:rsid w:val="0029756F"/>
    <w:rsid w:val="00297F4D"/>
    <w:rsid w:val="002A0EF7"/>
    <w:rsid w:val="002A3476"/>
    <w:rsid w:val="002A3C04"/>
    <w:rsid w:val="002A3E78"/>
    <w:rsid w:val="002A47BD"/>
    <w:rsid w:val="002A4B24"/>
    <w:rsid w:val="002A4E70"/>
    <w:rsid w:val="002A52B4"/>
    <w:rsid w:val="002B1D72"/>
    <w:rsid w:val="002B321A"/>
    <w:rsid w:val="002B52DE"/>
    <w:rsid w:val="002B7679"/>
    <w:rsid w:val="002B7BE9"/>
    <w:rsid w:val="002C0CDD"/>
    <w:rsid w:val="002C2828"/>
    <w:rsid w:val="002C2D32"/>
    <w:rsid w:val="002C2E15"/>
    <w:rsid w:val="002C3C45"/>
    <w:rsid w:val="002C3EE6"/>
    <w:rsid w:val="002C4052"/>
    <w:rsid w:val="002C5B71"/>
    <w:rsid w:val="002C6B79"/>
    <w:rsid w:val="002C6F5F"/>
    <w:rsid w:val="002D07C8"/>
    <w:rsid w:val="002D32B1"/>
    <w:rsid w:val="002D35CB"/>
    <w:rsid w:val="002D3A2E"/>
    <w:rsid w:val="002D3E5A"/>
    <w:rsid w:val="002D5008"/>
    <w:rsid w:val="002D55CC"/>
    <w:rsid w:val="002D60BF"/>
    <w:rsid w:val="002D60CA"/>
    <w:rsid w:val="002D62EF"/>
    <w:rsid w:val="002D6A89"/>
    <w:rsid w:val="002E040D"/>
    <w:rsid w:val="002E06CA"/>
    <w:rsid w:val="002E380F"/>
    <w:rsid w:val="002E3B63"/>
    <w:rsid w:val="002E415D"/>
    <w:rsid w:val="002E46F5"/>
    <w:rsid w:val="002E4B76"/>
    <w:rsid w:val="002E5200"/>
    <w:rsid w:val="002E53B7"/>
    <w:rsid w:val="002E5705"/>
    <w:rsid w:val="002E57F8"/>
    <w:rsid w:val="002E66B3"/>
    <w:rsid w:val="002E685C"/>
    <w:rsid w:val="002E68F5"/>
    <w:rsid w:val="002E71A2"/>
    <w:rsid w:val="002F0AF1"/>
    <w:rsid w:val="002F1197"/>
    <w:rsid w:val="002F169D"/>
    <w:rsid w:val="002F3B16"/>
    <w:rsid w:val="002F43B7"/>
    <w:rsid w:val="002F515D"/>
    <w:rsid w:val="002F6FDF"/>
    <w:rsid w:val="002F788F"/>
    <w:rsid w:val="00300969"/>
    <w:rsid w:val="00301127"/>
    <w:rsid w:val="003011D5"/>
    <w:rsid w:val="00302941"/>
    <w:rsid w:val="00302948"/>
    <w:rsid w:val="0030310C"/>
    <w:rsid w:val="003040D4"/>
    <w:rsid w:val="0030437C"/>
    <w:rsid w:val="00304E70"/>
    <w:rsid w:val="00304ECD"/>
    <w:rsid w:val="003055B8"/>
    <w:rsid w:val="00305823"/>
    <w:rsid w:val="00306927"/>
    <w:rsid w:val="00306C72"/>
    <w:rsid w:val="00310016"/>
    <w:rsid w:val="003106AF"/>
    <w:rsid w:val="0031136D"/>
    <w:rsid w:val="00312A51"/>
    <w:rsid w:val="003137F0"/>
    <w:rsid w:val="00313A43"/>
    <w:rsid w:val="00314036"/>
    <w:rsid w:val="003148B7"/>
    <w:rsid w:val="003148DE"/>
    <w:rsid w:val="0031546C"/>
    <w:rsid w:val="00315AA5"/>
    <w:rsid w:val="00315D24"/>
    <w:rsid w:val="003177AA"/>
    <w:rsid w:val="00320889"/>
    <w:rsid w:val="00323397"/>
    <w:rsid w:val="003247F1"/>
    <w:rsid w:val="00326ADE"/>
    <w:rsid w:val="00326F29"/>
    <w:rsid w:val="00327030"/>
    <w:rsid w:val="0033123D"/>
    <w:rsid w:val="00331A8A"/>
    <w:rsid w:val="00331E41"/>
    <w:rsid w:val="00332D62"/>
    <w:rsid w:val="00333383"/>
    <w:rsid w:val="003346AA"/>
    <w:rsid w:val="00334BAF"/>
    <w:rsid w:val="00334FF3"/>
    <w:rsid w:val="003351B1"/>
    <w:rsid w:val="00335F19"/>
    <w:rsid w:val="0033739D"/>
    <w:rsid w:val="00337753"/>
    <w:rsid w:val="00340E2D"/>
    <w:rsid w:val="00341336"/>
    <w:rsid w:val="003414D3"/>
    <w:rsid w:val="00341711"/>
    <w:rsid w:val="00341A5C"/>
    <w:rsid w:val="00342076"/>
    <w:rsid w:val="00342101"/>
    <w:rsid w:val="003423FA"/>
    <w:rsid w:val="003425F0"/>
    <w:rsid w:val="00343998"/>
    <w:rsid w:val="00344E37"/>
    <w:rsid w:val="003462C1"/>
    <w:rsid w:val="00346B4A"/>
    <w:rsid w:val="003473EC"/>
    <w:rsid w:val="0035027C"/>
    <w:rsid w:val="00350E99"/>
    <w:rsid w:val="00351B50"/>
    <w:rsid w:val="0035292C"/>
    <w:rsid w:val="003540D0"/>
    <w:rsid w:val="00354414"/>
    <w:rsid w:val="00354EFB"/>
    <w:rsid w:val="00355166"/>
    <w:rsid w:val="00356DC0"/>
    <w:rsid w:val="00360370"/>
    <w:rsid w:val="0036206B"/>
    <w:rsid w:val="00362189"/>
    <w:rsid w:val="00362BA1"/>
    <w:rsid w:val="0036336A"/>
    <w:rsid w:val="003638FA"/>
    <w:rsid w:val="00363D18"/>
    <w:rsid w:val="00364A0A"/>
    <w:rsid w:val="00364ABD"/>
    <w:rsid w:val="003667B5"/>
    <w:rsid w:val="00366A84"/>
    <w:rsid w:val="00367C59"/>
    <w:rsid w:val="00371D27"/>
    <w:rsid w:val="003739E3"/>
    <w:rsid w:val="003745CB"/>
    <w:rsid w:val="003746B4"/>
    <w:rsid w:val="00375054"/>
    <w:rsid w:val="00375B3E"/>
    <w:rsid w:val="00375C6C"/>
    <w:rsid w:val="003762F8"/>
    <w:rsid w:val="00376FD0"/>
    <w:rsid w:val="00377DAC"/>
    <w:rsid w:val="0038020B"/>
    <w:rsid w:val="00380266"/>
    <w:rsid w:val="00380B88"/>
    <w:rsid w:val="003813EF"/>
    <w:rsid w:val="003815F1"/>
    <w:rsid w:val="00381DC6"/>
    <w:rsid w:val="00383A08"/>
    <w:rsid w:val="003844BA"/>
    <w:rsid w:val="00384573"/>
    <w:rsid w:val="00384F39"/>
    <w:rsid w:val="00385B82"/>
    <w:rsid w:val="00385D7D"/>
    <w:rsid w:val="00385E4D"/>
    <w:rsid w:val="00385F9A"/>
    <w:rsid w:val="00386880"/>
    <w:rsid w:val="003873A3"/>
    <w:rsid w:val="00390A06"/>
    <w:rsid w:val="003918E5"/>
    <w:rsid w:val="003920E1"/>
    <w:rsid w:val="00392652"/>
    <w:rsid w:val="00392B41"/>
    <w:rsid w:val="003936EC"/>
    <w:rsid w:val="00393821"/>
    <w:rsid w:val="00393B80"/>
    <w:rsid w:val="00395361"/>
    <w:rsid w:val="00396D33"/>
    <w:rsid w:val="0039721C"/>
    <w:rsid w:val="00397A17"/>
    <w:rsid w:val="003A043C"/>
    <w:rsid w:val="003A0679"/>
    <w:rsid w:val="003A0B9B"/>
    <w:rsid w:val="003A1B4B"/>
    <w:rsid w:val="003A296A"/>
    <w:rsid w:val="003A3E2E"/>
    <w:rsid w:val="003A5039"/>
    <w:rsid w:val="003A55FB"/>
    <w:rsid w:val="003A5A13"/>
    <w:rsid w:val="003A627D"/>
    <w:rsid w:val="003A765E"/>
    <w:rsid w:val="003A7E67"/>
    <w:rsid w:val="003B0C57"/>
    <w:rsid w:val="003B0E45"/>
    <w:rsid w:val="003B2338"/>
    <w:rsid w:val="003B2890"/>
    <w:rsid w:val="003B351C"/>
    <w:rsid w:val="003B49FC"/>
    <w:rsid w:val="003B4BCD"/>
    <w:rsid w:val="003B5653"/>
    <w:rsid w:val="003B5856"/>
    <w:rsid w:val="003B5F72"/>
    <w:rsid w:val="003B6870"/>
    <w:rsid w:val="003B6BD1"/>
    <w:rsid w:val="003B6FB9"/>
    <w:rsid w:val="003C0237"/>
    <w:rsid w:val="003C1BCC"/>
    <w:rsid w:val="003C2322"/>
    <w:rsid w:val="003C3EC2"/>
    <w:rsid w:val="003C5395"/>
    <w:rsid w:val="003C569D"/>
    <w:rsid w:val="003C57F3"/>
    <w:rsid w:val="003C6331"/>
    <w:rsid w:val="003C7A40"/>
    <w:rsid w:val="003C7E5A"/>
    <w:rsid w:val="003D0031"/>
    <w:rsid w:val="003D010B"/>
    <w:rsid w:val="003D39B4"/>
    <w:rsid w:val="003D4729"/>
    <w:rsid w:val="003D55C0"/>
    <w:rsid w:val="003D55EE"/>
    <w:rsid w:val="003D5831"/>
    <w:rsid w:val="003D74F6"/>
    <w:rsid w:val="003D7504"/>
    <w:rsid w:val="003D79AB"/>
    <w:rsid w:val="003D7F13"/>
    <w:rsid w:val="003E11D0"/>
    <w:rsid w:val="003E240F"/>
    <w:rsid w:val="003E4854"/>
    <w:rsid w:val="003E5237"/>
    <w:rsid w:val="003E5A38"/>
    <w:rsid w:val="003E5A6F"/>
    <w:rsid w:val="003E62E5"/>
    <w:rsid w:val="003E7BA0"/>
    <w:rsid w:val="003F2C39"/>
    <w:rsid w:val="003F4317"/>
    <w:rsid w:val="003F4884"/>
    <w:rsid w:val="003F5710"/>
    <w:rsid w:val="003F5AC2"/>
    <w:rsid w:val="003F5E75"/>
    <w:rsid w:val="003F62A8"/>
    <w:rsid w:val="003F64DA"/>
    <w:rsid w:val="003F78E9"/>
    <w:rsid w:val="00400E2E"/>
    <w:rsid w:val="0040142F"/>
    <w:rsid w:val="00401D08"/>
    <w:rsid w:val="00402256"/>
    <w:rsid w:val="00402303"/>
    <w:rsid w:val="004027FC"/>
    <w:rsid w:val="00402FB1"/>
    <w:rsid w:val="00403CC5"/>
    <w:rsid w:val="004045A2"/>
    <w:rsid w:val="00404DA7"/>
    <w:rsid w:val="00405EE7"/>
    <w:rsid w:val="0040621C"/>
    <w:rsid w:val="00406BC7"/>
    <w:rsid w:val="004075A0"/>
    <w:rsid w:val="004107A4"/>
    <w:rsid w:val="004107B3"/>
    <w:rsid w:val="00410D75"/>
    <w:rsid w:val="004114B4"/>
    <w:rsid w:val="00412173"/>
    <w:rsid w:val="00412B79"/>
    <w:rsid w:val="00412D4D"/>
    <w:rsid w:val="004134C6"/>
    <w:rsid w:val="0041392C"/>
    <w:rsid w:val="00413D25"/>
    <w:rsid w:val="00413EC9"/>
    <w:rsid w:val="00414CE3"/>
    <w:rsid w:val="00414F78"/>
    <w:rsid w:val="0041518E"/>
    <w:rsid w:val="0041533A"/>
    <w:rsid w:val="00415FFF"/>
    <w:rsid w:val="0041630C"/>
    <w:rsid w:val="00417B32"/>
    <w:rsid w:val="00417FB2"/>
    <w:rsid w:val="0042016B"/>
    <w:rsid w:val="0042025D"/>
    <w:rsid w:val="0042139F"/>
    <w:rsid w:val="00421EAD"/>
    <w:rsid w:val="00422509"/>
    <w:rsid w:val="00422ADB"/>
    <w:rsid w:val="0042476B"/>
    <w:rsid w:val="004256CA"/>
    <w:rsid w:val="00425A92"/>
    <w:rsid w:val="004269C0"/>
    <w:rsid w:val="00426BDA"/>
    <w:rsid w:val="0042739B"/>
    <w:rsid w:val="004277EB"/>
    <w:rsid w:val="004303B8"/>
    <w:rsid w:val="00430E8B"/>
    <w:rsid w:val="00431928"/>
    <w:rsid w:val="00431E5D"/>
    <w:rsid w:val="00431F77"/>
    <w:rsid w:val="00432337"/>
    <w:rsid w:val="004331A6"/>
    <w:rsid w:val="00433846"/>
    <w:rsid w:val="00434E00"/>
    <w:rsid w:val="00435707"/>
    <w:rsid w:val="00437180"/>
    <w:rsid w:val="0043780A"/>
    <w:rsid w:val="004407DA"/>
    <w:rsid w:val="00441D8E"/>
    <w:rsid w:val="00443303"/>
    <w:rsid w:val="004436F2"/>
    <w:rsid w:val="004440E3"/>
    <w:rsid w:val="00444788"/>
    <w:rsid w:val="0044498D"/>
    <w:rsid w:val="00444A04"/>
    <w:rsid w:val="00445909"/>
    <w:rsid w:val="00445AEA"/>
    <w:rsid w:val="00445B66"/>
    <w:rsid w:val="00446665"/>
    <w:rsid w:val="00451D49"/>
    <w:rsid w:val="004522C4"/>
    <w:rsid w:val="00452DEE"/>
    <w:rsid w:val="004537E3"/>
    <w:rsid w:val="00453A2A"/>
    <w:rsid w:val="00453BBF"/>
    <w:rsid w:val="004552AE"/>
    <w:rsid w:val="00455BB7"/>
    <w:rsid w:val="00460271"/>
    <w:rsid w:val="00461C54"/>
    <w:rsid w:val="004626F1"/>
    <w:rsid w:val="00462D23"/>
    <w:rsid w:val="00463EB2"/>
    <w:rsid w:val="0046475B"/>
    <w:rsid w:val="00464D25"/>
    <w:rsid w:val="00464EE3"/>
    <w:rsid w:val="0046520F"/>
    <w:rsid w:val="00465598"/>
    <w:rsid w:val="00465C34"/>
    <w:rsid w:val="004717C3"/>
    <w:rsid w:val="00472010"/>
    <w:rsid w:val="00472850"/>
    <w:rsid w:val="00472E5E"/>
    <w:rsid w:val="00473099"/>
    <w:rsid w:val="00473A8B"/>
    <w:rsid w:val="00473E71"/>
    <w:rsid w:val="004754A8"/>
    <w:rsid w:val="00475854"/>
    <w:rsid w:val="004761F9"/>
    <w:rsid w:val="0047643F"/>
    <w:rsid w:val="004764F9"/>
    <w:rsid w:val="0048020A"/>
    <w:rsid w:val="004804FC"/>
    <w:rsid w:val="00480867"/>
    <w:rsid w:val="00480EDF"/>
    <w:rsid w:val="004816AA"/>
    <w:rsid w:val="0048195F"/>
    <w:rsid w:val="0048345B"/>
    <w:rsid w:val="0048358A"/>
    <w:rsid w:val="00484398"/>
    <w:rsid w:val="004847A6"/>
    <w:rsid w:val="004852C4"/>
    <w:rsid w:val="004854BD"/>
    <w:rsid w:val="0048609F"/>
    <w:rsid w:val="004864B5"/>
    <w:rsid w:val="00487109"/>
    <w:rsid w:val="00487985"/>
    <w:rsid w:val="00490002"/>
    <w:rsid w:val="00490705"/>
    <w:rsid w:val="00490DBE"/>
    <w:rsid w:val="00492B98"/>
    <w:rsid w:val="00492BC8"/>
    <w:rsid w:val="0049433F"/>
    <w:rsid w:val="00494717"/>
    <w:rsid w:val="00495204"/>
    <w:rsid w:val="00495554"/>
    <w:rsid w:val="00496748"/>
    <w:rsid w:val="00497244"/>
    <w:rsid w:val="0049733F"/>
    <w:rsid w:val="004973D2"/>
    <w:rsid w:val="004A00EC"/>
    <w:rsid w:val="004A0C0B"/>
    <w:rsid w:val="004A12A4"/>
    <w:rsid w:val="004A4ED8"/>
    <w:rsid w:val="004A4FF4"/>
    <w:rsid w:val="004A550D"/>
    <w:rsid w:val="004A5BC6"/>
    <w:rsid w:val="004A6062"/>
    <w:rsid w:val="004A6A99"/>
    <w:rsid w:val="004A7329"/>
    <w:rsid w:val="004B015F"/>
    <w:rsid w:val="004B2E24"/>
    <w:rsid w:val="004B31D2"/>
    <w:rsid w:val="004B3E11"/>
    <w:rsid w:val="004B44EE"/>
    <w:rsid w:val="004B48E7"/>
    <w:rsid w:val="004B4C9B"/>
    <w:rsid w:val="004B4CAF"/>
    <w:rsid w:val="004B528E"/>
    <w:rsid w:val="004B5330"/>
    <w:rsid w:val="004B57B5"/>
    <w:rsid w:val="004B5940"/>
    <w:rsid w:val="004B5D6D"/>
    <w:rsid w:val="004B615A"/>
    <w:rsid w:val="004B657B"/>
    <w:rsid w:val="004B6A03"/>
    <w:rsid w:val="004B6F0F"/>
    <w:rsid w:val="004B7AA4"/>
    <w:rsid w:val="004C0938"/>
    <w:rsid w:val="004C093F"/>
    <w:rsid w:val="004C0D45"/>
    <w:rsid w:val="004C1545"/>
    <w:rsid w:val="004C1F56"/>
    <w:rsid w:val="004C2030"/>
    <w:rsid w:val="004C2F3D"/>
    <w:rsid w:val="004C4358"/>
    <w:rsid w:val="004C4496"/>
    <w:rsid w:val="004C512E"/>
    <w:rsid w:val="004C64BC"/>
    <w:rsid w:val="004C67E7"/>
    <w:rsid w:val="004C6A5A"/>
    <w:rsid w:val="004C77CB"/>
    <w:rsid w:val="004D091E"/>
    <w:rsid w:val="004D345D"/>
    <w:rsid w:val="004D3D50"/>
    <w:rsid w:val="004D4B49"/>
    <w:rsid w:val="004D5018"/>
    <w:rsid w:val="004D58E6"/>
    <w:rsid w:val="004D6206"/>
    <w:rsid w:val="004D7EE3"/>
    <w:rsid w:val="004E010A"/>
    <w:rsid w:val="004E0465"/>
    <w:rsid w:val="004E1B9C"/>
    <w:rsid w:val="004E3896"/>
    <w:rsid w:val="004E3979"/>
    <w:rsid w:val="004E3AA4"/>
    <w:rsid w:val="004E3D42"/>
    <w:rsid w:val="004E3F6E"/>
    <w:rsid w:val="004E449C"/>
    <w:rsid w:val="004E6280"/>
    <w:rsid w:val="004E65A0"/>
    <w:rsid w:val="004E687E"/>
    <w:rsid w:val="004E6BCD"/>
    <w:rsid w:val="004E72D9"/>
    <w:rsid w:val="004E73C0"/>
    <w:rsid w:val="004F04BC"/>
    <w:rsid w:val="004F09DB"/>
    <w:rsid w:val="004F15FA"/>
    <w:rsid w:val="004F1D38"/>
    <w:rsid w:val="004F432A"/>
    <w:rsid w:val="004F4637"/>
    <w:rsid w:val="004F4985"/>
    <w:rsid w:val="004F4D51"/>
    <w:rsid w:val="004F549D"/>
    <w:rsid w:val="004F650B"/>
    <w:rsid w:val="004F66E5"/>
    <w:rsid w:val="004F69F5"/>
    <w:rsid w:val="004F707C"/>
    <w:rsid w:val="004F7133"/>
    <w:rsid w:val="005002A4"/>
    <w:rsid w:val="00500B3C"/>
    <w:rsid w:val="00500D32"/>
    <w:rsid w:val="005010CB"/>
    <w:rsid w:val="0050164D"/>
    <w:rsid w:val="00503DE8"/>
    <w:rsid w:val="005047ED"/>
    <w:rsid w:val="0050543F"/>
    <w:rsid w:val="00505B29"/>
    <w:rsid w:val="00507373"/>
    <w:rsid w:val="00507B87"/>
    <w:rsid w:val="00507D63"/>
    <w:rsid w:val="0051200F"/>
    <w:rsid w:val="00512322"/>
    <w:rsid w:val="0051318B"/>
    <w:rsid w:val="00513AC9"/>
    <w:rsid w:val="00513E6C"/>
    <w:rsid w:val="005161EB"/>
    <w:rsid w:val="00516C87"/>
    <w:rsid w:val="00516D27"/>
    <w:rsid w:val="005178AD"/>
    <w:rsid w:val="0051796F"/>
    <w:rsid w:val="005206D9"/>
    <w:rsid w:val="00520E0C"/>
    <w:rsid w:val="00523723"/>
    <w:rsid w:val="005250E2"/>
    <w:rsid w:val="00525924"/>
    <w:rsid w:val="005259E1"/>
    <w:rsid w:val="00526BC1"/>
    <w:rsid w:val="005303C2"/>
    <w:rsid w:val="0053074F"/>
    <w:rsid w:val="00532009"/>
    <w:rsid w:val="00532908"/>
    <w:rsid w:val="0053424C"/>
    <w:rsid w:val="00534B5E"/>
    <w:rsid w:val="00535A8D"/>
    <w:rsid w:val="005366ED"/>
    <w:rsid w:val="00536E4F"/>
    <w:rsid w:val="005427DD"/>
    <w:rsid w:val="0054373A"/>
    <w:rsid w:val="00543AFC"/>
    <w:rsid w:val="00543CE9"/>
    <w:rsid w:val="005450F2"/>
    <w:rsid w:val="00545A12"/>
    <w:rsid w:val="0054778F"/>
    <w:rsid w:val="0055056E"/>
    <w:rsid w:val="00550751"/>
    <w:rsid w:val="00550905"/>
    <w:rsid w:val="00550AAF"/>
    <w:rsid w:val="0055218C"/>
    <w:rsid w:val="0055222A"/>
    <w:rsid w:val="00552601"/>
    <w:rsid w:val="00552711"/>
    <w:rsid w:val="005562D2"/>
    <w:rsid w:val="00556582"/>
    <w:rsid w:val="00556A0B"/>
    <w:rsid w:val="0055727A"/>
    <w:rsid w:val="00557ED5"/>
    <w:rsid w:val="005600D9"/>
    <w:rsid w:val="00560FF0"/>
    <w:rsid w:val="00561633"/>
    <w:rsid w:val="005618CB"/>
    <w:rsid w:val="00562185"/>
    <w:rsid w:val="0056235D"/>
    <w:rsid w:val="005641A4"/>
    <w:rsid w:val="005647A5"/>
    <w:rsid w:val="00564FF9"/>
    <w:rsid w:val="00565294"/>
    <w:rsid w:val="00566ADB"/>
    <w:rsid w:val="00571524"/>
    <w:rsid w:val="005717C3"/>
    <w:rsid w:val="00572E0C"/>
    <w:rsid w:val="00573BA5"/>
    <w:rsid w:val="00573F69"/>
    <w:rsid w:val="00576288"/>
    <w:rsid w:val="005774D9"/>
    <w:rsid w:val="00580429"/>
    <w:rsid w:val="005807AD"/>
    <w:rsid w:val="00580A26"/>
    <w:rsid w:val="00580C27"/>
    <w:rsid w:val="0058168D"/>
    <w:rsid w:val="00581F6D"/>
    <w:rsid w:val="0058251D"/>
    <w:rsid w:val="00582DA8"/>
    <w:rsid w:val="00583606"/>
    <w:rsid w:val="0058372C"/>
    <w:rsid w:val="005849D2"/>
    <w:rsid w:val="00584D8A"/>
    <w:rsid w:val="005861DB"/>
    <w:rsid w:val="00586A39"/>
    <w:rsid w:val="00586DD7"/>
    <w:rsid w:val="00587FCA"/>
    <w:rsid w:val="00590D67"/>
    <w:rsid w:val="005918DB"/>
    <w:rsid w:val="00593E7E"/>
    <w:rsid w:val="005944A3"/>
    <w:rsid w:val="0059568D"/>
    <w:rsid w:val="00595D88"/>
    <w:rsid w:val="005964BC"/>
    <w:rsid w:val="00596B80"/>
    <w:rsid w:val="005A01DC"/>
    <w:rsid w:val="005A11D6"/>
    <w:rsid w:val="005A27EC"/>
    <w:rsid w:val="005A4AFF"/>
    <w:rsid w:val="005A59D6"/>
    <w:rsid w:val="005A5C58"/>
    <w:rsid w:val="005A6692"/>
    <w:rsid w:val="005B1F4D"/>
    <w:rsid w:val="005B2BC5"/>
    <w:rsid w:val="005B2E0B"/>
    <w:rsid w:val="005B47CC"/>
    <w:rsid w:val="005B4AC5"/>
    <w:rsid w:val="005B602E"/>
    <w:rsid w:val="005B606D"/>
    <w:rsid w:val="005B615E"/>
    <w:rsid w:val="005B7E1C"/>
    <w:rsid w:val="005C0D09"/>
    <w:rsid w:val="005C0D45"/>
    <w:rsid w:val="005C178E"/>
    <w:rsid w:val="005C20E1"/>
    <w:rsid w:val="005C23E4"/>
    <w:rsid w:val="005C4102"/>
    <w:rsid w:val="005C4D61"/>
    <w:rsid w:val="005C5022"/>
    <w:rsid w:val="005C5594"/>
    <w:rsid w:val="005C594B"/>
    <w:rsid w:val="005C7752"/>
    <w:rsid w:val="005D04E8"/>
    <w:rsid w:val="005D14DD"/>
    <w:rsid w:val="005D18DD"/>
    <w:rsid w:val="005D2C9A"/>
    <w:rsid w:val="005D341D"/>
    <w:rsid w:val="005D52CC"/>
    <w:rsid w:val="005D599E"/>
    <w:rsid w:val="005D5FF9"/>
    <w:rsid w:val="005D6BA7"/>
    <w:rsid w:val="005D78B6"/>
    <w:rsid w:val="005E02FF"/>
    <w:rsid w:val="005E29B8"/>
    <w:rsid w:val="005E3017"/>
    <w:rsid w:val="005E3CCD"/>
    <w:rsid w:val="005E5178"/>
    <w:rsid w:val="005E53A5"/>
    <w:rsid w:val="005E5770"/>
    <w:rsid w:val="005E5E7C"/>
    <w:rsid w:val="005E6497"/>
    <w:rsid w:val="005E6644"/>
    <w:rsid w:val="005E79B5"/>
    <w:rsid w:val="005E7E9A"/>
    <w:rsid w:val="005F0D13"/>
    <w:rsid w:val="005F267E"/>
    <w:rsid w:val="005F33E9"/>
    <w:rsid w:val="005F3D80"/>
    <w:rsid w:val="005F4449"/>
    <w:rsid w:val="005F6B59"/>
    <w:rsid w:val="005F758E"/>
    <w:rsid w:val="00600277"/>
    <w:rsid w:val="00600CBC"/>
    <w:rsid w:val="00601E95"/>
    <w:rsid w:val="006025B1"/>
    <w:rsid w:val="00602BA9"/>
    <w:rsid w:val="00603F71"/>
    <w:rsid w:val="00604370"/>
    <w:rsid w:val="006058D7"/>
    <w:rsid w:val="00606144"/>
    <w:rsid w:val="0060652B"/>
    <w:rsid w:val="00606674"/>
    <w:rsid w:val="006073DE"/>
    <w:rsid w:val="00614213"/>
    <w:rsid w:val="00614B4C"/>
    <w:rsid w:val="0062067D"/>
    <w:rsid w:val="00620A4E"/>
    <w:rsid w:val="006229ED"/>
    <w:rsid w:val="00622E03"/>
    <w:rsid w:val="00623051"/>
    <w:rsid w:val="006234AF"/>
    <w:rsid w:val="00623F88"/>
    <w:rsid w:val="0062458F"/>
    <w:rsid w:val="006248FA"/>
    <w:rsid w:val="00625209"/>
    <w:rsid w:val="00626039"/>
    <w:rsid w:val="00626835"/>
    <w:rsid w:val="00626B2A"/>
    <w:rsid w:val="00627AC2"/>
    <w:rsid w:val="006305DC"/>
    <w:rsid w:val="006307CE"/>
    <w:rsid w:val="00631D2D"/>
    <w:rsid w:val="006323C0"/>
    <w:rsid w:val="0063267F"/>
    <w:rsid w:val="00635D35"/>
    <w:rsid w:val="00636869"/>
    <w:rsid w:val="0063729E"/>
    <w:rsid w:val="0063761D"/>
    <w:rsid w:val="00637CBB"/>
    <w:rsid w:val="006411EB"/>
    <w:rsid w:val="0064168E"/>
    <w:rsid w:val="00641D67"/>
    <w:rsid w:val="00642835"/>
    <w:rsid w:val="00643725"/>
    <w:rsid w:val="006445DC"/>
    <w:rsid w:val="00644738"/>
    <w:rsid w:val="0064493D"/>
    <w:rsid w:val="0064536D"/>
    <w:rsid w:val="006458D1"/>
    <w:rsid w:val="00646371"/>
    <w:rsid w:val="00646561"/>
    <w:rsid w:val="00646D02"/>
    <w:rsid w:val="00647544"/>
    <w:rsid w:val="00650C12"/>
    <w:rsid w:val="00651A3F"/>
    <w:rsid w:val="006527C3"/>
    <w:rsid w:val="006531D2"/>
    <w:rsid w:val="006556D8"/>
    <w:rsid w:val="006561A3"/>
    <w:rsid w:val="00657219"/>
    <w:rsid w:val="006601B1"/>
    <w:rsid w:val="00660D52"/>
    <w:rsid w:val="006613B8"/>
    <w:rsid w:val="006614A3"/>
    <w:rsid w:val="0066218F"/>
    <w:rsid w:val="006626A5"/>
    <w:rsid w:val="0066292C"/>
    <w:rsid w:val="00662D1E"/>
    <w:rsid w:val="0066361E"/>
    <w:rsid w:val="00663BFD"/>
    <w:rsid w:val="00665AC0"/>
    <w:rsid w:val="00665F81"/>
    <w:rsid w:val="00666569"/>
    <w:rsid w:val="006668B1"/>
    <w:rsid w:val="006674E0"/>
    <w:rsid w:val="00667A38"/>
    <w:rsid w:val="00670D0C"/>
    <w:rsid w:val="006721CB"/>
    <w:rsid w:val="00672260"/>
    <w:rsid w:val="00672488"/>
    <w:rsid w:val="00672DA4"/>
    <w:rsid w:val="006737DF"/>
    <w:rsid w:val="00674E71"/>
    <w:rsid w:val="00675CE2"/>
    <w:rsid w:val="0067612D"/>
    <w:rsid w:val="006766F3"/>
    <w:rsid w:val="00682E67"/>
    <w:rsid w:val="0068392A"/>
    <w:rsid w:val="00683E6E"/>
    <w:rsid w:val="0068517E"/>
    <w:rsid w:val="00685C92"/>
    <w:rsid w:val="0068621E"/>
    <w:rsid w:val="00686669"/>
    <w:rsid w:val="006868B0"/>
    <w:rsid w:val="0069077F"/>
    <w:rsid w:val="00690D47"/>
    <w:rsid w:val="00692344"/>
    <w:rsid w:val="00692387"/>
    <w:rsid w:val="00692F6D"/>
    <w:rsid w:val="00693795"/>
    <w:rsid w:val="00693881"/>
    <w:rsid w:val="00693A86"/>
    <w:rsid w:val="00696B56"/>
    <w:rsid w:val="00696E00"/>
    <w:rsid w:val="00696E62"/>
    <w:rsid w:val="00696EDC"/>
    <w:rsid w:val="006970AF"/>
    <w:rsid w:val="00697212"/>
    <w:rsid w:val="00697447"/>
    <w:rsid w:val="006A09E7"/>
    <w:rsid w:val="006A1C7C"/>
    <w:rsid w:val="006A2915"/>
    <w:rsid w:val="006A3E02"/>
    <w:rsid w:val="006A44D5"/>
    <w:rsid w:val="006A5719"/>
    <w:rsid w:val="006A59DC"/>
    <w:rsid w:val="006A6858"/>
    <w:rsid w:val="006A71AD"/>
    <w:rsid w:val="006B1ACF"/>
    <w:rsid w:val="006B1FE7"/>
    <w:rsid w:val="006B3086"/>
    <w:rsid w:val="006B3767"/>
    <w:rsid w:val="006B37DF"/>
    <w:rsid w:val="006B3C42"/>
    <w:rsid w:val="006B5DEB"/>
    <w:rsid w:val="006B6583"/>
    <w:rsid w:val="006B6DF3"/>
    <w:rsid w:val="006B763B"/>
    <w:rsid w:val="006B7945"/>
    <w:rsid w:val="006B7A8D"/>
    <w:rsid w:val="006B7B7E"/>
    <w:rsid w:val="006B7C0E"/>
    <w:rsid w:val="006B7EB4"/>
    <w:rsid w:val="006C00AA"/>
    <w:rsid w:val="006C1059"/>
    <w:rsid w:val="006C108A"/>
    <w:rsid w:val="006C15F3"/>
    <w:rsid w:val="006C35B2"/>
    <w:rsid w:val="006C40CB"/>
    <w:rsid w:val="006C4232"/>
    <w:rsid w:val="006C4E36"/>
    <w:rsid w:val="006D00A7"/>
    <w:rsid w:val="006D00B1"/>
    <w:rsid w:val="006D0302"/>
    <w:rsid w:val="006D0C07"/>
    <w:rsid w:val="006D0C38"/>
    <w:rsid w:val="006D0C81"/>
    <w:rsid w:val="006D0F13"/>
    <w:rsid w:val="006D2072"/>
    <w:rsid w:val="006D212A"/>
    <w:rsid w:val="006D4FBE"/>
    <w:rsid w:val="006D6256"/>
    <w:rsid w:val="006D6E25"/>
    <w:rsid w:val="006E148C"/>
    <w:rsid w:val="006E17CE"/>
    <w:rsid w:val="006E3146"/>
    <w:rsid w:val="006E5298"/>
    <w:rsid w:val="006E56B5"/>
    <w:rsid w:val="006E5AA9"/>
    <w:rsid w:val="006E69AF"/>
    <w:rsid w:val="006E6BCD"/>
    <w:rsid w:val="006E6D92"/>
    <w:rsid w:val="006F2B38"/>
    <w:rsid w:val="006F2CAA"/>
    <w:rsid w:val="006F2DDC"/>
    <w:rsid w:val="006F3605"/>
    <w:rsid w:val="006F3C60"/>
    <w:rsid w:val="006F48B4"/>
    <w:rsid w:val="006F653E"/>
    <w:rsid w:val="006F6D6A"/>
    <w:rsid w:val="006F70F9"/>
    <w:rsid w:val="007002B0"/>
    <w:rsid w:val="0070189C"/>
    <w:rsid w:val="00702274"/>
    <w:rsid w:val="007022E5"/>
    <w:rsid w:val="00704535"/>
    <w:rsid w:val="00704D0E"/>
    <w:rsid w:val="007050C9"/>
    <w:rsid w:val="00705DA1"/>
    <w:rsid w:val="00706239"/>
    <w:rsid w:val="0070658D"/>
    <w:rsid w:val="00706CED"/>
    <w:rsid w:val="007072B6"/>
    <w:rsid w:val="007075C0"/>
    <w:rsid w:val="00707AB9"/>
    <w:rsid w:val="00710814"/>
    <w:rsid w:val="007118EA"/>
    <w:rsid w:val="00711CDC"/>
    <w:rsid w:val="00712034"/>
    <w:rsid w:val="0071455B"/>
    <w:rsid w:val="00714A2C"/>
    <w:rsid w:val="00714DAB"/>
    <w:rsid w:val="00715001"/>
    <w:rsid w:val="0071609A"/>
    <w:rsid w:val="00716973"/>
    <w:rsid w:val="00716EE3"/>
    <w:rsid w:val="007178B3"/>
    <w:rsid w:val="00720581"/>
    <w:rsid w:val="00720940"/>
    <w:rsid w:val="007216A0"/>
    <w:rsid w:val="00722481"/>
    <w:rsid w:val="007224B7"/>
    <w:rsid w:val="00722997"/>
    <w:rsid w:val="00725AAF"/>
    <w:rsid w:val="00727FB2"/>
    <w:rsid w:val="0073004A"/>
    <w:rsid w:val="007305F9"/>
    <w:rsid w:val="00730A85"/>
    <w:rsid w:val="00733A8F"/>
    <w:rsid w:val="00733E24"/>
    <w:rsid w:val="00734041"/>
    <w:rsid w:val="00735789"/>
    <w:rsid w:val="00735F01"/>
    <w:rsid w:val="00737630"/>
    <w:rsid w:val="00737946"/>
    <w:rsid w:val="007407A9"/>
    <w:rsid w:val="00740B21"/>
    <w:rsid w:val="00740BA6"/>
    <w:rsid w:val="007410AA"/>
    <w:rsid w:val="007428B8"/>
    <w:rsid w:val="00742F2D"/>
    <w:rsid w:val="00743435"/>
    <w:rsid w:val="0074349F"/>
    <w:rsid w:val="007435A8"/>
    <w:rsid w:val="0074395C"/>
    <w:rsid w:val="00744044"/>
    <w:rsid w:val="00744F13"/>
    <w:rsid w:val="0074536E"/>
    <w:rsid w:val="007454FF"/>
    <w:rsid w:val="00745A99"/>
    <w:rsid w:val="00745CA9"/>
    <w:rsid w:val="007460CD"/>
    <w:rsid w:val="00746B34"/>
    <w:rsid w:val="00747532"/>
    <w:rsid w:val="007477FA"/>
    <w:rsid w:val="00750655"/>
    <w:rsid w:val="007506CE"/>
    <w:rsid w:val="00750C9C"/>
    <w:rsid w:val="007523F6"/>
    <w:rsid w:val="00754A19"/>
    <w:rsid w:val="00755DE1"/>
    <w:rsid w:val="00756210"/>
    <w:rsid w:val="0075655D"/>
    <w:rsid w:val="0075669F"/>
    <w:rsid w:val="00756DCC"/>
    <w:rsid w:val="00760550"/>
    <w:rsid w:val="007607F8"/>
    <w:rsid w:val="007608FF"/>
    <w:rsid w:val="00762406"/>
    <w:rsid w:val="007639CA"/>
    <w:rsid w:val="00766811"/>
    <w:rsid w:val="00767D94"/>
    <w:rsid w:val="007710C8"/>
    <w:rsid w:val="007714D3"/>
    <w:rsid w:val="007716EC"/>
    <w:rsid w:val="0077180D"/>
    <w:rsid w:val="00772ADC"/>
    <w:rsid w:val="00773CA3"/>
    <w:rsid w:val="0077511F"/>
    <w:rsid w:val="00776B1D"/>
    <w:rsid w:val="00777E37"/>
    <w:rsid w:val="00780CB0"/>
    <w:rsid w:val="00781617"/>
    <w:rsid w:val="00781DA3"/>
    <w:rsid w:val="00782983"/>
    <w:rsid w:val="00782ACC"/>
    <w:rsid w:val="00783482"/>
    <w:rsid w:val="007835B4"/>
    <w:rsid w:val="00784088"/>
    <w:rsid w:val="0078505D"/>
    <w:rsid w:val="00785D53"/>
    <w:rsid w:val="00786991"/>
    <w:rsid w:val="007873C7"/>
    <w:rsid w:val="00787CF1"/>
    <w:rsid w:val="00787ECF"/>
    <w:rsid w:val="0079106C"/>
    <w:rsid w:val="0079177D"/>
    <w:rsid w:val="007917C7"/>
    <w:rsid w:val="00791E68"/>
    <w:rsid w:val="007924E6"/>
    <w:rsid w:val="007939B4"/>
    <w:rsid w:val="00794329"/>
    <w:rsid w:val="007949B0"/>
    <w:rsid w:val="007954C6"/>
    <w:rsid w:val="00795A92"/>
    <w:rsid w:val="00795BD6"/>
    <w:rsid w:val="007965EF"/>
    <w:rsid w:val="007A0482"/>
    <w:rsid w:val="007A0CFC"/>
    <w:rsid w:val="007A0F29"/>
    <w:rsid w:val="007A1302"/>
    <w:rsid w:val="007A1331"/>
    <w:rsid w:val="007A1352"/>
    <w:rsid w:val="007A183B"/>
    <w:rsid w:val="007A24DA"/>
    <w:rsid w:val="007A2BE8"/>
    <w:rsid w:val="007A2C3E"/>
    <w:rsid w:val="007A3167"/>
    <w:rsid w:val="007A320A"/>
    <w:rsid w:val="007A3535"/>
    <w:rsid w:val="007A43E3"/>
    <w:rsid w:val="007A47BC"/>
    <w:rsid w:val="007A4B69"/>
    <w:rsid w:val="007A4BC2"/>
    <w:rsid w:val="007A5D3F"/>
    <w:rsid w:val="007A6B27"/>
    <w:rsid w:val="007A6DB0"/>
    <w:rsid w:val="007B3491"/>
    <w:rsid w:val="007B4155"/>
    <w:rsid w:val="007B4DA4"/>
    <w:rsid w:val="007B4E3E"/>
    <w:rsid w:val="007B5719"/>
    <w:rsid w:val="007B59B3"/>
    <w:rsid w:val="007B5B41"/>
    <w:rsid w:val="007B5DA9"/>
    <w:rsid w:val="007B6B73"/>
    <w:rsid w:val="007B73C4"/>
    <w:rsid w:val="007C02A1"/>
    <w:rsid w:val="007C1CC3"/>
    <w:rsid w:val="007C27F6"/>
    <w:rsid w:val="007C308A"/>
    <w:rsid w:val="007C3730"/>
    <w:rsid w:val="007C4DF3"/>
    <w:rsid w:val="007C59D5"/>
    <w:rsid w:val="007C5BF0"/>
    <w:rsid w:val="007C6DB2"/>
    <w:rsid w:val="007C73CB"/>
    <w:rsid w:val="007C7A96"/>
    <w:rsid w:val="007D06A7"/>
    <w:rsid w:val="007D2197"/>
    <w:rsid w:val="007D22B2"/>
    <w:rsid w:val="007D3C89"/>
    <w:rsid w:val="007D3D70"/>
    <w:rsid w:val="007D4D86"/>
    <w:rsid w:val="007D581F"/>
    <w:rsid w:val="007D5F0D"/>
    <w:rsid w:val="007D6AF0"/>
    <w:rsid w:val="007D6F42"/>
    <w:rsid w:val="007D7A29"/>
    <w:rsid w:val="007E085E"/>
    <w:rsid w:val="007E193F"/>
    <w:rsid w:val="007E209C"/>
    <w:rsid w:val="007E22BC"/>
    <w:rsid w:val="007E2443"/>
    <w:rsid w:val="007E245F"/>
    <w:rsid w:val="007E3D14"/>
    <w:rsid w:val="007E436E"/>
    <w:rsid w:val="007E4589"/>
    <w:rsid w:val="007E4682"/>
    <w:rsid w:val="007E47F6"/>
    <w:rsid w:val="007E48D6"/>
    <w:rsid w:val="007E4A35"/>
    <w:rsid w:val="007E508B"/>
    <w:rsid w:val="007E50C2"/>
    <w:rsid w:val="007E536A"/>
    <w:rsid w:val="007E66FE"/>
    <w:rsid w:val="007E6D47"/>
    <w:rsid w:val="007F0BCA"/>
    <w:rsid w:val="007F235F"/>
    <w:rsid w:val="007F23D6"/>
    <w:rsid w:val="007F3721"/>
    <w:rsid w:val="007F3D62"/>
    <w:rsid w:val="007F4BC3"/>
    <w:rsid w:val="007F6939"/>
    <w:rsid w:val="007F76C8"/>
    <w:rsid w:val="007F7A34"/>
    <w:rsid w:val="007F7A70"/>
    <w:rsid w:val="007F7B14"/>
    <w:rsid w:val="00801896"/>
    <w:rsid w:val="008029DC"/>
    <w:rsid w:val="00802D41"/>
    <w:rsid w:val="00803621"/>
    <w:rsid w:val="008036ED"/>
    <w:rsid w:val="00803ABC"/>
    <w:rsid w:val="00803B0F"/>
    <w:rsid w:val="00804845"/>
    <w:rsid w:val="008061BD"/>
    <w:rsid w:val="008068D0"/>
    <w:rsid w:val="00810339"/>
    <w:rsid w:val="0081165B"/>
    <w:rsid w:val="008119C1"/>
    <w:rsid w:val="00811ED0"/>
    <w:rsid w:val="008127C9"/>
    <w:rsid w:val="00812DCC"/>
    <w:rsid w:val="00812E19"/>
    <w:rsid w:val="0081313F"/>
    <w:rsid w:val="0081456B"/>
    <w:rsid w:val="008145F9"/>
    <w:rsid w:val="008148BF"/>
    <w:rsid w:val="00815C40"/>
    <w:rsid w:val="00816DE5"/>
    <w:rsid w:val="00820F42"/>
    <w:rsid w:val="0082374E"/>
    <w:rsid w:val="00823CD7"/>
    <w:rsid w:val="00824A87"/>
    <w:rsid w:val="00825B3F"/>
    <w:rsid w:val="008266B4"/>
    <w:rsid w:val="0082793F"/>
    <w:rsid w:val="00830680"/>
    <w:rsid w:val="008320B7"/>
    <w:rsid w:val="008338A6"/>
    <w:rsid w:val="00833E13"/>
    <w:rsid w:val="0083418A"/>
    <w:rsid w:val="00834E6A"/>
    <w:rsid w:val="00837DB1"/>
    <w:rsid w:val="008401C3"/>
    <w:rsid w:val="00840C1E"/>
    <w:rsid w:val="00841C14"/>
    <w:rsid w:val="008420D2"/>
    <w:rsid w:val="00842279"/>
    <w:rsid w:val="008423C0"/>
    <w:rsid w:val="00842D91"/>
    <w:rsid w:val="008439E8"/>
    <w:rsid w:val="00844DAA"/>
    <w:rsid w:val="00845D5D"/>
    <w:rsid w:val="008461B2"/>
    <w:rsid w:val="00846646"/>
    <w:rsid w:val="0084764E"/>
    <w:rsid w:val="00850460"/>
    <w:rsid w:val="00850772"/>
    <w:rsid w:val="00850854"/>
    <w:rsid w:val="00850B66"/>
    <w:rsid w:val="00850DC8"/>
    <w:rsid w:val="00851072"/>
    <w:rsid w:val="00851248"/>
    <w:rsid w:val="00851ADF"/>
    <w:rsid w:val="00851D1D"/>
    <w:rsid w:val="00853E4B"/>
    <w:rsid w:val="00854B7C"/>
    <w:rsid w:val="00855FC0"/>
    <w:rsid w:val="00857174"/>
    <w:rsid w:val="00857F7C"/>
    <w:rsid w:val="008617CB"/>
    <w:rsid w:val="00862E31"/>
    <w:rsid w:val="00862F4A"/>
    <w:rsid w:val="008639F9"/>
    <w:rsid w:val="00863C26"/>
    <w:rsid w:val="00864619"/>
    <w:rsid w:val="00864FDA"/>
    <w:rsid w:val="008654F2"/>
    <w:rsid w:val="00865B92"/>
    <w:rsid w:val="00865F56"/>
    <w:rsid w:val="00866789"/>
    <w:rsid w:val="008674C4"/>
    <w:rsid w:val="00867F52"/>
    <w:rsid w:val="00867FCD"/>
    <w:rsid w:val="0087077A"/>
    <w:rsid w:val="00871896"/>
    <w:rsid w:val="00872C97"/>
    <w:rsid w:val="00872CAF"/>
    <w:rsid w:val="00873052"/>
    <w:rsid w:val="00873C20"/>
    <w:rsid w:val="00873DE7"/>
    <w:rsid w:val="0087494B"/>
    <w:rsid w:val="00874EE0"/>
    <w:rsid w:val="00874F71"/>
    <w:rsid w:val="00875119"/>
    <w:rsid w:val="0087567E"/>
    <w:rsid w:val="00875938"/>
    <w:rsid w:val="00876E30"/>
    <w:rsid w:val="00876EA0"/>
    <w:rsid w:val="008779E5"/>
    <w:rsid w:val="0088253A"/>
    <w:rsid w:val="00882F15"/>
    <w:rsid w:val="0088304E"/>
    <w:rsid w:val="0088426F"/>
    <w:rsid w:val="008849BB"/>
    <w:rsid w:val="00884F86"/>
    <w:rsid w:val="008856A9"/>
    <w:rsid w:val="00885728"/>
    <w:rsid w:val="00885C2A"/>
    <w:rsid w:val="008861E2"/>
    <w:rsid w:val="008876D4"/>
    <w:rsid w:val="00887A11"/>
    <w:rsid w:val="00887E72"/>
    <w:rsid w:val="0089041B"/>
    <w:rsid w:val="00890E62"/>
    <w:rsid w:val="0089167F"/>
    <w:rsid w:val="00891722"/>
    <w:rsid w:val="00891945"/>
    <w:rsid w:val="00891FBC"/>
    <w:rsid w:val="008924F2"/>
    <w:rsid w:val="00893149"/>
    <w:rsid w:val="008939AF"/>
    <w:rsid w:val="00894BDB"/>
    <w:rsid w:val="008960DF"/>
    <w:rsid w:val="00897AC5"/>
    <w:rsid w:val="00897B91"/>
    <w:rsid w:val="008A089E"/>
    <w:rsid w:val="008A09EF"/>
    <w:rsid w:val="008A0B4F"/>
    <w:rsid w:val="008A24D6"/>
    <w:rsid w:val="008A25F6"/>
    <w:rsid w:val="008A3C6C"/>
    <w:rsid w:val="008A6607"/>
    <w:rsid w:val="008A6FC2"/>
    <w:rsid w:val="008B086E"/>
    <w:rsid w:val="008B0AC3"/>
    <w:rsid w:val="008B0BE4"/>
    <w:rsid w:val="008B1007"/>
    <w:rsid w:val="008B11AC"/>
    <w:rsid w:val="008B153E"/>
    <w:rsid w:val="008B1A4F"/>
    <w:rsid w:val="008B48BA"/>
    <w:rsid w:val="008B657C"/>
    <w:rsid w:val="008C0064"/>
    <w:rsid w:val="008C0EE5"/>
    <w:rsid w:val="008C141A"/>
    <w:rsid w:val="008C1C4D"/>
    <w:rsid w:val="008C217D"/>
    <w:rsid w:val="008C34DC"/>
    <w:rsid w:val="008C3D93"/>
    <w:rsid w:val="008C450E"/>
    <w:rsid w:val="008C58CF"/>
    <w:rsid w:val="008C5918"/>
    <w:rsid w:val="008C61E1"/>
    <w:rsid w:val="008C6EB3"/>
    <w:rsid w:val="008C7C2D"/>
    <w:rsid w:val="008D06C8"/>
    <w:rsid w:val="008D0BD0"/>
    <w:rsid w:val="008D0D9F"/>
    <w:rsid w:val="008D11A8"/>
    <w:rsid w:val="008D1847"/>
    <w:rsid w:val="008D2B1D"/>
    <w:rsid w:val="008D320F"/>
    <w:rsid w:val="008D4747"/>
    <w:rsid w:val="008D4B80"/>
    <w:rsid w:val="008D4BEA"/>
    <w:rsid w:val="008D53FA"/>
    <w:rsid w:val="008D5642"/>
    <w:rsid w:val="008D59AD"/>
    <w:rsid w:val="008D5DC2"/>
    <w:rsid w:val="008E06F8"/>
    <w:rsid w:val="008E0FB8"/>
    <w:rsid w:val="008E1634"/>
    <w:rsid w:val="008E3407"/>
    <w:rsid w:val="008E505B"/>
    <w:rsid w:val="008E6BBD"/>
    <w:rsid w:val="008E723E"/>
    <w:rsid w:val="008F05A1"/>
    <w:rsid w:val="008F06ED"/>
    <w:rsid w:val="008F0C9D"/>
    <w:rsid w:val="008F0E6E"/>
    <w:rsid w:val="008F0F3A"/>
    <w:rsid w:val="008F1985"/>
    <w:rsid w:val="008F1A25"/>
    <w:rsid w:val="008F3244"/>
    <w:rsid w:val="008F3B80"/>
    <w:rsid w:val="008F415B"/>
    <w:rsid w:val="008F64CE"/>
    <w:rsid w:val="008F6DD9"/>
    <w:rsid w:val="008F70D5"/>
    <w:rsid w:val="008F72B7"/>
    <w:rsid w:val="0090009D"/>
    <w:rsid w:val="00900CE5"/>
    <w:rsid w:val="00900EC0"/>
    <w:rsid w:val="00902C62"/>
    <w:rsid w:val="0090398C"/>
    <w:rsid w:val="00904294"/>
    <w:rsid w:val="00904636"/>
    <w:rsid w:val="0090473E"/>
    <w:rsid w:val="00904A99"/>
    <w:rsid w:val="00904E67"/>
    <w:rsid w:val="00904FAF"/>
    <w:rsid w:val="009054EF"/>
    <w:rsid w:val="0090599B"/>
    <w:rsid w:val="009061EE"/>
    <w:rsid w:val="00912A25"/>
    <w:rsid w:val="00912C72"/>
    <w:rsid w:val="00913066"/>
    <w:rsid w:val="009131E1"/>
    <w:rsid w:val="00913378"/>
    <w:rsid w:val="0091450D"/>
    <w:rsid w:val="00915252"/>
    <w:rsid w:val="009159ED"/>
    <w:rsid w:val="0091642A"/>
    <w:rsid w:val="00916433"/>
    <w:rsid w:val="00916699"/>
    <w:rsid w:val="009170D0"/>
    <w:rsid w:val="009178EA"/>
    <w:rsid w:val="009202C4"/>
    <w:rsid w:val="00924B37"/>
    <w:rsid w:val="0092641B"/>
    <w:rsid w:val="00926898"/>
    <w:rsid w:val="00926C58"/>
    <w:rsid w:val="0092728A"/>
    <w:rsid w:val="00927447"/>
    <w:rsid w:val="00927E11"/>
    <w:rsid w:val="009322F8"/>
    <w:rsid w:val="0093347B"/>
    <w:rsid w:val="00934B17"/>
    <w:rsid w:val="00935277"/>
    <w:rsid w:val="00936C1F"/>
    <w:rsid w:val="00937C16"/>
    <w:rsid w:val="00941634"/>
    <w:rsid w:val="00941E2A"/>
    <w:rsid w:val="00941EBE"/>
    <w:rsid w:val="009431B1"/>
    <w:rsid w:val="00943994"/>
    <w:rsid w:val="00945951"/>
    <w:rsid w:val="00946784"/>
    <w:rsid w:val="009500D0"/>
    <w:rsid w:val="0095073A"/>
    <w:rsid w:val="0095348A"/>
    <w:rsid w:val="00953513"/>
    <w:rsid w:val="00955042"/>
    <w:rsid w:val="009571BD"/>
    <w:rsid w:val="00957F43"/>
    <w:rsid w:val="00960D67"/>
    <w:rsid w:val="00961A44"/>
    <w:rsid w:val="00961BAA"/>
    <w:rsid w:val="00961D92"/>
    <w:rsid w:val="0096404D"/>
    <w:rsid w:val="00964B7B"/>
    <w:rsid w:val="00964E14"/>
    <w:rsid w:val="0096541F"/>
    <w:rsid w:val="00965B40"/>
    <w:rsid w:val="00966408"/>
    <w:rsid w:val="00970AC5"/>
    <w:rsid w:val="00970BF3"/>
    <w:rsid w:val="00971D76"/>
    <w:rsid w:val="009728F3"/>
    <w:rsid w:val="009729F1"/>
    <w:rsid w:val="00972B41"/>
    <w:rsid w:val="00974323"/>
    <w:rsid w:val="00974DF4"/>
    <w:rsid w:val="00976187"/>
    <w:rsid w:val="0097655D"/>
    <w:rsid w:val="00977998"/>
    <w:rsid w:val="0098015B"/>
    <w:rsid w:val="00981733"/>
    <w:rsid w:val="00981AAF"/>
    <w:rsid w:val="00981D06"/>
    <w:rsid w:val="0098310A"/>
    <w:rsid w:val="00983CA0"/>
    <w:rsid w:val="0098415E"/>
    <w:rsid w:val="00984AF3"/>
    <w:rsid w:val="00986899"/>
    <w:rsid w:val="00986A66"/>
    <w:rsid w:val="00986E41"/>
    <w:rsid w:val="009875C5"/>
    <w:rsid w:val="00990C3A"/>
    <w:rsid w:val="00992629"/>
    <w:rsid w:val="00993398"/>
    <w:rsid w:val="009935B7"/>
    <w:rsid w:val="00994973"/>
    <w:rsid w:val="00995A40"/>
    <w:rsid w:val="00997AAC"/>
    <w:rsid w:val="00997E3B"/>
    <w:rsid w:val="009A0BD4"/>
    <w:rsid w:val="009A0E36"/>
    <w:rsid w:val="009A1614"/>
    <w:rsid w:val="009A280C"/>
    <w:rsid w:val="009A3448"/>
    <w:rsid w:val="009A382C"/>
    <w:rsid w:val="009A445A"/>
    <w:rsid w:val="009A4508"/>
    <w:rsid w:val="009A4A6D"/>
    <w:rsid w:val="009A4C67"/>
    <w:rsid w:val="009A4F87"/>
    <w:rsid w:val="009A5A27"/>
    <w:rsid w:val="009A5EC7"/>
    <w:rsid w:val="009A6642"/>
    <w:rsid w:val="009A7278"/>
    <w:rsid w:val="009B172D"/>
    <w:rsid w:val="009B290F"/>
    <w:rsid w:val="009B313E"/>
    <w:rsid w:val="009B3478"/>
    <w:rsid w:val="009B448D"/>
    <w:rsid w:val="009B54E7"/>
    <w:rsid w:val="009B58C2"/>
    <w:rsid w:val="009B609C"/>
    <w:rsid w:val="009B752F"/>
    <w:rsid w:val="009B7E80"/>
    <w:rsid w:val="009C1029"/>
    <w:rsid w:val="009C1770"/>
    <w:rsid w:val="009C278D"/>
    <w:rsid w:val="009C2C27"/>
    <w:rsid w:val="009C6110"/>
    <w:rsid w:val="009C6BB3"/>
    <w:rsid w:val="009D2520"/>
    <w:rsid w:val="009D34D2"/>
    <w:rsid w:val="009D53E5"/>
    <w:rsid w:val="009D5C52"/>
    <w:rsid w:val="009D6A1F"/>
    <w:rsid w:val="009D6B0D"/>
    <w:rsid w:val="009D6BFB"/>
    <w:rsid w:val="009D6E3C"/>
    <w:rsid w:val="009D739E"/>
    <w:rsid w:val="009E0FA9"/>
    <w:rsid w:val="009E10F4"/>
    <w:rsid w:val="009E21E7"/>
    <w:rsid w:val="009E2691"/>
    <w:rsid w:val="009E33EF"/>
    <w:rsid w:val="009E347B"/>
    <w:rsid w:val="009E357B"/>
    <w:rsid w:val="009E36E0"/>
    <w:rsid w:val="009E3D95"/>
    <w:rsid w:val="009E45F5"/>
    <w:rsid w:val="009E513F"/>
    <w:rsid w:val="009E51DD"/>
    <w:rsid w:val="009E5230"/>
    <w:rsid w:val="009E5D76"/>
    <w:rsid w:val="009E61EB"/>
    <w:rsid w:val="009E65D3"/>
    <w:rsid w:val="009E688E"/>
    <w:rsid w:val="009E68E1"/>
    <w:rsid w:val="009E7FEE"/>
    <w:rsid w:val="009F0240"/>
    <w:rsid w:val="009F0557"/>
    <w:rsid w:val="009F0AD0"/>
    <w:rsid w:val="009F0F20"/>
    <w:rsid w:val="009F181B"/>
    <w:rsid w:val="009F1FEF"/>
    <w:rsid w:val="009F4622"/>
    <w:rsid w:val="009F4DAA"/>
    <w:rsid w:val="009F6042"/>
    <w:rsid w:val="009F67D5"/>
    <w:rsid w:val="009F73AC"/>
    <w:rsid w:val="009F73D3"/>
    <w:rsid w:val="009F7972"/>
    <w:rsid w:val="00A00A4F"/>
    <w:rsid w:val="00A00FDD"/>
    <w:rsid w:val="00A01409"/>
    <w:rsid w:val="00A01995"/>
    <w:rsid w:val="00A01DCE"/>
    <w:rsid w:val="00A03B07"/>
    <w:rsid w:val="00A0514A"/>
    <w:rsid w:val="00A051D6"/>
    <w:rsid w:val="00A0562D"/>
    <w:rsid w:val="00A12AA7"/>
    <w:rsid w:val="00A14070"/>
    <w:rsid w:val="00A14F60"/>
    <w:rsid w:val="00A16B84"/>
    <w:rsid w:val="00A170A1"/>
    <w:rsid w:val="00A2201A"/>
    <w:rsid w:val="00A221C5"/>
    <w:rsid w:val="00A232B2"/>
    <w:rsid w:val="00A2330A"/>
    <w:rsid w:val="00A23BD0"/>
    <w:rsid w:val="00A24014"/>
    <w:rsid w:val="00A249B9"/>
    <w:rsid w:val="00A25B71"/>
    <w:rsid w:val="00A25FA8"/>
    <w:rsid w:val="00A2677C"/>
    <w:rsid w:val="00A26ADE"/>
    <w:rsid w:val="00A272B2"/>
    <w:rsid w:val="00A30369"/>
    <w:rsid w:val="00A30E7F"/>
    <w:rsid w:val="00A30E92"/>
    <w:rsid w:val="00A31D7E"/>
    <w:rsid w:val="00A33488"/>
    <w:rsid w:val="00A33D31"/>
    <w:rsid w:val="00A347AA"/>
    <w:rsid w:val="00A34D96"/>
    <w:rsid w:val="00A35044"/>
    <w:rsid w:val="00A35051"/>
    <w:rsid w:val="00A35B6B"/>
    <w:rsid w:val="00A35C81"/>
    <w:rsid w:val="00A36527"/>
    <w:rsid w:val="00A36689"/>
    <w:rsid w:val="00A3685D"/>
    <w:rsid w:val="00A370D5"/>
    <w:rsid w:val="00A37DFC"/>
    <w:rsid w:val="00A407F2"/>
    <w:rsid w:val="00A415BD"/>
    <w:rsid w:val="00A42940"/>
    <w:rsid w:val="00A4309F"/>
    <w:rsid w:val="00A4402F"/>
    <w:rsid w:val="00A450B5"/>
    <w:rsid w:val="00A45D7D"/>
    <w:rsid w:val="00A4752F"/>
    <w:rsid w:val="00A47697"/>
    <w:rsid w:val="00A477A2"/>
    <w:rsid w:val="00A47D08"/>
    <w:rsid w:val="00A512EB"/>
    <w:rsid w:val="00A532DE"/>
    <w:rsid w:val="00A53307"/>
    <w:rsid w:val="00A536B2"/>
    <w:rsid w:val="00A55F34"/>
    <w:rsid w:val="00A56B56"/>
    <w:rsid w:val="00A56D57"/>
    <w:rsid w:val="00A56D61"/>
    <w:rsid w:val="00A60534"/>
    <w:rsid w:val="00A605C5"/>
    <w:rsid w:val="00A63275"/>
    <w:rsid w:val="00A63945"/>
    <w:rsid w:val="00A6463A"/>
    <w:rsid w:val="00A65460"/>
    <w:rsid w:val="00A65694"/>
    <w:rsid w:val="00A65A2B"/>
    <w:rsid w:val="00A66BFF"/>
    <w:rsid w:val="00A67EB9"/>
    <w:rsid w:val="00A70599"/>
    <w:rsid w:val="00A70691"/>
    <w:rsid w:val="00A72CCC"/>
    <w:rsid w:val="00A74EFA"/>
    <w:rsid w:val="00A75CBB"/>
    <w:rsid w:val="00A77B71"/>
    <w:rsid w:val="00A8148A"/>
    <w:rsid w:val="00A82570"/>
    <w:rsid w:val="00A8280A"/>
    <w:rsid w:val="00A8306A"/>
    <w:rsid w:val="00A83116"/>
    <w:rsid w:val="00A835B6"/>
    <w:rsid w:val="00A83D7C"/>
    <w:rsid w:val="00A83FF0"/>
    <w:rsid w:val="00A84DB2"/>
    <w:rsid w:val="00A850CB"/>
    <w:rsid w:val="00A863E9"/>
    <w:rsid w:val="00A86648"/>
    <w:rsid w:val="00A87B16"/>
    <w:rsid w:val="00A903C8"/>
    <w:rsid w:val="00A90481"/>
    <w:rsid w:val="00A914BF"/>
    <w:rsid w:val="00A915C5"/>
    <w:rsid w:val="00A92EFB"/>
    <w:rsid w:val="00A93429"/>
    <w:rsid w:val="00A93CF4"/>
    <w:rsid w:val="00A944BC"/>
    <w:rsid w:val="00A9467F"/>
    <w:rsid w:val="00A94E39"/>
    <w:rsid w:val="00A95A3D"/>
    <w:rsid w:val="00A96CFA"/>
    <w:rsid w:val="00A9765D"/>
    <w:rsid w:val="00AA0534"/>
    <w:rsid w:val="00AA10EF"/>
    <w:rsid w:val="00AA2150"/>
    <w:rsid w:val="00AA2A97"/>
    <w:rsid w:val="00AA4544"/>
    <w:rsid w:val="00AA49B9"/>
    <w:rsid w:val="00AA5678"/>
    <w:rsid w:val="00AA6BB7"/>
    <w:rsid w:val="00AB0B4A"/>
    <w:rsid w:val="00AB0BDD"/>
    <w:rsid w:val="00AB1AEA"/>
    <w:rsid w:val="00AB1B6F"/>
    <w:rsid w:val="00AB3509"/>
    <w:rsid w:val="00AB3E9F"/>
    <w:rsid w:val="00AB5431"/>
    <w:rsid w:val="00AB5733"/>
    <w:rsid w:val="00AB596B"/>
    <w:rsid w:val="00AB7477"/>
    <w:rsid w:val="00AC26F7"/>
    <w:rsid w:val="00AC2FBB"/>
    <w:rsid w:val="00AC3B45"/>
    <w:rsid w:val="00AC4137"/>
    <w:rsid w:val="00AC493C"/>
    <w:rsid w:val="00AC7140"/>
    <w:rsid w:val="00AD0875"/>
    <w:rsid w:val="00AD0B44"/>
    <w:rsid w:val="00AD0D6C"/>
    <w:rsid w:val="00AD12A1"/>
    <w:rsid w:val="00AD1A6F"/>
    <w:rsid w:val="00AD1D1D"/>
    <w:rsid w:val="00AD29C7"/>
    <w:rsid w:val="00AD2EE4"/>
    <w:rsid w:val="00AD3353"/>
    <w:rsid w:val="00AD49D4"/>
    <w:rsid w:val="00AD597A"/>
    <w:rsid w:val="00AD5ACA"/>
    <w:rsid w:val="00AD71C0"/>
    <w:rsid w:val="00AD72EC"/>
    <w:rsid w:val="00AD759B"/>
    <w:rsid w:val="00AD79E0"/>
    <w:rsid w:val="00AD7DA5"/>
    <w:rsid w:val="00AD7EBD"/>
    <w:rsid w:val="00AE1B98"/>
    <w:rsid w:val="00AE31C3"/>
    <w:rsid w:val="00AE3632"/>
    <w:rsid w:val="00AE3CE9"/>
    <w:rsid w:val="00AE48D4"/>
    <w:rsid w:val="00AE5661"/>
    <w:rsid w:val="00AE5C23"/>
    <w:rsid w:val="00AE5E0F"/>
    <w:rsid w:val="00AF03DA"/>
    <w:rsid w:val="00AF068E"/>
    <w:rsid w:val="00AF08D3"/>
    <w:rsid w:val="00AF172E"/>
    <w:rsid w:val="00AF2B7F"/>
    <w:rsid w:val="00AF40EA"/>
    <w:rsid w:val="00AF4628"/>
    <w:rsid w:val="00AF4C10"/>
    <w:rsid w:val="00AF4E6E"/>
    <w:rsid w:val="00AF516D"/>
    <w:rsid w:val="00AF54CA"/>
    <w:rsid w:val="00AF613D"/>
    <w:rsid w:val="00AF67DD"/>
    <w:rsid w:val="00B02387"/>
    <w:rsid w:val="00B0324C"/>
    <w:rsid w:val="00B03F60"/>
    <w:rsid w:val="00B04281"/>
    <w:rsid w:val="00B04C37"/>
    <w:rsid w:val="00B052E9"/>
    <w:rsid w:val="00B05A2C"/>
    <w:rsid w:val="00B06D9F"/>
    <w:rsid w:val="00B07A51"/>
    <w:rsid w:val="00B105AD"/>
    <w:rsid w:val="00B10630"/>
    <w:rsid w:val="00B10694"/>
    <w:rsid w:val="00B10A36"/>
    <w:rsid w:val="00B1151F"/>
    <w:rsid w:val="00B11CDC"/>
    <w:rsid w:val="00B12336"/>
    <w:rsid w:val="00B12D86"/>
    <w:rsid w:val="00B13043"/>
    <w:rsid w:val="00B1377B"/>
    <w:rsid w:val="00B13904"/>
    <w:rsid w:val="00B13BAB"/>
    <w:rsid w:val="00B13C52"/>
    <w:rsid w:val="00B148F5"/>
    <w:rsid w:val="00B14A32"/>
    <w:rsid w:val="00B1522B"/>
    <w:rsid w:val="00B15B06"/>
    <w:rsid w:val="00B17251"/>
    <w:rsid w:val="00B179C0"/>
    <w:rsid w:val="00B2000E"/>
    <w:rsid w:val="00B20507"/>
    <w:rsid w:val="00B213E5"/>
    <w:rsid w:val="00B21C45"/>
    <w:rsid w:val="00B223C9"/>
    <w:rsid w:val="00B22C9B"/>
    <w:rsid w:val="00B2335A"/>
    <w:rsid w:val="00B234AE"/>
    <w:rsid w:val="00B23A79"/>
    <w:rsid w:val="00B23DF6"/>
    <w:rsid w:val="00B2441B"/>
    <w:rsid w:val="00B27964"/>
    <w:rsid w:val="00B30452"/>
    <w:rsid w:val="00B32F21"/>
    <w:rsid w:val="00B3494A"/>
    <w:rsid w:val="00B349D3"/>
    <w:rsid w:val="00B350F3"/>
    <w:rsid w:val="00B367CD"/>
    <w:rsid w:val="00B37AB8"/>
    <w:rsid w:val="00B37FAF"/>
    <w:rsid w:val="00B402A4"/>
    <w:rsid w:val="00B412C3"/>
    <w:rsid w:val="00B419C2"/>
    <w:rsid w:val="00B42CC6"/>
    <w:rsid w:val="00B434B9"/>
    <w:rsid w:val="00B440B8"/>
    <w:rsid w:val="00B448B4"/>
    <w:rsid w:val="00B44F5C"/>
    <w:rsid w:val="00B453ED"/>
    <w:rsid w:val="00B46D6B"/>
    <w:rsid w:val="00B470E2"/>
    <w:rsid w:val="00B47314"/>
    <w:rsid w:val="00B50B81"/>
    <w:rsid w:val="00B511E4"/>
    <w:rsid w:val="00B51C5D"/>
    <w:rsid w:val="00B52441"/>
    <w:rsid w:val="00B5247C"/>
    <w:rsid w:val="00B52512"/>
    <w:rsid w:val="00B5640B"/>
    <w:rsid w:val="00B565A3"/>
    <w:rsid w:val="00B567F2"/>
    <w:rsid w:val="00B569FF"/>
    <w:rsid w:val="00B574C3"/>
    <w:rsid w:val="00B57528"/>
    <w:rsid w:val="00B57961"/>
    <w:rsid w:val="00B60BD1"/>
    <w:rsid w:val="00B60DB2"/>
    <w:rsid w:val="00B6131E"/>
    <w:rsid w:val="00B622DB"/>
    <w:rsid w:val="00B6520D"/>
    <w:rsid w:val="00B653D2"/>
    <w:rsid w:val="00B66408"/>
    <w:rsid w:val="00B67A46"/>
    <w:rsid w:val="00B70726"/>
    <w:rsid w:val="00B71CD6"/>
    <w:rsid w:val="00B7461C"/>
    <w:rsid w:val="00B749DD"/>
    <w:rsid w:val="00B74D0B"/>
    <w:rsid w:val="00B74EC9"/>
    <w:rsid w:val="00B7534A"/>
    <w:rsid w:val="00B76E27"/>
    <w:rsid w:val="00B7732D"/>
    <w:rsid w:val="00B77FCD"/>
    <w:rsid w:val="00B80EF0"/>
    <w:rsid w:val="00B81D6F"/>
    <w:rsid w:val="00B823C4"/>
    <w:rsid w:val="00B842BC"/>
    <w:rsid w:val="00B849CD"/>
    <w:rsid w:val="00B850D1"/>
    <w:rsid w:val="00B85CAD"/>
    <w:rsid w:val="00B86C3E"/>
    <w:rsid w:val="00B87396"/>
    <w:rsid w:val="00B878A2"/>
    <w:rsid w:val="00B87B19"/>
    <w:rsid w:val="00B9153D"/>
    <w:rsid w:val="00B92F3B"/>
    <w:rsid w:val="00B94F6A"/>
    <w:rsid w:val="00B952BB"/>
    <w:rsid w:val="00B95E0D"/>
    <w:rsid w:val="00B95F17"/>
    <w:rsid w:val="00B96BD0"/>
    <w:rsid w:val="00BA0403"/>
    <w:rsid w:val="00BA11CC"/>
    <w:rsid w:val="00BA15E7"/>
    <w:rsid w:val="00BA1B32"/>
    <w:rsid w:val="00BA1CD7"/>
    <w:rsid w:val="00BA22C8"/>
    <w:rsid w:val="00BA2536"/>
    <w:rsid w:val="00BA2D96"/>
    <w:rsid w:val="00BA39C9"/>
    <w:rsid w:val="00BA4722"/>
    <w:rsid w:val="00BA5233"/>
    <w:rsid w:val="00BA549E"/>
    <w:rsid w:val="00BA6249"/>
    <w:rsid w:val="00BA709B"/>
    <w:rsid w:val="00BA74C8"/>
    <w:rsid w:val="00BA75C3"/>
    <w:rsid w:val="00BB03B6"/>
    <w:rsid w:val="00BB1475"/>
    <w:rsid w:val="00BB1992"/>
    <w:rsid w:val="00BB246B"/>
    <w:rsid w:val="00BB2B1E"/>
    <w:rsid w:val="00BB2EE3"/>
    <w:rsid w:val="00BB4ED5"/>
    <w:rsid w:val="00BB4F4A"/>
    <w:rsid w:val="00BB5052"/>
    <w:rsid w:val="00BB60A8"/>
    <w:rsid w:val="00BB704E"/>
    <w:rsid w:val="00BC0B1B"/>
    <w:rsid w:val="00BC25D9"/>
    <w:rsid w:val="00BC2771"/>
    <w:rsid w:val="00BC6776"/>
    <w:rsid w:val="00BC6BDC"/>
    <w:rsid w:val="00BD0B07"/>
    <w:rsid w:val="00BD0D3F"/>
    <w:rsid w:val="00BD1433"/>
    <w:rsid w:val="00BD1CFE"/>
    <w:rsid w:val="00BD226C"/>
    <w:rsid w:val="00BD29F6"/>
    <w:rsid w:val="00BD2F9A"/>
    <w:rsid w:val="00BD327C"/>
    <w:rsid w:val="00BD50E3"/>
    <w:rsid w:val="00BD535D"/>
    <w:rsid w:val="00BD5EB3"/>
    <w:rsid w:val="00BD6498"/>
    <w:rsid w:val="00BD69ED"/>
    <w:rsid w:val="00BD6AB5"/>
    <w:rsid w:val="00BD74A2"/>
    <w:rsid w:val="00BD7E51"/>
    <w:rsid w:val="00BE041D"/>
    <w:rsid w:val="00BE0AE2"/>
    <w:rsid w:val="00BE103C"/>
    <w:rsid w:val="00BE1101"/>
    <w:rsid w:val="00BE1168"/>
    <w:rsid w:val="00BE180A"/>
    <w:rsid w:val="00BE1A43"/>
    <w:rsid w:val="00BE1F7B"/>
    <w:rsid w:val="00BE2290"/>
    <w:rsid w:val="00BE3304"/>
    <w:rsid w:val="00BE3A3F"/>
    <w:rsid w:val="00BF09E1"/>
    <w:rsid w:val="00BF1194"/>
    <w:rsid w:val="00BF31E6"/>
    <w:rsid w:val="00BF503D"/>
    <w:rsid w:val="00BF7497"/>
    <w:rsid w:val="00C0041A"/>
    <w:rsid w:val="00C01C2E"/>
    <w:rsid w:val="00C01F8E"/>
    <w:rsid w:val="00C02165"/>
    <w:rsid w:val="00C032C7"/>
    <w:rsid w:val="00C03770"/>
    <w:rsid w:val="00C04220"/>
    <w:rsid w:val="00C04360"/>
    <w:rsid w:val="00C061E7"/>
    <w:rsid w:val="00C06577"/>
    <w:rsid w:val="00C06BF5"/>
    <w:rsid w:val="00C07E97"/>
    <w:rsid w:val="00C107D2"/>
    <w:rsid w:val="00C11BBB"/>
    <w:rsid w:val="00C11E6E"/>
    <w:rsid w:val="00C12288"/>
    <w:rsid w:val="00C12D5B"/>
    <w:rsid w:val="00C13AE6"/>
    <w:rsid w:val="00C14E25"/>
    <w:rsid w:val="00C15C5B"/>
    <w:rsid w:val="00C164EC"/>
    <w:rsid w:val="00C17AEC"/>
    <w:rsid w:val="00C20EC0"/>
    <w:rsid w:val="00C21AC7"/>
    <w:rsid w:val="00C21BCB"/>
    <w:rsid w:val="00C21FF0"/>
    <w:rsid w:val="00C2277A"/>
    <w:rsid w:val="00C227E4"/>
    <w:rsid w:val="00C24A2D"/>
    <w:rsid w:val="00C253D0"/>
    <w:rsid w:val="00C25843"/>
    <w:rsid w:val="00C25971"/>
    <w:rsid w:val="00C25DDA"/>
    <w:rsid w:val="00C25E3F"/>
    <w:rsid w:val="00C26004"/>
    <w:rsid w:val="00C26144"/>
    <w:rsid w:val="00C2683D"/>
    <w:rsid w:val="00C26E26"/>
    <w:rsid w:val="00C26F0C"/>
    <w:rsid w:val="00C27078"/>
    <w:rsid w:val="00C27426"/>
    <w:rsid w:val="00C3137A"/>
    <w:rsid w:val="00C319B8"/>
    <w:rsid w:val="00C32653"/>
    <w:rsid w:val="00C33D89"/>
    <w:rsid w:val="00C356A8"/>
    <w:rsid w:val="00C3745C"/>
    <w:rsid w:val="00C37ACF"/>
    <w:rsid w:val="00C37FEA"/>
    <w:rsid w:val="00C40F58"/>
    <w:rsid w:val="00C414DD"/>
    <w:rsid w:val="00C41829"/>
    <w:rsid w:val="00C41ABF"/>
    <w:rsid w:val="00C5055B"/>
    <w:rsid w:val="00C50A9A"/>
    <w:rsid w:val="00C5273A"/>
    <w:rsid w:val="00C52778"/>
    <w:rsid w:val="00C54DCE"/>
    <w:rsid w:val="00C6031A"/>
    <w:rsid w:val="00C6039A"/>
    <w:rsid w:val="00C60A75"/>
    <w:rsid w:val="00C62755"/>
    <w:rsid w:val="00C6384D"/>
    <w:rsid w:val="00C63BCC"/>
    <w:rsid w:val="00C63BDD"/>
    <w:rsid w:val="00C64FA2"/>
    <w:rsid w:val="00C65099"/>
    <w:rsid w:val="00C658B2"/>
    <w:rsid w:val="00C660DD"/>
    <w:rsid w:val="00C661C0"/>
    <w:rsid w:val="00C66738"/>
    <w:rsid w:val="00C70562"/>
    <w:rsid w:val="00C71296"/>
    <w:rsid w:val="00C7151A"/>
    <w:rsid w:val="00C71677"/>
    <w:rsid w:val="00C729E9"/>
    <w:rsid w:val="00C736C0"/>
    <w:rsid w:val="00C73D2F"/>
    <w:rsid w:val="00C741E5"/>
    <w:rsid w:val="00C7428A"/>
    <w:rsid w:val="00C746E3"/>
    <w:rsid w:val="00C75FD5"/>
    <w:rsid w:val="00C761FF"/>
    <w:rsid w:val="00C804B0"/>
    <w:rsid w:val="00C81629"/>
    <w:rsid w:val="00C82012"/>
    <w:rsid w:val="00C822DD"/>
    <w:rsid w:val="00C831D3"/>
    <w:rsid w:val="00C8378F"/>
    <w:rsid w:val="00C83A9A"/>
    <w:rsid w:val="00C84627"/>
    <w:rsid w:val="00C84792"/>
    <w:rsid w:val="00C8525C"/>
    <w:rsid w:val="00C876D6"/>
    <w:rsid w:val="00C878BC"/>
    <w:rsid w:val="00C9152C"/>
    <w:rsid w:val="00C9192D"/>
    <w:rsid w:val="00C92389"/>
    <w:rsid w:val="00C929FD"/>
    <w:rsid w:val="00C94A1C"/>
    <w:rsid w:val="00C94C0D"/>
    <w:rsid w:val="00C94CDE"/>
    <w:rsid w:val="00C955AF"/>
    <w:rsid w:val="00C955C6"/>
    <w:rsid w:val="00C96DE1"/>
    <w:rsid w:val="00C973F9"/>
    <w:rsid w:val="00CA03F4"/>
    <w:rsid w:val="00CA07BC"/>
    <w:rsid w:val="00CA0E49"/>
    <w:rsid w:val="00CA19FE"/>
    <w:rsid w:val="00CA1E25"/>
    <w:rsid w:val="00CA2279"/>
    <w:rsid w:val="00CA2DDD"/>
    <w:rsid w:val="00CA2E22"/>
    <w:rsid w:val="00CA3A5B"/>
    <w:rsid w:val="00CA3E81"/>
    <w:rsid w:val="00CA75F8"/>
    <w:rsid w:val="00CB0200"/>
    <w:rsid w:val="00CB15C7"/>
    <w:rsid w:val="00CB206D"/>
    <w:rsid w:val="00CB4477"/>
    <w:rsid w:val="00CB486A"/>
    <w:rsid w:val="00CB52B7"/>
    <w:rsid w:val="00CB6799"/>
    <w:rsid w:val="00CB7489"/>
    <w:rsid w:val="00CB7BF4"/>
    <w:rsid w:val="00CC009D"/>
    <w:rsid w:val="00CC089C"/>
    <w:rsid w:val="00CC0C08"/>
    <w:rsid w:val="00CC0E2A"/>
    <w:rsid w:val="00CC16FF"/>
    <w:rsid w:val="00CC351E"/>
    <w:rsid w:val="00CC3FE9"/>
    <w:rsid w:val="00CC498F"/>
    <w:rsid w:val="00CC560B"/>
    <w:rsid w:val="00CC7D27"/>
    <w:rsid w:val="00CD04B9"/>
    <w:rsid w:val="00CD116D"/>
    <w:rsid w:val="00CD52DB"/>
    <w:rsid w:val="00CD549C"/>
    <w:rsid w:val="00CD55CA"/>
    <w:rsid w:val="00CD63DC"/>
    <w:rsid w:val="00CD6998"/>
    <w:rsid w:val="00CD7C95"/>
    <w:rsid w:val="00CE0D31"/>
    <w:rsid w:val="00CE21BC"/>
    <w:rsid w:val="00CE52EA"/>
    <w:rsid w:val="00CE57AF"/>
    <w:rsid w:val="00CE640D"/>
    <w:rsid w:val="00CE75E5"/>
    <w:rsid w:val="00CF059B"/>
    <w:rsid w:val="00CF0F80"/>
    <w:rsid w:val="00CF438A"/>
    <w:rsid w:val="00CF508D"/>
    <w:rsid w:val="00CF7793"/>
    <w:rsid w:val="00CF7DF4"/>
    <w:rsid w:val="00D000D9"/>
    <w:rsid w:val="00D0039A"/>
    <w:rsid w:val="00D007C3"/>
    <w:rsid w:val="00D019B8"/>
    <w:rsid w:val="00D02D7A"/>
    <w:rsid w:val="00D03191"/>
    <w:rsid w:val="00D03C4A"/>
    <w:rsid w:val="00D03E73"/>
    <w:rsid w:val="00D057C5"/>
    <w:rsid w:val="00D0672E"/>
    <w:rsid w:val="00D0696B"/>
    <w:rsid w:val="00D07222"/>
    <w:rsid w:val="00D07C25"/>
    <w:rsid w:val="00D1008A"/>
    <w:rsid w:val="00D104F3"/>
    <w:rsid w:val="00D1088B"/>
    <w:rsid w:val="00D10906"/>
    <w:rsid w:val="00D10B21"/>
    <w:rsid w:val="00D10F88"/>
    <w:rsid w:val="00D11FC0"/>
    <w:rsid w:val="00D12721"/>
    <w:rsid w:val="00D1318E"/>
    <w:rsid w:val="00D13482"/>
    <w:rsid w:val="00D13D5D"/>
    <w:rsid w:val="00D14A68"/>
    <w:rsid w:val="00D14E5B"/>
    <w:rsid w:val="00D14F7A"/>
    <w:rsid w:val="00D15AF4"/>
    <w:rsid w:val="00D15D1B"/>
    <w:rsid w:val="00D16AFA"/>
    <w:rsid w:val="00D16DC0"/>
    <w:rsid w:val="00D16EFE"/>
    <w:rsid w:val="00D173B6"/>
    <w:rsid w:val="00D17A1A"/>
    <w:rsid w:val="00D20267"/>
    <w:rsid w:val="00D20410"/>
    <w:rsid w:val="00D219D8"/>
    <w:rsid w:val="00D2210E"/>
    <w:rsid w:val="00D228BA"/>
    <w:rsid w:val="00D22E59"/>
    <w:rsid w:val="00D245F2"/>
    <w:rsid w:val="00D24BF3"/>
    <w:rsid w:val="00D24D13"/>
    <w:rsid w:val="00D258F4"/>
    <w:rsid w:val="00D27B4F"/>
    <w:rsid w:val="00D3048D"/>
    <w:rsid w:val="00D30761"/>
    <w:rsid w:val="00D30A55"/>
    <w:rsid w:val="00D30B5E"/>
    <w:rsid w:val="00D3497D"/>
    <w:rsid w:val="00D352BE"/>
    <w:rsid w:val="00D36956"/>
    <w:rsid w:val="00D36A67"/>
    <w:rsid w:val="00D36AE0"/>
    <w:rsid w:val="00D37414"/>
    <w:rsid w:val="00D37ABC"/>
    <w:rsid w:val="00D40E45"/>
    <w:rsid w:val="00D410A3"/>
    <w:rsid w:val="00D419A8"/>
    <w:rsid w:val="00D41AB7"/>
    <w:rsid w:val="00D44220"/>
    <w:rsid w:val="00D44B1C"/>
    <w:rsid w:val="00D4539F"/>
    <w:rsid w:val="00D46BC6"/>
    <w:rsid w:val="00D46BE9"/>
    <w:rsid w:val="00D46D7E"/>
    <w:rsid w:val="00D47D10"/>
    <w:rsid w:val="00D500DC"/>
    <w:rsid w:val="00D50E1A"/>
    <w:rsid w:val="00D51AD7"/>
    <w:rsid w:val="00D52DCF"/>
    <w:rsid w:val="00D5491E"/>
    <w:rsid w:val="00D54D1A"/>
    <w:rsid w:val="00D54F86"/>
    <w:rsid w:val="00D56AA0"/>
    <w:rsid w:val="00D57535"/>
    <w:rsid w:val="00D5789A"/>
    <w:rsid w:val="00D608A7"/>
    <w:rsid w:val="00D60A10"/>
    <w:rsid w:val="00D60A7C"/>
    <w:rsid w:val="00D60B85"/>
    <w:rsid w:val="00D62829"/>
    <w:rsid w:val="00D62FDE"/>
    <w:rsid w:val="00D64603"/>
    <w:rsid w:val="00D657AF"/>
    <w:rsid w:val="00D658C3"/>
    <w:rsid w:val="00D65A19"/>
    <w:rsid w:val="00D664FB"/>
    <w:rsid w:val="00D66B9E"/>
    <w:rsid w:val="00D67CCD"/>
    <w:rsid w:val="00D67E82"/>
    <w:rsid w:val="00D7023A"/>
    <w:rsid w:val="00D70D03"/>
    <w:rsid w:val="00D70FA2"/>
    <w:rsid w:val="00D71BCB"/>
    <w:rsid w:val="00D71F6A"/>
    <w:rsid w:val="00D726E8"/>
    <w:rsid w:val="00D7307F"/>
    <w:rsid w:val="00D73263"/>
    <w:rsid w:val="00D74B28"/>
    <w:rsid w:val="00D75200"/>
    <w:rsid w:val="00D76929"/>
    <w:rsid w:val="00D76A32"/>
    <w:rsid w:val="00D77372"/>
    <w:rsid w:val="00D80AF8"/>
    <w:rsid w:val="00D80C22"/>
    <w:rsid w:val="00D81021"/>
    <w:rsid w:val="00D81766"/>
    <w:rsid w:val="00D81960"/>
    <w:rsid w:val="00D83A37"/>
    <w:rsid w:val="00D84CFB"/>
    <w:rsid w:val="00D85112"/>
    <w:rsid w:val="00D85259"/>
    <w:rsid w:val="00D85F91"/>
    <w:rsid w:val="00D866F2"/>
    <w:rsid w:val="00D86A40"/>
    <w:rsid w:val="00D87611"/>
    <w:rsid w:val="00D87772"/>
    <w:rsid w:val="00D87A5D"/>
    <w:rsid w:val="00D9100E"/>
    <w:rsid w:val="00D91420"/>
    <w:rsid w:val="00D91FAC"/>
    <w:rsid w:val="00D928CC"/>
    <w:rsid w:val="00D939F1"/>
    <w:rsid w:val="00D9403B"/>
    <w:rsid w:val="00D94064"/>
    <w:rsid w:val="00D94FAF"/>
    <w:rsid w:val="00D951A2"/>
    <w:rsid w:val="00DA13AF"/>
    <w:rsid w:val="00DA14E5"/>
    <w:rsid w:val="00DA1EF1"/>
    <w:rsid w:val="00DA353A"/>
    <w:rsid w:val="00DA4E40"/>
    <w:rsid w:val="00DA5B4B"/>
    <w:rsid w:val="00DB10D7"/>
    <w:rsid w:val="00DB1792"/>
    <w:rsid w:val="00DB1DF1"/>
    <w:rsid w:val="00DB23F3"/>
    <w:rsid w:val="00DB27E1"/>
    <w:rsid w:val="00DB3420"/>
    <w:rsid w:val="00DB518B"/>
    <w:rsid w:val="00DB580A"/>
    <w:rsid w:val="00DB6DA2"/>
    <w:rsid w:val="00DB7BD0"/>
    <w:rsid w:val="00DC0364"/>
    <w:rsid w:val="00DC04EC"/>
    <w:rsid w:val="00DC0B4B"/>
    <w:rsid w:val="00DC0E02"/>
    <w:rsid w:val="00DC21B9"/>
    <w:rsid w:val="00DC2F67"/>
    <w:rsid w:val="00DC3770"/>
    <w:rsid w:val="00DC4254"/>
    <w:rsid w:val="00DC4632"/>
    <w:rsid w:val="00DC535F"/>
    <w:rsid w:val="00DC69C6"/>
    <w:rsid w:val="00DC6C3B"/>
    <w:rsid w:val="00DC7AE6"/>
    <w:rsid w:val="00DD0FFA"/>
    <w:rsid w:val="00DD1289"/>
    <w:rsid w:val="00DD1CA9"/>
    <w:rsid w:val="00DD1CAB"/>
    <w:rsid w:val="00DD2078"/>
    <w:rsid w:val="00DD2F81"/>
    <w:rsid w:val="00DD306F"/>
    <w:rsid w:val="00DD3337"/>
    <w:rsid w:val="00DD367C"/>
    <w:rsid w:val="00DD36D4"/>
    <w:rsid w:val="00DD3C0B"/>
    <w:rsid w:val="00DD3CB3"/>
    <w:rsid w:val="00DD46D7"/>
    <w:rsid w:val="00DD4BB0"/>
    <w:rsid w:val="00DD6DD3"/>
    <w:rsid w:val="00DD7310"/>
    <w:rsid w:val="00DE0A0E"/>
    <w:rsid w:val="00DE0E8D"/>
    <w:rsid w:val="00DE1418"/>
    <w:rsid w:val="00DE1EF7"/>
    <w:rsid w:val="00DE1FBE"/>
    <w:rsid w:val="00DE28E3"/>
    <w:rsid w:val="00DE2A08"/>
    <w:rsid w:val="00DE32D2"/>
    <w:rsid w:val="00DE3724"/>
    <w:rsid w:val="00DE3B3A"/>
    <w:rsid w:val="00DE579C"/>
    <w:rsid w:val="00DE589E"/>
    <w:rsid w:val="00DE6523"/>
    <w:rsid w:val="00DE7FAF"/>
    <w:rsid w:val="00DF1037"/>
    <w:rsid w:val="00DF20C9"/>
    <w:rsid w:val="00DF352E"/>
    <w:rsid w:val="00DF4A9D"/>
    <w:rsid w:val="00DF54F0"/>
    <w:rsid w:val="00DF561B"/>
    <w:rsid w:val="00DF5DB7"/>
    <w:rsid w:val="00DF5ED8"/>
    <w:rsid w:val="00DF5F5F"/>
    <w:rsid w:val="00DF63EC"/>
    <w:rsid w:val="00DF64C2"/>
    <w:rsid w:val="00DF7167"/>
    <w:rsid w:val="00DF7F6E"/>
    <w:rsid w:val="00E009BB"/>
    <w:rsid w:val="00E00B20"/>
    <w:rsid w:val="00E02093"/>
    <w:rsid w:val="00E023B8"/>
    <w:rsid w:val="00E02763"/>
    <w:rsid w:val="00E02865"/>
    <w:rsid w:val="00E02E36"/>
    <w:rsid w:val="00E043AF"/>
    <w:rsid w:val="00E04736"/>
    <w:rsid w:val="00E05436"/>
    <w:rsid w:val="00E055EB"/>
    <w:rsid w:val="00E065BD"/>
    <w:rsid w:val="00E07017"/>
    <w:rsid w:val="00E07047"/>
    <w:rsid w:val="00E10190"/>
    <w:rsid w:val="00E10AF5"/>
    <w:rsid w:val="00E12824"/>
    <w:rsid w:val="00E12C33"/>
    <w:rsid w:val="00E136ED"/>
    <w:rsid w:val="00E14D0E"/>
    <w:rsid w:val="00E15786"/>
    <w:rsid w:val="00E15EF8"/>
    <w:rsid w:val="00E16784"/>
    <w:rsid w:val="00E16BB8"/>
    <w:rsid w:val="00E17656"/>
    <w:rsid w:val="00E17AD9"/>
    <w:rsid w:val="00E200F2"/>
    <w:rsid w:val="00E201ED"/>
    <w:rsid w:val="00E20A5D"/>
    <w:rsid w:val="00E20F84"/>
    <w:rsid w:val="00E21DE1"/>
    <w:rsid w:val="00E2234D"/>
    <w:rsid w:val="00E2264D"/>
    <w:rsid w:val="00E234FA"/>
    <w:rsid w:val="00E23B4B"/>
    <w:rsid w:val="00E23F7B"/>
    <w:rsid w:val="00E2455F"/>
    <w:rsid w:val="00E2494A"/>
    <w:rsid w:val="00E2622C"/>
    <w:rsid w:val="00E26FAB"/>
    <w:rsid w:val="00E2710C"/>
    <w:rsid w:val="00E27ACA"/>
    <w:rsid w:val="00E27BE5"/>
    <w:rsid w:val="00E30DE5"/>
    <w:rsid w:val="00E31479"/>
    <w:rsid w:val="00E31903"/>
    <w:rsid w:val="00E32C14"/>
    <w:rsid w:val="00E32E29"/>
    <w:rsid w:val="00E33E09"/>
    <w:rsid w:val="00E340AF"/>
    <w:rsid w:val="00E34F75"/>
    <w:rsid w:val="00E37019"/>
    <w:rsid w:val="00E3722C"/>
    <w:rsid w:val="00E40863"/>
    <w:rsid w:val="00E40A92"/>
    <w:rsid w:val="00E41651"/>
    <w:rsid w:val="00E41F5B"/>
    <w:rsid w:val="00E42390"/>
    <w:rsid w:val="00E42B6E"/>
    <w:rsid w:val="00E42C92"/>
    <w:rsid w:val="00E43022"/>
    <w:rsid w:val="00E43918"/>
    <w:rsid w:val="00E43AF0"/>
    <w:rsid w:val="00E44A6F"/>
    <w:rsid w:val="00E45493"/>
    <w:rsid w:val="00E455CE"/>
    <w:rsid w:val="00E45CC0"/>
    <w:rsid w:val="00E469B5"/>
    <w:rsid w:val="00E46B52"/>
    <w:rsid w:val="00E513A5"/>
    <w:rsid w:val="00E51F0B"/>
    <w:rsid w:val="00E529E5"/>
    <w:rsid w:val="00E52A1D"/>
    <w:rsid w:val="00E53E54"/>
    <w:rsid w:val="00E540FD"/>
    <w:rsid w:val="00E543B3"/>
    <w:rsid w:val="00E5473D"/>
    <w:rsid w:val="00E55286"/>
    <w:rsid w:val="00E55FFC"/>
    <w:rsid w:val="00E57860"/>
    <w:rsid w:val="00E60E51"/>
    <w:rsid w:val="00E615DA"/>
    <w:rsid w:val="00E61E57"/>
    <w:rsid w:val="00E6243D"/>
    <w:rsid w:val="00E62748"/>
    <w:rsid w:val="00E627AA"/>
    <w:rsid w:val="00E63B6E"/>
    <w:rsid w:val="00E65518"/>
    <w:rsid w:val="00E66637"/>
    <w:rsid w:val="00E668A8"/>
    <w:rsid w:val="00E703A6"/>
    <w:rsid w:val="00E70886"/>
    <w:rsid w:val="00E70AA8"/>
    <w:rsid w:val="00E70D9E"/>
    <w:rsid w:val="00E72544"/>
    <w:rsid w:val="00E72DD4"/>
    <w:rsid w:val="00E73162"/>
    <w:rsid w:val="00E73A1C"/>
    <w:rsid w:val="00E740CA"/>
    <w:rsid w:val="00E74882"/>
    <w:rsid w:val="00E74BF6"/>
    <w:rsid w:val="00E753FD"/>
    <w:rsid w:val="00E75836"/>
    <w:rsid w:val="00E76E16"/>
    <w:rsid w:val="00E80F38"/>
    <w:rsid w:val="00E813E7"/>
    <w:rsid w:val="00E8264A"/>
    <w:rsid w:val="00E82D85"/>
    <w:rsid w:val="00E839D9"/>
    <w:rsid w:val="00E84298"/>
    <w:rsid w:val="00E844D1"/>
    <w:rsid w:val="00E84622"/>
    <w:rsid w:val="00E84724"/>
    <w:rsid w:val="00E84812"/>
    <w:rsid w:val="00E86102"/>
    <w:rsid w:val="00E8690C"/>
    <w:rsid w:val="00E90325"/>
    <w:rsid w:val="00E90FB5"/>
    <w:rsid w:val="00E912AD"/>
    <w:rsid w:val="00E912FF"/>
    <w:rsid w:val="00E918C4"/>
    <w:rsid w:val="00E91ED8"/>
    <w:rsid w:val="00E92C11"/>
    <w:rsid w:val="00E93060"/>
    <w:rsid w:val="00E937F5"/>
    <w:rsid w:val="00E93E2D"/>
    <w:rsid w:val="00E94554"/>
    <w:rsid w:val="00E94C14"/>
    <w:rsid w:val="00E967DF"/>
    <w:rsid w:val="00E96F45"/>
    <w:rsid w:val="00E97BD2"/>
    <w:rsid w:val="00E97D01"/>
    <w:rsid w:val="00EA1458"/>
    <w:rsid w:val="00EA1876"/>
    <w:rsid w:val="00EA1FE2"/>
    <w:rsid w:val="00EA2982"/>
    <w:rsid w:val="00EA32E1"/>
    <w:rsid w:val="00EA3740"/>
    <w:rsid w:val="00EA3E5A"/>
    <w:rsid w:val="00EA66E0"/>
    <w:rsid w:val="00EA6E0C"/>
    <w:rsid w:val="00EB0169"/>
    <w:rsid w:val="00EB0791"/>
    <w:rsid w:val="00EB10FF"/>
    <w:rsid w:val="00EB15CF"/>
    <w:rsid w:val="00EB18BF"/>
    <w:rsid w:val="00EB247B"/>
    <w:rsid w:val="00EB24CC"/>
    <w:rsid w:val="00EB3C44"/>
    <w:rsid w:val="00EB5FD0"/>
    <w:rsid w:val="00EB6985"/>
    <w:rsid w:val="00EB6D6B"/>
    <w:rsid w:val="00EB7C39"/>
    <w:rsid w:val="00EC016B"/>
    <w:rsid w:val="00EC0B1F"/>
    <w:rsid w:val="00EC0E37"/>
    <w:rsid w:val="00EC15A0"/>
    <w:rsid w:val="00EC1C43"/>
    <w:rsid w:val="00EC6667"/>
    <w:rsid w:val="00EC6692"/>
    <w:rsid w:val="00EC6839"/>
    <w:rsid w:val="00EC7534"/>
    <w:rsid w:val="00EC7C3A"/>
    <w:rsid w:val="00ED10D5"/>
    <w:rsid w:val="00ED120D"/>
    <w:rsid w:val="00ED32AA"/>
    <w:rsid w:val="00ED52C0"/>
    <w:rsid w:val="00ED59F7"/>
    <w:rsid w:val="00ED5E7A"/>
    <w:rsid w:val="00ED679E"/>
    <w:rsid w:val="00EE094D"/>
    <w:rsid w:val="00EE0B59"/>
    <w:rsid w:val="00EE181A"/>
    <w:rsid w:val="00EE2544"/>
    <w:rsid w:val="00EE2552"/>
    <w:rsid w:val="00EE2B81"/>
    <w:rsid w:val="00EE2DB8"/>
    <w:rsid w:val="00EE2DD6"/>
    <w:rsid w:val="00EE48D8"/>
    <w:rsid w:val="00EE59FF"/>
    <w:rsid w:val="00EE6265"/>
    <w:rsid w:val="00EE64CC"/>
    <w:rsid w:val="00EE662A"/>
    <w:rsid w:val="00EE6704"/>
    <w:rsid w:val="00EE6A9A"/>
    <w:rsid w:val="00EE6C35"/>
    <w:rsid w:val="00EE70D1"/>
    <w:rsid w:val="00EF127E"/>
    <w:rsid w:val="00EF15C6"/>
    <w:rsid w:val="00EF28A2"/>
    <w:rsid w:val="00EF2EA2"/>
    <w:rsid w:val="00EF3AC1"/>
    <w:rsid w:val="00EF41D4"/>
    <w:rsid w:val="00EF58A9"/>
    <w:rsid w:val="00EF6A2F"/>
    <w:rsid w:val="00EF7D77"/>
    <w:rsid w:val="00F0042A"/>
    <w:rsid w:val="00F014D0"/>
    <w:rsid w:val="00F017E0"/>
    <w:rsid w:val="00F0216B"/>
    <w:rsid w:val="00F0229B"/>
    <w:rsid w:val="00F02AF8"/>
    <w:rsid w:val="00F034D1"/>
    <w:rsid w:val="00F03DA9"/>
    <w:rsid w:val="00F04605"/>
    <w:rsid w:val="00F04BBF"/>
    <w:rsid w:val="00F06865"/>
    <w:rsid w:val="00F06D64"/>
    <w:rsid w:val="00F071EB"/>
    <w:rsid w:val="00F0749F"/>
    <w:rsid w:val="00F10C15"/>
    <w:rsid w:val="00F10CB6"/>
    <w:rsid w:val="00F11B3B"/>
    <w:rsid w:val="00F16508"/>
    <w:rsid w:val="00F173D4"/>
    <w:rsid w:val="00F175E5"/>
    <w:rsid w:val="00F17669"/>
    <w:rsid w:val="00F17DAF"/>
    <w:rsid w:val="00F20411"/>
    <w:rsid w:val="00F20685"/>
    <w:rsid w:val="00F21369"/>
    <w:rsid w:val="00F213F5"/>
    <w:rsid w:val="00F21E47"/>
    <w:rsid w:val="00F235E7"/>
    <w:rsid w:val="00F23AD9"/>
    <w:rsid w:val="00F2475D"/>
    <w:rsid w:val="00F24766"/>
    <w:rsid w:val="00F26016"/>
    <w:rsid w:val="00F2686B"/>
    <w:rsid w:val="00F26B0F"/>
    <w:rsid w:val="00F2748A"/>
    <w:rsid w:val="00F3066B"/>
    <w:rsid w:val="00F30AB1"/>
    <w:rsid w:val="00F31563"/>
    <w:rsid w:val="00F3164E"/>
    <w:rsid w:val="00F34D0B"/>
    <w:rsid w:val="00F350FE"/>
    <w:rsid w:val="00F35B56"/>
    <w:rsid w:val="00F3652B"/>
    <w:rsid w:val="00F368F1"/>
    <w:rsid w:val="00F3695C"/>
    <w:rsid w:val="00F40420"/>
    <w:rsid w:val="00F42AA4"/>
    <w:rsid w:val="00F45574"/>
    <w:rsid w:val="00F45E01"/>
    <w:rsid w:val="00F4680C"/>
    <w:rsid w:val="00F475A2"/>
    <w:rsid w:val="00F4760C"/>
    <w:rsid w:val="00F50002"/>
    <w:rsid w:val="00F50796"/>
    <w:rsid w:val="00F51079"/>
    <w:rsid w:val="00F519CF"/>
    <w:rsid w:val="00F52BD8"/>
    <w:rsid w:val="00F52ED4"/>
    <w:rsid w:val="00F52EF8"/>
    <w:rsid w:val="00F53201"/>
    <w:rsid w:val="00F534A0"/>
    <w:rsid w:val="00F53653"/>
    <w:rsid w:val="00F54E47"/>
    <w:rsid w:val="00F55EBE"/>
    <w:rsid w:val="00F55ED7"/>
    <w:rsid w:val="00F56AB8"/>
    <w:rsid w:val="00F57933"/>
    <w:rsid w:val="00F57E9E"/>
    <w:rsid w:val="00F603BB"/>
    <w:rsid w:val="00F60BB1"/>
    <w:rsid w:val="00F61136"/>
    <w:rsid w:val="00F61935"/>
    <w:rsid w:val="00F61EC9"/>
    <w:rsid w:val="00F61FBC"/>
    <w:rsid w:val="00F62706"/>
    <w:rsid w:val="00F63FE0"/>
    <w:rsid w:val="00F63FFE"/>
    <w:rsid w:val="00F64762"/>
    <w:rsid w:val="00F64B56"/>
    <w:rsid w:val="00F66687"/>
    <w:rsid w:val="00F700FF"/>
    <w:rsid w:val="00F705A3"/>
    <w:rsid w:val="00F70D23"/>
    <w:rsid w:val="00F715FC"/>
    <w:rsid w:val="00F727DC"/>
    <w:rsid w:val="00F72A1E"/>
    <w:rsid w:val="00F72E27"/>
    <w:rsid w:val="00F7365D"/>
    <w:rsid w:val="00F7426D"/>
    <w:rsid w:val="00F76891"/>
    <w:rsid w:val="00F858E3"/>
    <w:rsid w:val="00F868A3"/>
    <w:rsid w:val="00F86DC6"/>
    <w:rsid w:val="00F86EA9"/>
    <w:rsid w:val="00F8744E"/>
    <w:rsid w:val="00F87C9A"/>
    <w:rsid w:val="00F90121"/>
    <w:rsid w:val="00F9032F"/>
    <w:rsid w:val="00F906FB"/>
    <w:rsid w:val="00F913E4"/>
    <w:rsid w:val="00F919A6"/>
    <w:rsid w:val="00F93299"/>
    <w:rsid w:val="00F934B7"/>
    <w:rsid w:val="00F94B95"/>
    <w:rsid w:val="00F95818"/>
    <w:rsid w:val="00F95924"/>
    <w:rsid w:val="00F95BFA"/>
    <w:rsid w:val="00F9622E"/>
    <w:rsid w:val="00F96948"/>
    <w:rsid w:val="00F97824"/>
    <w:rsid w:val="00F97A00"/>
    <w:rsid w:val="00F97A84"/>
    <w:rsid w:val="00F97ED9"/>
    <w:rsid w:val="00FA074C"/>
    <w:rsid w:val="00FA08B5"/>
    <w:rsid w:val="00FA0DE5"/>
    <w:rsid w:val="00FA0DE8"/>
    <w:rsid w:val="00FA181D"/>
    <w:rsid w:val="00FA1A3D"/>
    <w:rsid w:val="00FA2B77"/>
    <w:rsid w:val="00FA33CC"/>
    <w:rsid w:val="00FA378D"/>
    <w:rsid w:val="00FA379E"/>
    <w:rsid w:val="00FA516E"/>
    <w:rsid w:val="00FA5184"/>
    <w:rsid w:val="00FA5774"/>
    <w:rsid w:val="00FA5F22"/>
    <w:rsid w:val="00FA7ACE"/>
    <w:rsid w:val="00FB07D0"/>
    <w:rsid w:val="00FB0D3C"/>
    <w:rsid w:val="00FB14AA"/>
    <w:rsid w:val="00FB2CBD"/>
    <w:rsid w:val="00FB3045"/>
    <w:rsid w:val="00FB333A"/>
    <w:rsid w:val="00FB3993"/>
    <w:rsid w:val="00FB3ED4"/>
    <w:rsid w:val="00FB4065"/>
    <w:rsid w:val="00FB43FD"/>
    <w:rsid w:val="00FB5B95"/>
    <w:rsid w:val="00FB5F2C"/>
    <w:rsid w:val="00FB6A5F"/>
    <w:rsid w:val="00FB741D"/>
    <w:rsid w:val="00FC03D9"/>
    <w:rsid w:val="00FC1573"/>
    <w:rsid w:val="00FC2F21"/>
    <w:rsid w:val="00FC2FBE"/>
    <w:rsid w:val="00FC53D1"/>
    <w:rsid w:val="00FC58AA"/>
    <w:rsid w:val="00FC5A44"/>
    <w:rsid w:val="00FC65DA"/>
    <w:rsid w:val="00FC6A3C"/>
    <w:rsid w:val="00FC6EDC"/>
    <w:rsid w:val="00FC7AC7"/>
    <w:rsid w:val="00FC7D41"/>
    <w:rsid w:val="00FD033E"/>
    <w:rsid w:val="00FD08FE"/>
    <w:rsid w:val="00FD12A2"/>
    <w:rsid w:val="00FD1E26"/>
    <w:rsid w:val="00FD3007"/>
    <w:rsid w:val="00FD48FE"/>
    <w:rsid w:val="00FD4BD3"/>
    <w:rsid w:val="00FD56E7"/>
    <w:rsid w:val="00FD63A7"/>
    <w:rsid w:val="00FD725C"/>
    <w:rsid w:val="00FE01C9"/>
    <w:rsid w:val="00FE0628"/>
    <w:rsid w:val="00FE0C04"/>
    <w:rsid w:val="00FE10BB"/>
    <w:rsid w:val="00FE125A"/>
    <w:rsid w:val="00FE2A51"/>
    <w:rsid w:val="00FE2BC0"/>
    <w:rsid w:val="00FE30A0"/>
    <w:rsid w:val="00FE4B1B"/>
    <w:rsid w:val="00FE4F4C"/>
    <w:rsid w:val="00FE51D4"/>
    <w:rsid w:val="00FE6168"/>
    <w:rsid w:val="00FE69E2"/>
    <w:rsid w:val="00FE7C3C"/>
    <w:rsid w:val="00FE7D28"/>
    <w:rsid w:val="00FF0C2E"/>
    <w:rsid w:val="00FF26CD"/>
    <w:rsid w:val="00FF2748"/>
    <w:rsid w:val="00FF331C"/>
    <w:rsid w:val="00FF33ED"/>
    <w:rsid w:val="00FF34C7"/>
    <w:rsid w:val="00FF4447"/>
    <w:rsid w:val="00FF5DB2"/>
    <w:rsid w:val="00FF6407"/>
    <w:rsid w:val="00FF6837"/>
  </w:rsids>
  <m:mathPr>
    <m:mathFont m:val="Cambria Math"/>
    <m:brkBin m:val="before"/>
    <m:brkBinSub m:val="--"/>
    <m:smallFrac m:val="0"/>
    <m:dispDef/>
    <m:lMargin m:val="0"/>
    <m:rMargin m:val="0"/>
    <m:defJc m:val="centerGroup"/>
    <m:wrapIndent m:val="1440"/>
    <m:intLim m:val="subSup"/>
    <m:naryLim m:val="undOvr"/>
  </m:mathPr>
  <w:themeFontLang w:val="sq-A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0F515C"/>
  <w15:chartTrackingRefBased/>
  <w15:docId w15:val="{988EE07E-E5E5-4F0B-956A-2B04F9B1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iPriority w:val="99"/>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aliases w:val="B"/>
    <w:link w:val="NoSpacingChar"/>
    <w:uiPriority w:val="1"/>
    <w:qFormat/>
    <w:rsid w:val="004027FC"/>
    <w:pPr>
      <w:spacing w:line="240" w:lineRule="auto"/>
    </w:pPr>
  </w:style>
  <w:style w:type="character" w:customStyle="1" w:styleId="NoSpacingChar">
    <w:name w:val="No Spacing Char"/>
    <w:aliases w:val="B Char"/>
    <w:link w:val="NoSpacing"/>
    <w:uiPriority w:val="1"/>
    <w:qFormat/>
    <w:locked/>
    <w:rsid w:val="00005E0A"/>
  </w:style>
  <w:style w:type="paragraph" w:styleId="PlainText">
    <w:name w:val="Plain Text"/>
    <w:basedOn w:val="Normal"/>
    <w:link w:val="PlainTextChar"/>
    <w:uiPriority w:val="99"/>
    <w:semiHidden/>
    <w:unhideWhenUsed/>
    <w:rsid w:val="0085046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460"/>
    <w:rPr>
      <w:rFonts w:ascii="Consolas" w:hAnsi="Consolas"/>
      <w:sz w:val="21"/>
      <w:szCs w:val="21"/>
    </w:rPr>
  </w:style>
  <w:style w:type="character" w:styleId="CommentReference">
    <w:name w:val="annotation reference"/>
    <w:basedOn w:val="DefaultParagraphFont"/>
    <w:uiPriority w:val="99"/>
    <w:semiHidden/>
    <w:unhideWhenUsed/>
    <w:rsid w:val="00B05A2C"/>
    <w:rPr>
      <w:sz w:val="16"/>
      <w:szCs w:val="16"/>
    </w:rPr>
  </w:style>
  <w:style w:type="paragraph" w:styleId="CommentText">
    <w:name w:val="annotation text"/>
    <w:basedOn w:val="Normal"/>
    <w:link w:val="CommentTextChar"/>
    <w:uiPriority w:val="99"/>
    <w:unhideWhenUsed/>
    <w:rsid w:val="00B05A2C"/>
    <w:pPr>
      <w:spacing w:line="240" w:lineRule="auto"/>
    </w:pPr>
    <w:rPr>
      <w:sz w:val="20"/>
      <w:szCs w:val="20"/>
    </w:rPr>
  </w:style>
  <w:style w:type="character" w:customStyle="1" w:styleId="CommentTextChar">
    <w:name w:val="Comment Text Char"/>
    <w:basedOn w:val="DefaultParagraphFont"/>
    <w:link w:val="CommentText"/>
    <w:uiPriority w:val="99"/>
    <w:rsid w:val="00B05A2C"/>
    <w:rPr>
      <w:sz w:val="20"/>
      <w:szCs w:val="20"/>
    </w:rPr>
  </w:style>
  <w:style w:type="paragraph" w:styleId="CommentSubject">
    <w:name w:val="annotation subject"/>
    <w:basedOn w:val="CommentText"/>
    <w:next w:val="CommentText"/>
    <w:link w:val="CommentSubjectChar"/>
    <w:uiPriority w:val="99"/>
    <w:semiHidden/>
    <w:unhideWhenUsed/>
    <w:rsid w:val="00B05A2C"/>
    <w:rPr>
      <w:b/>
      <w:bCs/>
    </w:rPr>
  </w:style>
  <w:style w:type="character" w:customStyle="1" w:styleId="CommentSubjectChar">
    <w:name w:val="Comment Subject Char"/>
    <w:basedOn w:val="CommentTextChar"/>
    <w:link w:val="CommentSubject"/>
    <w:uiPriority w:val="99"/>
    <w:semiHidden/>
    <w:rsid w:val="00B05A2C"/>
    <w:rPr>
      <w:b/>
      <w:bCs/>
      <w:sz w:val="20"/>
      <w:szCs w:val="20"/>
    </w:rPr>
  </w:style>
  <w:style w:type="character" w:customStyle="1" w:styleId="contentpasted0">
    <w:name w:val="contentpasted0"/>
    <w:rsid w:val="002165F9"/>
  </w:style>
  <w:style w:type="paragraph" w:customStyle="1" w:styleId="JuPara">
    <w:name w:val="Ju_Para"/>
    <w:aliases w:val="_Para"/>
    <w:basedOn w:val="Normal"/>
    <w:link w:val="JuParaChar"/>
    <w:uiPriority w:val="4"/>
    <w:qFormat/>
    <w:rsid w:val="005A01DC"/>
    <w:pPr>
      <w:spacing w:line="240" w:lineRule="auto"/>
      <w:ind w:firstLine="284"/>
      <w:jc w:val="both"/>
    </w:pPr>
    <w:rPr>
      <w:rFonts w:asciiTheme="minorHAnsi" w:hAnsiTheme="minorHAnsi" w:cstheme="minorBidi"/>
      <w:lang w:val="en-GB"/>
    </w:rPr>
  </w:style>
  <w:style w:type="character" w:customStyle="1" w:styleId="JuParaChar">
    <w:name w:val="Ju_Para Char"/>
    <w:aliases w:val="_Para Char"/>
    <w:link w:val="JuPara"/>
    <w:uiPriority w:val="4"/>
    <w:rsid w:val="005A01DC"/>
    <w:rPr>
      <w:rFonts w:asciiTheme="minorHAnsi" w:hAnsiTheme="minorHAnsi" w:cstheme="minorBidi"/>
      <w:lang w:val="en-GB"/>
    </w:rPr>
  </w:style>
  <w:style w:type="character" w:styleId="Emphasis">
    <w:name w:val="Emphasis"/>
    <w:basedOn w:val="DefaultParagraphFont"/>
    <w:qFormat/>
    <w:rsid w:val="00496748"/>
    <w:rPr>
      <w:i/>
      <w:iCs/>
    </w:rPr>
  </w:style>
  <w:style w:type="paragraph" w:styleId="Revision">
    <w:name w:val="Revision"/>
    <w:hidden/>
    <w:uiPriority w:val="99"/>
    <w:semiHidden/>
    <w:rsid w:val="009170D0"/>
    <w:pPr>
      <w:spacing w:line="240" w:lineRule="auto"/>
    </w:pPr>
  </w:style>
  <w:style w:type="character" w:styleId="Strong">
    <w:name w:val="Strong"/>
    <w:basedOn w:val="DefaultParagraphFont"/>
    <w:uiPriority w:val="22"/>
    <w:qFormat/>
    <w:rsid w:val="00E86102"/>
    <w:rPr>
      <w:b/>
      <w:bCs/>
    </w:rPr>
  </w:style>
  <w:style w:type="table" w:styleId="TableGrid">
    <w:name w:val="Table Grid"/>
    <w:basedOn w:val="TableNormal"/>
    <w:uiPriority w:val="39"/>
    <w:rsid w:val="00986A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445302">
      <w:bodyDiv w:val="1"/>
      <w:marLeft w:val="0"/>
      <w:marRight w:val="0"/>
      <w:marTop w:val="0"/>
      <w:marBottom w:val="0"/>
      <w:divBdr>
        <w:top w:val="none" w:sz="0" w:space="0" w:color="auto"/>
        <w:left w:val="none" w:sz="0" w:space="0" w:color="auto"/>
        <w:bottom w:val="none" w:sz="0" w:space="0" w:color="auto"/>
        <w:right w:val="none" w:sz="0" w:space="0" w:color="auto"/>
      </w:divBdr>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221791847">
      <w:bodyDiv w:val="1"/>
      <w:marLeft w:val="0"/>
      <w:marRight w:val="0"/>
      <w:marTop w:val="0"/>
      <w:marBottom w:val="0"/>
      <w:divBdr>
        <w:top w:val="none" w:sz="0" w:space="0" w:color="auto"/>
        <w:left w:val="none" w:sz="0" w:space="0" w:color="auto"/>
        <w:bottom w:val="none" w:sz="0" w:space="0" w:color="auto"/>
        <w:right w:val="none" w:sz="0" w:space="0" w:color="auto"/>
      </w:divBdr>
      <w:divsChild>
        <w:div w:id="1577741018">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08591736">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976138445">
      <w:bodyDiv w:val="1"/>
      <w:marLeft w:val="0"/>
      <w:marRight w:val="0"/>
      <w:marTop w:val="0"/>
      <w:marBottom w:val="0"/>
      <w:divBdr>
        <w:top w:val="none" w:sz="0" w:space="0" w:color="auto"/>
        <w:left w:val="none" w:sz="0" w:space="0" w:color="auto"/>
        <w:bottom w:val="none" w:sz="0" w:space="0" w:color="auto"/>
        <w:right w:val="none" w:sz="0" w:space="0" w:color="auto"/>
      </w:divBdr>
    </w:div>
    <w:div w:id="2037461291">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6717F3DE9D0462886E9EF8B810FE9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Nr_x002e__x0020_akti>
    <Data_x0020_e_x0020_Krijimit xmlns="0e656187-b300-4fb0-8bf4-3a50f872073c">2026-05-11T13:33:51Z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__.12.2025</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2026-05-11T00:00:00Z</Date_x0020_protokolli>
    <Titulli xmlns="0e656187-b300-4fb0-8bf4-3a50f872073c">Me objekt shfuqizimin e vendimeve "Për vleftësimin e sekuestrimit" datë 22.2.2024 të Prokurorisë së Posaçme për Korrupsionin dhe Krimin e Organizuar; nr. 159, datë 16.4.2024 të Gjykatës së Posaçme të Shkallës së Parë për Korrupsionin dhe Krimin e Organizuar; nr. 101 (87-2024-146), datë 30.5.2024 të Gjykatës së Posaçme të Apelit për Korrupsionin dhe Krimin e Organizuar; nr. 00-2024-1703, datë 17.10.2024 të Kolegjit Penal të Gjykatës së Lartë, si të papajtueshme me Kushtetutën e Republikës së Shqipërisë. Dërgimin e çështjes për rigjykim në Gjykatën e Posaçme të Shkallës së Parë për Korrupsionin dhe Krimin e Organizuar ose në alternativë në Kolegjin Penal të Gjykatës së Lartë</Titulli>
    <Modifikuesi xmlns="0e656187-b300-4fb0-8bf4-3a50f872073c">alma.lisaku</Modifikuesi>
    <Nr_x002e__x0020_prot_x0020_QBZ xmlns="0e656187-b300-4fb0-8bf4-3a50f872073c">1019/1</Nr_x002e__x0020_prot_x0020_QBZ>
    <Data_x0020_e_x0020_Modifikimit xmlns="0e656187-b300-4fb0-8bf4-3a50f872073c">2026-05-12T10:19:50Z</Data_x0020_e_x0020_Modifikimit>
    <Dekretuar xmlns="0e656187-b300-4fb0-8bf4-3a50f872073c">false</Dekretuar>
    <Data xmlns="0e656187-b300-4fb0-8bf4-3a50f872073c">2026-03-26T00:00:00Z</Data>
    <Nr_x002e__x0020_protokolli_x0020_i_x0020_aktit xmlns="0e656187-b300-4fb0-8bf4-3a50f872073c">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6717F3DE9D0462886E9EF8B810FE9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EA6EF-8311-4B97-ADB2-01CEFB6D7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F23BD23-C9CE-474E-B6A0-F406FB6652A4}">
  <ds:schemaRefs>
    <ds:schemaRef ds:uri="http://purl.org/dc/terms/"/>
    <ds:schemaRef ds:uri="0e656187-b300-4fb0-8bf4-3a50f872073c"/>
    <ds:schemaRef ds:uri="http://schemas.microsoft.com/office/2006/documentManagement/types"/>
    <ds:schemaRef ds:uri="http://purl.org/dc/dcmitype/"/>
    <ds:schemaRef ds:uri="http://schemas.microsoft.com/office/2006/metadata/propertie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92DBDD6-6C05-4110-8316-55654F355454}">
  <ds:schemaRefs>
    <ds:schemaRef ds:uri="http://schemas.microsoft.com/sharepoint/v3/contenttype/forms"/>
  </ds:schemaRefs>
</ds:datastoreItem>
</file>

<file path=customXml/itemProps4.xml><?xml version="1.0" encoding="utf-8"?>
<ds:datastoreItem xmlns:ds="http://schemas.openxmlformats.org/officeDocument/2006/customXml" ds:itemID="{F976E024-98E7-4B07-98E3-CB8B426F16E2}">
  <ds:schemaRefs>
    <ds:schemaRef ds:uri="http://schemas.microsoft.com/sharepoint/v3/contenttype/forms"/>
  </ds:schemaRefs>
</ds:datastoreItem>
</file>

<file path=customXml/itemProps5.xml><?xml version="1.0" encoding="utf-8"?>
<ds:datastoreItem xmlns:ds="http://schemas.openxmlformats.org/officeDocument/2006/customXml" ds:itemID="{2F31F1DD-A90F-4C94-9AF9-77780D521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20001C8-0CBD-494E-9C31-67DB121EF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5772</Words>
  <Characters>32905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Me objekt shfuqizimin e vendimeve "Për vleftësimin e sekuestrimit" datë 22.2.2024 të Prokurorisë së Posaçme për Korrupsionin dhe Krimin e Organizuar; nr. 159, datë 16.4.2024 të Gjykatës së Posaçme të Shkallës së Parë për Korrupsionin dhe Krimin e Organizu</vt:lpstr>
    </vt:vector>
  </TitlesOfParts>
  <Company>User</Company>
  <LinksUpToDate>false</LinksUpToDate>
  <CharactersWithSpaces>38600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"Për vleftësimin e sekuestrimit" datë 22.2.2024 të Prokurorisë së Posaçme për Korrupsionin dhe Krimin e Organizuar; nr. 159, datë 16.4.2024 të Gjykatës së Posaçme të Shkallës së Parë për Korrupsionin dhe Krimin e Organizuar; nr. 101 (87-2024-146), datë 30.5.2024 të Gjykatës së Posaçme të Apelit për Korrupsionin dhe Krimin e Organizuar; nr. 00-2024-1703, datë 17.10.2024 të Kolegjit Penal të Gjykatës së Lartë, si të papajtueshme me Kushtetutën e Republikës së Shqipërisë. Dërgimin e çështjes për rigjykim në Gjykatën e Posaçme të Shkallës së Parë për Korrupsionin dhe Krimin e Organizuar ose në alternativë në Kolegjin Penal të Gjykatës së Lartë</dc:title>
  <dc:subject>Dt. __.12.2025</dc:subject>
  <dc:creator>Drita Shkurti</dc:creator>
  <cp:keywords>Brunilda BARA</cp:keywords>
  <cp:lastModifiedBy>Amarilda Muja</cp:lastModifiedBy>
  <cp:revision>17</cp:revision>
  <cp:lastPrinted>2026-05-07T13:37:00Z</cp:lastPrinted>
  <dcterms:created xsi:type="dcterms:W3CDTF">2026-05-11T12:23:00Z</dcterms:created>
  <dcterms:modified xsi:type="dcterms:W3CDTF">2026-05-12T09:34:00Z</dcterms:modified>
  <cp:category>Penale</cp:category>
</cp:coreProperties>
</file>