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75798F" w14:textId="77777777" w:rsidR="006A122A" w:rsidRPr="000A1A30" w:rsidRDefault="006A122A" w:rsidP="006A122A">
      <w:pPr>
        <w:spacing w:after="0" w:line="240" w:lineRule="auto"/>
        <w:ind w:firstLine="284"/>
        <w:jc w:val="center"/>
        <w:rPr>
          <w:rFonts w:ascii="Garamond" w:hAnsi="Garamond" w:cs="Times New Roman"/>
          <w:b/>
          <w:bCs/>
          <w:sz w:val="24"/>
          <w:szCs w:val="24"/>
        </w:rPr>
      </w:pPr>
    </w:p>
    <w:p w14:paraId="16C551C5" w14:textId="77777777" w:rsidR="006A122A" w:rsidRPr="000A1A30" w:rsidRDefault="006A122A" w:rsidP="006A122A">
      <w:pPr>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VENDIM</w:t>
      </w:r>
    </w:p>
    <w:p w14:paraId="2ADEBED8" w14:textId="37350999" w:rsidR="006A122A" w:rsidRPr="000A1A30" w:rsidRDefault="006A122A" w:rsidP="006A122A">
      <w:pPr>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Nr.</w:t>
      </w:r>
      <w:r w:rsidR="000A1A30" w:rsidRPr="000A1A30">
        <w:rPr>
          <w:rFonts w:ascii="Garamond" w:hAnsi="Garamond" w:cs="Times New Roman"/>
          <w:b/>
          <w:bCs/>
          <w:sz w:val="24"/>
          <w:szCs w:val="24"/>
        </w:rPr>
        <w:t xml:space="preserve"> </w:t>
      </w:r>
      <w:r w:rsidRPr="000A1A30">
        <w:rPr>
          <w:rFonts w:ascii="Garamond" w:hAnsi="Garamond" w:cs="Times New Roman"/>
          <w:b/>
          <w:bCs/>
          <w:sz w:val="24"/>
          <w:szCs w:val="24"/>
        </w:rPr>
        <w:t>54, datë 30.4.2026</w:t>
      </w:r>
    </w:p>
    <w:p w14:paraId="0913A89B" w14:textId="77777777" w:rsidR="006A122A" w:rsidRPr="000A1A30" w:rsidRDefault="006A122A" w:rsidP="006A122A">
      <w:pPr>
        <w:spacing w:after="0" w:line="240" w:lineRule="auto"/>
        <w:ind w:firstLine="284"/>
        <w:jc w:val="center"/>
        <w:rPr>
          <w:rFonts w:ascii="Garamond" w:hAnsi="Garamond" w:cs="Times New Roman"/>
          <w:b/>
          <w:bCs/>
          <w:sz w:val="24"/>
          <w:szCs w:val="24"/>
        </w:rPr>
      </w:pPr>
    </w:p>
    <w:p w14:paraId="3E4C3ADD" w14:textId="625E2392" w:rsidR="006A122A" w:rsidRPr="000A1A30" w:rsidRDefault="006A122A" w:rsidP="006A122A">
      <w:pPr>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NË E</w:t>
      </w:r>
      <w:r w:rsidR="000A1A30" w:rsidRPr="000A1A30">
        <w:rPr>
          <w:rFonts w:ascii="Garamond" w:hAnsi="Garamond" w:cs="Times New Roman"/>
          <w:b/>
          <w:bCs/>
          <w:sz w:val="24"/>
          <w:szCs w:val="24"/>
        </w:rPr>
        <w:t>MËR TË REPUBLIKËS SË SHQIPËRISË</w:t>
      </w:r>
    </w:p>
    <w:p w14:paraId="0D7AF453" w14:textId="77777777" w:rsidR="006A122A" w:rsidRPr="000A1A30" w:rsidRDefault="006A122A" w:rsidP="006A122A">
      <w:pPr>
        <w:spacing w:after="0" w:line="240" w:lineRule="auto"/>
        <w:ind w:firstLine="284"/>
        <w:jc w:val="both"/>
        <w:rPr>
          <w:rFonts w:ascii="Garamond" w:hAnsi="Garamond" w:cs="Times New Roman"/>
          <w:sz w:val="24"/>
          <w:szCs w:val="24"/>
        </w:rPr>
      </w:pPr>
    </w:p>
    <w:p w14:paraId="40FBC4EE" w14:textId="77777777" w:rsidR="006A122A" w:rsidRPr="000A1A30" w:rsidRDefault="006A122A" w:rsidP="006A122A">
      <w:pPr>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276"/>
      </w:tblGrid>
      <w:tr w:rsidR="006A122A" w:rsidRPr="000A1A30" w14:paraId="12CA6CA6" w14:textId="77777777" w:rsidTr="006A122A">
        <w:tc>
          <w:tcPr>
            <w:tcW w:w="2263" w:type="dxa"/>
          </w:tcPr>
          <w:p w14:paraId="09F38608" w14:textId="74B674AE" w:rsidR="006A122A" w:rsidRPr="000A1A30" w:rsidRDefault="006A122A" w:rsidP="0065501C">
            <w:pPr>
              <w:jc w:val="both"/>
              <w:rPr>
                <w:rFonts w:ascii="Garamond" w:hAnsi="Garamond" w:cs="Times New Roman"/>
                <w:sz w:val="24"/>
                <w:szCs w:val="24"/>
              </w:rPr>
            </w:pPr>
            <w:proofErr w:type="spellStart"/>
            <w:r w:rsidRPr="000A1A30">
              <w:rPr>
                <w:rFonts w:ascii="Garamond" w:hAnsi="Garamond" w:cs="Times New Roman"/>
                <w:sz w:val="24"/>
                <w:szCs w:val="24"/>
              </w:rPr>
              <w:t>Fiona</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Papajorgji</w:t>
            </w:r>
            <w:proofErr w:type="spellEnd"/>
            <w:r w:rsidR="000A1A30">
              <w:rPr>
                <w:rFonts w:ascii="Garamond" w:hAnsi="Garamond" w:cs="Times New Roman"/>
                <w:sz w:val="24"/>
                <w:szCs w:val="24"/>
              </w:rPr>
              <w:t>,</w:t>
            </w:r>
          </w:p>
        </w:tc>
        <w:tc>
          <w:tcPr>
            <w:tcW w:w="1276" w:type="dxa"/>
          </w:tcPr>
          <w:p w14:paraId="5E69901C" w14:textId="0ABA84C1" w:rsidR="006A122A" w:rsidRPr="000A1A30" w:rsidRDefault="000A1A30" w:rsidP="0065501C">
            <w:pPr>
              <w:jc w:val="both"/>
              <w:rPr>
                <w:rFonts w:ascii="Garamond" w:hAnsi="Garamond" w:cs="Times New Roman"/>
                <w:sz w:val="24"/>
                <w:szCs w:val="24"/>
              </w:rPr>
            </w:pPr>
            <w:r w:rsidRPr="000A1A30">
              <w:rPr>
                <w:rFonts w:ascii="Garamond" w:hAnsi="Garamond" w:cs="Times New Roman"/>
                <w:sz w:val="24"/>
                <w:szCs w:val="24"/>
              </w:rPr>
              <w:t>kryetare</w:t>
            </w:r>
            <w:r>
              <w:rPr>
                <w:rFonts w:ascii="Garamond" w:hAnsi="Garamond" w:cs="Times New Roman"/>
                <w:sz w:val="24"/>
                <w:szCs w:val="24"/>
              </w:rPr>
              <w:t>;</w:t>
            </w:r>
          </w:p>
        </w:tc>
      </w:tr>
      <w:tr w:rsidR="006A122A" w:rsidRPr="000A1A30" w14:paraId="22A9ECC0" w14:textId="77777777" w:rsidTr="006A122A">
        <w:tc>
          <w:tcPr>
            <w:tcW w:w="2263" w:type="dxa"/>
          </w:tcPr>
          <w:p w14:paraId="7AB6D40C" w14:textId="16A71ACB" w:rsidR="006A122A" w:rsidRPr="000A1A30" w:rsidRDefault="006A122A" w:rsidP="0065501C">
            <w:pPr>
              <w:jc w:val="both"/>
              <w:rPr>
                <w:rFonts w:ascii="Garamond" w:hAnsi="Garamond" w:cs="Times New Roman"/>
                <w:sz w:val="24"/>
                <w:szCs w:val="24"/>
              </w:rPr>
            </w:pPr>
            <w:proofErr w:type="spellStart"/>
            <w:r w:rsidRPr="000A1A30">
              <w:rPr>
                <w:rFonts w:ascii="Garamond" w:hAnsi="Garamond" w:cs="Times New Roman"/>
                <w:sz w:val="24"/>
                <w:szCs w:val="24"/>
              </w:rPr>
              <w:t>Marsida</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Xhaferllari</w:t>
            </w:r>
            <w:proofErr w:type="spellEnd"/>
            <w:r w:rsidR="000A1A30">
              <w:rPr>
                <w:rFonts w:ascii="Garamond" w:hAnsi="Garamond" w:cs="Times New Roman"/>
                <w:sz w:val="24"/>
                <w:szCs w:val="24"/>
              </w:rPr>
              <w:t>,</w:t>
            </w:r>
          </w:p>
        </w:tc>
        <w:tc>
          <w:tcPr>
            <w:tcW w:w="1276" w:type="dxa"/>
          </w:tcPr>
          <w:p w14:paraId="52F1D5F5" w14:textId="520ED591" w:rsidR="006A122A" w:rsidRPr="000A1A30" w:rsidRDefault="000A1A30" w:rsidP="0065501C">
            <w:pPr>
              <w:jc w:val="both"/>
              <w:rPr>
                <w:rFonts w:ascii="Garamond" w:hAnsi="Garamond" w:cs="Times New Roman"/>
                <w:sz w:val="24"/>
                <w:szCs w:val="24"/>
              </w:rPr>
            </w:pPr>
            <w:r w:rsidRPr="000A1A30">
              <w:rPr>
                <w:rFonts w:ascii="Garamond" w:hAnsi="Garamond" w:cs="Times New Roman"/>
                <w:sz w:val="24"/>
                <w:szCs w:val="24"/>
              </w:rPr>
              <w:t>anëtare</w:t>
            </w:r>
            <w:r>
              <w:rPr>
                <w:rFonts w:ascii="Garamond" w:hAnsi="Garamond" w:cs="Times New Roman"/>
                <w:sz w:val="24"/>
                <w:szCs w:val="24"/>
              </w:rPr>
              <w:t>;</w:t>
            </w:r>
          </w:p>
        </w:tc>
      </w:tr>
      <w:tr w:rsidR="006A122A" w:rsidRPr="000A1A30" w14:paraId="5D32671B" w14:textId="77777777" w:rsidTr="006A122A">
        <w:tc>
          <w:tcPr>
            <w:tcW w:w="2263" w:type="dxa"/>
          </w:tcPr>
          <w:p w14:paraId="6BEC45EF" w14:textId="23BBA0A9" w:rsidR="006A122A" w:rsidRPr="000A1A30" w:rsidRDefault="006A122A" w:rsidP="0065501C">
            <w:pPr>
              <w:jc w:val="both"/>
              <w:rPr>
                <w:rFonts w:ascii="Garamond" w:hAnsi="Garamond" w:cs="Times New Roman"/>
                <w:sz w:val="24"/>
                <w:szCs w:val="24"/>
              </w:rPr>
            </w:pPr>
            <w:proofErr w:type="spellStart"/>
            <w:r w:rsidRPr="000A1A30">
              <w:rPr>
                <w:rFonts w:ascii="Garamond" w:hAnsi="Garamond" w:cs="Times New Roman"/>
                <w:sz w:val="24"/>
                <w:szCs w:val="24"/>
              </w:rPr>
              <w:t>Sonila</w:t>
            </w:r>
            <w:proofErr w:type="spellEnd"/>
            <w:r w:rsidRPr="000A1A30">
              <w:rPr>
                <w:rFonts w:ascii="Garamond" w:hAnsi="Garamond" w:cs="Times New Roman"/>
                <w:sz w:val="24"/>
                <w:szCs w:val="24"/>
              </w:rPr>
              <w:t xml:space="preserve"> Bejtja</w:t>
            </w:r>
            <w:r w:rsidR="000A1A30">
              <w:rPr>
                <w:rFonts w:ascii="Garamond" w:hAnsi="Garamond" w:cs="Times New Roman"/>
                <w:sz w:val="24"/>
                <w:szCs w:val="24"/>
              </w:rPr>
              <w:t>,</w:t>
            </w:r>
          </w:p>
        </w:tc>
        <w:tc>
          <w:tcPr>
            <w:tcW w:w="1276" w:type="dxa"/>
          </w:tcPr>
          <w:p w14:paraId="6243C6E7" w14:textId="139D3EB9" w:rsidR="006A122A" w:rsidRPr="000A1A30" w:rsidRDefault="000A1A30" w:rsidP="0065501C">
            <w:pPr>
              <w:jc w:val="both"/>
              <w:rPr>
                <w:rFonts w:ascii="Garamond" w:hAnsi="Garamond" w:cs="Times New Roman"/>
                <w:sz w:val="24"/>
                <w:szCs w:val="24"/>
              </w:rPr>
            </w:pPr>
            <w:r w:rsidRPr="000A1A30">
              <w:rPr>
                <w:rFonts w:ascii="Garamond" w:hAnsi="Garamond" w:cs="Times New Roman"/>
                <w:sz w:val="24"/>
                <w:szCs w:val="24"/>
              </w:rPr>
              <w:t>anëtare</w:t>
            </w:r>
            <w:r>
              <w:rPr>
                <w:rFonts w:ascii="Garamond" w:hAnsi="Garamond" w:cs="Times New Roman"/>
                <w:sz w:val="24"/>
                <w:szCs w:val="24"/>
              </w:rPr>
              <w:t>;</w:t>
            </w:r>
          </w:p>
        </w:tc>
      </w:tr>
      <w:tr w:rsidR="006A122A" w:rsidRPr="000A1A30" w14:paraId="39EC6C1D" w14:textId="77777777" w:rsidTr="006A122A">
        <w:tc>
          <w:tcPr>
            <w:tcW w:w="2263" w:type="dxa"/>
          </w:tcPr>
          <w:p w14:paraId="71AA52D1" w14:textId="700F2EBC" w:rsidR="006A122A" w:rsidRPr="000A1A30" w:rsidRDefault="006A122A" w:rsidP="0065501C">
            <w:pPr>
              <w:jc w:val="both"/>
              <w:rPr>
                <w:rFonts w:ascii="Garamond" w:hAnsi="Garamond" w:cs="Times New Roman"/>
                <w:sz w:val="24"/>
                <w:szCs w:val="24"/>
              </w:rPr>
            </w:pPr>
            <w:proofErr w:type="spellStart"/>
            <w:r w:rsidRPr="000A1A30">
              <w:rPr>
                <w:rFonts w:ascii="Garamond" w:hAnsi="Garamond" w:cs="Times New Roman"/>
                <w:sz w:val="24"/>
                <w:szCs w:val="24"/>
              </w:rPr>
              <w:t>Sandër</w:t>
            </w:r>
            <w:proofErr w:type="spellEnd"/>
            <w:r w:rsidRPr="000A1A30">
              <w:rPr>
                <w:rFonts w:ascii="Garamond" w:hAnsi="Garamond" w:cs="Times New Roman"/>
                <w:sz w:val="24"/>
                <w:szCs w:val="24"/>
              </w:rPr>
              <w:t xml:space="preserve"> Beci</w:t>
            </w:r>
            <w:r w:rsidR="000A1A30">
              <w:rPr>
                <w:rFonts w:ascii="Garamond" w:hAnsi="Garamond" w:cs="Times New Roman"/>
                <w:sz w:val="24"/>
                <w:szCs w:val="24"/>
              </w:rPr>
              <w:t>,</w:t>
            </w:r>
          </w:p>
        </w:tc>
        <w:tc>
          <w:tcPr>
            <w:tcW w:w="1276" w:type="dxa"/>
          </w:tcPr>
          <w:p w14:paraId="2E381E3A" w14:textId="7E97C53C" w:rsidR="006A122A" w:rsidRPr="000A1A30" w:rsidRDefault="000A1A30" w:rsidP="0065501C">
            <w:pPr>
              <w:jc w:val="both"/>
              <w:rPr>
                <w:rFonts w:ascii="Garamond" w:hAnsi="Garamond" w:cs="Times New Roman"/>
                <w:sz w:val="24"/>
                <w:szCs w:val="24"/>
              </w:rPr>
            </w:pPr>
            <w:r w:rsidRPr="000A1A30">
              <w:rPr>
                <w:rFonts w:ascii="Garamond" w:hAnsi="Garamond" w:cs="Times New Roman"/>
                <w:sz w:val="24"/>
                <w:szCs w:val="24"/>
              </w:rPr>
              <w:t>anëtar</w:t>
            </w:r>
            <w:r>
              <w:rPr>
                <w:rFonts w:ascii="Garamond" w:hAnsi="Garamond" w:cs="Times New Roman"/>
                <w:sz w:val="24"/>
                <w:szCs w:val="24"/>
              </w:rPr>
              <w:t>;</w:t>
            </w:r>
          </w:p>
        </w:tc>
      </w:tr>
      <w:tr w:rsidR="006A122A" w:rsidRPr="000A1A30" w14:paraId="58F86B2C" w14:textId="77777777" w:rsidTr="006A122A">
        <w:tc>
          <w:tcPr>
            <w:tcW w:w="2263" w:type="dxa"/>
          </w:tcPr>
          <w:p w14:paraId="3DFC7498" w14:textId="77777777" w:rsidR="006A122A" w:rsidRPr="000A1A30" w:rsidRDefault="006A122A" w:rsidP="0065501C">
            <w:pPr>
              <w:jc w:val="both"/>
              <w:rPr>
                <w:rFonts w:ascii="Garamond" w:hAnsi="Garamond" w:cs="Times New Roman"/>
                <w:sz w:val="24"/>
                <w:szCs w:val="24"/>
              </w:rPr>
            </w:pPr>
            <w:r w:rsidRPr="000A1A30">
              <w:rPr>
                <w:rFonts w:ascii="Garamond" w:hAnsi="Garamond" w:cs="Times New Roman"/>
                <w:sz w:val="24"/>
                <w:szCs w:val="24"/>
              </w:rPr>
              <w:t>Ilir Toska</w:t>
            </w:r>
          </w:p>
        </w:tc>
        <w:tc>
          <w:tcPr>
            <w:tcW w:w="1276" w:type="dxa"/>
          </w:tcPr>
          <w:p w14:paraId="1911BFD1" w14:textId="1121FDBC" w:rsidR="006A122A" w:rsidRPr="000A1A30" w:rsidRDefault="000A1A30" w:rsidP="0065501C">
            <w:pPr>
              <w:jc w:val="both"/>
              <w:rPr>
                <w:rFonts w:ascii="Garamond" w:hAnsi="Garamond" w:cs="Times New Roman"/>
                <w:sz w:val="24"/>
                <w:szCs w:val="24"/>
              </w:rPr>
            </w:pPr>
            <w:r>
              <w:rPr>
                <w:rFonts w:ascii="Garamond" w:hAnsi="Garamond" w:cs="Times New Roman"/>
                <w:sz w:val="24"/>
                <w:szCs w:val="24"/>
              </w:rPr>
              <w:t xml:space="preserve"> </w:t>
            </w:r>
            <w:r w:rsidRPr="000A1A30">
              <w:rPr>
                <w:rFonts w:ascii="Garamond" w:hAnsi="Garamond" w:cs="Times New Roman"/>
                <w:sz w:val="24"/>
                <w:szCs w:val="24"/>
              </w:rPr>
              <w:t>anëtar</w:t>
            </w:r>
            <w:r>
              <w:rPr>
                <w:rFonts w:ascii="Garamond" w:hAnsi="Garamond" w:cs="Times New Roman"/>
                <w:sz w:val="24"/>
                <w:szCs w:val="24"/>
              </w:rPr>
              <w:t>;</w:t>
            </w:r>
          </w:p>
        </w:tc>
      </w:tr>
      <w:tr w:rsidR="006A122A" w:rsidRPr="000A1A30" w14:paraId="7F84551C" w14:textId="77777777" w:rsidTr="006A122A">
        <w:tc>
          <w:tcPr>
            <w:tcW w:w="2263" w:type="dxa"/>
          </w:tcPr>
          <w:p w14:paraId="4D34644E" w14:textId="1180DD1C" w:rsidR="006A122A" w:rsidRPr="000A1A30" w:rsidRDefault="006A122A" w:rsidP="0065501C">
            <w:pPr>
              <w:jc w:val="both"/>
              <w:rPr>
                <w:rFonts w:ascii="Garamond" w:hAnsi="Garamond" w:cs="Times New Roman"/>
                <w:sz w:val="24"/>
                <w:szCs w:val="24"/>
              </w:rPr>
            </w:pPr>
            <w:r w:rsidRPr="000A1A30">
              <w:rPr>
                <w:rFonts w:ascii="Garamond" w:hAnsi="Garamond" w:cs="Times New Roman"/>
                <w:sz w:val="24"/>
                <w:szCs w:val="24"/>
              </w:rPr>
              <w:t>Genti Ibrahimi</w:t>
            </w:r>
            <w:r w:rsidR="000A1A30">
              <w:rPr>
                <w:rFonts w:ascii="Garamond" w:hAnsi="Garamond" w:cs="Times New Roman"/>
                <w:sz w:val="24"/>
                <w:szCs w:val="24"/>
              </w:rPr>
              <w:t>,</w:t>
            </w:r>
          </w:p>
        </w:tc>
        <w:tc>
          <w:tcPr>
            <w:tcW w:w="1276" w:type="dxa"/>
          </w:tcPr>
          <w:p w14:paraId="6DF8DEB2" w14:textId="02826A25" w:rsidR="006A122A" w:rsidRPr="000A1A30" w:rsidRDefault="000A1A30" w:rsidP="0065501C">
            <w:pPr>
              <w:jc w:val="both"/>
              <w:rPr>
                <w:rFonts w:ascii="Garamond" w:hAnsi="Garamond" w:cs="Times New Roman"/>
                <w:sz w:val="24"/>
                <w:szCs w:val="24"/>
              </w:rPr>
            </w:pPr>
            <w:r w:rsidRPr="000A1A30">
              <w:rPr>
                <w:rFonts w:ascii="Garamond" w:hAnsi="Garamond" w:cs="Times New Roman"/>
                <w:sz w:val="24"/>
                <w:szCs w:val="24"/>
              </w:rPr>
              <w:t>anëtar</w:t>
            </w:r>
            <w:r>
              <w:rPr>
                <w:rFonts w:ascii="Garamond" w:hAnsi="Garamond" w:cs="Times New Roman"/>
                <w:sz w:val="24"/>
                <w:szCs w:val="24"/>
              </w:rPr>
              <w:t>;</w:t>
            </w:r>
          </w:p>
        </w:tc>
      </w:tr>
      <w:tr w:rsidR="006A122A" w:rsidRPr="000A1A30" w14:paraId="3AB4F9C8" w14:textId="77777777" w:rsidTr="006A122A">
        <w:tc>
          <w:tcPr>
            <w:tcW w:w="2263" w:type="dxa"/>
          </w:tcPr>
          <w:p w14:paraId="12C21C85" w14:textId="17AF2390" w:rsidR="006A122A" w:rsidRPr="000A1A30" w:rsidRDefault="006A122A" w:rsidP="0065501C">
            <w:pPr>
              <w:jc w:val="both"/>
              <w:rPr>
                <w:rFonts w:ascii="Garamond" w:hAnsi="Garamond" w:cs="Times New Roman"/>
                <w:sz w:val="24"/>
                <w:szCs w:val="24"/>
              </w:rPr>
            </w:pPr>
            <w:proofErr w:type="spellStart"/>
            <w:r w:rsidRPr="000A1A30">
              <w:rPr>
                <w:rFonts w:ascii="Garamond" w:hAnsi="Garamond" w:cs="Times New Roman"/>
                <w:sz w:val="24"/>
                <w:szCs w:val="24"/>
              </w:rPr>
              <w:t>Marjana</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Semini</w:t>
            </w:r>
            <w:proofErr w:type="spellEnd"/>
            <w:r w:rsidR="000A1A30">
              <w:rPr>
                <w:rFonts w:ascii="Garamond" w:hAnsi="Garamond" w:cs="Times New Roman"/>
                <w:sz w:val="24"/>
                <w:szCs w:val="24"/>
              </w:rPr>
              <w:t>,</w:t>
            </w:r>
          </w:p>
        </w:tc>
        <w:tc>
          <w:tcPr>
            <w:tcW w:w="1276" w:type="dxa"/>
          </w:tcPr>
          <w:p w14:paraId="3BCCCBD8" w14:textId="5A1BB9DF" w:rsidR="006A122A" w:rsidRPr="000A1A30" w:rsidRDefault="000A1A30" w:rsidP="0065501C">
            <w:pPr>
              <w:jc w:val="both"/>
              <w:rPr>
                <w:rFonts w:ascii="Garamond" w:hAnsi="Garamond" w:cs="Times New Roman"/>
                <w:sz w:val="24"/>
                <w:szCs w:val="24"/>
              </w:rPr>
            </w:pPr>
            <w:r w:rsidRPr="000A1A30">
              <w:rPr>
                <w:rFonts w:ascii="Garamond" w:hAnsi="Garamond" w:cs="Times New Roman"/>
                <w:sz w:val="24"/>
                <w:szCs w:val="24"/>
              </w:rPr>
              <w:t>anëtare</w:t>
            </w:r>
            <w:r>
              <w:rPr>
                <w:rFonts w:ascii="Garamond" w:hAnsi="Garamond" w:cs="Times New Roman"/>
                <w:sz w:val="24"/>
                <w:szCs w:val="24"/>
              </w:rPr>
              <w:t>,</w:t>
            </w:r>
          </w:p>
        </w:tc>
      </w:tr>
    </w:tbl>
    <w:p w14:paraId="662BBD8E" w14:textId="7BBE76D4" w:rsidR="006A122A" w:rsidRPr="000A1A30" w:rsidRDefault="006A122A" w:rsidP="006A122A">
      <w:pPr>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me sekretar</w:t>
      </w:r>
      <w:r w:rsidR="000A1A30">
        <w:rPr>
          <w:rFonts w:ascii="Garamond" w:hAnsi="Garamond" w:cs="Times New Roman"/>
          <w:sz w:val="24"/>
          <w:szCs w:val="24"/>
        </w:rPr>
        <w:t xml:space="preserve">e </w:t>
      </w:r>
      <w:proofErr w:type="spellStart"/>
      <w:r w:rsidR="000A1A30">
        <w:rPr>
          <w:rFonts w:ascii="Garamond" w:hAnsi="Garamond" w:cs="Times New Roman"/>
          <w:sz w:val="24"/>
          <w:szCs w:val="24"/>
        </w:rPr>
        <w:t>Farisja</w:t>
      </w:r>
      <w:proofErr w:type="spellEnd"/>
      <w:r w:rsidR="000A1A30">
        <w:rPr>
          <w:rFonts w:ascii="Garamond" w:hAnsi="Garamond" w:cs="Times New Roman"/>
          <w:sz w:val="24"/>
          <w:szCs w:val="24"/>
        </w:rPr>
        <w:t xml:space="preserve"> </w:t>
      </w:r>
      <w:proofErr w:type="spellStart"/>
      <w:r w:rsidR="000A1A30">
        <w:rPr>
          <w:rFonts w:ascii="Garamond" w:hAnsi="Garamond" w:cs="Times New Roman"/>
          <w:sz w:val="24"/>
          <w:szCs w:val="24"/>
        </w:rPr>
        <w:t>Idrizaj</w:t>
      </w:r>
      <w:proofErr w:type="spellEnd"/>
      <w:r w:rsidR="000A1A30">
        <w:rPr>
          <w:rFonts w:ascii="Garamond" w:hAnsi="Garamond" w:cs="Times New Roman"/>
          <w:sz w:val="24"/>
          <w:szCs w:val="24"/>
        </w:rPr>
        <w:t>, në datën 30.</w:t>
      </w:r>
      <w:r w:rsidRPr="000A1A30">
        <w:rPr>
          <w:rFonts w:ascii="Garamond" w:hAnsi="Garamond" w:cs="Times New Roman"/>
          <w:sz w:val="24"/>
          <w:szCs w:val="24"/>
        </w:rPr>
        <w:t>4.2026</w:t>
      </w:r>
      <w:r w:rsidR="000A1A30">
        <w:rPr>
          <w:rFonts w:ascii="Garamond" w:hAnsi="Garamond" w:cs="Times New Roman"/>
          <w:sz w:val="24"/>
          <w:szCs w:val="24"/>
        </w:rPr>
        <w:t>,</w:t>
      </w:r>
      <w:r w:rsidRPr="000A1A30">
        <w:rPr>
          <w:rFonts w:ascii="Garamond" w:hAnsi="Garamond" w:cs="Times New Roman"/>
          <w:sz w:val="24"/>
          <w:szCs w:val="24"/>
        </w:rPr>
        <w:t xml:space="preserve"> mori në shqyrtim në seancë plenare mbi bazë të dokumenteve çështjen nr. 38 (A) 2025 të Regjistrit Themeltar</w:t>
      </w:r>
      <w:r w:rsidRPr="000A1A30">
        <w:rPr>
          <w:rFonts w:ascii="Garamond" w:hAnsi="Garamond" w:cs="Times New Roman"/>
          <w:b/>
          <w:bCs/>
          <w:sz w:val="24"/>
          <w:szCs w:val="24"/>
        </w:rPr>
        <w:t xml:space="preserve"> </w:t>
      </w:r>
      <w:r w:rsidRPr="000A1A30">
        <w:rPr>
          <w:rFonts w:ascii="Garamond" w:hAnsi="Garamond" w:cs="Times New Roman"/>
          <w:sz w:val="24"/>
          <w:szCs w:val="24"/>
        </w:rPr>
        <w:t>që u përket:</w:t>
      </w:r>
    </w:p>
    <w:p w14:paraId="10B921B3" w14:textId="506489DC" w:rsidR="006A122A" w:rsidRPr="000A1A30" w:rsidRDefault="006A122A" w:rsidP="006A122A">
      <w:pPr>
        <w:spacing w:after="0" w:line="240" w:lineRule="auto"/>
        <w:ind w:firstLine="284"/>
        <w:jc w:val="both"/>
        <w:rPr>
          <w:rFonts w:ascii="Garamond" w:hAnsi="Garamond" w:cs="Times New Roman"/>
          <w:bCs/>
          <w:sz w:val="24"/>
          <w:szCs w:val="24"/>
        </w:rPr>
      </w:pPr>
      <w:r w:rsidRPr="000A1A30">
        <w:rPr>
          <w:rFonts w:ascii="Garamond" w:hAnsi="Garamond" w:cs="Times New Roman"/>
          <w:bCs/>
          <w:sz w:val="24"/>
          <w:szCs w:val="24"/>
        </w:rPr>
        <w:t>KËRKUES:</w:t>
      </w:r>
      <w:r w:rsidR="00170EF7">
        <w:rPr>
          <w:rFonts w:ascii="Garamond" w:hAnsi="Garamond" w:cs="Times New Roman"/>
          <w:bCs/>
          <w:sz w:val="24"/>
          <w:szCs w:val="24"/>
        </w:rPr>
        <w:t xml:space="preserve"> </w:t>
      </w:r>
      <w:r w:rsidR="000A1A30" w:rsidRPr="000A1A30">
        <w:rPr>
          <w:rFonts w:ascii="Garamond" w:hAnsi="Garamond" w:cs="Times New Roman"/>
          <w:bCs/>
          <w:sz w:val="24"/>
          <w:szCs w:val="24"/>
        </w:rPr>
        <w:t xml:space="preserve">Arben </w:t>
      </w:r>
      <w:proofErr w:type="spellStart"/>
      <w:r w:rsidR="000A1A30" w:rsidRPr="000A1A30">
        <w:rPr>
          <w:rFonts w:ascii="Garamond" w:hAnsi="Garamond" w:cs="Times New Roman"/>
          <w:bCs/>
          <w:sz w:val="24"/>
          <w:szCs w:val="24"/>
        </w:rPr>
        <w:t>Braçe</w:t>
      </w:r>
      <w:proofErr w:type="spellEnd"/>
    </w:p>
    <w:p w14:paraId="364FDB9A" w14:textId="384AA426" w:rsidR="006A122A" w:rsidRPr="000A1A30" w:rsidRDefault="006A122A" w:rsidP="000A1A30">
      <w:pPr>
        <w:tabs>
          <w:tab w:val="left" w:pos="1080"/>
        </w:tabs>
        <w:spacing w:after="0" w:line="240" w:lineRule="auto"/>
        <w:ind w:firstLine="284"/>
        <w:jc w:val="both"/>
        <w:rPr>
          <w:rFonts w:ascii="Garamond" w:hAnsi="Garamond" w:cs="Times New Roman"/>
          <w:bCs/>
          <w:sz w:val="24"/>
          <w:szCs w:val="24"/>
        </w:rPr>
      </w:pPr>
      <w:r w:rsidRPr="000A1A30">
        <w:rPr>
          <w:rFonts w:ascii="Garamond" w:hAnsi="Garamond" w:cs="Times New Roman"/>
          <w:bCs/>
          <w:sz w:val="24"/>
          <w:szCs w:val="24"/>
        </w:rPr>
        <w:t>SUBJEKTE TË INTERESUARA:</w:t>
      </w:r>
      <w:r w:rsidR="000A1A30">
        <w:rPr>
          <w:rFonts w:ascii="Garamond" w:hAnsi="Garamond" w:cs="Times New Roman"/>
          <w:bCs/>
          <w:sz w:val="24"/>
          <w:szCs w:val="24"/>
        </w:rPr>
        <w:t xml:space="preserve"> </w:t>
      </w:r>
      <w:r w:rsidR="000A1A30" w:rsidRPr="000A1A30">
        <w:rPr>
          <w:rFonts w:ascii="Garamond" w:hAnsi="Garamond" w:cs="Times New Roman"/>
          <w:bCs/>
          <w:sz w:val="24"/>
          <w:szCs w:val="24"/>
        </w:rPr>
        <w:t>Ministria e</w:t>
      </w:r>
      <w:r w:rsidRPr="000A1A30">
        <w:rPr>
          <w:rFonts w:ascii="Garamond" w:hAnsi="Garamond" w:cs="Times New Roman"/>
          <w:bCs/>
          <w:sz w:val="24"/>
          <w:szCs w:val="24"/>
        </w:rPr>
        <w:t xml:space="preserve"> </w:t>
      </w:r>
      <w:r w:rsidR="000A1A30" w:rsidRPr="000A1A30">
        <w:rPr>
          <w:rFonts w:ascii="Garamond" w:hAnsi="Garamond" w:cs="Times New Roman"/>
          <w:bCs/>
          <w:sz w:val="24"/>
          <w:szCs w:val="24"/>
        </w:rPr>
        <w:t>Drejtësisë</w:t>
      </w:r>
      <w:r w:rsidRPr="000A1A30">
        <w:rPr>
          <w:rFonts w:ascii="Garamond" w:hAnsi="Garamond" w:cs="Times New Roman"/>
          <w:sz w:val="24"/>
          <w:szCs w:val="24"/>
        </w:rPr>
        <w:t xml:space="preserve">, përfaqësuar nga </w:t>
      </w:r>
      <w:proofErr w:type="spellStart"/>
      <w:r w:rsidRPr="000A1A30">
        <w:rPr>
          <w:rFonts w:ascii="Garamond" w:hAnsi="Garamond" w:cs="Times New Roman"/>
          <w:sz w:val="24"/>
          <w:szCs w:val="24"/>
        </w:rPr>
        <w:t>Xhelal</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Kasaj</w:t>
      </w:r>
      <w:proofErr w:type="spellEnd"/>
      <w:r w:rsidRPr="000A1A30">
        <w:rPr>
          <w:rFonts w:ascii="Garamond" w:hAnsi="Garamond" w:cs="Times New Roman"/>
          <w:sz w:val="24"/>
          <w:szCs w:val="24"/>
        </w:rPr>
        <w:t xml:space="preserve"> dhe </w:t>
      </w:r>
      <w:proofErr w:type="spellStart"/>
      <w:r w:rsidRPr="000A1A30">
        <w:rPr>
          <w:rFonts w:ascii="Garamond" w:hAnsi="Garamond" w:cs="Times New Roman"/>
          <w:sz w:val="24"/>
          <w:szCs w:val="24"/>
        </w:rPr>
        <w:t>Ornela</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Marku</w:t>
      </w:r>
      <w:proofErr w:type="spellEnd"/>
      <w:r w:rsidRPr="000A1A30">
        <w:rPr>
          <w:rFonts w:ascii="Garamond" w:hAnsi="Garamond" w:cs="Times New Roman"/>
          <w:sz w:val="24"/>
          <w:szCs w:val="24"/>
        </w:rPr>
        <w:t>, me autorizim.</w:t>
      </w:r>
    </w:p>
    <w:p w14:paraId="30A86149" w14:textId="1D5F09D6" w:rsidR="006A122A" w:rsidRPr="000A1A30" w:rsidRDefault="006A122A" w:rsidP="006A122A">
      <w:pPr>
        <w:spacing w:after="0" w:line="240" w:lineRule="auto"/>
        <w:ind w:firstLine="284"/>
        <w:jc w:val="both"/>
        <w:rPr>
          <w:rFonts w:ascii="Garamond" w:hAnsi="Garamond" w:cs="Times New Roman"/>
          <w:bCs/>
          <w:caps/>
          <w:sz w:val="24"/>
          <w:szCs w:val="24"/>
        </w:rPr>
      </w:pPr>
      <w:r w:rsidRPr="000A1A30">
        <w:rPr>
          <w:rFonts w:ascii="Garamond" w:hAnsi="Garamond"/>
          <w:bCs/>
          <w:sz w:val="24"/>
          <w:szCs w:val="24"/>
        </w:rPr>
        <w:t xml:space="preserve"> </w:t>
      </w:r>
      <w:r w:rsidR="000A1A30" w:rsidRPr="000A1A30">
        <w:rPr>
          <w:rFonts w:ascii="Garamond" w:hAnsi="Garamond" w:cs="Times New Roman"/>
          <w:bCs/>
          <w:sz w:val="24"/>
          <w:szCs w:val="24"/>
        </w:rPr>
        <w:t>Departamenti i</w:t>
      </w:r>
      <w:r w:rsidRPr="000A1A30">
        <w:rPr>
          <w:rFonts w:ascii="Garamond" w:hAnsi="Garamond" w:cs="Times New Roman"/>
          <w:bCs/>
          <w:sz w:val="24"/>
          <w:szCs w:val="24"/>
        </w:rPr>
        <w:t xml:space="preserve"> </w:t>
      </w:r>
      <w:r w:rsidR="000A1A30" w:rsidRPr="000A1A30">
        <w:rPr>
          <w:rFonts w:ascii="Garamond" w:hAnsi="Garamond" w:cs="Times New Roman"/>
          <w:bCs/>
          <w:sz w:val="24"/>
          <w:szCs w:val="24"/>
        </w:rPr>
        <w:t>Administratës Publike</w:t>
      </w:r>
      <w:r w:rsidRPr="000A1A30">
        <w:rPr>
          <w:rFonts w:ascii="Garamond" w:hAnsi="Garamond" w:cs="Times New Roman"/>
          <w:bCs/>
          <w:sz w:val="24"/>
          <w:szCs w:val="24"/>
        </w:rPr>
        <w:t xml:space="preserve">, </w:t>
      </w:r>
      <w:r w:rsidRPr="000A1A30">
        <w:rPr>
          <w:rFonts w:ascii="Garamond" w:hAnsi="Garamond" w:cs="Times New Roman"/>
          <w:sz w:val="24"/>
          <w:szCs w:val="24"/>
        </w:rPr>
        <w:t>përfaqësuar nga drejtoresha e departamentit Vilma Guri.</w:t>
      </w:r>
      <w:r w:rsidRPr="000A1A30">
        <w:rPr>
          <w:rFonts w:ascii="Garamond" w:hAnsi="Garamond"/>
          <w:bCs/>
          <w:sz w:val="24"/>
          <w:szCs w:val="24"/>
        </w:rPr>
        <w:t xml:space="preserve"> </w:t>
      </w:r>
    </w:p>
    <w:p w14:paraId="46A90C27" w14:textId="20B04B9C" w:rsidR="006A122A" w:rsidRPr="000A1A30" w:rsidRDefault="006A122A" w:rsidP="006A122A">
      <w:pPr>
        <w:spacing w:after="0" w:line="240" w:lineRule="auto"/>
        <w:ind w:firstLine="284"/>
        <w:jc w:val="both"/>
        <w:rPr>
          <w:rFonts w:ascii="Garamond" w:hAnsi="Garamond" w:cs="Times New Roman"/>
          <w:bCs/>
          <w:sz w:val="24"/>
          <w:szCs w:val="24"/>
        </w:rPr>
      </w:pPr>
      <w:r w:rsidRPr="000A1A30">
        <w:rPr>
          <w:rFonts w:ascii="Garamond" w:hAnsi="Garamond" w:cs="Times New Roman"/>
          <w:bCs/>
          <w:sz w:val="24"/>
          <w:szCs w:val="24"/>
        </w:rPr>
        <w:t>OBJEKTI: Shfuqizimi i vendim</w:t>
      </w:r>
      <w:r w:rsidR="000A1A30">
        <w:rPr>
          <w:rFonts w:ascii="Garamond" w:hAnsi="Garamond" w:cs="Times New Roman"/>
          <w:bCs/>
          <w:sz w:val="24"/>
          <w:szCs w:val="24"/>
        </w:rPr>
        <w:t>it nr. 00-2025-826 (100), datë 6.</w:t>
      </w:r>
      <w:r w:rsidRPr="000A1A30">
        <w:rPr>
          <w:rFonts w:ascii="Garamond" w:hAnsi="Garamond" w:cs="Times New Roman"/>
          <w:bCs/>
          <w:sz w:val="24"/>
          <w:szCs w:val="24"/>
        </w:rPr>
        <w:t>3.2025</w:t>
      </w:r>
      <w:r w:rsidR="000A1A30">
        <w:rPr>
          <w:rFonts w:ascii="Garamond" w:hAnsi="Garamond" w:cs="Times New Roman"/>
          <w:bCs/>
          <w:sz w:val="24"/>
          <w:szCs w:val="24"/>
        </w:rPr>
        <w:t>,</w:t>
      </w:r>
      <w:r w:rsidRPr="000A1A30">
        <w:rPr>
          <w:rFonts w:ascii="Garamond" w:hAnsi="Garamond" w:cs="Times New Roman"/>
          <w:bCs/>
          <w:sz w:val="24"/>
          <w:szCs w:val="24"/>
        </w:rPr>
        <w:t xml:space="preserve"> </w:t>
      </w:r>
      <w:r w:rsidRPr="000A1A30">
        <w:rPr>
          <w:rFonts w:ascii="Garamond" w:hAnsi="Garamond" w:cs="Times New Roman"/>
          <w:bCs/>
          <w:spacing w:val="-15"/>
          <w:sz w:val="24"/>
          <w:szCs w:val="24"/>
        </w:rPr>
        <w:t>t</w:t>
      </w:r>
      <w:r w:rsidRPr="000A1A30">
        <w:rPr>
          <w:rFonts w:ascii="Garamond" w:hAnsi="Garamond" w:cs="Times New Roman"/>
          <w:bCs/>
          <w:sz w:val="24"/>
          <w:szCs w:val="24"/>
        </w:rPr>
        <w:t>ë Kolegjit Administrativ të Gjykatës së Lartë, si i papajtueshëm me Kushtetutën e Republikës së Shqipërisë.</w:t>
      </w:r>
    </w:p>
    <w:p w14:paraId="5E441DD1" w14:textId="7D7931EE" w:rsidR="006A122A" w:rsidRPr="000A1A30" w:rsidRDefault="006A122A" w:rsidP="006A122A">
      <w:pPr>
        <w:spacing w:after="0" w:line="240" w:lineRule="auto"/>
        <w:ind w:firstLine="284"/>
        <w:jc w:val="both"/>
        <w:rPr>
          <w:rFonts w:ascii="Garamond" w:hAnsi="Garamond" w:cs="Times New Roman"/>
          <w:bCs/>
          <w:sz w:val="24"/>
          <w:szCs w:val="24"/>
        </w:rPr>
      </w:pPr>
      <w:r w:rsidRPr="000A1A30">
        <w:rPr>
          <w:rFonts w:ascii="Garamond" w:hAnsi="Garamond" w:cs="Times New Roman"/>
          <w:bCs/>
          <w:sz w:val="24"/>
          <w:szCs w:val="24"/>
        </w:rPr>
        <w:t xml:space="preserve">Pezullimi i vendimit </w:t>
      </w:r>
      <w:r w:rsidR="000A1A30">
        <w:rPr>
          <w:rFonts w:ascii="Garamond" w:hAnsi="Garamond" w:cs="Times New Roman"/>
          <w:bCs/>
          <w:sz w:val="24"/>
          <w:szCs w:val="24"/>
        </w:rPr>
        <w:t>nr. 00-2025-826 (100), datë 6.</w:t>
      </w:r>
      <w:r w:rsidRPr="000A1A30">
        <w:rPr>
          <w:rFonts w:ascii="Garamond" w:hAnsi="Garamond" w:cs="Times New Roman"/>
          <w:bCs/>
          <w:sz w:val="24"/>
          <w:szCs w:val="24"/>
        </w:rPr>
        <w:t>3.2025</w:t>
      </w:r>
      <w:r w:rsidR="000A1A30">
        <w:rPr>
          <w:rFonts w:ascii="Garamond" w:hAnsi="Garamond" w:cs="Times New Roman"/>
          <w:bCs/>
          <w:sz w:val="24"/>
          <w:szCs w:val="24"/>
        </w:rPr>
        <w:t>,</w:t>
      </w:r>
      <w:r w:rsidRPr="000A1A30">
        <w:rPr>
          <w:rFonts w:ascii="Garamond" w:hAnsi="Garamond" w:cs="Times New Roman"/>
          <w:bCs/>
          <w:sz w:val="24"/>
          <w:szCs w:val="24"/>
        </w:rPr>
        <w:t xml:space="preserve"> </w:t>
      </w:r>
      <w:r w:rsidRPr="000A1A30">
        <w:rPr>
          <w:rFonts w:ascii="Garamond" w:hAnsi="Garamond" w:cs="Times New Roman"/>
          <w:bCs/>
          <w:spacing w:val="-15"/>
          <w:sz w:val="24"/>
          <w:szCs w:val="24"/>
        </w:rPr>
        <w:t>t</w:t>
      </w:r>
      <w:r w:rsidRPr="000A1A30">
        <w:rPr>
          <w:rFonts w:ascii="Garamond" w:hAnsi="Garamond" w:cs="Times New Roman"/>
          <w:bCs/>
          <w:sz w:val="24"/>
          <w:szCs w:val="24"/>
        </w:rPr>
        <w:t>ë Kolegjit Administrativ të Gjykatës së Lartë.</w:t>
      </w:r>
    </w:p>
    <w:p w14:paraId="79224D5F" w14:textId="79CF12B8" w:rsidR="006A122A" w:rsidRPr="000A1A30" w:rsidRDefault="006A122A" w:rsidP="006A122A">
      <w:pPr>
        <w:tabs>
          <w:tab w:val="left" w:pos="1080"/>
        </w:tabs>
        <w:spacing w:after="0" w:line="240" w:lineRule="auto"/>
        <w:ind w:firstLine="284"/>
        <w:jc w:val="both"/>
        <w:rPr>
          <w:rFonts w:ascii="Garamond" w:hAnsi="Garamond" w:cs="Times New Roman"/>
          <w:bCs/>
          <w:i/>
          <w:iCs/>
          <w:sz w:val="24"/>
          <w:szCs w:val="24"/>
        </w:rPr>
      </w:pPr>
      <w:r w:rsidRPr="000A1A30">
        <w:rPr>
          <w:rFonts w:ascii="Garamond" w:hAnsi="Garamond" w:cs="Times New Roman"/>
          <w:bCs/>
          <w:sz w:val="24"/>
          <w:szCs w:val="24"/>
        </w:rPr>
        <w:t>BAZA LIGJORE: Nenet 13, 17, 18, 28, 31, 33, 34, 41, 42, 131, pika 1</w:t>
      </w:r>
      <w:r w:rsidR="000A1A30">
        <w:rPr>
          <w:rFonts w:ascii="Garamond" w:hAnsi="Garamond" w:cs="Times New Roman"/>
          <w:bCs/>
          <w:sz w:val="24"/>
          <w:szCs w:val="24"/>
        </w:rPr>
        <w:t>,</w:t>
      </w:r>
      <w:r w:rsidRPr="000A1A30">
        <w:rPr>
          <w:rFonts w:ascii="Garamond" w:hAnsi="Garamond" w:cs="Times New Roman"/>
          <w:bCs/>
          <w:sz w:val="24"/>
          <w:szCs w:val="24"/>
        </w:rPr>
        <w:t xml:space="preserve"> shkronja “f”, dhe 134, pika 1, shkronja “i”, të Kushtetutës së Republikës së Shqipërisë </w:t>
      </w:r>
      <w:r w:rsidRPr="000A1A30">
        <w:rPr>
          <w:rFonts w:ascii="Garamond" w:hAnsi="Garamond" w:cs="Times New Roman"/>
          <w:bCs/>
          <w:i/>
          <w:iCs/>
          <w:sz w:val="24"/>
          <w:szCs w:val="24"/>
        </w:rPr>
        <w:t>(Kushtetuta)</w:t>
      </w:r>
      <w:r w:rsidRPr="000A1A30">
        <w:rPr>
          <w:rFonts w:ascii="Garamond" w:hAnsi="Garamond" w:cs="Times New Roman"/>
          <w:bCs/>
          <w:sz w:val="24"/>
          <w:szCs w:val="24"/>
        </w:rPr>
        <w:t>; nenet 6, 6/1, 19 dhe 46</w:t>
      </w:r>
      <w:r w:rsidR="000A1A30">
        <w:rPr>
          <w:rFonts w:ascii="Garamond" w:hAnsi="Garamond" w:cs="Times New Roman"/>
          <w:bCs/>
          <w:sz w:val="24"/>
          <w:szCs w:val="24"/>
        </w:rPr>
        <w:t>,</w:t>
      </w:r>
      <w:r w:rsidRPr="000A1A30">
        <w:rPr>
          <w:rFonts w:ascii="Garamond" w:hAnsi="Garamond" w:cs="Times New Roman"/>
          <w:bCs/>
          <w:sz w:val="24"/>
          <w:szCs w:val="24"/>
        </w:rPr>
        <w:t xml:space="preserve"> të Konventës Evropiane për të Drejtat e Njeriut </w:t>
      </w:r>
      <w:r w:rsidRPr="000A1A30">
        <w:rPr>
          <w:rFonts w:ascii="Garamond" w:hAnsi="Garamond" w:cs="Times New Roman"/>
          <w:bCs/>
          <w:i/>
          <w:iCs/>
          <w:sz w:val="24"/>
          <w:szCs w:val="24"/>
        </w:rPr>
        <w:t>(</w:t>
      </w:r>
      <w:proofErr w:type="spellStart"/>
      <w:r w:rsidRPr="000A1A30">
        <w:rPr>
          <w:rFonts w:ascii="Garamond" w:hAnsi="Garamond" w:cs="Times New Roman"/>
          <w:bCs/>
          <w:i/>
          <w:iCs/>
          <w:sz w:val="24"/>
          <w:szCs w:val="24"/>
        </w:rPr>
        <w:t>KEDNJ</w:t>
      </w:r>
      <w:proofErr w:type="spellEnd"/>
      <w:r w:rsidRPr="000A1A30">
        <w:rPr>
          <w:rFonts w:ascii="Garamond" w:hAnsi="Garamond" w:cs="Times New Roman"/>
          <w:bCs/>
          <w:i/>
          <w:iCs/>
          <w:sz w:val="24"/>
          <w:szCs w:val="24"/>
        </w:rPr>
        <w:t xml:space="preserve">) </w:t>
      </w:r>
      <w:r w:rsidRPr="000A1A30">
        <w:rPr>
          <w:rFonts w:ascii="Garamond" w:hAnsi="Garamond" w:cs="Times New Roman"/>
          <w:bCs/>
          <w:sz w:val="24"/>
          <w:szCs w:val="24"/>
        </w:rPr>
        <w:t>dhe</w:t>
      </w:r>
      <w:r w:rsidRPr="000A1A30">
        <w:rPr>
          <w:rFonts w:ascii="Garamond" w:hAnsi="Garamond" w:cs="Times New Roman"/>
          <w:bCs/>
          <w:i/>
          <w:iCs/>
          <w:sz w:val="24"/>
          <w:szCs w:val="24"/>
        </w:rPr>
        <w:t xml:space="preserve"> </w:t>
      </w:r>
      <w:r w:rsidRPr="000A1A30">
        <w:rPr>
          <w:rFonts w:ascii="Garamond" w:hAnsi="Garamond" w:cs="Times New Roman"/>
          <w:bCs/>
          <w:sz w:val="24"/>
          <w:szCs w:val="24"/>
        </w:rPr>
        <w:t>neni 1</w:t>
      </w:r>
      <w:r w:rsidR="000A1A30">
        <w:rPr>
          <w:rFonts w:ascii="Garamond" w:hAnsi="Garamond" w:cs="Times New Roman"/>
          <w:bCs/>
          <w:sz w:val="24"/>
          <w:szCs w:val="24"/>
        </w:rPr>
        <w:t>,</w:t>
      </w:r>
      <w:r w:rsidRPr="000A1A30">
        <w:rPr>
          <w:rFonts w:ascii="Garamond" w:hAnsi="Garamond" w:cs="Times New Roman"/>
          <w:bCs/>
          <w:sz w:val="24"/>
          <w:szCs w:val="24"/>
        </w:rPr>
        <w:t xml:space="preserve"> i Protokollit nr.</w:t>
      </w:r>
      <w:r w:rsidR="000A1A30">
        <w:rPr>
          <w:rFonts w:ascii="Garamond" w:hAnsi="Garamond" w:cs="Times New Roman"/>
          <w:bCs/>
          <w:sz w:val="24"/>
          <w:szCs w:val="24"/>
        </w:rPr>
        <w:t xml:space="preserve"> </w:t>
      </w:r>
      <w:r w:rsidRPr="000A1A30">
        <w:rPr>
          <w:rFonts w:ascii="Garamond" w:hAnsi="Garamond" w:cs="Times New Roman"/>
          <w:bCs/>
          <w:sz w:val="24"/>
          <w:szCs w:val="24"/>
        </w:rPr>
        <w:t>1 të saj; li</w:t>
      </w:r>
      <w:r w:rsidR="000A1A30">
        <w:rPr>
          <w:rFonts w:ascii="Garamond" w:hAnsi="Garamond" w:cs="Times New Roman"/>
          <w:bCs/>
          <w:sz w:val="24"/>
          <w:szCs w:val="24"/>
        </w:rPr>
        <w:t>gji nr. 8577, datë 10.</w:t>
      </w:r>
      <w:r w:rsidRPr="000A1A30">
        <w:rPr>
          <w:rFonts w:ascii="Garamond" w:hAnsi="Garamond" w:cs="Times New Roman"/>
          <w:bCs/>
          <w:sz w:val="24"/>
          <w:szCs w:val="24"/>
        </w:rPr>
        <w:t>2.2000</w:t>
      </w:r>
      <w:r w:rsidR="000A1A30">
        <w:rPr>
          <w:rFonts w:ascii="Garamond" w:hAnsi="Garamond" w:cs="Times New Roman"/>
          <w:bCs/>
          <w:sz w:val="24"/>
          <w:szCs w:val="24"/>
        </w:rPr>
        <w:t>,</w:t>
      </w:r>
      <w:r w:rsidRPr="000A1A30">
        <w:rPr>
          <w:rFonts w:ascii="Garamond" w:hAnsi="Garamond" w:cs="Times New Roman"/>
          <w:bCs/>
          <w:sz w:val="24"/>
          <w:szCs w:val="24"/>
        </w:rPr>
        <w:t xml:space="preserve"> “Për organizimin dhe funksionimin e Gjykatës Kushtetuese të Republikës së Shqipërisë”, i ndryshuar </w:t>
      </w:r>
      <w:r w:rsidRPr="000A1A30">
        <w:rPr>
          <w:rFonts w:ascii="Garamond" w:hAnsi="Garamond" w:cs="Times New Roman"/>
          <w:bCs/>
          <w:i/>
          <w:iCs/>
          <w:sz w:val="24"/>
          <w:szCs w:val="24"/>
        </w:rPr>
        <w:t>(Ligji Organik i Gjykatës).</w:t>
      </w:r>
    </w:p>
    <w:p w14:paraId="33FF2C6D" w14:textId="77777777" w:rsidR="006A122A" w:rsidRPr="000A1A30" w:rsidRDefault="006A122A" w:rsidP="006A122A">
      <w:pPr>
        <w:spacing w:after="0" w:line="240" w:lineRule="auto"/>
        <w:ind w:firstLine="284"/>
        <w:jc w:val="center"/>
        <w:rPr>
          <w:rFonts w:ascii="Garamond" w:hAnsi="Garamond"/>
          <w:bCs/>
          <w:sz w:val="24"/>
          <w:szCs w:val="24"/>
        </w:rPr>
      </w:pPr>
    </w:p>
    <w:p w14:paraId="5F580F43" w14:textId="77777777" w:rsidR="006A122A" w:rsidRPr="000A1A30" w:rsidRDefault="006A122A" w:rsidP="006A122A">
      <w:pPr>
        <w:spacing w:after="0" w:line="240" w:lineRule="auto"/>
        <w:ind w:firstLine="284"/>
        <w:jc w:val="center"/>
        <w:rPr>
          <w:rFonts w:ascii="Garamond" w:hAnsi="Garamond" w:cs="Times New Roman"/>
          <w:bCs/>
          <w:sz w:val="24"/>
          <w:szCs w:val="24"/>
        </w:rPr>
      </w:pPr>
      <w:r w:rsidRPr="000A1A30">
        <w:rPr>
          <w:rFonts w:ascii="Garamond" w:hAnsi="Garamond" w:cs="Times New Roman"/>
          <w:bCs/>
          <w:sz w:val="24"/>
          <w:szCs w:val="24"/>
        </w:rPr>
        <w:t>GJYKATA KUSHTETUESE,</w:t>
      </w:r>
    </w:p>
    <w:p w14:paraId="1EE1305F" w14:textId="77777777" w:rsidR="006A122A" w:rsidRPr="000A1A30" w:rsidRDefault="006A122A" w:rsidP="006A122A">
      <w:pPr>
        <w:tabs>
          <w:tab w:val="left" w:pos="1080"/>
        </w:tabs>
        <w:spacing w:after="0" w:line="240" w:lineRule="auto"/>
        <w:ind w:firstLine="284"/>
        <w:jc w:val="both"/>
        <w:rPr>
          <w:rFonts w:ascii="Garamond" w:hAnsi="Garamond" w:cs="Times New Roman"/>
          <w:sz w:val="24"/>
          <w:szCs w:val="24"/>
        </w:rPr>
      </w:pPr>
    </w:p>
    <w:p w14:paraId="504E69FC" w14:textId="45F33912" w:rsidR="006A122A" w:rsidRPr="000A1A30" w:rsidRDefault="006A122A" w:rsidP="006A122A">
      <w:pPr>
        <w:tabs>
          <w:tab w:val="left" w:pos="108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 xml:space="preserve">pasi dëgjoi </w:t>
      </w:r>
      <w:proofErr w:type="spellStart"/>
      <w:r w:rsidRPr="000A1A30">
        <w:rPr>
          <w:rFonts w:ascii="Garamond" w:hAnsi="Garamond" w:cs="Times New Roman"/>
          <w:sz w:val="24"/>
          <w:szCs w:val="24"/>
        </w:rPr>
        <w:t>relatoren</w:t>
      </w:r>
      <w:proofErr w:type="spellEnd"/>
      <w:r w:rsidRPr="000A1A30">
        <w:rPr>
          <w:rFonts w:ascii="Garamond" w:hAnsi="Garamond" w:cs="Times New Roman"/>
          <w:sz w:val="24"/>
          <w:szCs w:val="24"/>
        </w:rPr>
        <w:t xml:space="preserve"> e çështjes </w:t>
      </w:r>
      <w:proofErr w:type="spellStart"/>
      <w:r w:rsidRPr="000A1A30">
        <w:rPr>
          <w:rFonts w:ascii="Garamond" w:hAnsi="Garamond" w:cs="Times New Roman"/>
          <w:sz w:val="24"/>
          <w:szCs w:val="24"/>
        </w:rPr>
        <w:t>Fiona</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Papajorgji</w:t>
      </w:r>
      <w:proofErr w:type="spellEnd"/>
      <w:r w:rsidRPr="000A1A30">
        <w:rPr>
          <w:rFonts w:ascii="Garamond" w:hAnsi="Garamond" w:cs="Times New Roman"/>
          <w:sz w:val="24"/>
          <w:szCs w:val="24"/>
        </w:rPr>
        <w:t xml:space="preserve">, mori në shqyrtim pretendimet e kërkuesit Arben </w:t>
      </w:r>
      <w:proofErr w:type="spellStart"/>
      <w:r w:rsidRPr="000A1A30">
        <w:rPr>
          <w:rFonts w:ascii="Garamond" w:hAnsi="Garamond" w:cs="Times New Roman"/>
          <w:sz w:val="24"/>
          <w:szCs w:val="24"/>
        </w:rPr>
        <w:t>Braçe</w:t>
      </w:r>
      <w:proofErr w:type="spellEnd"/>
      <w:r w:rsidRPr="000A1A30">
        <w:rPr>
          <w:rFonts w:ascii="Garamond" w:hAnsi="Garamond" w:cs="Times New Roman"/>
          <w:sz w:val="24"/>
          <w:szCs w:val="24"/>
        </w:rPr>
        <w:t xml:space="preserve"> </w:t>
      </w:r>
      <w:r w:rsidRPr="000A1A30">
        <w:rPr>
          <w:rFonts w:ascii="Garamond" w:hAnsi="Garamond" w:cs="Times New Roman"/>
          <w:i/>
          <w:iCs/>
          <w:sz w:val="24"/>
          <w:szCs w:val="24"/>
        </w:rPr>
        <w:t>(kërkuesi)</w:t>
      </w:r>
      <w:r w:rsidRPr="000A1A30">
        <w:rPr>
          <w:rFonts w:ascii="Garamond" w:hAnsi="Garamond" w:cs="Times New Roman"/>
          <w:sz w:val="24"/>
          <w:szCs w:val="24"/>
        </w:rPr>
        <w:t xml:space="preserve">, i cili ka kërkuar pranimin e kërkesës, prapësimet e subjekteve të interesuara, Ministrisë së Drejtësisë dhe Departamentit të Administratës Publike </w:t>
      </w:r>
      <w:r w:rsidRPr="000A1A30">
        <w:rPr>
          <w:rFonts w:ascii="Garamond" w:hAnsi="Garamond" w:cs="Times New Roman"/>
          <w:i/>
          <w:iCs/>
          <w:sz w:val="24"/>
          <w:szCs w:val="24"/>
        </w:rPr>
        <w:t>(</w:t>
      </w:r>
      <w:proofErr w:type="spellStart"/>
      <w:r w:rsidRPr="000A1A30">
        <w:rPr>
          <w:rFonts w:ascii="Garamond" w:hAnsi="Garamond" w:cs="Times New Roman"/>
          <w:i/>
          <w:iCs/>
          <w:sz w:val="24"/>
          <w:szCs w:val="24"/>
        </w:rPr>
        <w:t>DAP</w:t>
      </w:r>
      <w:proofErr w:type="spellEnd"/>
      <w:r w:rsidRPr="000A1A30">
        <w:rPr>
          <w:rFonts w:ascii="Garamond" w:hAnsi="Garamond" w:cs="Times New Roman"/>
          <w:i/>
          <w:iCs/>
          <w:sz w:val="24"/>
          <w:szCs w:val="24"/>
        </w:rPr>
        <w:t>)</w:t>
      </w:r>
      <w:r w:rsidRPr="000A1A30">
        <w:rPr>
          <w:rFonts w:ascii="Garamond" w:hAnsi="Garamond" w:cs="Times New Roman"/>
          <w:sz w:val="24"/>
          <w:szCs w:val="24"/>
        </w:rPr>
        <w:t>, që kanë kërkuar rrëzimin e kërkesës, si dhe diskutoi çështjen në tërësi,</w:t>
      </w:r>
    </w:p>
    <w:p w14:paraId="6B44D0EB" w14:textId="77777777" w:rsidR="006A122A" w:rsidRPr="000A1A30" w:rsidRDefault="006A122A" w:rsidP="006A122A">
      <w:pPr>
        <w:tabs>
          <w:tab w:val="left" w:pos="1080"/>
        </w:tabs>
        <w:spacing w:after="0" w:line="240" w:lineRule="auto"/>
        <w:ind w:firstLine="284"/>
        <w:jc w:val="both"/>
        <w:rPr>
          <w:rFonts w:ascii="Garamond" w:hAnsi="Garamond" w:cs="Times New Roman"/>
          <w:sz w:val="24"/>
          <w:szCs w:val="24"/>
        </w:rPr>
      </w:pPr>
    </w:p>
    <w:p w14:paraId="4A0FC88C" w14:textId="4837F652" w:rsidR="006A122A" w:rsidRPr="000A1A30" w:rsidRDefault="006A122A" w:rsidP="006A122A">
      <w:pPr>
        <w:spacing w:after="0" w:line="240" w:lineRule="auto"/>
        <w:ind w:firstLine="284"/>
        <w:jc w:val="center"/>
        <w:rPr>
          <w:rFonts w:ascii="Garamond" w:hAnsi="Garamond" w:cs="Times New Roman"/>
          <w:bCs/>
          <w:i/>
          <w:iCs/>
          <w:sz w:val="24"/>
          <w:szCs w:val="24"/>
        </w:rPr>
      </w:pPr>
      <w:r w:rsidRPr="000A1A30">
        <w:rPr>
          <w:rFonts w:ascii="Garamond" w:hAnsi="Garamond" w:cs="Times New Roman"/>
          <w:bCs/>
          <w:sz w:val="24"/>
          <w:szCs w:val="24"/>
        </w:rPr>
        <w:t>VËREN:</w:t>
      </w:r>
    </w:p>
    <w:p w14:paraId="45E499DA" w14:textId="77777777" w:rsidR="006A122A" w:rsidRPr="000A1A30" w:rsidRDefault="006A122A" w:rsidP="006A122A">
      <w:pPr>
        <w:spacing w:after="0" w:line="240" w:lineRule="auto"/>
        <w:ind w:firstLine="284"/>
        <w:jc w:val="center"/>
        <w:rPr>
          <w:rFonts w:ascii="Garamond" w:hAnsi="Garamond" w:cs="Times New Roman"/>
          <w:b/>
          <w:bCs/>
          <w:sz w:val="24"/>
          <w:szCs w:val="24"/>
        </w:rPr>
      </w:pPr>
    </w:p>
    <w:p w14:paraId="5A8D8264" w14:textId="40097544" w:rsidR="006A122A" w:rsidRPr="000A1A30" w:rsidRDefault="006A122A" w:rsidP="006A122A">
      <w:pPr>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I</w:t>
      </w:r>
    </w:p>
    <w:p w14:paraId="01D026E0" w14:textId="77777777" w:rsidR="006A122A" w:rsidRPr="000A1A30" w:rsidRDefault="006A122A" w:rsidP="006A122A">
      <w:pPr>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Rrethanat e çështjes</w:t>
      </w:r>
    </w:p>
    <w:p w14:paraId="0B89BD21" w14:textId="77777777"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p>
    <w:p w14:paraId="29700C1C" w14:textId="492C6881"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1. Kërkuesi ka qenë pjesë e shërbimit civil dhe së fundmi ka pasur detyrën e drejtorit të përgjithshëm në Drejtorinë e Përgjithshme të Çështjeve të Drejtësisë. Me shkresën nr. 413/4 </w:t>
      </w:r>
      <w:proofErr w:type="spellStart"/>
      <w:r w:rsidRPr="000A1A30">
        <w:rPr>
          <w:rFonts w:ascii="Garamond" w:hAnsi="Garamond" w:cs="Times New Roman"/>
          <w:sz w:val="24"/>
          <w:szCs w:val="24"/>
        </w:rPr>
        <w:t>prot</w:t>
      </w:r>
      <w:proofErr w:type="spellEnd"/>
      <w:r w:rsidRPr="000A1A30">
        <w:rPr>
          <w:rFonts w:ascii="Garamond" w:hAnsi="Garamond" w:cs="Times New Roman"/>
          <w:sz w:val="24"/>
          <w:szCs w:val="24"/>
        </w:rPr>
        <w:t>., datë 21.10.2013</w:t>
      </w:r>
      <w:r w:rsidR="000A1A30">
        <w:rPr>
          <w:rFonts w:ascii="Garamond" w:hAnsi="Garamond" w:cs="Times New Roman"/>
          <w:sz w:val="24"/>
          <w:szCs w:val="24"/>
        </w:rPr>
        <w:t>,</w:t>
      </w:r>
      <w:r w:rsidRPr="000A1A30">
        <w:rPr>
          <w:rFonts w:ascii="Garamond" w:hAnsi="Garamond" w:cs="Times New Roman"/>
          <w:sz w:val="24"/>
          <w:szCs w:val="24"/>
        </w:rPr>
        <w:t xml:space="preserve"> të ministrit të Drejtësisë kërkuesit i është njoftuar: i</w:t>
      </w:r>
      <w:r w:rsidR="000A1A30">
        <w:rPr>
          <w:rFonts w:ascii="Garamond" w:hAnsi="Garamond" w:cs="Times New Roman"/>
          <w:sz w:val="24"/>
          <w:szCs w:val="24"/>
        </w:rPr>
        <w:t>.</w:t>
      </w:r>
      <w:r w:rsidRPr="000A1A30">
        <w:rPr>
          <w:rFonts w:ascii="Garamond" w:hAnsi="Garamond" w:cs="Times New Roman"/>
          <w:sz w:val="24"/>
          <w:szCs w:val="24"/>
        </w:rPr>
        <w:t xml:space="preserve"> suprimimi i pozicionit të punës në zbatim të urdhrit nr.</w:t>
      </w:r>
      <w:r w:rsidR="000A1A30">
        <w:rPr>
          <w:rFonts w:ascii="Garamond" w:hAnsi="Garamond" w:cs="Times New Roman"/>
          <w:sz w:val="24"/>
          <w:szCs w:val="24"/>
        </w:rPr>
        <w:t xml:space="preserve"> </w:t>
      </w:r>
      <w:r w:rsidRPr="000A1A30">
        <w:rPr>
          <w:rFonts w:ascii="Garamond" w:hAnsi="Garamond" w:cs="Times New Roman"/>
          <w:sz w:val="24"/>
          <w:szCs w:val="24"/>
        </w:rPr>
        <w:t>188/2013</w:t>
      </w:r>
      <w:r w:rsidR="000A1A30">
        <w:rPr>
          <w:rFonts w:ascii="Garamond" w:hAnsi="Garamond" w:cs="Times New Roman"/>
          <w:sz w:val="24"/>
          <w:szCs w:val="24"/>
        </w:rPr>
        <w:t>,</w:t>
      </w:r>
      <w:r w:rsidRPr="000A1A30">
        <w:rPr>
          <w:rFonts w:ascii="Garamond" w:hAnsi="Garamond" w:cs="Times New Roman"/>
          <w:sz w:val="24"/>
          <w:szCs w:val="24"/>
        </w:rPr>
        <w:t xml:space="preserve"> “Për miratimin e strukturës dhe organikës së Ministrisë së Drejtësisë” të Kryeministrit; </w:t>
      </w:r>
      <w:proofErr w:type="spellStart"/>
      <w:r w:rsidRPr="000A1A30">
        <w:rPr>
          <w:rFonts w:ascii="Garamond" w:hAnsi="Garamond" w:cs="Times New Roman"/>
          <w:sz w:val="24"/>
          <w:szCs w:val="24"/>
        </w:rPr>
        <w:t>ii</w:t>
      </w:r>
      <w:proofErr w:type="spellEnd"/>
      <w:r w:rsidR="000A1A30">
        <w:rPr>
          <w:rFonts w:ascii="Garamond" w:hAnsi="Garamond" w:cs="Times New Roman"/>
          <w:sz w:val="24"/>
          <w:szCs w:val="24"/>
        </w:rPr>
        <w:t>.</w:t>
      </w:r>
      <w:r w:rsidRPr="000A1A30">
        <w:rPr>
          <w:rFonts w:ascii="Garamond" w:hAnsi="Garamond" w:cs="Times New Roman"/>
          <w:sz w:val="24"/>
          <w:szCs w:val="24"/>
        </w:rPr>
        <w:t xml:space="preserve"> pamundësia e sistemimit në një tjetër vend pune të </w:t>
      </w:r>
      <w:proofErr w:type="spellStart"/>
      <w:r w:rsidRPr="000A1A30">
        <w:rPr>
          <w:rFonts w:ascii="Garamond" w:hAnsi="Garamond" w:cs="Times New Roman"/>
          <w:sz w:val="24"/>
          <w:szCs w:val="24"/>
        </w:rPr>
        <w:t>të</w:t>
      </w:r>
      <w:proofErr w:type="spellEnd"/>
      <w:r w:rsidRPr="000A1A30">
        <w:rPr>
          <w:rFonts w:ascii="Garamond" w:hAnsi="Garamond" w:cs="Times New Roman"/>
          <w:sz w:val="24"/>
          <w:szCs w:val="24"/>
        </w:rPr>
        <w:t xml:space="preserve"> njëjtit nivel ose në nivel tjetër; </w:t>
      </w:r>
      <w:proofErr w:type="spellStart"/>
      <w:r w:rsidRPr="000A1A30">
        <w:rPr>
          <w:rFonts w:ascii="Garamond" w:hAnsi="Garamond" w:cs="Times New Roman"/>
          <w:sz w:val="24"/>
          <w:szCs w:val="24"/>
        </w:rPr>
        <w:t>iii</w:t>
      </w:r>
      <w:proofErr w:type="spellEnd"/>
      <w:r w:rsidR="000A1A30">
        <w:rPr>
          <w:rFonts w:ascii="Garamond" w:hAnsi="Garamond" w:cs="Times New Roman"/>
          <w:sz w:val="24"/>
          <w:szCs w:val="24"/>
        </w:rPr>
        <w:t>.</w:t>
      </w:r>
      <w:r w:rsidRPr="000A1A30">
        <w:rPr>
          <w:rFonts w:ascii="Garamond" w:hAnsi="Garamond" w:cs="Times New Roman"/>
          <w:sz w:val="24"/>
          <w:szCs w:val="24"/>
        </w:rPr>
        <w:t xml:space="preserve"> dalja në </w:t>
      </w:r>
      <w:proofErr w:type="spellStart"/>
      <w:r w:rsidRPr="000A1A30">
        <w:rPr>
          <w:rFonts w:ascii="Garamond" w:hAnsi="Garamond" w:cs="Times New Roman"/>
          <w:sz w:val="24"/>
          <w:szCs w:val="24"/>
        </w:rPr>
        <w:t>listëpritje</w:t>
      </w:r>
      <w:proofErr w:type="spellEnd"/>
      <w:r w:rsidR="000A1A30">
        <w:rPr>
          <w:rFonts w:ascii="Garamond" w:hAnsi="Garamond" w:cs="Times New Roman"/>
          <w:sz w:val="24"/>
          <w:szCs w:val="24"/>
        </w:rPr>
        <w:t xml:space="preserve">. Me urdhrin nr. 413/4/1, datë </w:t>
      </w:r>
      <w:r w:rsidRPr="000A1A30">
        <w:rPr>
          <w:rFonts w:ascii="Garamond" w:hAnsi="Garamond" w:cs="Times New Roman"/>
          <w:sz w:val="24"/>
          <w:szCs w:val="24"/>
        </w:rPr>
        <w:t>1.11.2013</w:t>
      </w:r>
      <w:r w:rsidR="000A1A30">
        <w:rPr>
          <w:rFonts w:ascii="Garamond" w:hAnsi="Garamond" w:cs="Times New Roman"/>
          <w:sz w:val="24"/>
          <w:szCs w:val="24"/>
        </w:rPr>
        <w:t>,</w:t>
      </w:r>
      <w:r w:rsidRPr="000A1A30">
        <w:rPr>
          <w:rFonts w:ascii="Garamond" w:hAnsi="Garamond" w:cs="Times New Roman"/>
          <w:sz w:val="24"/>
          <w:szCs w:val="24"/>
        </w:rPr>
        <w:t xml:space="preserve"> të ministrit kërkuesi ka kaluar në </w:t>
      </w:r>
      <w:proofErr w:type="spellStart"/>
      <w:r w:rsidRPr="000A1A30">
        <w:rPr>
          <w:rFonts w:ascii="Garamond" w:hAnsi="Garamond" w:cs="Times New Roman"/>
          <w:sz w:val="24"/>
          <w:szCs w:val="24"/>
        </w:rPr>
        <w:t>listëpritjeje</w:t>
      </w:r>
      <w:proofErr w:type="spellEnd"/>
      <w:r w:rsidRPr="000A1A30">
        <w:rPr>
          <w:rFonts w:ascii="Garamond" w:hAnsi="Garamond" w:cs="Times New Roman"/>
          <w:sz w:val="24"/>
          <w:szCs w:val="24"/>
        </w:rPr>
        <w:t xml:space="preserve"> me efekte të menjëhershme financiare.</w:t>
      </w:r>
    </w:p>
    <w:p w14:paraId="4A8D5282" w14:textId="42B1A866"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2. </w:t>
      </w:r>
      <w:r w:rsidR="000A1A30">
        <w:rPr>
          <w:rFonts w:ascii="Garamond" w:hAnsi="Garamond" w:cs="Times New Roman"/>
          <w:sz w:val="24"/>
          <w:szCs w:val="24"/>
        </w:rPr>
        <w:t>Ndërkohë, Kuvendi, në datën 30.</w:t>
      </w:r>
      <w:r w:rsidRPr="000A1A30">
        <w:rPr>
          <w:rFonts w:ascii="Garamond" w:hAnsi="Garamond" w:cs="Times New Roman"/>
          <w:sz w:val="24"/>
          <w:szCs w:val="24"/>
        </w:rPr>
        <w:t>5.2013, ka miratuar ligjin nr. 152/2013</w:t>
      </w:r>
      <w:r w:rsidR="000A1A30">
        <w:rPr>
          <w:rFonts w:ascii="Garamond" w:hAnsi="Garamond" w:cs="Times New Roman"/>
          <w:sz w:val="24"/>
          <w:szCs w:val="24"/>
        </w:rPr>
        <w:t>,</w:t>
      </w:r>
      <w:r w:rsidRPr="000A1A30">
        <w:rPr>
          <w:rFonts w:ascii="Garamond" w:hAnsi="Garamond" w:cs="Times New Roman"/>
          <w:sz w:val="24"/>
          <w:szCs w:val="24"/>
        </w:rPr>
        <w:t xml:space="preserve"> “Për nëpunësin civil” (</w:t>
      </w:r>
      <w:r w:rsidRPr="000A1A30">
        <w:rPr>
          <w:rFonts w:ascii="Garamond" w:hAnsi="Garamond" w:cs="Times New Roman"/>
          <w:i/>
          <w:iCs/>
          <w:sz w:val="24"/>
          <w:szCs w:val="24"/>
        </w:rPr>
        <w:t>ligji nr. 152/2013</w:t>
      </w:r>
      <w:r w:rsidRPr="000A1A30">
        <w:rPr>
          <w:rFonts w:ascii="Garamond" w:hAnsi="Garamond" w:cs="Times New Roman"/>
          <w:sz w:val="24"/>
          <w:szCs w:val="24"/>
        </w:rPr>
        <w:t>), i cili parashikonte</w:t>
      </w:r>
      <w:r w:rsidR="000A1A30">
        <w:rPr>
          <w:rFonts w:ascii="Garamond" w:hAnsi="Garamond" w:cs="Times New Roman"/>
          <w:sz w:val="24"/>
          <w:szCs w:val="24"/>
        </w:rPr>
        <w:t xml:space="preserve"> hyrjen e tij në fuqi në datën </w:t>
      </w:r>
      <w:r w:rsidRPr="000A1A30">
        <w:rPr>
          <w:rFonts w:ascii="Garamond" w:hAnsi="Garamond" w:cs="Times New Roman"/>
          <w:sz w:val="24"/>
          <w:szCs w:val="24"/>
        </w:rPr>
        <w:t>1.10.2013 (</w:t>
      </w:r>
      <w:r w:rsidRPr="000A1A30">
        <w:rPr>
          <w:rFonts w:ascii="Garamond" w:hAnsi="Garamond" w:cs="Times New Roman"/>
          <w:i/>
          <w:iCs/>
          <w:sz w:val="24"/>
          <w:szCs w:val="24"/>
        </w:rPr>
        <w:t>neni 72</w:t>
      </w:r>
      <w:r w:rsidRPr="000A1A30">
        <w:rPr>
          <w:rFonts w:ascii="Garamond" w:hAnsi="Garamond" w:cs="Times New Roman"/>
          <w:sz w:val="24"/>
          <w:szCs w:val="24"/>
        </w:rPr>
        <w:t xml:space="preserve">), </w:t>
      </w:r>
      <w:r w:rsidRPr="000A1A30">
        <w:rPr>
          <w:rFonts w:ascii="Garamond" w:hAnsi="Garamond" w:cs="Times New Roman"/>
          <w:sz w:val="24"/>
          <w:szCs w:val="24"/>
        </w:rPr>
        <w:lastRenderedPageBreak/>
        <w:t>shfuqizimin e ligjit nr. 8549, datë 11.11.1999</w:t>
      </w:r>
      <w:r w:rsidR="000A1A30">
        <w:rPr>
          <w:rFonts w:ascii="Garamond" w:hAnsi="Garamond" w:cs="Times New Roman"/>
          <w:sz w:val="24"/>
          <w:szCs w:val="24"/>
        </w:rPr>
        <w:t>,</w:t>
      </w:r>
      <w:r w:rsidRPr="000A1A30">
        <w:rPr>
          <w:rFonts w:ascii="Garamond" w:hAnsi="Garamond" w:cs="Times New Roman"/>
          <w:sz w:val="24"/>
          <w:szCs w:val="24"/>
        </w:rPr>
        <w:t xml:space="preserve"> “Statusi i nëpunësit civil” </w:t>
      </w:r>
      <w:r w:rsidRPr="000A1A30">
        <w:rPr>
          <w:rFonts w:ascii="Garamond" w:hAnsi="Garamond" w:cs="Times New Roman"/>
          <w:i/>
          <w:iCs/>
          <w:sz w:val="24"/>
          <w:szCs w:val="24"/>
        </w:rPr>
        <w:t>(ligji nr. 8549/1999)</w:t>
      </w:r>
      <w:r w:rsidRPr="000A1A30">
        <w:rPr>
          <w:rFonts w:ascii="Garamond" w:hAnsi="Garamond" w:cs="Times New Roman"/>
          <w:sz w:val="24"/>
          <w:szCs w:val="24"/>
        </w:rPr>
        <w:t>, si dhe çdo dispozitë tjetër që ishte në kundërshtim me të (</w:t>
      </w:r>
      <w:r w:rsidRPr="000A1A30">
        <w:rPr>
          <w:rFonts w:ascii="Garamond" w:hAnsi="Garamond" w:cs="Times New Roman"/>
          <w:i/>
          <w:iCs/>
          <w:sz w:val="24"/>
          <w:szCs w:val="24"/>
        </w:rPr>
        <w:t>neni 70</w:t>
      </w:r>
      <w:r w:rsidRPr="000A1A30">
        <w:rPr>
          <w:rFonts w:ascii="Garamond" w:hAnsi="Garamond" w:cs="Times New Roman"/>
          <w:sz w:val="24"/>
          <w:szCs w:val="24"/>
        </w:rPr>
        <w:t>). Në vijim, Këshilli i Ministrave ka miratuar</w:t>
      </w:r>
      <w:r w:rsidR="000A1A30">
        <w:rPr>
          <w:rFonts w:ascii="Garamond" w:hAnsi="Garamond" w:cs="Times New Roman"/>
          <w:sz w:val="24"/>
          <w:szCs w:val="24"/>
        </w:rPr>
        <w:t xml:space="preserve"> aktin normativ nr. 5, datë 30.</w:t>
      </w:r>
      <w:r w:rsidRPr="000A1A30">
        <w:rPr>
          <w:rFonts w:ascii="Garamond" w:hAnsi="Garamond" w:cs="Times New Roman"/>
          <w:sz w:val="24"/>
          <w:szCs w:val="24"/>
        </w:rPr>
        <w:t>9.2013</w:t>
      </w:r>
      <w:r w:rsidR="000A1A30">
        <w:rPr>
          <w:rFonts w:ascii="Garamond" w:hAnsi="Garamond" w:cs="Times New Roman"/>
          <w:sz w:val="24"/>
          <w:szCs w:val="24"/>
        </w:rPr>
        <w:t>,</w:t>
      </w:r>
      <w:r w:rsidRPr="000A1A30">
        <w:rPr>
          <w:rFonts w:ascii="Garamond" w:hAnsi="Garamond" w:cs="Times New Roman"/>
          <w:sz w:val="24"/>
          <w:szCs w:val="24"/>
        </w:rPr>
        <w:t xml:space="preserve"> “Për disa ndryshime në ligjin nr.</w:t>
      </w:r>
      <w:r w:rsidR="000A1A30">
        <w:rPr>
          <w:rFonts w:ascii="Garamond" w:hAnsi="Garamond" w:cs="Times New Roman"/>
          <w:sz w:val="24"/>
          <w:szCs w:val="24"/>
        </w:rPr>
        <w:t xml:space="preserve"> </w:t>
      </w:r>
      <w:r w:rsidRPr="000A1A30">
        <w:rPr>
          <w:rFonts w:ascii="Garamond" w:hAnsi="Garamond" w:cs="Times New Roman"/>
          <w:sz w:val="24"/>
          <w:szCs w:val="24"/>
        </w:rPr>
        <w:t>152/2013</w:t>
      </w:r>
      <w:r w:rsidR="000A1A30">
        <w:rPr>
          <w:rFonts w:ascii="Garamond" w:hAnsi="Garamond" w:cs="Times New Roman"/>
          <w:sz w:val="24"/>
          <w:szCs w:val="24"/>
        </w:rPr>
        <w:t>,</w:t>
      </w:r>
      <w:r w:rsidRPr="000A1A30">
        <w:rPr>
          <w:rFonts w:ascii="Garamond" w:hAnsi="Garamond" w:cs="Times New Roman"/>
          <w:sz w:val="24"/>
          <w:szCs w:val="24"/>
        </w:rPr>
        <w:t xml:space="preserve"> </w:t>
      </w:r>
      <w:r w:rsidR="000A1A30">
        <w:rPr>
          <w:rFonts w:ascii="Garamond" w:hAnsi="Garamond" w:cs="Times New Roman"/>
          <w:sz w:val="24"/>
          <w:szCs w:val="24"/>
        </w:rPr>
        <w:t>‘</w:t>
      </w:r>
      <w:r w:rsidRPr="000A1A30">
        <w:rPr>
          <w:rFonts w:ascii="Garamond" w:hAnsi="Garamond" w:cs="Times New Roman"/>
          <w:sz w:val="24"/>
          <w:szCs w:val="24"/>
        </w:rPr>
        <w:t>Për nëpunësin civil</w:t>
      </w:r>
      <w:r w:rsidR="000A1A30">
        <w:rPr>
          <w:rFonts w:ascii="Garamond" w:hAnsi="Garamond" w:cs="Times New Roman"/>
          <w:sz w:val="24"/>
          <w:szCs w:val="24"/>
        </w:rPr>
        <w:t>’</w:t>
      </w:r>
      <w:r w:rsidRPr="000A1A30">
        <w:rPr>
          <w:rFonts w:ascii="Garamond" w:hAnsi="Garamond" w:cs="Times New Roman"/>
          <w:sz w:val="24"/>
          <w:szCs w:val="24"/>
        </w:rPr>
        <w:t xml:space="preserve">”, i cili kishte për qëllim shtyrjen në kohë të efekteve të ligjit nr. 152/2013. Akti normativ ka hyrë në fuqi menjëherë dhe është miratuar nga Kuvendi me ligjin nr. 161/2013, datë 17.10.2013. Këto dy akte janë shfuqizuar nga </w:t>
      </w:r>
      <w:r w:rsidRPr="000A1A30">
        <w:rPr>
          <w:rFonts w:ascii="Garamond" w:hAnsi="Garamond" w:cs="Times New Roman"/>
          <w:spacing w:val="15"/>
          <w:sz w:val="24"/>
          <w:szCs w:val="24"/>
        </w:rPr>
        <w:t>Gjykata Kushtetuese (</w:t>
      </w:r>
      <w:r w:rsidRPr="000A1A30">
        <w:rPr>
          <w:rFonts w:ascii="Garamond" w:hAnsi="Garamond" w:cs="Times New Roman"/>
          <w:i/>
          <w:iCs/>
          <w:spacing w:val="15"/>
          <w:sz w:val="24"/>
          <w:szCs w:val="24"/>
        </w:rPr>
        <w:t>Gjykata</w:t>
      </w:r>
      <w:r w:rsidRPr="000A1A30">
        <w:rPr>
          <w:rFonts w:ascii="Garamond" w:hAnsi="Garamond" w:cs="Times New Roman"/>
          <w:spacing w:val="15"/>
          <w:sz w:val="24"/>
          <w:szCs w:val="24"/>
        </w:rPr>
        <w:t xml:space="preserve">) me vendimin nr. </w:t>
      </w:r>
      <w:r w:rsidR="000A1A30">
        <w:rPr>
          <w:rFonts w:ascii="Garamond" w:hAnsi="Garamond" w:cs="Times New Roman"/>
          <w:sz w:val="24"/>
          <w:szCs w:val="24"/>
        </w:rPr>
        <w:t>5, datë 5.</w:t>
      </w:r>
      <w:r w:rsidRPr="000A1A30">
        <w:rPr>
          <w:rFonts w:ascii="Garamond" w:hAnsi="Garamond" w:cs="Times New Roman"/>
          <w:sz w:val="24"/>
          <w:szCs w:val="24"/>
        </w:rPr>
        <w:t>2.2014 (</w:t>
      </w:r>
      <w:r w:rsidRPr="000A1A30">
        <w:rPr>
          <w:rFonts w:ascii="Garamond" w:hAnsi="Garamond" w:cs="Times New Roman"/>
          <w:i/>
          <w:iCs/>
          <w:sz w:val="24"/>
          <w:szCs w:val="24"/>
        </w:rPr>
        <w:t>vendimi nr. 5/2014</w:t>
      </w:r>
      <w:r w:rsidRPr="000A1A30">
        <w:rPr>
          <w:rFonts w:ascii="Garamond" w:hAnsi="Garamond" w:cs="Times New Roman"/>
          <w:sz w:val="24"/>
          <w:szCs w:val="24"/>
        </w:rPr>
        <w:t>), i cili ka hyrë në fuqi në ditën e botimit në Fl</w:t>
      </w:r>
      <w:r w:rsidR="000A1A30">
        <w:rPr>
          <w:rFonts w:ascii="Garamond" w:hAnsi="Garamond" w:cs="Times New Roman"/>
          <w:sz w:val="24"/>
          <w:szCs w:val="24"/>
        </w:rPr>
        <w:t>etoren Zyrtare nr. 18, datë 26.</w:t>
      </w:r>
      <w:r w:rsidRPr="000A1A30">
        <w:rPr>
          <w:rFonts w:ascii="Garamond" w:hAnsi="Garamond" w:cs="Times New Roman"/>
          <w:sz w:val="24"/>
          <w:szCs w:val="24"/>
        </w:rPr>
        <w:t>2.2014.</w:t>
      </w:r>
    </w:p>
    <w:p w14:paraId="2AA328E2" w14:textId="6EF7CF74"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3. Në datën 23.10.2014</w:t>
      </w:r>
      <w:r w:rsidR="000A1A30">
        <w:rPr>
          <w:rFonts w:ascii="Garamond" w:hAnsi="Garamond" w:cs="Times New Roman"/>
          <w:sz w:val="24"/>
          <w:szCs w:val="24"/>
        </w:rPr>
        <w:t>,</w:t>
      </w:r>
      <w:r w:rsidRPr="000A1A30">
        <w:rPr>
          <w:rFonts w:ascii="Garamond" w:hAnsi="Garamond" w:cs="Times New Roman"/>
          <w:sz w:val="24"/>
          <w:szCs w:val="24"/>
        </w:rPr>
        <w:t xml:space="preserve"> kërkuesi i është drejtuar Gjykatës Administrative të Shkallës së Parë Tiranë, duke paditur Ministrinë e Drejtësisë e duke thirrur si person të tretë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-in me kërkesëpadi, me objekt konstatimin e pavlefshmërisë absolut</w:t>
      </w:r>
      <w:r w:rsidR="000A1A30">
        <w:rPr>
          <w:rFonts w:ascii="Garamond" w:hAnsi="Garamond" w:cs="Times New Roman"/>
          <w:sz w:val="24"/>
          <w:szCs w:val="24"/>
        </w:rPr>
        <w:t xml:space="preserve">e të urdhrit nr. 413/4/1, datë </w:t>
      </w:r>
      <w:r w:rsidRPr="000A1A30">
        <w:rPr>
          <w:rFonts w:ascii="Garamond" w:hAnsi="Garamond" w:cs="Times New Roman"/>
          <w:sz w:val="24"/>
          <w:szCs w:val="24"/>
        </w:rPr>
        <w:t>1.11.2013</w:t>
      </w:r>
      <w:r w:rsidR="000A1A30">
        <w:rPr>
          <w:rFonts w:ascii="Garamond" w:hAnsi="Garamond" w:cs="Times New Roman"/>
          <w:sz w:val="24"/>
          <w:szCs w:val="24"/>
        </w:rPr>
        <w:t>,</w:t>
      </w:r>
      <w:r w:rsidRPr="000A1A30">
        <w:rPr>
          <w:rFonts w:ascii="Garamond" w:hAnsi="Garamond" w:cs="Times New Roman"/>
          <w:sz w:val="24"/>
          <w:szCs w:val="24"/>
        </w:rPr>
        <w:t xml:space="preserve"> të ministrit të Drejtësisë, të shkresës nr. 413/4 </w:t>
      </w:r>
      <w:proofErr w:type="spellStart"/>
      <w:r w:rsidRPr="000A1A30">
        <w:rPr>
          <w:rFonts w:ascii="Garamond" w:hAnsi="Garamond" w:cs="Times New Roman"/>
          <w:sz w:val="24"/>
          <w:szCs w:val="24"/>
        </w:rPr>
        <w:t>prot</w:t>
      </w:r>
      <w:proofErr w:type="spellEnd"/>
      <w:r w:rsidRPr="000A1A30">
        <w:rPr>
          <w:rFonts w:ascii="Garamond" w:hAnsi="Garamond" w:cs="Times New Roman"/>
          <w:sz w:val="24"/>
          <w:szCs w:val="24"/>
        </w:rPr>
        <w:t>., datë 21.10.2013</w:t>
      </w:r>
      <w:r w:rsidR="000A1A30">
        <w:rPr>
          <w:rFonts w:ascii="Garamond" w:hAnsi="Garamond" w:cs="Times New Roman"/>
          <w:sz w:val="24"/>
          <w:szCs w:val="24"/>
        </w:rPr>
        <w:t>,</w:t>
      </w:r>
      <w:r w:rsidRPr="000A1A30">
        <w:rPr>
          <w:rFonts w:ascii="Garamond" w:hAnsi="Garamond" w:cs="Times New Roman"/>
          <w:sz w:val="24"/>
          <w:szCs w:val="24"/>
        </w:rPr>
        <w:t xml:space="preserve"> të ministrit të Drejtësisë dhe zgjidhjen e pasojave nëpërmjet sistemimit në një pozicion pune sipas strukturës së re, si edhe pagimin e pagës së plotë nga momenti i ndërprerjes së marrëdhënieve financiare, deri në ekzekutimin e vendimit gjyqësor.</w:t>
      </w:r>
    </w:p>
    <w:p w14:paraId="50642FE8" w14:textId="14C43029"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4. Gjykata Administrative e Shkallës së Parë Tiranë, me vendimin</w:t>
      </w:r>
      <w:r w:rsidRPr="000A1A30">
        <w:rPr>
          <w:rFonts w:ascii="Garamond" w:hAnsi="Garamond" w:cs="Times New Roman"/>
          <w:b/>
          <w:bCs/>
          <w:sz w:val="24"/>
          <w:szCs w:val="24"/>
        </w:rPr>
        <w:t xml:space="preserve"> </w:t>
      </w:r>
      <w:r w:rsidR="000A1A30">
        <w:rPr>
          <w:rFonts w:ascii="Garamond" w:hAnsi="Garamond" w:cs="Times New Roman"/>
          <w:sz w:val="24"/>
          <w:szCs w:val="24"/>
        </w:rPr>
        <w:t xml:space="preserve">nr. 2967, datë </w:t>
      </w:r>
      <w:r w:rsidRPr="000A1A30">
        <w:rPr>
          <w:rFonts w:ascii="Garamond" w:hAnsi="Garamond" w:cs="Times New Roman"/>
          <w:sz w:val="24"/>
          <w:szCs w:val="24"/>
        </w:rPr>
        <w:t>2</w:t>
      </w:r>
      <w:r w:rsidR="000A1A30">
        <w:rPr>
          <w:rFonts w:ascii="Garamond" w:hAnsi="Garamond" w:cs="Times New Roman"/>
          <w:sz w:val="24"/>
          <w:szCs w:val="24"/>
        </w:rPr>
        <w:t>.</w:t>
      </w:r>
      <w:r w:rsidRPr="000A1A30">
        <w:rPr>
          <w:rFonts w:ascii="Garamond" w:hAnsi="Garamond" w:cs="Times New Roman"/>
          <w:sz w:val="24"/>
          <w:szCs w:val="24"/>
        </w:rPr>
        <w:t>6.2015, ka vendosur: i</w:t>
      </w:r>
      <w:r w:rsidR="000A1A30">
        <w:rPr>
          <w:rFonts w:ascii="Garamond" w:hAnsi="Garamond" w:cs="Times New Roman"/>
          <w:sz w:val="24"/>
          <w:szCs w:val="24"/>
        </w:rPr>
        <w:t>.</w:t>
      </w:r>
      <w:r w:rsidRPr="000A1A30">
        <w:rPr>
          <w:rFonts w:ascii="Garamond" w:hAnsi="Garamond" w:cs="Times New Roman"/>
          <w:sz w:val="24"/>
          <w:szCs w:val="24"/>
        </w:rPr>
        <w:t xml:space="preserve"> pranimin e kërkesëpadisë; </w:t>
      </w:r>
      <w:proofErr w:type="spellStart"/>
      <w:r w:rsidRPr="000A1A30">
        <w:rPr>
          <w:rFonts w:ascii="Garamond" w:hAnsi="Garamond" w:cs="Times New Roman"/>
          <w:sz w:val="24"/>
          <w:szCs w:val="24"/>
        </w:rPr>
        <w:t>ii</w:t>
      </w:r>
      <w:proofErr w:type="spellEnd"/>
      <w:r w:rsidR="000A1A30">
        <w:rPr>
          <w:rFonts w:ascii="Garamond" w:hAnsi="Garamond" w:cs="Times New Roman"/>
          <w:sz w:val="24"/>
          <w:szCs w:val="24"/>
        </w:rPr>
        <w:t>.</w:t>
      </w:r>
      <w:r w:rsidRPr="000A1A30">
        <w:rPr>
          <w:rFonts w:ascii="Garamond" w:hAnsi="Garamond" w:cs="Times New Roman"/>
          <w:sz w:val="24"/>
          <w:szCs w:val="24"/>
        </w:rPr>
        <w:t xml:space="preserve"> konstatimin e pavlefshmërisë absolute të u</w:t>
      </w:r>
      <w:r w:rsidR="000A1A30">
        <w:rPr>
          <w:rFonts w:ascii="Garamond" w:hAnsi="Garamond" w:cs="Times New Roman"/>
          <w:sz w:val="24"/>
          <w:szCs w:val="24"/>
        </w:rPr>
        <w:t xml:space="preserve">rdhrit nr. 413/4/1 </w:t>
      </w:r>
      <w:proofErr w:type="spellStart"/>
      <w:r w:rsidR="000A1A30">
        <w:rPr>
          <w:rFonts w:ascii="Garamond" w:hAnsi="Garamond" w:cs="Times New Roman"/>
          <w:sz w:val="24"/>
          <w:szCs w:val="24"/>
        </w:rPr>
        <w:t>prot</w:t>
      </w:r>
      <w:proofErr w:type="spellEnd"/>
      <w:r w:rsidR="000A1A30">
        <w:rPr>
          <w:rFonts w:ascii="Garamond" w:hAnsi="Garamond" w:cs="Times New Roman"/>
          <w:sz w:val="24"/>
          <w:szCs w:val="24"/>
        </w:rPr>
        <w:t xml:space="preserve">., datë </w:t>
      </w:r>
      <w:r w:rsidRPr="000A1A30">
        <w:rPr>
          <w:rFonts w:ascii="Garamond" w:hAnsi="Garamond" w:cs="Times New Roman"/>
          <w:sz w:val="24"/>
          <w:szCs w:val="24"/>
        </w:rPr>
        <w:t>1.11.2013</w:t>
      </w:r>
      <w:r w:rsidR="000A1A30">
        <w:rPr>
          <w:rFonts w:ascii="Garamond" w:hAnsi="Garamond" w:cs="Times New Roman"/>
          <w:sz w:val="24"/>
          <w:szCs w:val="24"/>
        </w:rPr>
        <w:t>,</w:t>
      </w:r>
      <w:r w:rsidRPr="000A1A30">
        <w:rPr>
          <w:rFonts w:ascii="Garamond" w:hAnsi="Garamond" w:cs="Times New Roman"/>
          <w:sz w:val="24"/>
          <w:szCs w:val="24"/>
        </w:rPr>
        <w:t xml:space="preserve"> të ministrit të Drejtësisë “Për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të kërkuesit; </w:t>
      </w:r>
      <w:proofErr w:type="spellStart"/>
      <w:r w:rsidRPr="000A1A30">
        <w:rPr>
          <w:rFonts w:ascii="Garamond" w:hAnsi="Garamond" w:cs="Times New Roman"/>
          <w:sz w:val="24"/>
          <w:szCs w:val="24"/>
        </w:rPr>
        <w:t>iii</w:t>
      </w:r>
      <w:proofErr w:type="spellEnd"/>
      <w:r w:rsidR="000A1A30">
        <w:rPr>
          <w:rFonts w:ascii="Garamond" w:hAnsi="Garamond" w:cs="Times New Roman"/>
          <w:sz w:val="24"/>
          <w:szCs w:val="24"/>
        </w:rPr>
        <w:t>.</w:t>
      </w:r>
      <w:r w:rsidRPr="000A1A30">
        <w:rPr>
          <w:rFonts w:ascii="Garamond" w:hAnsi="Garamond" w:cs="Times New Roman"/>
          <w:sz w:val="24"/>
          <w:szCs w:val="24"/>
        </w:rPr>
        <w:t xml:space="preserve"> detyrimin e Ministrisë së Drejtësisë dhe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-it të </w:t>
      </w:r>
      <w:proofErr w:type="spellStart"/>
      <w:r w:rsidRPr="000A1A30">
        <w:rPr>
          <w:rFonts w:ascii="Garamond" w:hAnsi="Garamond" w:cs="Times New Roman"/>
          <w:sz w:val="24"/>
          <w:szCs w:val="24"/>
        </w:rPr>
        <w:t>ripozicionojnë</w:t>
      </w:r>
      <w:proofErr w:type="spellEnd"/>
      <w:r w:rsidRPr="000A1A30">
        <w:rPr>
          <w:rFonts w:ascii="Garamond" w:hAnsi="Garamond" w:cs="Times New Roman"/>
          <w:sz w:val="24"/>
          <w:szCs w:val="24"/>
        </w:rPr>
        <w:t xml:space="preserve"> kërkuesin në shërbimin civil, duke e kthyer në vendin e mëparshëm të punës dhe, vetëm në pamundësi, në një pozicion tjetër ekuivalent në Ministrinë e Drejtësisë ose në institucione të tjera, në përputhje me kualifikimet dhe statusin e tij si nëpunës civil; </w:t>
      </w:r>
      <w:proofErr w:type="spellStart"/>
      <w:r w:rsidRPr="000A1A30">
        <w:rPr>
          <w:rFonts w:ascii="Garamond" w:hAnsi="Garamond" w:cs="Times New Roman"/>
          <w:sz w:val="24"/>
          <w:szCs w:val="24"/>
        </w:rPr>
        <w:t>iv</w:t>
      </w:r>
      <w:proofErr w:type="spellEnd"/>
      <w:r w:rsidR="000A1A30">
        <w:rPr>
          <w:rFonts w:ascii="Garamond" w:hAnsi="Garamond" w:cs="Times New Roman"/>
          <w:sz w:val="24"/>
          <w:szCs w:val="24"/>
        </w:rPr>
        <w:t>.</w:t>
      </w:r>
      <w:r w:rsidRPr="000A1A30">
        <w:rPr>
          <w:rFonts w:ascii="Garamond" w:hAnsi="Garamond" w:cs="Times New Roman"/>
          <w:sz w:val="24"/>
          <w:szCs w:val="24"/>
        </w:rPr>
        <w:t xml:space="preserve"> detyrimin e Ministrisë së Drejtësisë t’i paguajë kërkuesit pagën nga momenti i ndërprerjes së marrëdhënieve financiare deri në rikthimin e tij në punë.</w:t>
      </w:r>
    </w:p>
    <w:p w14:paraId="2E8EADE6" w14:textId="594DCCF7"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5. Pas ankimit të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-it dhe të Avokaturës së Shtetit, Gjykata Administrative e Apelit, me vendimin nr.</w:t>
      </w:r>
      <w:r w:rsidR="000A1A30">
        <w:rPr>
          <w:rFonts w:ascii="Garamond" w:hAnsi="Garamond" w:cs="Times New Roman"/>
          <w:sz w:val="24"/>
          <w:szCs w:val="24"/>
        </w:rPr>
        <w:t xml:space="preserve"> 1805, datë 26.</w:t>
      </w:r>
      <w:r w:rsidRPr="000A1A30">
        <w:rPr>
          <w:rFonts w:ascii="Garamond" w:hAnsi="Garamond" w:cs="Times New Roman"/>
          <w:sz w:val="24"/>
          <w:szCs w:val="24"/>
        </w:rPr>
        <w:t>4.2018, ka vendosur lënien në f</w:t>
      </w:r>
      <w:r w:rsidR="000A1A30">
        <w:rPr>
          <w:rFonts w:ascii="Garamond" w:hAnsi="Garamond" w:cs="Times New Roman"/>
          <w:sz w:val="24"/>
          <w:szCs w:val="24"/>
        </w:rPr>
        <w:t>uqi të vendimit nr. 2967, datë 2.</w:t>
      </w:r>
      <w:r w:rsidRPr="000A1A30">
        <w:rPr>
          <w:rFonts w:ascii="Garamond" w:hAnsi="Garamond" w:cs="Times New Roman"/>
          <w:sz w:val="24"/>
          <w:szCs w:val="24"/>
        </w:rPr>
        <w:t>6.2015</w:t>
      </w:r>
      <w:r w:rsidR="000A1A30">
        <w:rPr>
          <w:rFonts w:ascii="Garamond" w:hAnsi="Garamond" w:cs="Times New Roman"/>
          <w:sz w:val="24"/>
          <w:szCs w:val="24"/>
        </w:rPr>
        <w:t>,</w:t>
      </w:r>
      <w:r w:rsidRPr="000A1A30">
        <w:rPr>
          <w:rFonts w:ascii="Garamond" w:hAnsi="Garamond" w:cs="Times New Roman"/>
          <w:sz w:val="24"/>
          <w:szCs w:val="24"/>
        </w:rPr>
        <w:t xml:space="preserve"> të Gjykatës Administrative të Shkallës së Parë Tiranë. Për</w:t>
      </w:r>
      <w:r w:rsidR="00170EF7">
        <w:rPr>
          <w:rFonts w:ascii="Garamond" w:hAnsi="Garamond" w:cs="Times New Roman"/>
          <w:sz w:val="24"/>
          <w:szCs w:val="24"/>
        </w:rPr>
        <w:t xml:space="preserve"> </w:t>
      </w:r>
      <w:r w:rsidRPr="000A1A30">
        <w:rPr>
          <w:rFonts w:ascii="Garamond" w:hAnsi="Garamond" w:cs="Times New Roman"/>
          <w:sz w:val="24"/>
          <w:szCs w:val="24"/>
        </w:rPr>
        <w:t xml:space="preserve">rekurset e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-it</w:t>
      </w:r>
      <w:r w:rsidR="000A1A30">
        <w:rPr>
          <w:rFonts w:ascii="Garamond" w:hAnsi="Garamond" w:cs="Times New Roman"/>
          <w:sz w:val="24"/>
          <w:szCs w:val="24"/>
        </w:rPr>
        <w:t>,</w:t>
      </w:r>
      <w:r w:rsidRPr="000A1A30">
        <w:rPr>
          <w:rFonts w:ascii="Garamond" w:hAnsi="Garamond" w:cs="Times New Roman"/>
          <w:sz w:val="24"/>
          <w:szCs w:val="24"/>
        </w:rPr>
        <w:t xml:space="preserve"> në da</w:t>
      </w:r>
      <w:r w:rsidR="000A1A30">
        <w:rPr>
          <w:rFonts w:ascii="Garamond" w:hAnsi="Garamond" w:cs="Times New Roman"/>
          <w:sz w:val="24"/>
          <w:szCs w:val="24"/>
        </w:rPr>
        <w:t>tën 30.</w:t>
      </w:r>
      <w:r w:rsidRPr="000A1A30">
        <w:rPr>
          <w:rFonts w:ascii="Garamond" w:hAnsi="Garamond" w:cs="Times New Roman"/>
          <w:sz w:val="24"/>
          <w:szCs w:val="24"/>
        </w:rPr>
        <w:t>5.2018</w:t>
      </w:r>
      <w:r w:rsidR="000A1A30">
        <w:rPr>
          <w:rFonts w:ascii="Garamond" w:hAnsi="Garamond" w:cs="Times New Roman"/>
          <w:sz w:val="24"/>
          <w:szCs w:val="24"/>
        </w:rPr>
        <w:t>,</w:t>
      </w:r>
      <w:r w:rsidRPr="000A1A30">
        <w:rPr>
          <w:rFonts w:ascii="Garamond" w:hAnsi="Garamond" w:cs="Times New Roman"/>
          <w:sz w:val="24"/>
          <w:szCs w:val="24"/>
        </w:rPr>
        <w:t xml:space="preserve"> dhe të </w:t>
      </w:r>
      <w:r w:rsidR="000A1A30">
        <w:rPr>
          <w:rFonts w:ascii="Garamond" w:hAnsi="Garamond" w:cs="Times New Roman"/>
          <w:sz w:val="24"/>
          <w:szCs w:val="24"/>
        </w:rPr>
        <w:t>Avokaturës së Shtetit, në datën 6.</w:t>
      </w:r>
      <w:r w:rsidRPr="000A1A30">
        <w:rPr>
          <w:rFonts w:ascii="Garamond" w:hAnsi="Garamond" w:cs="Times New Roman"/>
          <w:sz w:val="24"/>
          <w:szCs w:val="24"/>
        </w:rPr>
        <w:t>6.2018, Kolegji Administrativ i Gjykatës së Lartë</w:t>
      </w:r>
      <w:r w:rsidR="000A1A30">
        <w:rPr>
          <w:rFonts w:ascii="Garamond" w:hAnsi="Garamond" w:cs="Times New Roman"/>
          <w:sz w:val="24"/>
          <w:szCs w:val="24"/>
        </w:rPr>
        <w:t>,</w:t>
      </w:r>
      <w:r w:rsidRPr="000A1A30">
        <w:rPr>
          <w:rFonts w:ascii="Garamond" w:hAnsi="Garamond" w:cs="Times New Roman"/>
          <w:sz w:val="24"/>
          <w:szCs w:val="24"/>
        </w:rPr>
        <w:t xml:space="preserve"> me vendimin </w:t>
      </w:r>
      <w:r w:rsidR="000A1A30">
        <w:rPr>
          <w:rFonts w:ascii="Garamond" w:hAnsi="Garamond" w:cs="Times New Roman"/>
          <w:sz w:val="24"/>
          <w:szCs w:val="24"/>
        </w:rPr>
        <w:t>nr. 00-2025-826 (100), datë 6.</w:t>
      </w:r>
      <w:r w:rsidRPr="000A1A30">
        <w:rPr>
          <w:rFonts w:ascii="Garamond" w:hAnsi="Garamond" w:cs="Times New Roman"/>
          <w:sz w:val="24"/>
          <w:szCs w:val="24"/>
        </w:rPr>
        <w:t>3.2025, ka vendosur ndryshimin e vendimeve nr.</w:t>
      </w:r>
      <w:r w:rsidR="000A1A30">
        <w:rPr>
          <w:rFonts w:ascii="Garamond" w:hAnsi="Garamond" w:cs="Times New Roman"/>
          <w:sz w:val="24"/>
          <w:szCs w:val="24"/>
        </w:rPr>
        <w:t xml:space="preserve"> 1805, datë 26.</w:t>
      </w:r>
      <w:r w:rsidRPr="000A1A30">
        <w:rPr>
          <w:rFonts w:ascii="Garamond" w:hAnsi="Garamond" w:cs="Times New Roman"/>
          <w:sz w:val="24"/>
          <w:szCs w:val="24"/>
        </w:rPr>
        <w:t>4.2018</w:t>
      </w:r>
      <w:r w:rsidR="000A1A30">
        <w:rPr>
          <w:rFonts w:ascii="Garamond" w:hAnsi="Garamond" w:cs="Times New Roman"/>
          <w:sz w:val="24"/>
          <w:szCs w:val="24"/>
        </w:rPr>
        <w:t>,</w:t>
      </w:r>
      <w:r w:rsidRPr="000A1A30">
        <w:rPr>
          <w:rFonts w:ascii="Garamond" w:hAnsi="Garamond" w:cs="Times New Roman"/>
          <w:sz w:val="24"/>
          <w:szCs w:val="24"/>
        </w:rPr>
        <w:t xml:space="preserve"> të Gjykatës Administrative të Apelit </w:t>
      </w:r>
      <w:r w:rsidR="000A1A30">
        <w:rPr>
          <w:rFonts w:ascii="Garamond" w:hAnsi="Garamond" w:cs="Times New Roman"/>
          <w:sz w:val="24"/>
          <w:szCs w:val="24"/>
        </w:rPr>
        <w:t>dhe nr. 2967, datë 2.</w:t>
      </w:r>
      <w:r w:rsidRPr="000A1A30">
        <w:rPr>
          <w:rFonts w:ascii="Garamond" w:hAnsi="Garamond" w:cs="Times New Roman"/>
          <w:sz w:val="24"/>
          <w:szCs w:val="24"/>
        </w:rPr>
        <w:t>6.2015</w:t>
      </w:r>
      <w:r w:rsidR="000A1A30">
        <w:rPr>
          <w:rFonts w:ascii="Garamond" w:hAnsi="Garamond" w:cs="Times New Roman"/>
          <w:sz w:val="24"/>
          <w:szCs w:val="24"/>
        </w:rPr>
        <w:t>,</w:t>
      </w:r>
      <w:r w:rsidRPr="000A1A30">
        <w:rPr>
          <w:rFonts w:ascii="Garamond" w:hAnsi="Garamond" w:cs="Times New Roman"/>
          <w:sz w:val="24"/>
          <w:szCs w:val="24"/>
        </w:rPr>
        <w:t xml:space="preserve"> të Gjykatës Administrative të Shkallës së Parë Tiranë, si dhe rrëzimin e padisë.</w:t>
      </w:r>
    </w:p>
    <w:p w14:paraId="32B2297F" w14:textId="0090F3FD"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6. Gjatë kohës që rekursi i subjekteve të interesuara ishte ende në shqyrtim</w:t>
      </w:r>
      <w:r w:rsidR="000A1A30">
        <w:rPr>
          <w:rFonts w:ascii="Garamond" w:hAnsi="Garamond" w:cs="Times New Roman"/>
          <w:sz w:val="24"/>
          <w:szCs w:val="24"/>
        </w:rPr>
        <w:t xml:space="preserve"> në Gjykatën e Lartë, në datën 6.</w:t>
      </w:r>
      <w:r w:rsidRPr="000A1A30">
        <w:rPr>
          <w:rFonts w:ascii="Garamond" w:hAnsi="Garamond" w:cs="Times New Roman"/>
          <w:sz w:val="24"/>
          <w:szCs w:val="24"/>
        </w:rPr>
        <w:t>7.2018</w:t>
      </w:r>
      <w:r w:rsidR="000A1A30">
        <w:rPr>
          <w:rFonts w:ascii="Garamond" w:hAnsi="Garamond" w:cs="Times New Roman"/>
          <w:sz w:val="24"/>
          <w:szCs w:val="24"/>
        </w:rPr>
        <w:t>,</w:t>
      </w:r>
      <w:r w:rsidRPr="000A1A30">
        <w:rPr>
          <w:rFonts w:ascii="Garamond" w:hAnsi="Garamond" w:cs="Times New Roman"/>
          <w:sz w:val="24"/>
          <w:szCs w:val="24"/>
        </w:rPr>
        <w:t xml:space="preserve"> kërkuesi është ftuar nga Ministria e Drejtësisë duke iu komunikuar gatishmëria për të ekzekutuar vendimin gjyqësor të formës së prerë të Gjykatës Administrative të Apelit, me kusht që të hiqte dorë nga kërkimi për rikthimin në detyrë. Në lidhje me këtë propozim, në prani të komisionit të posaçëm, në proc</w:t>
      </w:r>
      <w:r w:rsidR="000A1A30">
        <w:rPr>
          <w:rFonts w:ascii="Garamond" w:hAnsi="Garamond" w:cs="Times New Roman"/>
          <w:sz w:val="24"/>
          <w:szCs w:val="24"/>
        </w:rPr>
        <w:t>esverbalin nr. 5113/4, datë 6.</w:t>
      </w:r>
      <w:r w:rsidRPr="000A1A30">
        <w:rPr>
          <w:rFonts w:ascii="Garamond" w:hAnsi="Garamond" w:cs="Times New Roman"/>
          <w:sz w:val="24"/>
          <w:szCs w:val="24"/>
        </w:rPr>
        <w:t>7.2018, nga kërkuesi është nënshkruar deklarata përkatëse. Në muajin dhjetor të vitit 2019 kërkuesi e ka marrë dëmshpërblimin e plotë të pagës sipas detyrimit që përcaktonte vendimi gjyqësor.</w:t>
      </w:r>
    </w:p>
    <w:p w14:paraId="77EEB7E9" w14:textId="4FC891C2"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7. Kërkuesi</w:t>
      </w:r>
      <w:r w:rsidR="000A1A30">
        <w:rPr>
          <w:rFonts w:ascii="Garamond" w:hAnsi="Garamond" w:cs="Times New Roman"/>
          <w:sz w:val="24"/>
          <w:szCs w:val="24"/>
        </w:rPr>
        <w:t>, në datën 23.</w:t>
      </w:r>
      <w:r w:rsidRPr="000A1A30">
        <w:rPr>
          <w:rFonts w:ascii="Garamond" w:hAnsi="Garamond" w:cs="Times New Roman"/>
          <w:sz w:val="24"/>
          <w:szCs w:val="24"/>
        </w:rPr>
        <w:t>7.2025</w:t>
      </w:r>
      <w:r w:rsidR="000A1A30">
        <w:rPr>
          <w:rFonts w:ascii="Garamond" w:hAnsi="Garamond" w:cs="Times New Roman"/>
          <w:sz w:val="24"/>
          <w:szCs w:val="24"/>
        </w:rPr>
        <w:t>,</w:t>
      </w:r>
      <w:r w:rsidRPr="000A1A30">
        <w:rPr>
          <w:rFonts w:ascii="Garamond" w:hAnsi="Garamond" w:cs="Times New Roman"/>
          <w:sz w:val="24"/>
          <w:szCs w:val="24"/>
        </w:rPr>
        <w:t xml:space="preserve"> i është drejtuar Gjykatës me kërkesë, sipas objektit. Kolegji i Gjykatës</w:t>
      </w:r>
      <w:r w:rsidR="000A1A30">
        <w:rPr>
          <w:rFonts w:ascii="Garamond" w:hAnsi="Garamond" w:cs="Times New Roman"/>
          <w:sz w:val="24"/>
          <w:szCs w:val="24"/>
        </w:rPr>
        <w:t>,</w:t>
      </w:r>
      <w:r w:rsidRPr="000A1A30">
        <w:rPr>
          <w:rFonts w:ascii="Garamond" w:hAnsi="Garamond" w:cs="Times New Roman"/>
          <w:sz w:val="24"/>
          <w:szCs w:val="24"/>
        </w:rPr>
        <w:t xml:space="preserve"> në datën 24.10.2025, gjatë shqyrtimit paraprak, ka vendosur kalimin e çështjes për shqyrtim në Mbledhjen e Gjyqtarëve, e cila, me vendimin e datës 10.11.2025, ka vendosur kalimin e çështjes për shqyrtim në seancë plenare mbi bazë të dokumenteve, si dhe shqyrtimin në seancën plenare të kërkesës për pezullimin e ekzekutimit të</w:t>
      </w:r>
      <w:r w:rsidR="000A1A30">
        <w:rPr>
          <w:rFonts w:ascii="Garamond" w:hAnsi="Garamond" w:cs="Times New Roman"/>
          <w:sz w:val="24"/>
          <w:szCs w:val="24"/>
        </w:rPr>
        <w:t xml:space="preserve"> vendimit të Gjykatës së Lartë.</w:t>
      </w:r>
    </w:p>
    <w:p w14:paraId="1C12707D" w14:textId="4F996901" w:rsidR="006A122A" w:rsidRPr="000A1A30" w:rsidRDefault="000A1A30" w:rsidP="006A122A">
      <w:pPr>
        <w:pStyle w:val="ListParagraph"/>
        <w:tabs>
          <w:tab w:val="left" w:pos="1080"/>
        </w:tabs>
        <w:spacing w:after="0" w:line="240" w:lineRule="auto"/>
        <w:ind w:left="0" w:firstLine="284"/>
        <w:jc w:val="both"/>
        <w:rPr>
          <w:rFonts w:ascii="Garamond" w:hAnsi="Garamond" w:cs="Times New Roman"/>
          <w:sz w:val="24"/>
          <w:szCs w:val="24"/>
        </w:rPr>
      </w:pPr>
      <w:r>
        <w:rPr>
          <w:rFonts w:ascii="Garamond" w:hAnsi="Garamond" w:cs="Times New Roman"/>
          <w:sz w:val="24"/>
          <w:szCs w:val="24"/>
        </w:rPr>
        <w:t>8. Në datën 30.</w:t>
      </w:r>
      <w:r w:rsidR="006A122A" w:rsidRPr="000A1A30">
        <w:rPr>
          <w:rFonts w:ascii="Garamond" w:hAnsi="Garamond" w:cs="Times New Roman"/>
          <w:sz w:val="24"/>
          <w:szCs w:val="24"/>
        </w:rPr>
        <w:t>4.2026</w:t>
      </w:r>
      <w:r>
        <w:rPr>
          <w:rFonts w:ascii="Garamond" w:hAnsi="Garamond" w:cs="Times New Roman"/>
          <w:sz w:val="24"/>
          <w:szCs w:val="24"/>
        </w:rPr>
        <w:t>,</w:t>
      </w:r>
      <w:r w:rsidR="006A122A" w:rsidRPr="000A1A30">
        <w:rPr>
          <w:rFonts w:ascii="Garamond" w:hAnsi="Garamond" w:cs="Times New Roman"/>
          <w:sz w:val="24"/>
          <w:szCs w:val="24"/>
        </w:rPr>
        <w:t xml:space="preserve"> një gjyqtar i Gjykatës ka paraqitur kërkesë për heqjen dorë nga shqyrtimi i çështjes. Mbledhja e Gjyqtarëve, me vendim të po kësaj date, ka vendosur pranimin e kërkesës, duke vlerësuar se gjyqtari gjendej përpara rastit të parashikuar në nenin 36, pika 1, shkronja ç”, të Ligjit Organik të Gjykatës dhe nenit 18, pika 1, shkronja “ç”, të Rregullores për Procedurat Gjyqësore të Gjykatës Kushtetuese.</w:t>
      </w:r>
    </w:p>
    <w:p w14:paraId="0A723538" w14:textId="77777777"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p>
    <w:p w14:paraId="5A705599" w14:textId="3E26423A" w:rsidR="006A122A" w:rsidRPr="000A1A30" w:rsidRDefault="006A122A" w:rsidP="006A122A">
      <w:pPr>
        <w:tabs>
          <w:tab w:val="center" w:pos="4500"/>
          <w:tab w:val="left" w:pos="5100"/>
        </w:tabs>
        <w:spacing w:after="0" w:line="240" w:lineRule="auto"/>
        <w:ind w:firstLine="284"/>
        <w:jc w:val="center"/>
        <w:rPr>
          <w:rFonts w:ascii="Garamond" w:hAnsi="Garamond" w:cs="Times New Roman"/>
          <w:b/>
          <w:bCs/>
          <w:sz w:val="24"/>
          <w:szCs w:val="24"/>
        </w:rPr>
      </w:pPr>
      <w:proofErr w:type="spellStart"/>
      <w:r w:rsidRPr="000A1A30">
        <w:rPr>
          <w:rFonts w:ascii="Garamond" w:hAnsi="Garamond" w:cs="Times New Roman"/>
          <w:b/>
          <w:bCs/>
          <w:sz w:val="24"/>
          <w:szCs w:val="24"/>
        </w:rPr>
        <w:t>II</w:t>
      </w:r>
      <w:proofErr w:type="spellEnd"/>
    </w:p>
    <w:p w14:paraId="2290A786" w14:textId="77777777" w:rsidR="006A122A" w:rsidRPr="000A1A30" w:rsidRDefault="006A122A" w:rsidP="006A122A">
      <w:pPr>
        <w:tabs>
          <w:tab w:val="left" w:pos="1080"/>
        </w:tabs>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Pretendimet në Gjykatën Kushtetuese</w:t>
      </w:r>
    </w:p>
    <w:p w14:paraId="6EACE005" w14:textId="77777777" w:rsidR="006A122A" w:rsidRPr="000A1A30" w:rsidRDefault="006A122A" w:rsidP="006A122A">
      <w:pPr>
        <w:pStyle w:val="BodyText"/>
        <w:tabs>
          <w:tab w:val="left" w:pos="1080"/>
        </w:tabs>
        <w:spacing w:after="0" w:line="240" w:lineRule="auto"/>
        <w:ind w:firstLine="284"/>
        <w:rPr>
          <w:rFonts w:ascii="Garamond" w:hAnsi="Garamond" w:cs="Times New Roman"/>
          <w:b/>
          <w:bCs/>
          <w:color w:val="222222"/>
          <w:sz w:val="24"/>
          <w:szCs w:val="24"/>
        </w:rPr>
      </w:pPr>
    </w:p>
    <w:p w14:paraId="22778A76" w14:textId="5CC78E59" w:rsidR="006A122A" w:rsidRPr="000A1A30" w:rsidRDefault="006A122A" w:rsidP="006A122A">
      <w:pPr>
        <w:pStyle w:val="BodyText"/>
        <w:tabs>
          <w:tab w:val="left" w:pos="1080"/>
        </w:tabs>
        <w:spacing w:after="0" w:line="240" w:lineRule="auto"/>
        <w:ind w:firstLine="284"/>
        <w:rPr>
          <w:rFonts w:ascii="Garamond" w:hAnsi="Garamond" w:cs="Times New Roman"/>
          <w:i/>
          <w:iCs/>
          <w:sz w:val="24"/>
          <w:szCs w:val="24"/>
        </w:rPr>
      </w:pPr>
      <w:r w:rsidRPr="000A1A30">
        <w:rPr>
          <w:rFonts w:ascii="Garamond" w:hAnsi="Garamond" w:cs="Times New Roman"/>
          <w:b/>
          <w:bCs/>
          <w:color w:val="222222"/>
          <w:sz w:val="24"/>
          <w:szCs w:val="24"/>
        </w:rPr>
        <w:t xml:space="preserve">9. </w:t>
      </w:r>
      <w:r w:rsidRPr="000A1A30">
        <w:rPr>
          <w:rFonts w:ascii="Garamond" w:hAnsi="Garamond" w:cs="Times New Roman"/>
          <w:b/>
          <w:bCs/>
          <w:i/>
          <w:iCs/>
          <w:color w:val="222222"/>
          <w:sz w:val="24"/>
          <w:szCs w:val="24"/>
        </w:rPr>
        <w:t>Kërkuesi</w:t>
      </w:r>
      <w:r w:rsidRPr="000A1A30">
        <w:rPr>
          <w:rFonts w:ascii="Garamond" w:hAnsi="Garamond" w:cs="Times New Roman"/>
          <w:b/>
          <w:bCs/>
          <w:color w:val="222222"/>
          <w:sz w:val="24"/>
          <w:szCs w:val="24"/>
        </w:rPr>
        <w:t>,</w:t>
      </w:r>
      <w:r w:rsidRPr="000A1A30">
        <w:rPr>
          <w:rFonts w:ascii="Garamond" w:hAnsi="Garamond" w:cs="Times New Roman"/>
          <w:color w:val="222222"/>
          <w:sz w:val="24"/>
          <w:szCs w:val="24"/>
        </w:rPr>
        <w:t xml:space="preserve"> në mënyrë të përmbledhur, ka parashtruar se i është cenuar:</w:t>
      </w:r>
    </w:p>
    <w:p w14:paraId="5F078EFB" w14:textId="2F4258E1" w:rsidR="006A122A" w:rsidRPr="000A1A30" w:rsidRDefault="000A1A3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lastRenderedPageBreak/>
        <w:t>9.1</w:t>
      </w:r>
      <w:r w:rsidR="006A122A" w:rsidRPr="000A1A30">
        <w:rPr>
          <w:rFonts w:ascii="Garamond" w:hAnsi="Garamond" w:cs="Times New Roman"/>
          <w:i/>
          <w:iCs/>
          <w:sz w:val="24"/>
          <w:szCs w:val="24"/>
        </w:rPr>
        <w:t xml:space="preserve"> E drejta për t’u njoftuar, për t’u dëgjuar dhe për t’u mbrojtur, </w:t>
      </w:r>
      <w:r w:rsidR="006A122A" w:rsidRPr="000A1A30">
        <w:rPr>
          <w:rFonts w:ascii="Garamond" w:hAnsi="Garamond" w:cs="Times New Roman"/>
          <w:sz w:val="24"/>
          <w:szCs w:val="24"/>
        </w:rPr>
        <w:t>pasi</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rekurset e paraqitura nga Avokatura e Shtetit dhe </w:t>
      </w:r>
      <w:proofErr w:type="spellStart"/>
      <w:r w:rsidR="006A122A" w:rsidRPr="000A1A30">
        <w:rPr>
          <w:rFonts w:ascii="Garamond" w:hAnsi="Garamond" w:cs="Times New Roman"/>
          <w:sz w:val="24"/>
          <w:szCs w:val="24"/>
        </w:rPr>
        <w:t>DAP</w:t>
      </w:r>
      <w:proofErr w:type="spellEnd"/>
      <w:r w:rsidR="006A122A" w:rsidRPr="000A1A30">
        <w:rPr>
          <w:rFonts w:ascii="Garamond" w:hAnsi="Garamond" w:cs="Times New Roman"/>
          <w:sz w:val="24"/>
          <w:szCs w:val="24"/>
        </w:rPr>
        <w:t xml:space="preserve">-i nuk i janë komunikuar kërkuesit, duke e vendosur atë në pamundësi për të paraqitur prapësimet e tij. Po kështu, kërkuesit i është mohuar e drejta e ballafaqimit të provave ose e opinioneve me palët e tjera, sepse Kolegji Administrativ ka gjykuar vetëm për pretendimet e palës </w:t>
      </w:r>
      <w:proofErr w:type="spellStart"/>
      <w:r w:rsidR="006A122A" w:rsidRPr="000A1A30">
        <w:rPr>
          <w:rFonts w:ascii="Garamond" w:hAnsi="Garamond" w:cs="Times New Roman"/>
          <w:sz w:val="24"/>
          <w:szCs w:val="24"/>
        </w:rPr>
        <w:t>rekursuese</w:t>
      </w:r>
      <w:proofErr w:type="spellEnd"/>
      <w:r w:rsidR="006A122A" w:rsidRPr="000A1A30">
        <w:rPr>
          <w:rFonts w:ascii="Garamond" w:hAnsi="Garamond" w:cs="Times New Roman"/>
          <w:sz w:val="24"/>
          <w:szCs w:val="24"/>
        </w:rPr>
        <w:t>, pa i dhënë mundësi kërkuesit të njihej dhe të shprehej për to. Kolegji Administrativ i Gjykatës së Lartë duhej të merrte masat e nevojshme për t’i garantuar kërkuesit të drejtën për të marrë pjesë në gjykim, si dhe të drejtën për t’u dëgjuar e për t’u mbrojtur nëpërmjet dhënies së mundësisë për të paraqitur parashtrimet e tij, pavarësisht faktit që gjykimi administrativ bëhet, si rregull, në dhomën e këshillimit mbi bazë të dokumenteve. Përkundrazi, ajo është mjaftuar me komunikimin elektronik për kohën e shqyrtimit të çështjes, por nuk i ka njoftuar kërkuesit rekurset e ushtruara nga pala e paditur dhe personi i tretë në gjykim. Kjo, për më tepër kur në përfundim Kolegji Administrativ i Gjykatës së Lartë ka vendosur rrëzimin e padisë vetëm mbi bazën e pretendimeve të palës tjetër, duke e vendosur kërkuesin tërësisht në një pozitë të pafavorshme. Për këto shkaqe janë cenuar edhe e</w:t>
      </w:r>
      <w:r w:rsidR="006A122A" w:rsidRPr="000A1A30">
        <w:rPr>
          <w:rFonts w:ascii="Garamond" w:hAnsi="Garamond" w:cs="Times New Roman"/>
          <w:i/>
          <w:iCs/>
          <w:sz w:val="24"/>
          <w:szCs w:val="24"/>
        </w:rPr>
        <w:t xml:space="preserve"> drejta për t’iu drejtuar gjykatës (e drejta e </w:t>
      </w:r>
      <w:proofErr w:type="spellStart"/>
      <w:r w:rsidR="006A122A" w:rsidRPr="000A1A30">
        <w:rPr>
          <w:rFonts w:ascii="Garamond" w:hAnsi="Garamond" w:cs="Times New Roman"/>
          <w:i/>
          <w:iCs/>
          <w:sz w:val="24"/>
          <w:szCs w:val="24"/>
        </w:rPr>
        <w:t>aksesit</w:t>
      </w:r>
      <w:proofErr w:type="spellEnd"/>
      <w:r w:rsidR="006A122A" w:rsidRPr="000A1A30">
        <w:rPr>
          <w:rFonts w:ascii="Garamond" w:hAnsi="Garamond" w:cs="Times New Roman"/>
          <w:i/>
          <w:iCs/>
          <w:sz w:val="24"/>
          <w:szCs w:val="24"/>
        </w:rPr>
        <w:t xml:space="preserve">) dhe parimi i barazisë së armëve dhe i </w:t>
      </w:r>
      <w:proofErr w:type="spellStart"/>
      <w:r w:rsidR="006A122A" w:rsidRPr="000A1A30">
        <w:rPr>
          <w:rFonts w:ascii="Garamond" w:hAnsi="Garamond" w:cs="Times New Roman"/>
          <w:i/>
          <w:iCs/>
          <w:sz w:val="24"/>
          <w:szCs w:val="24"/>
        </w:rPr>
        <w:t>kontradiktoritetit</w:t>
      </w:r>
      <w:proofErr w:type="spellEnd"/>
      <w:r w:rsidR="006A122A" w:rsidRPr="000A1A30">
        <w:rPr>
          <w:rFonts w:ascii="Garamond" w:hAnsi="Garamond" w:cs="Times New Roman"/>
          <w:i/>
          <w:iCs/>
          <w:sz w:val="24"/>
          <w:szCs w:val="24"/>
        </w:rPr>
        <w:t>.</w:t>
      </w:r>
      <w:r w:rsidR="006A122A" w:rsidRPr="000A1A30">
        <w:rPr>
          <w:rFonts w:ascii="Garamond" w:hAnsi="Garamond" w:cs="Times New Roman"/>
          <w:sz w:val="24"/>
          <w:szCs w:val="24"/>
        </w:rPr>
        <w:t xml:space="preserve"> </w:t>
      </w:r>
    </w:p>
    <w:p w14:paraId="40052347" w14:textId="255D409A" w:rsidR="006A122A" w:rsidRPr="000A1A30" w:rsidRDefault="000A1A3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9.2</w:t>
      </w:r>
      <w:r w:rsidR="00170EF7">
        <w:rPr>
          <w:rFonts w:ascii="Garamond" w:hAnsi="Garamond" w:cs="Times New Roman"/>
          <w:sz w:val="24"/>
          <w:szCs w:val="24"/>
        </w:rPr>
        <w:t xml:space="preserve"> </w:t>
      </w:r>
      <w:r w:rsidR="006A122A" w:rsidRPr="000A1A30">
        <w:rPr>
          <w:rFonts w:ascii="Garamond" w:hAnsi="Garamond" w:cs="Times New Roman"/>
          <w:i/>
          <w:iCs/>
          <w:sz w:val="24"/>
          <w:szCs w:val="24"/>
        </w:rPr>
        <w:t xml:space="preserve">E drejta për t’u gjykuar nga një gjykatë e caktuar me ligj, </w:t>
      </w:r>
      <w:r w:rsidR="006A122A" w:rsidRPr="000A1A30">
        <w:rPr>
          <w:rFonts w:ascii="Garamond" w:hAnsi="Garamond" w:cs="Times New Roman"/>
          <w:sz w:val="24"/>
          <w:szCs w:val="24"/>
        </w:rPr>
        <w:t>pasi Kolegji Administrativ i Gjykatës së Lartë ka vendosur për themelin e çështjes, duke bërë një vlerësim të ndryshëm të provave dhe të fakteve të administruara gjatë gjykimit në gjykatat më të ulëta. Kolegji Administrativ i Gjykatës së Lartë, pavarësisht se nuk ka vënë në dyshim vlerën e provave të paraqitura, ka bërë një vlerësim të ndryshëm të tyre, duke e ndryshuar themelin e çështjes. Nëse Gjykata e Lartë do të kishte dyshime për dijeninë e komunikimit të rekurseve të ushtruara, jo vetëm duhet të administronte edhe prapësimet e kërkuesit, por duhet të kthente çështjen për rishqyrtim në gjykatat e faktit.</w:t>
      </w:r>
    </w:p>
    <w:p w14:paraId="20272A72" w14:textId="4CCA9906" w:rsidR="006A122A" w:rsidRPr="000A1A30" w:rsidRDefault="000A1A3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9.3</w:t>
      </w:r>
      <w:r w:rsidR="00170EF7">
        <w:rPr>
          <w:rFonts w:ascii="Garamond" w:hAnsi="Garamond" w:cs="Times New Roman"/>
          <w:sz w:val="24"/>
          <w:szCs w:val="24"/>
        </w:rPr>
        <w:t xml:space="preserve"> </w:t>
      </w:r>
      <w:r w:rsidR="006A122A" w:rsidRPr="000A1A30">
        <w:rPr>
          <w:rFonts w:ascii="Garamond" w:hAnsi="Garamond" w:cs="Times New Roman"/>
          <w:i/>
          <w:iCs/>
          <w:sz w:val="24"/>
          <w:szCs w:val="24"/>
        </w:rPr>
        <w:t xml:space="preserve">Standardi i arsyetimit të vendimit gjyqësor i lidhur me </w:t>
      </w:r>
      <w:proofErr w:type="spellStart"/>
      <w:r w:rsidR="006A122A" w:rsidRPr="000A1A30">
        <w:rPr>
          <w:rFonts w:ascii="Garamond" w:hAnsi="Garamond" w:cs="Times New Roman"/>
          <w:i/>
          <w:iCs/>
          <w:sz w:val="24"/>
          <w:szCs w:val="24"/>
        </w:rPr>
        <w:t>aksesin</w:t>
      </w:r>
      <w:proofErr w:type="spellEnd"/>
      <w:r w:rsidR="006A122A" w:rsidRPr="000A1A30">
        <w:rPr>
          <w:rFonts w:ascii="Garamond" w:hAnsi="Garamond" w:cs="Times New Roman"/>
          <w:i/>
          <w:iCs/>
          <w:sz w:val="24"/>
          <w:szCs w:val="24"/>
        </w:rPr>
        <w:t xml:space="preserve"> substancial, </w:t>
      </w:r>
      <w:r w:rsidR="006A122A" w:rsidRPr="000A1A30">
        <w:rPr>
          <w:rFonts w:ascii="Garamond" w:hAnsi="Garamond" w:cs="Times New Roman"/>
          <w:sz w:val="24"/>
          <w:szCs w:val="24"/>
        </w:rPr>
        <w:t>pasi Kolegji Administrativ i Gjykatës së Lartë ka verifikuar me nismën e saj</w:t>
      </w:r>
      <w:r w:rsidR="00170EF7">
        <w:rPr>
          <w:rFonts w:ascii="Garamond" w:hAnsi="Garamond" w:cs="Times New Roman"/>
          <w:sz w:val="24"/>
          <w:szCs w:val="24"/>
        </w:rPr>
        <w:t xml:space="preserve"> </w:t>
      </w:r>
      <w:r w:rsidR="006A122A" w:rsidRPr="000A1A30">
        <w:rPr>
          <w:rFonts w:ascii="Garamond" w:hAnsi="Garamond" w:cs="Times New Roman"/>
          <w:sz w:val="24"/>
          <w:szCs w:val="24"/>
        </w:rPr>
        <w:t>çështjen e vlefshmërisë së ligjit për shërbimin civil. Kur Gjykata e Lartë vë në</w:t>
      </w:r>
      <w:r w:rsidR="006A122A" w:rsidRPr="000A1A30">
        <w:rPr>
          <w:rFonts w:ascii="Garamond" w:hAnsi="Garamond" w:cs="Arial"/>
          <w:sz w:val="24"/>
          <w:szCs w:val="24"/>
        </w:rPr>
        <w:t xml:space="preserve"> </w:t>
      </w:r>
      <w:r w:rsidR="006A122A" w:rsidRPr="000A1A30">
        <w:rPr>
          <w:rFonts w:ascii="Garamond" w:hAnsi="Garamond" w:cs="Times New Roman"/>
          <w:sz w:val="24"/>
          <w:szCs w:val="24"/>
        </w:rPr>
        <w:t>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këto raste, neni 482/a, pika 1, shkronja “b”, i Kodit të Procedurës Civile, në harmoni me nenin 62, pika 1, shkronja “c”, të ligjit nr. 49/2012</w:t>
      </w:r>
      <w:r>
        <w:rPr>
          <w:rFonts w:ascii="Garamond" w:hAnsi="Garamond" w:cs="Times New Roman"/>
          <w:sz w:val="24"/>
          <w:szCs w:val="24"/>
        </w:rPr>
        <w:t>,</w:t>
      </w:r>
      <w:r w:rsidR="006A122A" w:rsidRPr="000A1A30">
        <w:rPr>
          <w:rFonts w:ascii="Garamond" w:hAnsi="Garamond" w:cs="Times New Roman"/>
          <w:sz w:val="24"/>
          <w:szCs w:val="24"/>
        </w:rPr>
        <w:t xml:space="preserve"> “Për gjykatat administrative dhe gjykimin e mosmarrëveshjeve administrative”, të ndryshuar (</w:t>
      </w:r>
      <w:r w:rsidR="006A122A" w:rsidRPr="000A1A30">
        <w:rPr>
          <w:rFonts w:ascii="Garamond" w:hAnsi="Garamond" w:cs="Times New Roman"/>
          <w:i/>
          <w:iCs/>
          <w:sz w:val="24"/>
          <w:szCs w:val="24"/>
        </w:rPr>
        <w:t>ligji nr. 49/2012</w:t>
      </w:r>
      <w:r w:rsidR="006A122A" w:rsidRPr="000A1A30">
        <w:rPr>
          <w:rFonts w:ascii="Garamond" w:hAnsi="Garamond" w:cs="Times New Roman"/>
          <w:sz w:val="24"/>
          <w:szCs w:val="24"/>
        </w:rPr>
        <w:t xml:space="preserve">), parashikon se Gjykata e Lartë, nëse e vlerëson të nevojshme për shkak të problematikës ose </w:t>
      </w:r>
      <w:proofErr w:type="spellStart"/>
      <w:r w:rsidR="006A122A" w:rsidRPr="000A1A30">
        <w:rPr>
          <w:rFonts w:ascii="Garamond" w:hAnsi="Garamond" w:cs="Times New Roman"/>
          <w:sz w:val="24"/>
          <w:szCs w:val="24"/>
        </w:rPr>
        <w:t>kompleksitetit</w:t>
      </w:r>
      <w:proofErr w:type="spellEnd"/>
      <w:r w:rsidR="006A122A" w:rsidRPr="000A1A30">
        <w:rPr>
          <w:rFonts w:ascii="Garamond" w:hAnsi="Garamond" w:cs="Times New Roman"/>
          <w:sz w:val="24"/>
          <w:szCs w:val="24"/>
        </w:rPr>
        <w:t xml:space="preserve"> të çështjes, vendos shqyrtimin e çështjes në seancë gjyqësore me praninë e palëve. Kërkuesi nuk ka pasur mundësi të paraqesë mendimin e tij për çështjet e ligjit.</w:t>
      </w:r>
      <w:r w:rsidR="006A122A" w:rsidRPr="000A1A30">
        <w:rPr>
          <w:rFonts w:ascii="Garamond" w:hAnsi="Garamond" w:cs="Arial"/>
          <w:sz w:val="24"/>
          <w:szCs w:val="24"/>
        </w:rPr>
        <w:t xml:space="preserve"> </w:t>
      </w:r>
      <w:r w:rsidR="006A122A" w:rsidRPr="000A1A30">
        <w:rPr>
          <w:rFonts w:ascii="Garamond" w:hAnsi="Garamond" w:cs="Times New Roman"/>
          <w:sz w:val="24"/>
          <w:szCs w:val="24"/>
        </w:rPr>
        <w:t>Në të dyja rekurset e paraqitura nuk është marrë në</w:t>
      </w:r>
      <w:r>
        <w:rPr>
          <w:rFonts w:ascii="Garamond" w:hAnsi="Garamond" w:cs="Times New Roman"/>
          <w:sz w:val="24"/>
          <w:szCs w:val="24"/>
        </w:rPr>
        <w:t xml:space="preserve"> konsideratë fakti që në datën 6.</w:t>
      </w:r>
      <w:r w:rsidR="006A122A" w:rsidRPr="000A1A30">
        <w:rPr>
          <w:rFonts w:ascii="Garamond" w:hAnsi="Garamond" w:cs="Times New Roman"/>
          <w:sz w:val="24"/>
          <w:szCs w:val="24"/>
        </w:rPr>
        <w:t>7.2018</w:t>
      </w:r>
      <w:r>
        <w:rPr>
          <w:rFonts w:ascii="Garamond" w:hAnsi="Garamond" w:cs="Times New Roman"/>
          <w:sz w:val="24"/>
          <w:szCs w:val="24"/>
        </w:rPr>
        <w:t>,</w:t>
      </w:r>
      <w:r w:rsidR="006A122A" w:rsidRPr="000A1A30">
        <w:rPr>
          <w:rFonts w:ascii="Garamond" w:hAnsi="Garamond" w:cs="Times New Roman"/>
          <w:sz w:val="24"/>
          <w:szCs w:val="24"/>
        </w:rPr>
        <w:t xml:space="preserve"> kërkuesi është thirrur dhe i është komunikuar gatishmëria e institucionit për të ekzekutuar vendimin e gjykatës së apelit, duke i bërë me dije njëkohësisht se nëse hiqte dorë nga rikthimi në pozicionin e detyrës që mbante përpara largimit, pjesa e vendimit që kishte të bënte me pjesën ekonomike të dëmshpërblimit do të ekzekutohej menjëherë. Për këtë propozim, në prani të komisionit të posaçëm kërkuesi ka nënshkruar deklaratë duke kërkuar vetëm shpërblimin dhe jo rikthimin në punë.</w:t>
      </w:r>
    </w:p>
    <w:p w14:paraId="19940E1D" w14:textId="7DD5BB05" w:rsidR="006A122A" w:rsidRPr="000A1A30" w:rsidRDefault="000A1A3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9.4</w:t>
      </w:r>
      <w:r w:rsidR="00170EF7">
        <w:rPr>
          <w:rFonts w:ascii="Garamond" w:hAnsi="Garamond" w:cs="Times New Roman"/>
          <w:sz w:val="24"/>
          <w:szCs w:val="24"/>
        </w:rPr>
        <w:t xml:space="preserve"> </w:t>
      </w:r>
      <w:r w:rsidR="006A122A" w:rsidRPr="000A1A30">
        <w:rPr>
          <w:rFonts w:ascii="Garamond" w:hAnsi="Garamond" w:cs="Times New Roman"/>
          <w:i/>
          <w:iCs/>
          <w:sz w:val="24"/>
          <w:szCs w:val="24"/>
        </w:rPr>
        <w:t xml:space="preserve">Parimi i barazisë përpara ligjit dhe i </w:t>
      </w:r>
      <w:proofErr w:type="spellStart"/>
      <w:r w:rsidR="006A122A" w:rsidRPr="000A1A30">
        <w:rPr>
          <w:rFonts w:ascii="Garamond" w:hAnsi="Garamond" w:cs="Times New Roman"/>
          <w:i/>
          <w:iCs/>
          <w:sz w:val="24"/>
          <w:szCs w:val="24"/>
        </w:rPr>
        <w:t>mosdiskriminimit</w:t>
      </w:r>
      <w:proofErr w:type="spellEnd"/>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pasi Gjykata e Lartë ka mbajtur qëndrime të ndryshme në kushte të njëjta objektive kur është kërkuar pavlefshmëria e vendimit për suprimimin e vendit të punës. Ndryshe nga çështja e kërkuesit, në një rast të njëjtë, por një trup tjetër gjykues i Kolegjit Administrativ të Gjykatës së Lartë ka vlerësuar se vendimi i ministrit të Drejtësisë për kalimin në </w:t>
      </w:r>
      <w:proofErr w:type="spellStart"/>
      <w:r w:rsidR="006A122A" w:rsidRPr="000A1A30">
        <w:rPr>
          <w:rFonts w:ascii="Garamond" w:hAnsi="Garamond" w:cs="Times New Roman"/>
          <w:sz w:val="24"/>
          <w:szCs w:val="24"/>
        </w:rPr>
        <w:t>listëpritje</w:t>
      </w:r>
      <w:proofErr w:type="spellEnd"/>
      <w:r w:rsidR="006A122A" w:rsidRPr="000A1A30">
        <w:rPr>
          <w:rFonts w:ascii="Garamond" w:hAnsi="Garamond" w:cs="Times New Roman"/>
          <w:sz w:val="24"/>
          <w:szCs w:val="24"/>
        </w:rPr>
        <w:t xml:space="preserve"> nuk ishte kryer nga personi zyrtar përgjegjës, sikurse ka qenë rasti i shtetasit A.</w:t>
      </w:r>
      <w:r>
        <w:rPr>
          <w:rFonts w:ascii="Garamond" w:hAnsi="Garamond" w:cs="Times New Roman"/>
          <w:sz w:val="24"/>
          <w:szCs w:val="24"/>
        </w:rPr>
        <w:t xml:space="preserve"> </w:t>
      </w:r>
      <w:r w:rsidR="006A122A" w:rsidRPr="000A1A30">
        <w:rPr>
          <w:rFonts w:ascii="Garamond" w:hAnsi="Garamond" w:cs="Times New Roman"/>
          <w:sz w:val="24"/>
          <w:szCs w:val="24"/>
        </w:rPr>
        <w:t xml:space="preserve">B. Në këtë mënyrë, Kolegji Administrativ i Gjykatës së Lartë nuk ka zbatuar ligjin në mënyrë të barabartë për të gjithë individët dhe kërkuesi është dëmtuar duke u ligjëruar lirimi i padrejtë i tij nga detyra. Kolegji Administrativ i Gjykatës së Lartë ka vendosur një standard të dyfishtë në jurisprudencë për ligjin e zbatueshëm për lirimin e nëpunësve civilë gjatë </w:t>
      </w:r>
      <w:r>
        <w:rPr>
          <w:rFonts w:ascii="Garamond" w:hAnsi="Garamond" w:cs="Times New Roman"/>
          <w:sz w:val="24"/>
          <w:szCs w:val="24"/>
        </w:rPr>
        <w:t>periudhës tranzitore nga datat 1.10.2013</w:t>
      </w:r>
      <w:r>
        <w:rPr>
          <w:rFonts w:ascii="Garamond" w:hAnsi="Garamond" w:cs="Times New Roman"/>
          <w:color w:val="1D1D1D"/>
          <w:sz w:val="24"/>
          <w:szCs w:val="24"/>
        </w:rPr>
        <w:t>–</w:t>
      </w:r>
      <w:r>
        <w:rPr>
          <w:rFonts w:ascii="Garamond" w:hAnsi="Garamond" w:cs="Times New Roman"/>
          <w:sz w:val="24"/>
          <w:szCs w:val="24"/>
        </w:rPr>
        <w:t>26.</w:t>
      </w:r>
      <w:r w:rsidR="006A122A" w:rsidRPr="000A1A30">
        <w:rPr>
          <w:rFonts w:ascii="Garamond" w:hAnsi="Garamond" w:cs="Times New Roman"/>
          <w:sz w:val="24"/>
          <w:szCs w:val="24"/>
        </w:rPr>
        <w:t xml:space="preserve">2.2014. Ai kolegj ka dështuar në rolin e tij për njësimin ose zhvillimin e jurisprudencës në zbatim të nenit 141 të Kushtetutës. Në praktikën e Gjykatës së Lartë ka paqëndrueshmëri në zbatimin e ligjit, pasi në periudhën nga viti 2015 deri në vitin 2019 është cilësuar si i zbatueshëm ligji nr. 152/2013. Ndërsa pas vitit 2022 në disa raste është vlerësuar si i </w:t>
      </w:r>
      <w:r w:rsidR="006A122A" w:rsidRPr="000A1A30">
        <w:rPr>
          <w:rFonts w:ascii="Garamond" w:hAnsi="Garamond" w:cs="Times New Roman"/>
          <w:sz w:val="24"/>
          <w:szCs w:val="24"/>
        </w:rPr>
        <w:lastRenderedPageBreak/>
        <w:t xml:space="preserve">zbatueshëm ligji nr. 152/2013 dhe herë të tjera ligji nr. 8549/1999. Vendimi i Gjykatës së Lartë është kontradiktor dhe krijon një gjendje pasigurie juridike duke ulur besimin në publik, duke cenuar kështu edhe </w:t>
      </w:r>
      <w:r w:rsidR="006A122A" w:rsidRPr="000A1A30">
        <w:rPr>
          <w:rFonts w:ascii="Garamond" w:hAnsi="Garamond" w:cs="Times New Roman"/>
          <w:i/>
          <w:iCs/>
          <w:sz w:val="24"/>
          <w:szCs w:val="24"/>
        </w:rPr>
        <w:t>parimin e sigurisë juridike.</w:t>
      </w:r>
    </w:p>
    <w:p w14:paraId="5FEE38F0" w14:textId="29F1D626" w:rsidR="006A122A" w:rsidRPr="000A1A30" w:rsidRDefault="00FC259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9.5</w:t>
      </w:r>
      <w:r w:rsidR="006A122A" w:rsidRPr="000A1A30">
        <w:rPr>
          <w:rFonts w:ascii="Garamond" w:hAnsi="Garamond" w:cs="Times New Roman"/>
          <w:i/>
          <w:iCs/>
          <w:sz w:val="24"/>
          <w:szCs w:val="24"/>
        </w:rPr>
        <w:t xml:space="preserve"> Standardi minimal i jetesës, </w:t>
      </w:r>
      <w:r w:rsidR="006A122A" w:rsidRPr="000A1A30">
        <w:rPr>
          <w:rFonts w:ascii="Garamond" w:hAnsi="Garamond" w:cs="Times New Roman"/>
          <w:sz w:val="24"/>
          <w:szCs w:val="24"/>
        </w:rPr>
        <w:t xml:space="preserve">pasi vendimi i gjykatës së apelit është ekzekutuar në mënyrë vullnetare nga Ministria e Drejtësisë dhe Gjykata e Lartë, duke vendosur për rrëzimin e padisë, ka sjellë një barrë ekonomike të rëndë e </w:t>
      </w:r>
      <w:proofErr w:type="spellStart"/>
      <w:r w:rsidR="006A122A" w:rsidRPr="000A1A30">
        <w:rPr>
          <w:rFonts w:ascii="Garamond" w:hAnsi="Garamond" w:cs="Times New Roman"/>
          <w:sz w:val="24"/>
          <w:szCs w:val="24"/>
        </w:rPr>
        <w:t>joproporcionale</w:t>
      </w:r>
      <w:proofErr w:type="spellEnd"/>
      <w:r w:rsidR="006A122A" w:rsidRPr="000A1A30">
        <w:rPr>
          <w:rFonts w:ascii="Garamond" w:hAnsi="Garamond" w:cs="Times New Roman"/>
          <w:sz w:val="24"/>
          <w:szCs w:val="24"/>
        </w:rPr>
        <w:t xml:space="preserve"> dhe cenim të standardit minimal të jetesës të kërkuesit në shkelje të neneve 11 dhe 41 të Kushtetutës, njëkohësisht në kundërvënie ndaj objektivave socialë dhe kushtetues, sipas nenit 59 të Kushtetutës e nenit 1 të Protokollit nr. 1 të </w:t>
      </w:r>
      <w:proofErr w:type="spellStart"/>
      <w:r w:rsidR="006A122A" w:rsidRPr="000A1A30">
        <w:rPr>
          <w:rFonts w:ascii="Garamond" w:hAnsi="Garamond" w:cs="Times New Roman"/>
          <w:sz w:val="24"/>
          <w:szCs w:val="24"/>
        </w:rPr>
        <w:t>KEDNJ</w:t>
      </w:r>
      <w:proofErr w:type="spellEnd"/>
      <w:r w:rsidR="006A122A" w:rsidRPr="000A1A30">
        <w:rPr>
          <w:rFonts w:ascii="Garamond" w:hAnsi="Garamond" w:cs="Times New Roman"/>
          <w:sz w:val="24"/>
          <w:szCs w:val="24"/>
        </w:rPr>
        <w:t>-së.</w:t>
      </w:r>
    </w:p>
    <w:p w14:paraId="510B3730" w14:textId="41CEFA26" w:rsidR="006A122A" w:rsidRPr="000A1A30" w:rsidRDefault="006A122A" w:rsidP="006A122A">
      <w:pPr>
        <w:pStyle w:val="BodyText"/>
        <w:tabs>
          <w:tab w:val="left" w:pos="1080"/>
        </w:tabs>
        <w:spacing w:after="0" w:line="240" w:lineRule="auto"/>
        <w:ind w:firstLine="284"/>
        <w:jc w:val="both"/>
        <w:rPr>
          <w:rFonts w:ascii="Garamond" w:hAnsi="Garamond" w:cs="Times New Roman"/>
          <w:i/>
          <w:iCs/>
          <w:sz w:val="24"/>
          <w:szCs w:val="24"/>
        </w:rPr>
      </w:pPr>
      <w:r w:rsidRPr="000A1A30">
        <w:rPr>
          <w:rFonts w:ascii="Garamond" w:hAnsi="Garamond" w:cs="Times New Roman"/>
          <w:b/>
          <w:bCs/>
          <w:sz w:val="24"/>
          <w:szCs w:val="24"/>
        </w:rPr>
        <w:t xml:space="preserve">10. </w:t>
      </w:r>
      <w:r w:rsidRPr="000A1A30">
        <w:rPr>
          <w:rFonts w:ascii="Garamond" w:hAnsi="Garamond" w:cs="Times New Roman"/>
          <w:b/>
          <w:bCs/>
          <w:i/>
          <w:iCs/>
          <w:sz w:val="24"/>
          <w:szCs w:val="24"/>
        </w:rPr>
        <w:t>Subjekti i interesuar, Ministria e Drejtësisë</w:t>
      </w:r>
      <w:r w:rsidRPr="000A1A30">
        <w:rPr>
          <w:rFonts w:ascii="Garamond" w:hAnsi="Garamond" w:cs="Times New Roman"/>
          <w:i/>
          <w:iCs/>
          <w:sz w:val="24"/>
          <w:szCs w:val="24"/>
        </w:rPr>
        <w:t xml:space="preserve">, </w:t>
      </w:r>
      <w:r w:rsidRPr="000A1A30">
        <w:rPr>
          <w:rFonts w:ascii="Garamond" w:hAnsi="Garamond" w:cs="Times New Roman"/>
          <w:sz w:val="24"/>
          <w:szCs w:val="24"/>
        </w:rPr>
        <w:t>ka parashtruar si vijon:</w:t>
      </w:r>
    </w:p>
    <w:p w14:paraId="36510AC6" w14:textId="5482DAB3" w:rsidR="006A122A" w:rsidRPr="000A1A30" w:rsidRDefault="00FC259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10.1</w:t>
      </w:r>
      <w:r w:rsidR="006A122A" w:rsidRPr="000A1A30">
        <w:rPr>
          <w:rFonts w:ascii="Garamond" w:hAnsi="Garamond" w:cs="Times New Roman"/>
          <w:sz w:val="24"/>
          <w:szCs w:val="24"/>
        </w:rPr>
        <w:t xml:space="preserve"> Pretendimet e parashtruara për cenimin e</w:t>
      </w:r>
      <w:r w:rsidR="006A122A" w:rsidRPr="000A1A30">
        <w:rPr>
          <w:rFonts w:ascii="Garamond" w:hAnsi="Garamond" w:cs="Times New Roman"/>
          <w:i/>
          <w:iCs/>
          <w:sz w:val="24"/>
          <w:szCs w:val="24"/>
        </w:rPr>
        <w:t xml:space="preserve"> së drejtës për t’iu drejtuar gjykatës, së drejtës për t’u njoftuar, për t’u dëgjuar e për t’u mbrojtur, parimit të </w:t>
      </w:r>
      <w:proofErr w:type="spellStart"/>
      <w:r w:rsidR="006A122A" w:rsidRPr="000A1A30">
        <w:rPr>
          <w:rFonts w:ascii="Garamond" w:hAnsi="Garamond" w:cs="Times New Roman"/>
          <w:i/>
          <w:iCs/>
          <w:sz w:val="24"/>
          <w:szCs w:val="24"/>
        </w:rPr>
        <w:t>kontradiktoritetit</w:t>
      </w:r>
      <w:proofErr w:type="spellEnd"/>
      <w:r w:rsidR="006A122A" w:rsidRPr="000A1A30">
        <w:rPr>
          <w:rFonts w:ascii="Garamond" w:hAnsi="Garamond" w:cs="Times New Roman"/>
          <w:i/>
          <w:iCs/>
          <w:sz w:val="24"/>
          <w:szCs w:val="24"/>
        </w:rPr>
        <w:t xml:space="preserve">, parimit të barazisë përpara ligjit dhe parimit të sigurisë juridike </w:t>
      </w:r>
      <w:r w:rsidR="006A122A" w:rsidRPr="000A1A30">
        <w:rPr>
          <w:rFonts w:ascii="Garamond" w:hAnsi="Garamond" w:cs="Times New Roman"/>
          <w:sz w:val="24"/>
          <w:szCs w:val="24"/>
        </w:rPr>
        <w:t>janë të pabazuara</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Kërkuesi nuk ka ushtruar të drejtën për të paraqitur </w:t>
      </w:r>
      <w:proofErr w:type="spellStart"/>
      <w:r w:rsidR="006A122A" w:rsidRPr="000A1A30">
        <w:rPr>
          <w:rFonts w:ascii="Garamond" w:hAnsi="Garamond" w:cs="Times New Roman"/>
          <w:sz w:val="24"/>
          <w:szCs w:val="24"/>
        </w:rPr>
        <w:t>kundërrekurs</w:t>
      </w:r>
      <w:proofErr w:type="spellEnd"/>
      <w:r w:rsidR="006A122A" w:rsidRPr="000A1A30">
        <w:rPr>
          <w:rFonts w:ascii="Garamond" w:hAnsi="Garamond" w:cs="Times New Roman"/>
          <w:sz w:val="24"/>
          <w:szCs w:val="24"/>
        </w:rPr>
        <w:t xml:space="preserve"> për të parashtruar kundërshtimet e tij, megjithëse ka marrë dijeni për rekurset e paraqitura nga Avokatura e Shtetit dhe nga </w:t>
      </w:r>
      <w:proofErr w:type="spellStart"/>
      <w:r w:rsidR="006A122A" w:rsidRPr="000A1A30">
        <w:rPr>
          <w:rFonts w:ascii="Garamond" w:hAnsi="Garamond" w:cs="Times New Roman"/>
          <w:sz w:val="24"/>
          <w:szCs w:val="24"/>
        </w:rPr>
        <w:t>DAP</w:t>
      </w:r>
      <w:proofErr w:type="spellEnd"/>
      <w:r w:rsidR="006A122A" w:rsidRPr="000A1A30">
        <w:rPr>
          <w:rFonts w:ascii="Garamond" w:hAnsi="Garamond" w:cs="Times New Roman"/>
          <w:sz w:val="24"/>
          <w:szCs w:val="24"/>
        </w:rPr>
        <w:t xml:space="preserve">-i. </w:t>
      </w:r>
    </w:p>
    <w:p w14:paraId="5E171BB4" w14:textId="79EB2401" w:rsidR="006A122A" w:rsidRPr="000A1A30" w:rsidRDefault="00FC259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10.2</w:t>
      </w:r>
      <w:r w:rsidR="006A122A" w:rsidRPr="000A1A30">
        <w:rPr>
          <w:rFonts w:ascii="Garamond" w:hAnsi="Garamond" w:cs="Times New Roman"/>
          <w:sz w:val="24"/>
          <w:szCs w:val="24"/>
        </w:rPr>
        <w:t xml:space="preserve"> </w:t>
      </w:r>
      <w:r w:rsidR="006A122A" w:rsidRPr="000A1A30">
        <w:rPr>
          <w:rFonts w:ascii="Garamond" w:hAnsi="Garamond" w:cs="Times New Roman"/>
          <w:i/>
          <w:iCs/>
          <w:sz w:val="24"/>
          <w:szCs w:val="24"/>
        </w:rPr>
        <w:t>Pretendimi për cenimin e së drejtës për t’u gjykuar nga një gjykatë e caktuar me ligj</w:t>
      </w:r>
      <w:r w:rsidR="006A122A" w:rsidRPr="000A1A30">
        <w:rPr>
          <w:rFonts w:ascii="Garamond" w:hAnsi="Garamond" w:cs="Times New Roman"/>
          <w:sz w:val="24"/>
          <w:szCs w:val="24"/>
        </w:rPr>
        <w:t xml:space="preserve"> nuk është i bazuar, pasi Gjykata e Lartë ka vepruar brenda kompetencave dhe ka arritur në përfundimin për rrëzimin e padisë, duke u bazuar mbi të njëjtat prova.</w:t>
      </w:r>
    </w:p>
    <w:p w14:paraId="378EB710" w14:textId="16DE1F65" w:rsidR="006A122A" w:rsidRPr="000A1A30" w:rsidRDefault="00FC259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10.3</w:t>
      </w:r>
      <w:r w:rsidR="006A122A" w:rsidRPr="000A1A30">
        <w:rPr>
          <w:rFonts w:ascii="Garamond" w:hAnsi="Garamond" w:cs="Times New Roman"/>
          <w:sz w:val="24"/>
          <w:szCs w:val="24"/>
        </w:rPr>
        <w:t xml:space="preserve"> 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standardit të arsyetimit të vendimit </w:t>
      </w:r>
      <w:r w:rsidR="006A122A" w:rsidRPr="000A1A30">
        <w:rPr>
          <w:rFonts w:ascii="Garamond" w:hAnsi="Garamond" w:cs="Times New Roman"/>
          <w:sz w:val="24"/>
          <w:szCs w:val="24"/>
        </w:rPr>
        <w:t>është i pabazuar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pasi Gjykata e Lartë, duke vlerësuar se gjykatat më të ulëta kanë zbatuar gabim ligjin, ka vendosur rrëzimin e padisë duke respektuar kriteret kushtetuese në drejtim të arsyetimit të vendimit. Në fakt, pretendimi i kërkuesit lidhet me një parregullsi procedurale të kryer gjatë procesit administrativ, se vendimi për daljen në </w:t>
      </w:r>
      <w:proofErr w:type="spellStart"/>
      <w:r w:rsidR="006A122A" w:rsidRPr="000A1A30">
        <w:rPr>
          <w:rFonts w:ascii="Garamond" w:hAnsi="Garamond" w:cs="Times New Roman"/>
          <w:sz w:val="24"/>
          <w:szCs w:val="24"/>
        </w:rPr>
        <w:t>listëpritje</w:t>
      </w:r>
      <w:proofErr w:type="spellEnd"/>
      <w:r w:rsidR="006A122A" w:rsidRPr="000A1A30">
        <w:rPr>
          <w:rFonts w:ascii="Garamond" w:hAnsi="Garamond" w:cs="Times New Roman"/>
          <w:sz w:val="24"/>
          <w:szCs w:val="24"/>
        </w:rPr>
        <w:t xml:space="preserve"> është nënshkruar nga ministri dhe jo nga sekretari i përgjithshëm. Kjo parregullsi nuk e prek thelbin e procesit dhe lidhet me vlerësimin e fakteve e</w:t>
      </w:r>
      <w:r w:rsidR="00170EF7">
        <w:rPr>
          <w:rFonts w:ascii="Garamond" w:hAnsi="Garamond" w:cs="Times New Roman"/>
          <w:sz w:val="24"/>
          <w:szCs w:val="24"/>
        </w:rPr>
        <w:t xml:space="preserve"> </w:t>
      </w:r>
      <w:r w:rsidR="006A122A" w:rsidRPr="000A1A30">
        <w:rPr>
          <w:rFonts w:ascii="Garamond" w:hAnsi="Garamond" w:cs="Times New Roman"/>
          <w:sz w:val="24"/>
          <w:szCs w:val="24"/>
        </w:rPr>
        <w:t>të rrethanave, i cili nuk hyn në juridiksionin kushtetues.</w:t>
      </w:r>
    </w:p>
    <w:p w14:paraId="79119F26" w14:textId="6E34DCD4" w:rsidR="006A122A" w:rsidRPr="000A1A30" w:rsidRDefault="00FC2590" w:rsidP="006A122A">
      <w:pPr>
        <w:pStyle w:val="BodyText"/>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10.4</w:t>
      </w:r>
      <w:r w:rsidR="006A122A" w:rsidRPr="000A1A30">
        <w:rPr>
          <w:rFonts w:ascii="Garamond" w:hAnsi="Garamond" w:cs="Times New Roman"/>
          <w:sz w:val="24"/>
          <w:szCs w:val="24"/>
        </w:rPr>
        <w:t xml:space="preserve"> 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standardit minimal të jetesës </w:t>
      </w:r>
      <w:r w:rsidR="006A122A" w:rsidRPr="000A1A30">
        <w:rPr>
          <w:rFonts w:ascii="Garamond" w:hAnsi="Garamond" w:cs="Times New Roman"/>
          <w:sz w:val="24"/>
          <w:szCs w:val="24"/>
        </w:rPr>
        <w:t>është i pabazuar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pasi kërkuesit i është </w:t>
      </w:r>
      <w:proofErr w:type="spellStart"/>
      <w:r w:rsidR="006A122A" w:rsidRPr="000A1A30">
        <w:rPr>
          <w:rFonts w:ascii="Garamond" w:hAnsi="Garamond" w:cs="Times New Roman"/>
          <w:sz w:val="24"/>
          <w:szCs w:val="24"/>
        </w:rPr>
        <w:t>alokuar</w:t>
      </w:r>
      <w:proofErr w:type="spellEnd"/>
      <w:r w:rsidR="006A122A" w:rsidRPr="000A1A30">
        <w:rPr>
          <w:rFonts w:ascii="Garamond" w:hAnsi="Garamond" w:cs="Times New Roman"/>
          <w:sz w:val="24"/>
          <w:szCs w:val="24"/>
        </w:rPr>
        <w:t xml:space="preserve"> një shumë monetare që nuk i takon. Përveçse ai nuk ka përmendur asnjë rrethanë konkrete, nuk ka vlerësuar as vlerën e dëmit që mund t’i vijë me kthimin e detyrimit të begatuar në mënyrë të paligjshme me të ardhurat ose me burimet e tjera financiare, që mund të cenojnë standardin minimal të jetesës.</w:t>
      </w:r>
    </w:p>
    <w:p w14:paraId="341379CE" w14:textId="4A60CD70" w:rsidR="006A122A" w:rsidRPr="000A1A30" w:rsidRDefault="006A122A" w:rsidP="006A122A">
      <w:pPr>
        <w:pStyle w:val="BodyText"/>
        <w:tabs>
          <w:tab w:val="left" w:pos="1080"/>
        </w:tabs>
        <w:spacing w:after="0" w:line="240" w:lineRule="auto"/>
        <w:ind w:firstLine="284"/>
        <w:jc w:val="both"/>
        <w:rPr>
          <w:rFonts w:ascii="Garamond" w:hAnsi="Garamond" w:cs="Times New Roman"/>
          <w:i/>
          <w:iCs/>
          <w:sz w:val="24"/>
          <w:szCs w:val="24"/>
        </w:rPr>
      </w:pPr>
      <w:r w:rsidRPr="000A1A30">
        <w:rPr>
          <w:rFonts w:ascii="Garamond" w:hAnsi="Garamond" w:cs="Times New Roman"/>
          <w:b/>
          <w:bCs/>
          <w:sz w:val="24"/>
          <w:szCs w:val="24"/>
        </w:rPr>
        <w:t xml:space="preserve">11. </w:t>
      </w:r>
      <w:r w:rsidRPr="000A1A30">
        <w:rPr>
          <w:rFonts w:ascii="Garamond" w:hAnsi="Garamond" w:cs="Times New Roman"/>
          <w:b/>
          <w:bCs/>
          <w:i/>
          <w:iCs/>
          <w:sz w:val="24"/>
          <w:szCs w:val="24"/>
        </w:rPr>
        <w:t xml:space="preserve">Subjekti i interesuar, </w:t>
      </w:r>
      <w:proofErr w:type="spellStart"/>
      <w:r w:rsidRPr="000A1A30">
        <w:rPr>
          <w:rFonts w:ascii="Garamond" w:hAnsi="Garamond" w:cs="Times New Roman"/>
          <w:b/>
          <w:bCs/>
          <w:i/>
          <w:iCs/>
          <w:sz w:val="24"/>
          <w:szCs w:val="24"/>
        </w:rPr>
        <w:t>DAP</w:t>
      </w:r>
      <w:proofErr w:type="spellEnd"/>
      <w:r w:rsidRPr="000A1A30">
        <w:rPr>
          <w:rFonts w:ascii="Garamond" w:hAnsi="Garamond" w:cs="Times New Roman"/>
          <w:b/>
          <w:bCs/>
          <w:i/>
          <w:iCs/>
          <w:sz w:val="24"/>
          <w:szCs w:val="24"/>
        </w:rPr>
        <w:t>-i,</w:t>
      </w:r>
      <w:r w:rsidRPr="000A1A30">
        <w:rPr>
          <w:rFonts w:ascii="Garamond" w:hAnsi="Garamond" w:cs="Times New Roman"/>
          <w:i/>
          <w:iCs/>
          <w:sz w:val="24"/>
          <w:szCs w:val="24"/>
        </w:rPr>
        <w:t xml:space="preserve"> </w:t>
      </w:r>
      <w:r w:rsidRPr="000A1A30">
        <w:rPr>
          <w:rFonts w:ascii="Garamond" w:hAnsi="Garamond" w:cs="Times New Roman"/>
          <w:sz w:val="24"/>
          <w:szCs w:val="24"/>
        </w:rPr>
        <w:t>ka parashtruar si vijon:</w:t>
      </w:r>
    </w:p>
    <w:p w14:paraId="6A349732" w14:textId="278280B3" w:rsidR="006A122A" w:rsidRPr="000A1A30" w:rsidRDefault="00FC2590" w:rsidP="006A122A">
      <w:pPr>
        <w:pStyle w:val="BodyText"/>
        <w:tabs>
          <w:tab w:val="left" w:pos="1260"/>
        </w:tabs>
        <w:spacing w:after="0" w:line="240" w:lineRule="auto"/>
        <w:ind w:firstLine="284"/>
        <w:jc w:val="both"/>
        <w:rPr>
          <w:rFonts w:ascii="Garamond" w:hAnsi="Garamond" w:cs="Times New Roman"/>
          <w:i/>
          <w:iCs/>
          <w:sz w:val="24"/>
          <w:szCs w:val="24"/>
        </w:rPr>
      </w:pPr>
      <w:r>
        <w:rPr>
          <w:rFonts w:ascii="Garamond" w:hAnsi="Garamond" w:cs="Times New Roman"/>
          <w:sz w:val="24"/>
          <w:szCs w:val="24"/>
        </w:rPr>
        <w:t>11.1</w:t>
      </w:r>
      <w:r w:rsidR="006A122A" w:rsidRPr="000A1A30">
        <w:rPr>
          <w:rFonts w:ascii="Garamond" w:hAnsi="Garamond" w:cs="Times New Roman"/>
          <w:sz w:val="24"/>
          <w:szCs w:val="24"/>
        </w:rPr>
        <w:t xml:space="preserve"> 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së drejtës së </w:t>
      </w:r>
      <w:proofErr w:type="spellStart"/>
      <w:r w:rsidR="006A122A" w:rsidRPr="000A1A30">
        <w:rPr>
          <w:rFonts w:ascii="Garamond" w:hAnsi="Garamond" w:cs="Times New Roman"/>
          <w:i/>
          <w:iCs/>
          <w:sz w:val="24"/>
          <w:szCs w:val="24"/>
        </w:rPr>
        <w:t>aksesit</w:t>
      </w:r>
      <w:proofErr w:type="spellEnd"/>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është i pabazuar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pasi</w:t>
      </w:r>
      <w:r w:rsidR="00170EF7">
        <w:rPr>
          <w:rFonts w:ascii="Garamond" w:hAnsi="Garamond" w:cs="Times New Roman"/>
          <w:sz w:val="24"/>
          <w:szCs w:val="24"/>
        </w:rPr>
        <w:t xml:space="preserve"> </w:t>
      </w:r>
      <w:r w:rsidR="006A122A" w:rsidRPr="000A1A30">
        <w:rPr>
          <w:rFonts w:ascii="Garamond" w:hAnsi="Garamond" w:cs="Times New Roman"/>
          <w:sz w:val="24"/>
          <w:szCs w:val="24"/>
        </w:rPr>
        <w:t>kërkuesi nuk ka parashtruar asnjë argument në nivel kushtetues, por e ka lidhur ngushtësisht me të drejtën për t’u njoftuar, e cila është respektuar.</w:t>
      </w:r>
    </w:p>
    <w:p w14:paraId="7E993E50" w14:textId="11D97A93" w:rsidR="006A122A" w:rsidRPr="000A1A30" w:rsidRDefault="00FC2590" w:rsidP="006A122A">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11.2</w:t>
      </w:r>
      <w:r w:rsidR="006A122A" w:rsidRPr="000A1A30">
        <w:rPr>
          <w:rFonts w:ascii="Garamond" w:hAnsi="Garamond" w:cs="Times New Roman"/>
          <w:sz w:val="24"/>
          <w:szCs w:val="24"/>
        </w:rPr>
        <w:t xml:space="preserve"> 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së drejtës për t’u njoftuar </w:t>
      </w:r>
      <w:r w:rsidR="006A122A" w:rsidRPr="000A1A30">
        <w:rPr>
          <w:rFonts w:ascii="Garamond" w:hAnsi="Garamond" w:cs="Times New Roman"/>
          <w:sz w:val="24"/>
          <w:szCs w:val="24"/>
        </w:rPr>
        <w:t xml:space="preserve">nuk është i bazuar, pasi, sikurse ka arsyetuar edhe Gjykata e Lartë, kërkuesi ka marrë dijeni për rekursin dhe nuk ka paraqitur </w:t>
      </w:r>
      <w:proofErr w:type="spellStart"/>
      <w:r w:rsidR="006A122A" w:rsidRPr="000A1A30">
        <w:rPr>
          <w:rFonts w:ascii="Garamond" w:hAnsi="Garamond" w:cs="Times New Roman"/>
          <w:sz w:val="24"/>
          <w:szCs w:val="24"/>
        </w:rPr>
        <w:t>kundërrekurs</w:t>
      </w:r>
      <w:proofErr w:type="spellEnd"/>
      <w:r w:rsidR="006A122A" w:rsidRPr="000A1A30">
        <w:rPr>
          <w:rFonts w:ascii="Garamond" w:hAnsi="Garamond" w:cs="Times New Roman"/>
          <w:sz w:val="24"/>
          <w:szCs w:val="24"/>
        </w:rPr>
        <w:t xml:space="preserve">. Gjithashtu, Gjykata e Lartë ka respektuar edhe procedurën për njoftimin e datës së seancës gjyqësore, sipas parashikimeve ligjore. Për sa kohë, nuk ka cenim të së drejtës për t’u njoftuar nuk mund të pretendohet cenimi i së drejtës për t’u dëgjuar, për t’u mbrojtur dhe parimi i </w:t>
      </w:r>
      <w:proofErr w:type="spellStart"/>
      <w:r w:rsidR="006A122A" w:rsidRPr="000A1A30">
        <w:rPr>
          <w:rFonts w:ascii="Garamond" w:hAnsi="Garamond" w:cs="Times New Roman"/>
          <w:sz w:val="24"/>
          <w:szCs w:val="24"/>
        </w:rPr>
        <w:t>kontradiktoritetit</w:t>
      </w:r>
      <w:proofErr w:type="spellEnd"/>
      <w:r w:rsidR="006A122A" w:rsidRPr="000A1A30">
        <w:rPr>
          <w:rFonts w:ascii="Garamond" w:hAnsi="Garamond" w:cs="Times New Roman"/>
          <w:sz w:val="24"/>
          <w:szCs w:val="24"/>
        </w:rPr>
        <w:t>.</w:t>
      </w:r>
    </w:p>
    <w:p w14:paraId="57F88B81" w14:textId="36B6AB5C" w:rsidR="006A122A" w:rsidRPr="000A1A30" w:rsidRDefault="00FC2590" w:rsidP="006A122A">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11.3</w:t>
      </w:r>
      <w:r w:rsidR="006A122A" w:rsidRPr="000A1A30">
        <w:rPr>
          <w:rFonts w:ascii="Garamond" w:hAnsi="Garamond" w:cs="Times New Roman"/>
          <w:sz w:val="24"/>
          <w:szCs w:val="24"/>
        </w:rPr>
        <w:t xml:space="preserve"> 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së drejtës për t’u gjykuar nga një gjykatë e caktuar me ligj </w:t>
      </w:r>
      <w:r w:rsidR="006A122A" w:rsidRPr="000A1A30">
        <w:rPr>
          <w:rFonts w:ascii="Garamond" w:hAnsi="Garamond" w:cs="Times New Roman"/>
          <w:sz w:val="24"/>
          <w:szCs w:val="24"/>
        </w:rPr>
        <w:t>është i pabazuar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pasi Gjykata e Lartë nuk ka nxjerrë konkluzione për provat në të kundërt me vlerësimin e dy gjykatave më të ulëta dhe nuk ka vënë në dyshim nëse është vërtetuar ose jo fakti që lidhet me përfundimin e marrëdhënies së punës, por qëndrimi i saj lidhet me mënyrën sesi ato kanë zbatuar ligjin. Klasifikimi ligjor i veprimeve të organit publik nuk është më një çështje fakti që kërkon hetim gjyqësor të thelluar.</w:t>
      </w:r>
    </w:p>
    <w:p w14:paraId="750CCB39" w14:textId="39EAF443" w:rsidR="006A122A" w:rsidRPr="000A1A30" w:rsidRDefault="00FC2590" w:rsidP="006A122A">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11.4</w:t>
      </w:r>
      <w:r w:rsidR="00170EF7">
        <w:rPr>
          <w:rFonts w:ascii="Garamond" w:hAnsi="Garamond" w:cs="Times New Roman"/>
          <w:sz w:val="24"/>
          <w:szCs w:val="24"/>
        </w:rPr>
        <w:t xml:space="preserve"> </w:t>
      </w:r>
      <w:r w:rsidR="006A122A" w:rsidRPr="000A1A30">
        <w:rPr>
          <w:rFonts w:ascii="Garamond" w:hAnsi="Garamond" w:cs="Times New Roman"/>
          <w:sz w:val="24"/>
          <w:szCs w:val="24"/>
        </w:rPr>
        <w:t>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cenimin e </w:t>
      </w:r>
      <w:r w:rsidR="006A122A" w:rsidRPr="000A1A30">
        <w:rPr>
          <w:rFonts w:ascii="Garamond" w:hAnsi="Garamond" w:cs="Times New Roman"/>
          <w:i/>
          <w:iCs/>
          <w:sz w:val="24"/>
          <w:szCs w:val="24"/>
        </w:rPr>
        <w:t xml:space="preserve">standardit të arsyetimit të vendimit gjyqësor </w:t>
      </w:r>
      <w:r w:rsidR="006A122A" w:rsidRPr="000A1A30">
        <w:rPr>
          <w:rFonts w:ascii="Garamond" w:hAnsi="Garamond" w:cs="Times New Roman"/>
          <w:sz w:val="24"/>
          <w:szCs w:val="24"/>
        </w:rPr>
        <w:t xml:space="preserve">nuk është i bazuar. Gjykata e Lartë ka marrë në shqyrtim, ka analizuar e vlerësuar pretendimet dhe në vendimin e saj ka respektuar standardet kushtetuese për arsyetimin e vendimit gjyqësor. Gjithashtu, fakti që Avokatura e Shtetit dhe </w:t>
      </w:r>
      <w:proofErr w:type="spellStart"/>
      <w:r w:rsidR="006A122A" w:rsidRPr="000A1A30">
        <w:rPr>
          <w:rFonts w:ascii="Garamond" w:hAnsi="Garamond" w:cs="Times New Roman"/>
          <w:sz w:val="24"/>
          <w:szCs w:val="24"/>
        </w:rPr>
        <w:t>DAP</w:t>
      </w:r>
      <w:proofErr w:type="spellEnd"/>
      <w:r w:rsidR="006A122A" w:rsidRPr="000A1A30">
        <w:rPr>
          <w:rFonts w:ascii="Garamond" w:hAnsi="Garamond" w:cs="Times New Roman"/>
          <w:sz w:val="24"/>
          <w:szCs w:val="24"/>
        </w:rPr>
        <w:t>-i nuk kanë referuar në rekurs rrethanën se vendimi gjyqësor i formës së prerë është ekzekutuar lidhet me fazën e ekzekutimit të vendimit dhe jo me thelbin e mosmarrëveshjes.</w:t>
      </w:r>
    </w:p>
    <w:p w14:paraId="06DD311D" w14:textId="74AB179B" w:rsidR="006A122A" w:rsidRPr="000A1A30" w:rsidRDefault="00FC2590" w:rsidP="006A122A">
      <w:pPr>
        <w:pStyle w:val="BodyText"/>
        <w:tabs>
          <w:tab w:val="left" w:pos="1260"/>
        </w:tabs>
        <w:spacing w:after="0" w:line="240" w:lineRule="auto"/>
        <w:ind w:firstLine="284"/>
        <w:jc w:val="both"/>
        <w:rPr>
          <w:rFonts w:ascii="Garamond" w:hAnsi="Garamond" w:cs="Times New Roman"/>
          <w:i/>
          <w:iCs/>
          <w:sz w:val="24"/>
          <w:szCs w:val="24"/>
        </w:rPr>
      </w:pPr>
      <w:r>
        <w:rPr>
          <w:rFonts w:ascii="Garamond" w:hAnsi="Garamond" w:cs="Times New Roman"/>
          <w:sz w:val="24"/>
          <w:szCs w:val="24"/>
        </w:rPr>
        <w:lastRenderedPageBreak/>
        <w:t>11.5</w:t>
      </w:r>
      <w:r w:rsidR="006A122A" w:rsidRPr="000A1A30">
        <w:rPr>
          <w:rFonts w:ascii="Garamond" w:hAnsi="Garamond" w:cs="Times New Roman"/>
          <w:sz w:val="24"/>
          <w:szCs w:val="24"/>
        </w:rPr>
        <w:t xml:space="preserve"> Për pretendimin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parimit të barazisë përpara ligjit dhe të </w:t>
      </w:r>
      <w:proofErr w:type="spellStart"/>
      <w:r w:rsidR="006A122A" w:rsidRPr="000A1A30">
        <w:rPr>
          <w:rFonts w:ascii="Garamond" w:hAnsi="Garamond" w:cs="Times New Roman"/>
          <w:i/>
          <w:iCs/>
          <w:sz w:val="24"/>
          <w:szCs w:val="24"/>
        </w:rPr>
        <w:t>mosdiskriminimit</w:t>
      </w:r>
      <w:proofErr w:type="spellEnd"/>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kërkuesi</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nuk ka argumentuar nëse në rastin e tij ka pasur diskriminim ose favorizim të palëve </w:t>
      </w:r>
      <w:proofErr w:type="spellStart"/>
      <w:r w:rsidR="006A122A" w:rsidRPr="000A1A30">
        <w:rPr>
          <w:rFonts w:ascii="Garamond" w:hAnsi="Garamond" w:cs="Times New Roman"/>
          <w:sz w:val="24"/>
          <w:szCs w:val="24"/>
        </w:rPr>
        <w:t>ndërgjyqëse</w:t>
      </w:r>
      <w:proofErr w:type="spellEnd"/>
      <w:r w:rsidR="006A122A" w:rsidRPr="000A1A30">
        <w:rPr>
          <w:rFonts w:ascii="Garamond" w:hAnsi="Garamond" w:cs="Times New Roman"/>
          <w:sz w:val="24"/>
          <w:szCs w:val="24"/>
        </w:rPr>
        <w:t>. Mënyra e zgjidhjes së çështjes dhe zbatimi i ligjit është e drejtë e çdo gjykate, sepse çdo çështje ka individualitetin e saj në harmoni me rrethanat e provat. Edhe pretendimi për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cenimin e</w:t>
      </w:r>
      <w:r w:rsidR="006A122A" w:rsidRPr="000A1A30">
        <w:rPr>
          <w:rFonts w:ascii="Garamond" w:hAnsi="Garamond" w:cs="Times New Roman"/>
          <w:i/>
          <w:iCs/>
          <w:sz w:val="24"/>
          <w:szCs w:val="24"/>
        </w:rPr>
        <w:t xml:space="preserve"> parimit të sigurisë juridike </w:t>
      </w:r>
      <w:r w:rsidR="006A122A" w:rsidRPr="000A1A30">
        <w:rPr>
          <w:rFonts w:ascii="Garamond" w:hAnsi="Garamond" w:cs="Times New Roman"/>
          <w:sz w:val="24"/>
          <w:szCs w:val="24"/>
        </w:rPr>
        <w:t>është i pabazuar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 xml:space="preserve">pasi nuk është ngritur në nivelin e një pretendimi me natyrë kushtetuese, sepse ka të bëjë me mënyrën e zbatimit të ligjit, që është në kompetencë të gjykatave të juridiksionit të zakonshëm. Vendimi i referuar nga kërkuesi nuk përbën vendim </w:t>
      </w:r>
      <w:proofErr w:type="spellStart"/>
      <w:r w:rsidR="006A122A" w:rsidRPr="000A1A30">
        <w:rPr>
          <w:rFonts w:ascii="Garamond" w:hAnsi="Garamond" w:cs="Times New Roman"/>
          <w:sz w:val="24"/>
          <w:szCs w:val="24"/>
        </w:rPr>
        <w:t>unifikues</w:t>
      </w:r>
      <w:proofErr w:type="spellEnd"/>
      <w:r w:rsidR="006A122A" w:rsidRPr="000A1A30">
        <w:rPr>
          <w:rFonts w:ascii="Garamond" w:hAnsi="Garamond" w:cs="Times New Roman"/>
          <w:sz w:val="24"/>
          <w:szCs w:val="24"/>
        </w:rPr>
        <w:t xml:space="preserve"> që mund t’i sillte pritshmëri atij në zgjidhjen e çështjes.</w:t>
      </w:r>
    </w:p>
    <w:p w14:paraId="6EB1CC1F" w14:textId="6AD99879" w:rsidR="006A122A" w:rsidRPr="000A1A30" w:rsidRDefault="00FC2590" w:rsidP="006A122A">
      <w:pPr>
        <w:pStyle w:val="BodyText"/>
        <w:tabs>
          <w:tab w:val="left" w:pos="1260"/>
        </w:tabs>
        <w:spacing w:after="0" w:line="240" w:lineRule="auto"/>
        <w:ind w:firstLine="284"/>
        <w:jc w:val="both"/>
        <w:rPr>
          <w:rFonts w:ascii="Garamond" w:hAnsi="Garamond" w:cs="Times New Roman"/>
          <w:sz w:val="24"/>
          <w:szCs w:val="24"/>
        </w:rPr>
      </w:pPr>
      <w:r>
        <w:rPr>
          <w:rFonts w:ascii="Garamond" w:hAnsi="Garamond" w:cs="Times New Roman"/>
          <w:sz w:val="24"/>
          <w:szCs w:val="24"/>
        </w:rPr>
        <w:t>11.6</w:t>
      </w:r>
      <w:r w:rsidR="006A122A" w:rsidRPr="000A1A30">
        <w:rPr>
          <w:rFonts w:ascii="Garamond" w:hAnsi="Garamond" w:cs="Times New Roman"/>
          <w:sz w:val="24"/>
          <w:szCs w:val="24"/>
        </w:rPr>
        <w:t xml:space="preserve"> Pretendimi për cenimin e</w:t>
      </w:r>
      <w:r w:rsidR="006A122A" w:rsidRPr="000A1A30">
        <w:rPr>
          <w:rFonts w:ascii="Garamond" w:hAnsi="Garamond" w:cs="Times New Roman"/>
          <w:i/>
          <w:iCs/>
          <w:sz w:val="24"/>
          <w:szCs w:val="24"/>
        </w:rPr>
        <w:t xml:space="preserve"> standardit minimal të jetesës </w:t>
      </w:r>
      <w:r w:rsidR="006A122A" w:rsidRPr="000A1A30">
        <w:rPr>
          <w:rFonts w:ascii="Garamond" w:hAnsi="Garamond" w:cs="Times New Roman"/>
          <w:sz w:val="24"/>
          <w:szCs w:val="24"/>
        </w:rPr>
        <w:t>nuk është i bazuar</w:t>
      </w:r>
      <w:r w:rsidR="006A122A" w:rsidRPr="000A1A30">
        <w:rPr>
          <w:rFonts w:ascii="Garamond" w:hAnsi="Garamond" w:cs="Times New Roman"/>
          <w:i/>
          <w:iCs/>
          <w:sz w:val="24"/>
          <w:szCs w:val="24"/>
        </w:rPr>
        <w:t xml:space="preserve">, </w:t>
      </w:r>
      <w:r w:rsidR="006A122A" w:rsidRPr="000A1A30">
        <w:rPr>
          <w:rFonts w:ascii="Garamond" w:hAnsi="Garamond" w:cs="Times New Roman"/>
          <w:sz w:val="24"/>
          <w:szCs w:val="24"/>
        </w:rPr>
        <w:t>pasi ky koncept lidhet me të ardhurat e ligjshme, të qëndrueshme e përfundimtare dhe jo me përfitime të përkohshme të realizuara në bazë të një vendimi gjyqësor. Standardi minimal i jetesës nuk mund të mbështetet në mbajtjen e një pasurie që ligji e konsideron të kthyeshme, përndryshe pasurimi do të legjitimohej pa shkak. Mundësia e ekzekutimit të vendimit gjyqësor të Gjykatës së Lartë nuk përbën cenim të standardit të jetesës.</w:t>
      </w:r>
    </w:p>
    <w:p w14:paraId="35F0B002" w14:textId="77777777" w:rsidR="006A122A" w:rsidRPr="000A1A30" w:rsidRDefault="006A122A" w:rsidP="006A122A">
      <w:pPr>
        <w:pStyle w:val="BodyText"/>
        <w:tabs>
          <w:tab w:val="left" w:pos="1080"/>
        </w:tabs>
        <w:spacing w:after="0" w:line="240" w:lineRule="auto"/>
        <w:ind w:firstLine="284"/>
        <w:jc w:val="both"/>
        <w:rPr>
          <w:rFonts w:ascii="Garamond" w:hAnsi="Garamond" w:cs="Times New Roman"/>
          <w:sz w:val="24"/>
          <w:szCs w:val="24"/>
        </w:rPr>
      </w:pPr>
    </w:p>
    <w:p w14:paraId="6D9D022F" w14:textId="77777777" w:rsidR="006A122A" w:rsidRPr="000A1A30" w:rsidRDefault="006A122A" w:rsidP="006A122A">
      <w:pPr>
        <w:tabs>
          <w:tab w:val="left" w:pos="1080"/>
        </w:tabs>
        <w:spacing w:after="0" w:line="240" w:lineRule="auto"/>
        <w:ind w:firstLine="284"/>
        <w:jc w:val="center"/>
        <w:rPr>
          <w:rFonts w:ascii="Garamond" w:hAnsi="Garamond" w:cs="Times New Roman"/>
          <w:b/>
          <w:bCs/>
          <w:sz w:val="24"/>
          <w:szCs w:val="24"/>
        </w:rPr>
      </w:pPr>
      <w:proofErr w:type="spellStart"/>
      <w:r w:rsidRPr="000A1A30">
        <w:rPr>
          <w:rFonts w:ascii="Garamond" w:hAnsi="Garamond" w:cs="Times New Roman"/>
          <w:b/>
          <w:bCs/>
          <w:sz w:val="24"/>
          <w:szCs w:val="24"/>
        </w:rPr>
        <w:t>III</w:t>
      </w:r>
      <w:proofErr w:type="spellEnd"/>
    </w:p>
    <w:p w14:paraId="3B69AD86" w14:textId="77777777" w:rsidR="006A122A" w:rsidRPr="000A1A30" w:rsidRDefault="006A122A" w:rsidP="006A122A">
      <w:pPr>
        <w:tabs>
          <w:tab w:val="left" w:pos="980"/>
        </w:tabs>
        <w:spacing w:after="0" w:line="240" w:lineRule="auto"/>
        <w:ind w:firstLine="284"/>
        <w:jc w:val="center"/>
        <w:rPr>
          <w:rFonts w:ascii="Garamond" w:hAnsi="Garamond" w:cs="Times New Roman"/>
          <w:b/>
          <w:bCs/>
          <w:sz w:val="24"/>
          <w:szCs w:val="24"/>
        </w:rPr>
      </w:pPr>
      <w:r w:rsidRPr="000A1A30">
        <w:rPr>
          <w:rFonts w:ascii="Garamond" w:hAnsi="Garamond" w:cs="Times New Roman"/>
          <w:b/>
          <w:bCs/>
          <w:sz w:val="24"/>
          <w:szCs w:val="24"/>
        </w:rPr>
        <w:t>Vlerësimi i Gjykatës Kushtetuese</w:t>
      </w:r>
    </w:p>
    <w:p w14:paraId="1D8355C7" w14:textId="77777777" w:rsidR="006A122A" w:rsidRPr="000A1A30" w:rsidRDefault="006A122A" w:rsidP="006A122A">
      <w:pPr>
        <w:pStyle w:val="ListParagraph"/>
        <w:tabs>
          <w:tab w:val="left" w:pos="1080"/>
        </w:tabs>
        <w:spacing w:after="0" w:line="240" w:lineRule="auto"/>
        <w:ind w:left="0" w:firstLine="284"/>
        <w:rPr>
          <w:rFonts w:ascii="Garamond" w:hAnsi="Garamond" w:cs="Times New Roman"/>
          <w:i/>
          <w:iCs/>
          <w:sz w:val="24"/>
          <w:szCs w:val="24"/>
        </w:rPr>
      </w:pPr>
    </w:p>
    <w:p w14:paraId="6032CF9C" w14:textId="791B0B09" w:rsidR="006A122A" w:rsidRPr="000A1A30" w:rsidRDefault="006A122A" w:rsidP="006A122A">
      <w:pPr>
        <w:pStyle w:val="ListParagraph"/>
        <w:tabs>
          <w:tab w:val="left" w:pos="1080"/>
        </w:tabs>
        <w:spacing w:after="0" w:line="240" w:lineRule="auto"/>
        <w:ind w:left="0" w:firstLine="284"/>
        <w:rPr>
          <w:rFonts w:ascii="Garamond" w:hAnsi="Garamond" w:cs="Times New Roman"/>
          <w:i/>
          <w:iCs/>
          <w:sz w:val="24"/>
          <w:szCs w:val="24"/>
        </w:rPr>
      </w:pPr>
      <w:r w:rsidRPr="000A1A30">
        <w:rPr>
          <w:rFonts w:ascii="Garamond" w:hAnsi="Garamond" w:cs="Times New Roman"/>
          <w:i/>
          <w:iCs/>
          <w:sz w:val="24"/>
          <w:szCs w:val="24"/>
        </w:rPr>
        <w:t>A. Për legjitimimin e kërkuesit</w:t>
      </w:r>
    </w:p>
    <w:p w14:paraId="18537D06" w14:textId="13731549" w:rsidR="006A122A" w:rsidRPr="000A1A30" w:rsidRDefault="006A122A" w:rsidP="006A122A">
      <w:pPr>
        <w:pStyle w:val="ListParagraph"/>
        <w:tabs>
          <w:tab w:val="left" w:pos="1080"/>
        </w:tabs>
        <w:spacing w:after="0" w:line="240" w:lineRule="auto"/>
        <w:ind w:left="0" w:firstLine="284"/>
        <w:jc w:val="both"/>
        <w:rPr>
          <w:rFonts w:ascii="Garamond" w:hAnsi="Garamond" w:cs="Times New Roman"/>
          <w:i/>
          <w:iCs/>
          <w:sz w:val="24"/>
          <w:szCs w:val="24"/>
        </w:rPr>
      </w:pPr>
      <w:r w:rsidRPr="000A1A30">
        <w:rPr>
          <w:rFonts w:ascii="Garamond" w:hAnsi="Garamond" w:cs="Times New Roman"/>
          <w:sz w:val="24"/>
          <w:szCs w:val="24"/>
        </w:rPr>
        <w:t>12. Çështja e legjitimimit (</w:t>
      </w:r>
      <w:proofErr w:type="spellStart"/>
      <w:r w:rsidRPr="000A1A30">
        <w:rPr>
          <w:rFonts w:ascii="Garamond" w:hAnsi="Garamond" w:cs="Times New Roman"/>
          <w:i/>
          <w:iCs/>
          <w:sz w:val="24"/>
          <w:szCs w:val="24"/>
        </w:rPr>
        <w:t>locus</w:t>
      </w:r>
      <w:proofErr w:type="spellEnd"/>
      <w:r w:rsidRPr="000A1A30">
        <w:rPr>
          <w:rFonts w:ascii="Garamond" w:hAnsi="Garamond" w:cs="Times New Roman"/>
          <w:i/>
          <w:iCs/>
          <w:sz w:val="24"/>
          <w:szCs w:val="24"/>
        </w:rPr>
        <w:t xml:space="preserve"> </w:t>
      </w:r>
      <w:proofErr w:type="spellStart"/>
      <w:r w:rsidRPr="000A1A30">
        <w:rPr>
          <w:rFonts w:ascii="Garamond" w:hAnsi="Garamond" w:cs="Times New Roman"/>
          <w:i/>
          <w:iCs/>
          <w:sz w:val="24"/>
          <w:szCs w:val="24"/>
        </w:rPr>
        <w:t>standi</w:t>
      </w:r>
      <w:proofErr w:type="spellEnd"/>
      <w:r w:rsidRPr="000A1A30">
        <w:rPr>
          <w:rFonts w:ascii="Garamond" w:hAnsi="Garamond" w:cs="Times New Roman"/>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0A1A30">
        <w:rPr>
          <w:rFonts w:ascii="Garamond" w:hAnsi="Garamond" w:cs="Times New Roman"/>
          <w:sz w:val="24"/>
          <w:szCs w:val="24"/>
        </w:rPr>
        <w:t>kumulative</w:t>
      </w:r>
      <w:proofErr w:type="spellEnd"/>
      <w:r w:rsidRPr="000A1A30">
        <w:rPr>
          <w:rFonts w:ascii="Garamond" w:hAnsi="Garamond" w:cs="Times New Roman"/>
          <w:sz w:val="24"/>
          <w:szCs w:val="24"/>
        </w:rPr>
        <w:t xml:space="preserve"> të parashikuara nga neni 71/a i Ligjit Organik të Gjykatës,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55F0117D" w14:textId="5BB81DBB"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13. Në referim të këtyre standardeve, Gjykata vlerëson se kërkuesi, si individ, legjitimohet </w:t>
      </w:r>
      <w:proofErr w:type="spellStart"/>
      <w:r w:rsidRPr="000A1A30">
        <w:rPr>
          <w:rFonts w:ascii="Garamond" w:hAnsi="Garamond" w:cs="Times New Roman"/>
          <w:i/>
          <w:iCs/>
          <w:sz w:val="24"/>
          <w:szCs w:val="24"/>
        </w:rPr>
        <w:t>ratione</w:t>
      </w:r>
      <w:proofErr w:type="spellEnd"/>
      <w:r w:rsidRPr="000A1A30">
        <w:rPr>
          <w:rFonts w:ascii="Garamond" w:hAnsi="Garamond" w:cs="Times New Roman"/>
          <w:i/>
          <w:iCs/>
          <w:sz w:val="24"/>
          <w:szCs w:val="24"/>
        </w:rPr>
        <w:t xml:space="preserve"> </w:t>
      </w:r>
      <w:proofErr w:type="spellStart"/>
      <w:r w:rsidRPr="000A1A30">
        <w:rPr>
          <w:rFonts w:ascii="Garamond" w:hAnsi="Garamond" w:cs="Times New Roman"/>
          <w:i/>
          <w:iCs/>
          <w:sz w:val="24"/>
          <w:szCs w:val="24"/>
        </w:rPr>
        <w:t>personae</w:t>
      </w:r>
      <w:proofErr w:type="spellEnd"/>
      <w:r w:rsidRPr="000A1A30">
        <w:rPr>
          <w:rFonts w:ascii="Garamond" w:hAnsi="Garamond" w:cs="Times New Roman"/>
          <w:sz w:val="24"/>
          <w:szCs w:val="24"/>
        </w:rPr>
        <w:t xml:space="preserve"> në kuptim të neneve 131, pika 1, shkronja “f”</w:t>
      </w:r>
      <w:r w:rsidRPr="000A1A30">
        <w:rPr>
          <w:rFonts w:ascii="Garamond" w:hAnsi="Garamond"/>
          <w:sz w:val="24"/>
          <w:szCs w:val="24"/>
        </w:rPr>
        <w:t>,</w:t>
      </w:r>
      <w:r w:rsidRPr="000A1A30">
        <w:rPr>
          <w:rFonts w:ascii="Garamond" w:hAnsi="Garamond" w:cs="Times New Roman"/>
          <w:sz w:val="24"/>
          <w:szCs w:val="24"/>
        </w:rPr>
        <w:t xml:space="preserve"> dhe 134, pika 1, shkronja “i”, të Kushtetutës, sepse ka qenë palë në procesin gjyqësor në të cilin janë dhënë vendimet objekt kundërshtimi në Gjykatë, ndaj ka interes të drejtpërdrejtë në çështjen e parashtruar.</w:t>
      </w:r>
    </w:p>
    <w:p w14:paraId="75DBDF18" w14:textId="1F0F5A5A"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14. Në lidhje me kriterin e </w:t>
      </w:r>
      <w:r w:rsidRPr="000A1A30">
        <w:rPr>
          <w:rFonts w:ascii="Garamond" w:hAnsi="Garamond" w:cs="Times New Roman"/>
          <w:i/>
          <w:iCs/>
          <w:sz w:val="24"/>
          <w:szCs w:val="24"/>
        </w:rPr>
        <w:t>shterimit të mjeteve juridike efektive</w:t>
      </w:r>
      <w:r w:rsidRPr="000A1A30">
        <w:rPr>
          <w:rFonts w:ascii="Garamond" w:hAnsi="Garamond" w:cs="Times New Roman"/>
          <w:sz w:val="24"/>
          <w:szCs w:val="24"/>
        </w:rPr>
        <w:t xml:space="preserve">, në kuptim të nenit 131, pika 1, shkronja “f”, të Kushtetutës, kërkuesi i është drejtuar Gjykatës me ankim kushtetues individual, pas përfundimit të procesit gjyqësor në të tria shkallët e gjyqësorit të zakonshëm. Për rrjedhojë, duke qenë se objekt i ankimit kushtetues individual është vendimi i Gjykatës së Lartë, Gjykata vlerëson se në aspektin formal ai konsiderohet se i ka shteruar mjetet juridike efektive dhe se nuk ka mjet tjetër juridik në dispozicion për mbrojtjen e të drejtave kushtetuese përveç paraqitjes së ankimit kushtetues individual. </w:t>
      </w:r>
    </w:p>
    <w:p w14:paraId="0F0A9122" w14:textId="38E8391C"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15. Në aspektin substancial, subjekti i interesuar, Ministria e Drejtësisë, ka parashtruar se kërkuesi nuk ka shteruar mjetet juridike efektive për pretendimet për cenimin e</w:t>
      </w:r>
      <w:r w:rsidRPr="000A1A30">
        <w:rPr>
          <w:rFonts w:ascii="Garamond" w:hAnsi="Garamond" w:cs="Times New Roman"/>
          <w:i/>
          <w:iCs/>
          <w:sz w:val="24"/>
          <w:szCs w:val="24"/>
        </w:rPr>
        <w:t xml:space="preserve"> së drejtës për t’u njoftuar, për t’u dëgjuar e mbrojtur, së drejtës së </w:t>
      </w:r>
      <w:proofErr w:type="spellStart"/>
      <w:r w:rsidRPr="000A1A30">
        <w:rPr>
          <w:rFonts w:ascii="Garamond" w:hAnsi="Garamond" w:cs="Times New Roman"/>
          <w:i/>
          <w:iCs/>
          <w:sz w:val="24"/>
          <w:szCs w:val="24"/>
        </w:rPr>
        <w:t>aksesit</w:t>
      </w:r>
      <w:proofErr w:type="spellEnd"/>
      <w:r w:rsidRPr="000A1A30">
        <w:rPr>
          <w:rFonts w:ascii="Garamond" w:hAnsi="Garamond" w:cs="Times New Roman"/>
          <w:i/>
          <w:iCs/>
          <w:sz w:val="24"/>
          <w:szCs w:val="24"/>
        </w:rPr>
        <w:t xml:space="preserve">, parimit të </w:t>
      </w:r>
      <w:proofErr w:type="spellStart"/>
      <w:r w:rsidRPr="000A1A30">
        <w:rPr>
          <w:rFonts w:ascii="Garamond" w:hAnsi="Garamond" w:cs="Times New Roman"/>
          <w:i/>
          <w:iCs/>
          <w:sz w:val="24"/>
          <w:szCs w:val="24"/>
        </w:rPr>
        <w:t>kontradiktoritetit</w:t>
      </w:r>
      <w:proofErr w:type="spellEnd"/>
      <w:r w:rsidRPr="000A1A30">
        <w:rPr>
          <w:rFonts w:ascii="Garamond" w:hAnsi="Garamond" w:cs="Times New Roman"/>
          <w:i/>
          <w:iCs/>
          <w:sz w:val="24"/>
          <w:szCs w:val="24"/>
        </w:rPr>
        <w:t xml:space="preserve">, barazisë përpara ligjit e të </w:t>
      </w:r>
      <w:proofErr w:type="spellStart"/>
      <w:r w:rsidRPr="000A1A30">
        <w:rPr>
          <w:rFonts w:ascii="Garamond" w:hAnsi="Garamond" w:cs="Times New Roman"/>
          <w:i/>
          <w:iCs/>
          <w:sz w:val="24"/>
          <w:szCs w:val="24"/>
        </w:rPr>
        <w:t>mosdiskriminimit</w:t>
      </w:r>
      <w:proofErr w:type="spellEnd"/>
      <w:r w:rsidRPr="000A1A30">
        <w:rPr>
          <w:rFonts w:ascii="Garamond" w:hAnsi="Garamond" w:cs="Times New Roman"/>
          <w:i/>
          <w:iCs/>
          <w:sz w:val="24"/>
          <w:szCs w:val="24"/>
        </w:rPr>
        <w:t xml:space="preserve"> dhe parimit të sigurisë juridike</w:t>
      </w:r>
      <w:r w:rsidRPr="000A1A30">
        <w:rPr>
          <w:rFonts w:ascii="Garamond" w:hAnsi="Garamond" w:cs="Times New Roman"/>
          <w:sz w:val="24"/>
          <w:szCs w:val="24"/>
        </w:rPr>
        <w:t xml:space="preserve">, për sa kohë ai, megjithëse ka marrë dijeni për rekurset e paraqitura nga Avokatura e Shtetit dhe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 nuk ka ushtruar të drejtën për të paraqitur </w:t>
      </w:r>
      <w:proofErr w:type="spellStart"/>
      <w:r w:rsidRPr="000A1A30">
        <w:rPr>
          <w:rFonts w:ascii="Garamond" w:hAnsi="Garamond" w:cs="Times New Roman"/>
          <w:sz w:val="24"/>
          <w:szCs w:val="24"/>
        </w:rPr>
        <w:t>kundërrekurs</w:t>
      </w:r>
      <w:proofErr w:type="spellEnd"/>
      <w:r w:rsidRPr="000A1A30">
        <w:rPr>
          <w:rFonts w:ascii="Garamond" w:hAnsi="Garamond" w:cs="Times New Roman"/>
          <w:sz w:val="24"/>
          <w:szCs w:val="24"/>
        </w:rPr>
        <w:t xml:space="preserve"> në mënyrë që të parashtronte kundërshtimet e tij. Duke qenë se kërkuesi për këto pretendime ka parashtruar të njëjtat argumente, konkretisht se Gjykata e Lartë nuk i ka njoftuar rekurset e ushtruara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 dhe nga Avokatura e Shtetit, arsye, sipas tij, për të cilën nuk mund të paraqiste </w:t>
      </w:r>
      <w:proofErr w:type="spellStart"/>
      <w:r w:rsidRPr="000A1A30">
        <w:rPr>
          <w:rFonts w:ascii="Garamond" w:hAnsi="Garamond" w:cs="Times New Roman"/>
          <w:sz w:val="24"/>
          <w:szCs w:val="24"/>
        </w:rPr>
        <w:t>kundërrekurs</w:t>
      </w:r>
      <w:proofErr w:type="spellEnd"/>
      <w:r w:rsidRPr="000A1A30">
        <w:rPr>
          <w:rFonts w:ascii="Garamond" w:hAnsi="Garamond" w:cs="Times New Roman"/>
          <w:sz w:val="24"/>
          <w:szCs w:val="24"/>
        </w:rPr>
        <w:t xml:space="preserve">, Gjykata vlerëson se edhe aspekti substancial i kriterit të shterimit të mjeteve juridike konsiderohet i përmbushur. </w:t>
      </w:r>
    </w:p>
    <w:p w14:paraId="236E911B" w14:textId="518CD8E5" w:rsidR="006A122A" w:rsidRPr="000A1A30" w:rsidRDefault="006A122A" w:rsidP="006A122A">
      <w:pPr>
        <w:tabs>
          <w:tab w:val="left" w:pos="108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 xml:space="preserve">16. Lidhur me legjitimimin </w:t>
      </w:r>
      <w:proofErr w:type="spellStart"/>
      <w:r w:rsidRPr="000A1A30">
        <w:rPr>
          <w:rFonts w:ascii="Garamond" w:hAnsi="Garamond" w:cs="Times New Roman"/>
          <w:i/>
          <w:iCs/>
          <w:sz w:val="24"/>
          <w:szCs w:val="24"/>
        </w:rPr>
        <w:t>ratione</w:t>
      </w:r>
      <w:proofErr w:type="spellEnd"/>
      <w:r w:rsidRPr="000A1A30">
        <w:rPr>
          <w:rFonts w:ascii="Garamond" w:hAnsi="Garamond" w:cs="Times New Roman"/>
          <w:i/>
          <w:iCs/>
          <w:sz w:val="24"/>
          <w:szCs w:val="24"/>
        </w:rPr>
        <w:t xml:space="preserve"> </w:t>
      </w:r>
      <w:proofErr w:type="spellStart"/>
      <w:r w:rsidRPr="000A1A30">
        <w:rPr>
          <w:rFonts w:ascii="Garamond" w:hAnsi="Garamond" w:cs="Times New Roman"/>
          <w:i/>
          <w:iCs/>
          <w:sz w:val="24"/>
          <w:szCs w:val="24"/>
        </w:rPr>
        <w:t>temporis</w:t>
      </w:r>
      <w:proofErr w:type="spellEnd"/>
      <w:r w:rsidRPr="000A1A30">
        <w:rPr>
          <w:rFonts w:ascii="Garamond" w:hAnsi="Garamond" w:cs="Times New Roman"/>
          <w:sz w:val="24"/>
          <w:szCs w:val="24"/>
        </w:rPr>
        <w:t xml:space="preserve">, neni 71/a, pika 1, shkronja “b”, i Ligjit Organik të Gjykatës ka parashikuar afatin ligjor 4-mujor nga konstatimi i cenimit për paraqitjen e ankimit </w:t>
      </w:r>
      <w:r w:rsidRPr="000A1A30">
        <w:rPr>
          <w:rFonts w:ascii="Garamond" w:hAnsi="Garamond" w:cs="Times New Roman"/>
          <w:sz w:val="24"/>
          <w:szCs w:val="24"/>
        </w:rPr>
        <w:lastRenderedPageBreak/>
        <w:t>kushtetues individual. Në rastin konkret, vendimi më i fundit gjyqësor i dhënë në çështjen e kërkuesit, ai i Kolegjit Administrativ të</w:t>
      </w:r>
      <w:r w:rsidR="00FC2590">
        <w:rPr>
          <w:rFonts w:ascii="Garamond" w:hAnsi="Garamond" w:cs="Times New Roman"/>
          <w:sz w:val="24"/>
          <w:szCs w:val="24"/>
        </w:rPr>
        <w:t xml:space="preserve"> Gjykatës së Lartë, mban datën 6.</w:t>
      </w:r>
      <w:r w:rsidRPr="000A1A30">
        <w:rPr>
          <w:rFonts w:ascii="Garamond" w:hAnsi="Garamond" w:cs="Times New Roman"/>
          <w:sz w:val="24"/>
          <w:szCs w:val="24"/>
        </w:rPr>
        <w:t xml:space="preserve">3.2025, por sipas </w:t>
      </w:r>
      <w:proofErr w:type="spellStart"/>
      <w:r w:rsidR="00FC2590">
        <w:rPr>
          <w:rFonts w:ascii="Garamond" w:hAnsi="Garamond" w:cs="Times New Roman"/>
          <w:i/>
          <w:iCs/>
          <w:sz w:val="24"/>
          <w:szCs w:val="24"/>
        </w:rPr>
        <w:t>e</w:t>
      </w:r>
      <w:r w:rsidRPr="000A1A30">
        <w:rPr>
          <w:rFonts w:ascii="Garamond" w:hAnsi="Garamond" w:cs="Times New Roman"/>
          <w:i/>
          <w:iCs/>
          <w:sz w:val="24"/>
          <w:szCs w:val="24"/>
        </w:rPr>
        <w:t>mail</w:t>
      </w:r>
      <w:proofErr w:type="spellEnd"/>
      <w:r w:rsidRPr="00FC2590">
        <w:rPr>
          <w:rFonts w:ascii="Garamond" w:hAnsi="Garamond" w:cs="Times New Roman"/>
          <w:iCs/>
          <w:sz w:val="24"/>
          <w:szCs w:val="24"/>
        </w:rPr>
        <w:t>-it</w:t>
      </w:r>
      <w:r w:rsidRPr="000A1A30">
        <w:rPr>
          <w:rFonts w:ascii="Garamond" w:hAnsi="Garamond" w:cs="Times New Roman"/>
          <w:sz w:val="24"/>
          <w:szCs w:val="24"/>
        </w:rPr>
        <w:t xml:space="preserve"> të depozituar së bashku me ankimin kushtetues individual i është dërguar avokatit A.</w:t>
      </w:r>
      <w:r w:rsidR="00FC2590">
        <w:rPr>
          <w:rFonts w:ascii="Garamond" w:hAnsi="Garamond" w:cs="Times New Roman"/>
          <w:sz w:val="24"/>
          <w:szCs w:val="24"/>
        </w:rPr>
        <w:t xml:space="preserve"> D., në datën 8.</w:t>
      </w:r>
      <w:r w:rsidRPr="000A1A30">
        <w:rPr>
          <w:rFonts w:ascii="Garamond" w:hAnsi="Garamond" w:cs="Times New Roman"/>
          <w:sz w:val="24"/>
          <w:szCs w:val="24"/>
        </w:rPr>
        <w:t>4.2025. Për rrjedhojë, ankimi kushtetues individual</w:t>
      </w:r>
      <w:r w:rsidR="00170EF7">
        <w:rPr>
          <w:rFonts w:ascii="Garamond" w:hAnsi="Garamond" w:cs="Times New Roman"/>
          <w:sz w:val="24"/>
          <w:szCs w:val="24"/>
        </w:rPr>
        <w:t xml:space="preserve"> </w:t>
      </w:r>
      <w:r w:rsidRPr="000A1A30">
        <w:rPr>
          <w:rFonts w:ascii="Garamond" w:hAnsi="Garamond" w:cs="Times New Roman"/>
          <w:sz w:val="24"/>
          <w:szCs w:val="24"/>
        </w:rPr>
        <w:t>i pa</w:t>
      </w:r>
      <w:r w:rsidR="00FC2590">
        <w:rPr>
          <w:rFonts w:ascii="Garamond" w:hAnsi="Garamond" w:cs="Times New Roman"/>
          <w:sz w:val="24"/>
          <w:szCs w:val="24"/>
        </w:rPr>
        <w:t>raqitur në Gjykatë në datën 23.</w:t>
      </w:r>
      <w:r w:rsidRPr="000A1A30">
        <w:rPr>
          <w:rFonts w:ascii="Garamond" w:hAnsi="Garamond" w:cs="Times New Roman"/>
          <w:sz w:val="24"/>
          <w:szCs w:val="24"/>
        </w:rPr>
        <w:t>7.2025</w:t>
      </w:r>
      <w:r w:rsidR="00FC2590">
        <w:rPr>
          <w:rFonts w:ascii="Garamond" w:hAnsi="Garamond" w:cs="Times New Roman"/>
          <w:sz w:val="24"/>
          <w:szCs w:val="24"/>
        </w:rPr>
        <w:t>,</w:t>
      </w:r>
      <w:r w:rsidRPr="000A1A30">
        <w:rPr>
          <w:rFonts w:ascii="Garamond" w:hAnsi="Garamond" w:cs="Times New Roman"/>
          <w:sz w:val="24"/>
          <w:szCs w:val="24"/>
        </w:rPr>
        <w:t xml:space="preserve"> konsiderohet brenda afatit ligjor 4-mujor</w:t>
      </w:r>
      <w:r w:rsidRPr="000A1A30">
        <w:rPr>
          <w:rFonts w:ascii="Garamond" w:hAnsi="Garamond" w:cs="Times New Roman"/>
          <w:i/>
          <w:iCs/>
          <w:sz w:val="24"/>
          <w:szCs w:val="24"/>
        </w:rPr>
        <w:t>.</w:t>
      </w:r>
    </w:p>
    <w:p w14:paraId="63C184C9" w14:textId="2C346B19"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17. Për sa i përket legjitimimit </w:t>
      </w:r>
      <w:proofErr w:type="spellStart"/>
      <w:r w:rsidRPr="000A1A30">
        <w:rPr>
          <w:rFonts w:ascii="Garamond" w:hAnsi="Garamond" w:cs="Times New Roman"/>
          <w:i/>
          <w:iCs/>
          <w:sz w:val="24"/>
          <w:szCs w:val="24"/>
        </w:rPr>
        <w:t>ratione</w:t>
      </w:r>
      <w:proofErr w:type="spellEnd"/>
      <w:r w:rsidRPr="000A1A30">
        <w:rPr>
          <w:rFonts w:ascii="Garamond" w:hAnsi="Garamond" w:cs="Times New Roman"/>
          <w:i/>
          <w:iCs/>
          <w:sz w:val="24"/>
          <w:szCs w:val="24"/>
        </w:rPr>
        <w:t xml:space="preserve"> </w:t>
      </w:r>
      <w:proofErr w:type="spellStart"/>
      <w:r w:rsidRPr="000A1A30">
        <w:rPr>
          <w:rFonts w:ascii="Garamond" w:hAnsi="Garamond" w:cs="Times New Roman"/>
          <w:i/>
          <w:iCs/>
          <w:sz w:val="24"/>
          <w:szCs w:val="24"/>
        </w:rPr>
        <w:t>materiae</w:t>
      </w:r>
      <w:proofErr w:type="spellEnd"/>
      <w:r w:rsidRPr="000A1A30">
        <w:rPr>
          <w:rFonts w:ascii="Garamond" w:hAnsi="Garamond" w:cs="Times New Roman"/>
          <w:sz w:val="24"/>
          <w:szCs w:val="24"/>
        </w:rPr>
        <w:t>, Gjykata vëren se kërkuesi ka pretenduar cenimin e: i</w:t>
      </w:r>
      <w:r w:rsidR="00FC2590">
        <w:rPr>
          <w:rFonts w:ascii="Garamond" w:hAnsi="Garamond" w:cs="Times New Roman"/>
          <w:sz w:val="24"/>
          <w:szCs w:val="24"/>
        </w:rPr>
        <w:t>.</w:t>
      </w:r>
      <w:r w:rsidRPr="000A1A30">
        <w:rPr>
          <w:rFonts w:ascii="Garamond" w:hAnsi="Garamond" w:cs="Times New Roman"/>
          <w:i/>
          <w:iCs/>
          <w:sz w:val="24"/>
          <w:szCs w:val="24"/>
        </w:rPr>
        <w:t xml:space="preserve"> së drejtës për t’u njoftuar, për t’u dëgjuar e për t’u mbrojtur; </w:t>
      </w:r>
      <w:proofErr w:type="spellStart"/>
      <w:r w:rsidRPr="000A1A30">
        <w:rPr>
          <w:rFonts w:ascii="Garamond" w:hAnsi="Garamond" w:cs="Times New Roman"/>
          <w:sz w:val="24"/>
          <w:szCs w:val="24"/>
        </w:rPr>
        <w:t>ii</w:t>
      </w:r>
      <w:proofErr w:type="spellEnd"/>
      <w:r w:rsidR="00FC2590">
        <w:rPr>
          <w:rFonts w:ascii="Garamond" w:hAnsi="Garamond" w:cs="Times New Roman"/>
          <w:sz w:val="24"/>
          <w:szCs w:val="24"/>
        </w:rPr>
        <w:t>.</w:t>
      </w:r>
      <w:r w:rsidRPr="000A1A30">
        <w:rPr>
          <w:rFonts w:ascii="Garamond" w:hAnsi="Garamond" w:cs="Times New Roman"/>
          <w:sz w:val="24"/>
          <w:szCs w:val="24"/>
        </w:rPr>
        <w:t xml:space="preserve"> </w:t>
      </w:r>
      <w:r w:rsidRPr="000A1A30">
        <w:rPr>
          <w:rFonts w:ascii="Garamond" w:hAnsi="Garamond" w:cs="Times New Roman"/>
          <w:i/>
          <w:iCs/>
          <w:sz w:val="24"/>
          <w:szCs w:val="24"/>
        </w:rPr>
        <w:t xml:space="preserve">së drejtës së </w:t>
      </w:r>
      <w:proofErr w:type="spellStart"/>
      <w:r w:rsidRPr="000A1A30">
        <w:rPr>
          <w:rFonts w:ascii="Garamond" w:hAnsi="Garamond" w:cs="Times New Roman"/>
          <w:i/>
          <w:iCs/>
          <w:sz w:val="24"/>
          <w:szCs w:val="24"/>
        </w:rPr>
        <w:t>aksesit</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iii</w:t>
      </w:r>
      <w:proofErr w:type="spellEnd"/>
      <w:r w:rsidR="00FC2590">
        <w:rPr>
          <w:rFonts w:ascii="Garamond" w:hAnsi="Garamond" w:cs="Times New Roman"/>
          <w:sz w:val="24"/>
          <w:szCs w:val="24"/>
        </w:rPr>
        <w:t>.</w:t>
      </w:r>
      <w:r w:rsidRPr="000A1A30">
        <w:rPr>
          <w:rFonts w:ascii="Garamond" w:hAnsi="Garamond" w:cs="Times New Roman"/>
          <w:i/>
          <w:iCs/>
          <w:sz w:val="24"/>
          <w:szCs w:val="24"/>
        </w:rPr>
        <w:t xml:space="preserve"> parimit të barazisë së armëve dhe të </w:t>
      </w:r>
      <w:proofErr w:type="spellStart"/>
      <w:r w:rsidRPr="000A1A30">
        <w:rPr>
          <w:rFonts w:ascii="Garamond" w:hAnsi="Garamond" w:cs="Times New Roman"/>
          <w:i/>
          <w:iCs/>
          <w:sz w:val="24"/>
          <w:szCs w:val="24"/>
        </w:rPr>
        <w:t>kontradiktoritetit</w:t>
      </w:r>
      <w:proofErr w:type="spellEnd"/>
      <w:r w:rsidRPr="000A1A30">
        <w:rPr>
          <w:rFonts w:ascii="Garamond" w:hAnsi="Garamond" w:cs="Times New Roman"/>
          <w:i/>
          <w:iCs/>
          <w:sz w:val="24"/>
          <w:szCs w:val="24"/>
        </w:rPr>
        <w:t xml:space="preserve">; </w:t>
      </w:r>
      <w:proofErr w:type="spellStart"/>
      <w:r w:rsidRPr="000A1A30">
        <w:rPr>
          <w:rFonts w:ascii="Garamond" w:hAnsi="Garamond" w:cs="Times New Roman"/>
          <w:sz w:val="24"/>
          <w:szCs w:val="24"/>
        </w:rPr>
        <w:t>iv</w:t>
      </w:r>
      <w:proofErr w:type="spellEnd"/>
      <w:r w:rsidR="00FC2590">
        <w:rPr>
          <w:rFonts w:ascii="Garamond" w:hAnsi="Garamond" w:cs="Times New Roman"/>
          <w:sz w:val="24"/>
          <w:szCs w:val="24"/>
        </w:rPr>
        <w:t>.</w:t>
      </w:r>
      <w:r w:rsidRPr="000A1A30">
        <w:rPr>
          <w:rFonts w:ascii="Garamond" w:hAnsi="Garamond" w:cs="Times New Roman"/>
          <w:i/>
          <w:iCs/>
          <w:sz w:val="24"/>
          <w:szCs w:val="24"/>
        </w:rPr>
        <w:t xml:space="preserve"> së drejtës për t’u gjykuar nga një gjykatë e caktuar me ligj</w:t>
      </w:r>
      <w:r w:rsidRPr="000A1A30">
        <w:rPr>
          <w:rFonts w:ascii="Garamond" w:hAnsi="Garamond" w:cs="Times New Roman"/>
          <w:sz w:val="24"/>
          <w:szCs w:val="24"/>
        </w:rPr>
        <w:t>; v</w:t>
      </w:r>
      <w:r w:rsidR="00FC2590">
        <w:rPr>
          <w:rFonts w:ascii="Garamond" w:hAnsi="Garamond" w:cs="Times New Roman"/>
          <w:sz w:val="24"/>
          <w:szCs w:val="24"/>
        </w:rPr>
        <w:t>.</w:t>
      </w:r>
      <w:r w:rsidRPr="000A1A30">
        <w:rPr>
          <w:rFonts w:ascii="Garamond" w:hAnsi="Garamond" w:cs="Times New Roman"/>
          <w:i/>
          <w:iCs/>
          <w:sz w:val="24"/>
          <w:szCs w:val="24"/>
        </w:rPr>
        <w:t xml:space="preserve"> parimit të barazisë përpara ligjit dhe të </w:t>
      </w:r>
      <w:proofErr w:type="spellStart"/>
      <w:r w:rsidRPr="000A1A30">
        <w:rPr>
          <w:rFonts w:ascii="Garamond" w:hAnsi="Garamond" w:cs="Times New Roman"/>
          <w:i/>
          <w:iCs/>
          <w:sz w:val="24"/>
          <w:szCs w:val="24"/>
        </w:rPr>
        <w:t>mosdiskriminimit</w:t>
      </w:r>
      <w:proofErr w:type="spellEnd"/>
      <w:r w:rsidRPr="000A1A30">
        <w:rPr>
          <w:rFonts w:ascii="Garamond" w:hAnsi="Garamond" w:cs="Times New Roman"/>
          <w:sz w:val="24"/>
          <w:szCs w:val="24"/>
        </w:rPr>
        <w:t xml:space="preserve">; </w:t>
      </w:r>
      <w:proofErr w:type="spellStart"/>
      <w:r w:rsidRPr="000A1A30">
        <w:rPr>
          <w:rFonts w:ascii="Garamond" w:hAnsi="Garamond" w:cs="Times New Roman"/>
          <w:sz w:val="24"/>
          <w:szCs w:val="24"/>
        </w:rPr>
        <w:t>vi</w:t>
      </w:r>
      <w:proofErr w:type="spellEnd"/>
      <w:r w:rsidR="00FC2590">
        <w:rPr>
          <w:rFonts w:ascii="Garamond" w:hAnsi="Garamond" w:cs="Times New Roman"/>
          <w:sz w:val="24"/>
          <w:szCs w:val="24"/>
        </w:rPr>
        <w:t>.</w:t>
      </w:r>
      <w:r w:rsidRPr="000A1A30">
        <w:rPr>
          <w:rFonts w:ascii="Garamond" w:hAnsi="Garamond" w:cs="Times New Roman"/>
          <w:i/>
          <w:iCs/>
          <w:sz w:val="24"/>
          <w:szCs w:val="24"/>
        </w:rPr>
        <w:t xml:space="preserve"> parimit të sigurisë juridike</w:t>
      </w:r>
      <w:r w:rsidRPr="000A1A30">
        <w:rPr>
          <w:rFonts w:ascii="Garamond" w:hAnsi="Garamond" w:cs="Times New Roman"/>
          <w:sz w:val="24"/>
          <w:szCs w:val="24"/>
        </w:rPr>
        <w:t xml:space="preserve">; </w:t>
      </w:r>
      <w:proofErr w:type="spellStart"/>
      <w:r w:rsidRPr="000A1A30">
        <w:rPr>
          <w:rFonts w:ascii="Garamond" w:hAnsi="Garamond" w:cs="Times New Roman"/>
          <w:sz w:val="24"/>
          <w:szCs w:val="24"/>
        </w:rPr>
        <w:t>vii</w:t>
      </w:r>
      <w:proofErr w:type="spellEnd"/>
      <w:r w:rsidR="00FC2590">
        <w:rPr>
          <w:rFonts w:ascii="Garamond" w:hAnsi="Garamond" w:cs="Times New Roman"/>
          <w:sz w:val="24"/>
          <w:szCs w:val="24"/>
        </w:rPr>
        <w:t>.</w:t>
      </w:r>
      <w:r w:rsidRPr="000A1A30">
        <w:rPr>
          <w:rFonts w:ascii="Garamond" w:hAnsi="Garamond" w:cs="Times New Roman"/>
          <w:sz w:val="24"/>
          <w:szCs w:val="24"/>
        </w:rPr>
        <w:t xml:space="preserve"> </w:t>
      </w:r>
      <w:r w:rsidRPr="000A1A30">
        <w:rPr>
          <w:rFonts w:ascii="Garamond" w:hAnsi="Garamond" w:cs="Times New Roman"/>
          <w:i/>
          <w:iCs/>
          <w:sz w:val="24"/>
          <w:szCs w:val="24"/>
        </w:rPr>
        <w:t xml:space="preserve">standardit të arsyetimit të vendimit gjyqësor të lidhur me </w:t>
      </w:r>
      <w:proofErr w:type="spellStart"/>
      <w:r w:rsidRPr="000A1A30">
        <w:rPr>
          <w:rFonts w:ascii="Garamond" w:hAnsi="Garamond" w:cs="Times New Roman"/>
          <w:i/>
          <w:iCs/>
          <w:sz w:val="24"/>
          <w:szCs w:val="24"/>
        </w:rPr>
        <w:t>aksesin</w:t>
      </w:r>
      <w:proofErr w:type="spellEnd"/>
      <w:r w:rsidRPr="000A1A30">
        <w:rPr>
          <w:rFonts w:ascii="Garamond" w:hAnsi="Garamond" w:cs="Times New Roman"/>
          <w:i/>
          <w:iCs/>
          <w:sz w:val="24"/>
          <w:szCs w:val="24"/>
        </w:rPr>
        <w:t xml:space="preserve"> substancial</w:t>
      </w:r>
      <w:r w:rsidRPr="000A1A30">
        <w:rPr>
          <w:rFonts w:ascii="Garamond" w:hAnsi="Garamond" w:cs="Times New Roman"/>
          <w:sz w:val="24"/>
          <w:szCs w:val="24"/>
        </w:rPr>
        <w:t xml:space="preserve">; </w:t>
      </w:r>
      <w:proofErr w:type="spellStart"/>
      <w:r w:rsidRPr="000A1A30">
        <w:rPr>
          <w:rFonts w:ascii="Garamond" w:hAnsi="Garamond" w:cs="Times New Roman"/>
          <w:sz w:val="24"/>
          <w:szCs w:val="24"/>
        </w:rPr>
        <w:t>viii</w:t>
      </w:r>
      <w:proofErr w:type="spellEnd"/>
      <w:r w:rsidR="00FC2590">
        <w:rPr>
          <w:rFonts w:ascii="Garamond" w:hAnsi="Garamond" w:cs="Times New Roman"/>
          <w:sz w:val="24"/>
          <w:szCs w:val="24"/>
        </w:rPr>
        <w:t>.</w:t>
      </w:r>
      <w:r w:rsidRPr="000A1A30">
        <w:rPr>
          <w:rFonts w:ascii="Garamond" w:hAnsi="Garamond" w:cs="Times New Roman"/>
          <w:i/>
          <w:iCs/>
          <w:sz w:val="24"/>
          <w:szCs w:val="24"/>
        </w:rPr>
        <w:t xml:space="preserve"> standardit minimal të jetesës</w:t>
      </w:r>
      <w:r w:rsidRPr="000A1A30">
        <w:rPr>
          <w:rFonts w:ascii="Garamond" w:hAnsi="Garamond" w:cs="Times New Roman"/>
          <w:sz w:val="24"/>
          <w:szCs w:val="24"/>
        </w:rPr>
        <w:t>.</w:t>
      </w:r>
      <w:r w:rsidRPr="000A1A30">
        <w:rPr>
          <w:rFonts w:ascii="Garamond" w:hAnsi="Garamond" w:cs="Times New Roman"/>
          <w:i/>
          <w:iCs/>
          <w:sz w:val="24"/>
          <w:szCs w:val="24"/>
        </w:rPr>
        <w:t xml:space="preserve"> </w:t>
      </w:r>
    </w:p>
    <w:p w14:paraId="120FF3E8" w14:textId="7B5111F1"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18. Për pretendimet për cenimin e </w:t>
      </w:r>
      <w:r w:rsidRPr="000A1A30">
        <w:rPr>
          <w:rFonts w:ascii="Garamond" w:hAnsi="Garamond" w:cs="Times New Roman"/>
          <w:i/>
          <w:iCs/>
          <w:sz w:val="24"/>
          <w:szCs w:val="24"/>
        </w:rPr>
        <w:t xml:space="preserve">së drejtës për t’u njoftuar, për t’u dëgjuar e për t’u mbrojtur, së drejtës së </w:t>
      </w:r>
      <w:proofErr w:type="spellStart"/>
      <w:r w:rsidRPr="000A1A30">
        <w:rPr>
          <w:rFonts w:ascii="Garamond" w:hAnsi="Garamond" w:cs="Times New Roman"/>
          <w:i/>
          <w:iCs/>
          <w:sz w:val="24"/>
          <w:szCs w:val="24"/>
        </w:rPr>
        <w:t>aksesit</w:t>
      </w:r>
      <w:proofErr w:type="spellEnd"/>
      <w:r w:rsidRPr="000A1A30">
        <w:rPr>
          <w:rFonts w:ascii="Garamond" w:hAnsi="Garamond" w:cs="Times New Roman"/>
          <w:i/>
          <w:iCs/>
          <w:sz w:val="24"/>
          <w:szCs w:val="24"/>
        </w:rPr>
        <w:t xml:space="preserve">, parimit të barazisë së armëve dhe të </w:t>
      </w:r>
      <w:proofErr w:type="spellStart"/>
      <w:r w:rsidRPr="000A1A30">
        <w:rPr>
          <w:rFonts w:ascii="Garamond" w:hAnsi="Garamond" w:cs="Times New Roman"/>
          <w:i/>
          <w:iCs/>
          <w:sz w:val="24"/>
          <w:szCs w:val="24"/>
        </w:rPr>
        <w:t>kontradiktoritetit</w:t>
      </w:r>
      <w:proofErr w:type="spellEnd"/>
      <w:r w:rsidRPr="000A1A30">
        <w:rPr>
          <w:rFonts w:ascii="Garamond" w:hAnsi="Garamond" w:cs="Times New Roman"/>
          <w:i/>
          <w:iCs/>
          <w:sz w:val="24"/>
          <w:szCs w:val="24"/>
        </w:rPr>
        <w:t xml:space="preserve">, </w:t>
      </w:r>
      <w:r w:rsidRPr="000A1A30">
        <w:rPr>
          <w:rFonts w:ascii="Garamond" w:hAnsi="Garamond" w:cs="Times New Roman"/>
          <w:sz w:val="24"/>
          <w:szCs w:val="24"/>
        </w:rPr>
        <w:t>sikurse u theksua më sipër (</w:t>
      </w:r>
      <w:r w:rsidRPr="000A1A30">
        <w:rPr>
          <w:rFonts w:ascii="Garamond" w:hAnsi="Garamond" w:cs="Times New Roman"/>
          <w:i/>
          <w:iCs/>
          <w:sz w:val="24"/>
          <w:szCs w:val="24"/>
        </w:rPr>
        <w:t>shih paragrafin nr. 15</w:t>
      </w:r>
      <w:r w:rsidRPr="000A1A30">
        <w:rPr>
          <w:rFonts w:ascii="Garamond" w:hAnsi="Garamond" w:cs="Times New Roman"/>
          <w:sz w:val="24"/>
          <w:szCs w:val="24"/>
        </w:rPr>
        <w:t xml:space="preserve">), kërkuesi ka parashtruar të njëjtat argumente se Gjykata e Lartë nuk i ka njoftuar rekurset e ushtruara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 dhe nga Avokatura e Shtetit. Ndaj, Gjykata vlerëson</w:t>
      </w:r>
      <w:r w:rsidR="00170EF7">
        <w:rPr>
          <w:rFonts w:ascii="Garamond" w:hAnsi="Garamond" w:cs="Times New Roman"/>
          <w:sz w:val="24"/>
          <w:szCs w:val="24"/>
        </w:rPr>
        <w:t xml:space="preserve"> </w:t>
      </w:r>
      <w:r w:rsidRPr="000A1A30">
        <w:rPr>
          <w:rFonts w:ascii="Garamond" w:hAnsi="Garamond" w:cs="Times New Roman"/>
          <w:sz w:val="24"/>
          <w:szCs w:val="24"/>
        </w:rPr>
        <w:t xml:space="preserve">t’i analizojë në drejtim të </w:t>
      </w:r>
      <w:r w:rsidRPr="000A1A30">
        <w:rPr>
          <w:rFonts w:ascii="Garamond" w:hAnsi="Garamond" w:cs="Times New Roman"/>
          <w:i/>
          <w:iCs/>
          <w:sz w:val="24"/>
          <w:szCs w:val="24"/>
        </w:rPr>
        <w:t>së drejtës për t’u njoftuar, për t’u dëgjuar e për t’u mbrojtur.</w:t>
      </w:r>
    </w:p>
    <w:p w14:paraId="090CB971" w14:textId="4A99AC92"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19. Pretendimet për cenimin e </w:t>
      </w:r>
      <w:r w:rsidRPr="000A1A30">
        <w:rPr>
          <w:rFonts w:ascii="Garamond" w:hAnsi="Garamond" w:cs="Times New Roman"/>
          <w:i/>
          <w:iCs/>
          <w:sz w:val="24"/>
          <w:szCs w:val="24"/>
        </w:rPr>
        <w:t>së drejtës për t’u gjykuar nga një gjykatë e caktuar me ligj,</w:t>
      </w:r>
      <w:r w:rsidRPr="000A1A30">
        <w:rPr>
          <w:rFonts w:ascii="Garamond" w:hAnsi="Garamond" w:cs="Times New Roman"/>
          <w:sz w:val="24"/>
          <w:szCs w:val="24"/>
        </w:rPr>
        <w:t xml:space="preserve"> </w:t>
      </w:r>
      <w:r w:rsidRPr="000A1A30">
        <w:rPr>
          <w:rFonts w:ascii="Garamond" w:hAnsi="Garamond" w:cs="Times New Roman"/>
          <w:i/>
          <w:iCs/>
          <w:sz w:val="24"/>
          <w:szCs w:val="24"/>
        </w:rPr>
        <w:t xml:space="preserve">parimit të barazisë përpara ligjit dhe të </w:t>
      </w:r>
      <w:proofErr w:type="spellStart"/>
      <w:r w:rsidRPr="000A1A30">
        <w:rPr>
          <w:rFonts w:ascii="Garamond" w:hAnsi="Garamond" w:cs="Times New Roman"/>
          <w:i/>
          <w:iCs/>
          <w:sz w:val="24"/>
          <w:szCs w:val="24"/>
        </w:rPr>
        <w:t>mosdiskriminimit</w:t>
      </w:r>
      <w:proofErr w:type="spellEnd"/>
      <w:r w:rsidRPr="000A1A30">
        <w:rPr>
          <w:rFonts w:ascii="Garamond" w:hAnsi="Garamond" w:cs="Times New Roman"/>
          <w:sz w:val="24"/>
          <w:szCs w:val="24"/>
        </w:rPr>
        <w:t xml:space="preserve">, si dhe </w:t>
      </w:r>
      <w:r w:rsidRPr="000A1A30">
        <w:rPr>
          <w:rFonts w:ascii="Garamond" w:hAnsi="Garamond" w:cs="Times New Roman"/>
          <w:i/>
          <w:iCs/>
          <w:sz w:val="24"/>
          <w:szCs w:val="24"/>
        </w:rPr>
        <w:t>parimit të sigurisë juridike</w:t>
      </w:r>
      <w:r w:rsidRPr="000A1A30">
        <w:rPr>
          <w:rFonts w:ascii="Garamond" w:hAnsi="Garamond" w:cs="Times New Roman"/>
          <w:sz w:val="24"/>
          <w:szCs w:val="24"/>
        </w:rPr>
        <w:t xml:space="preserve"> dhe </w:t>
      </w:r>
      <w:r w:rsidRPr="000A1A30">
        <w:rPr>
          <w:rFonts w:ascii="Garamond" w:hAnsi="Garamond" w:cs="Times New Roman"/>
          <w:i/>
          <w:iCs/>
          <w:sz w:val="24"/>
          <w:szCs w:val="24"/>
        </w:rPr>
        <w:t>standardit minimal të jetesës,</w:t>
      </w:r>
      <w:r w:rsidRPr="000A1A30">
        <w:rPr>
          <w:rFonts w:ascii="Garamond" w:hAnsi="Garamond" w:cs="Times New Roman"/>
          <w:sz w:val="24"/>
          <w:szCs w:val="24"/>
        </w:rPr>
        <w:t xml:space="preserve"> Gjykata vëren se kërkuesi i ka lidhur me qëndrimin e mbajtur nga Gjykata e Lartë, duke parashtruar, në mënyrë të përmbledhur, se ajo gjykatë ka marrë vendim duke bërë vlerësim të ndryshëm të provave e fakteve të çështjes. Gjithashtu, sipas tij, Gjykata e Lartë në raste të ngjashme për zgjidhjen e mosmarrëveshjeve të punës të nëpunësve civilë ka mbajtur qëndrim të ndryshëm nga rasti i kërkuesit dhe për shkak të kësaj vendimmarrjeje ai do të detyrohet të kthejë shpërblimin e fituar me vendim gjyqësor të formës së prerë e të ekzekutuar vullnetarisht nga ministria. Gjykata, duke mbajtur në konsideratë të gjitha argumentet e parashtruara, vlerëson se pretendimet do të analizohen së bashku në aspekt të respektimit të </w:t>
      </w:r>
      <w:r w:rsidRPr="000A1A30">
        <w:rPr>
          <w:rFonts w:ascii="Garamond" w:hAnsi="Garamond" w:cs="Times New Roman"/>
          <w:i/>
          <w:iCs/>
          <w:sz w:val="24"/>
          <w:szCs w:val="24"/>
        </w:rPr>
        <w:t>standardit të arsyetimit të vendimit gjyqësor</w:t>
      </w:r>
      <w:r w:rsidRPr="000A1A30">
        <w:rPr>
          <w:rFonts w:ascii="Garamond" w:hAnsi="Garamond" w:cs="Times New Roman"/>
          <w:sz w:val="24"/>
          <w:szCs w:val="24"/>
        </w:rPr>
        <w:t>.</w:t>
      </w:r>
    </w:p>
    <w:p w14:paraId="4832D355" w14:textId="13F62563"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20. Për sa më lart, Gjykata do të analizojë pretendimet të grupuara në drejtim të: i</w:t>
      </w:r>
      <w:r w:rsidR="00FC2590">
        <w:rPr>
          <w:rFonts w:ascii="Garamond" w:hAnsi="Garamond" w:cs="Times New Roman"/>
          <w:sz w:val="24"/>
          <w:szCs w:val="24"/>
        </w:rPr>
        <w:t>.</w:t>
      </w:r>
      <w:r w:rsidRPr="000A1A30">
        <w:rPr>
          <w:rFonts w:ascii="Garamond" w:hAnsi="Garamond" w:cs="Times New Roman"/>
          <w:sz w:val="24"/>
          <w:szCs w:val="24"/>
        </w:rPr>
        <w:t xml:space="preserve"> </w:t>
      </w:r>
      <w:r w:rsidRPr="000A1A30">
        <w:rPr>
          <w:rFonts w:ascii="Garamond" w:hAnsi="Garamond" w:cs="Times New Roman"/>
          <w:i/>
          <w:iCs/>
          <w:sz w:val="24"/>
          <w:szCs w:val="24"/>
        </w:rPr>
        <w:t>së drejtës për t’u njoftuar, për t’u dëgjuar e për t’u mbrojtur</w:t>
      </w:r>
      <w:r w:rsidRPr="000A1A30">
        <w:rPr>
          <w:rFonts w:ascii="Garamond" w:hAnsi="Garamond" w:cs="Times New Roman"/>
          <w:sz w:val="24"/>
          <w:szCs w:val="24"/>
        </w:rPr>
        <w:t xml:space="preserve">; </w:t>
      </w:r>
      <w:proofErr w:type="spellStart"/>
      <w:r w:rsidRPr="000A1A30">
        <w:rPr>
          <w:rFonts w:ascii="Garamond" w:hAnsi="Garamond" w:cs="Times New Roman"/>
          <w:sz w:val="24"/>
          <w:szCs w:val="24"/>
        </w:rPr>
        <w:t>ii</w:t>
      </w:r>
      <w:proofErr w:type="spellEnd"/>
      <w:r w:rsidR="00FC2590">
        <w:rPr>
          <w:rFonts w:ascii="Garamond" w:hAnsi="Garamond" w:cs="Times New Roman"/>
          <w:sz w:val="24"/>
          <w:szCs w:val="24"/>
        </w:rPr>
        <w:t>.</w:t>
      </w:r>
      <w:r w:rsidRPr="000A1A30">
        <w:rPr>
          <w:rFonts w:ascii="Garamond" w:hAnsi="Garamond" w:cs="Times New Roman"/>
          <w:sz w:val="24"/>
          <w:szCs w:val="24"/>
        </w:rPr>
        <w:t xml:space="preserve"> </w:t>
      </w:r>
      <w:r w:rsidRPr="000A1A30">
        <w:rPr>
          <w:rFonts w:ascii="Garamond" w:hAnsi="Garamond" w:cs="Times New Roman"/>
          <w:i/>
          <w:iCs/>
          <w:sz w:val="24"/>
          <w:szCs w:val="24"/>
        </w:rPr>
        <w:t>standardit të arsyetimit të vendimit gjyqësor</w:t>
      </w:r>
      <w:r w:rsidRPr="000A1A30">
        <w:rPr>
          <w:rFonts w:ascii="Garamond" w:hAnsi="Garamond" w:cs="Times New Roman"/>
          <w:sz w:val="24"/>
          <w:szCs w:val="24"/>
        </w:rPr>
        <w:t xml:space="preserve">, të cilat hyjnë në juridiksionin e Gjykatës. </w:t>
      </w:r>
    </w:p>
    <w:p w14:paraId="603046FE" w14:textId="2417035C" w:rsidR="006A122A" w:rsidRPr="000A1A30" w:rsidRDefault="006A122A" w:rsidP="006A122A">
      <w:pPr>
        <w:pStyle w:val="ListParagraph"/>
        <w:tabs>
          <w:tab w:val="left" w:pos="1080"/>
        </w:tabs>
        <w:spacing w:after="0" w:line="240" w:lineRule="auto"/>
        <w:ind w:left="0" w:firstLine="284"/>
        <w:jc w:val="both"/>
        <w:rPr>
          <w:rFonts w:ascii="Garamond" w:hAnsi="Garamond" w:cs="Times New Roman"/>
          <w:i/>
          <w:iCs/>
          <w:sz w:val="24"/>
          <w:szCs w:val="24"/>
        </w:rPr>
      </w:pPr>
      <w:r w:rsidRPr="000A1A30">
        <w:rPr>
          <w:rFonts w:ascii="Garamond" w:hAnsi="Garamond" w:cs="Times New Roman"/>
          <w:i/>
          <w:iCs/>
          <w:sz w:val="24"/>
          <w:szCs w:val="24"/>
        </w:rPr>
        <w:t>B. Për themelin e pretendimeve</w:t>
      </w:r>
    </w:p>
    <w:p w14:paraId="37205DE2" w14:textId="0D3639A3" w:rsidR="006A122A" w:rsidRPr="000A1A30" w:rsidRDefault="00FC2590" w:rsidP="006A122A">
      <w:pPr>
        <w:tabs>
          <w:tab w:val="left" w:pos="1080"/>
        </w:tabs>
        <w:spacing w:after="0" w:line="240" w:lineRule="auto"/>
        <w:ind w:firstLine="284"/>
        <w:jc w:val="both"/>
        <w:rPr>
          <w:rFonts w:ascii="Garamond" w:hAnsi="Garamond" w:cs="Times New Roman"/>
          <w:i/>
          <w:iCs/>
          <w:sz w:val="24"/>
          <w:szCs w:val="24"/>
        </w:rPr>
      </w:pPr>
      <w:r>
        <w:rPr>
          <w:rFonts w:ascii="Garamond" w:hAnsi="Garamond" w:cs="Times New Roman"/>
          <w:i/>
          <w:iCs/>
          <w:sz w:val="24"/>
          <w:szCs w:val="24"/>
        </w:rPr>
        <w:t>B.1</w:t>
      </w:r>
      <w:r w:rsidR="006A122A" w:rsidRPr="000A1A30">
        <w:rPr>
          <w:rFonts w:ascii="Garamond" w:hAnsi="Garamond" w:cs="Times New Roman"/>
          <w:i/>
          <w:iCs/>
          <w:sz w:val="24"/>
          <w:szCs w:val="24"/>
        </w:rPr>
        <w:t xml:space="preserve"> Për cenimin e së drejtës për t’u njoftuar, për t’u dëgjuar e për t’u mbrojtur</w:t>
      </w:r>
    </w:p>
    <w:p w14:paraId="6FBE783F" w14:textId="1E3865D4" w:rsidR="006A122A" w:rsidRPr="000A1A30" w:rsidRDefault="006A122A" w:rsidP="006A122A">
      <w:pPr>
        <w:pStyle w:val="BodyText"/>
        <w:tabs>
          <w:tab w:val="left" w:pos="1080"/>
        </w:tabs>
        <w:spacing w:after="0" w:line="240" w:lineRule="auto"/>
        <w:ind w:firstLine="284"/>
        <w:jc w:val="both"/>
        <w:rPr>
          <w:rFonts w:ascii="Garamond" w:hAnsi="Garamond" w:cs="Times New Roman"/>
          <w:i/>
          <w:iCs/>
          <w:sz w:val="24"/>
          <w:szCs w:val="24"/>
        </w:rPr>
      </w:pPr>
      <w:r w:rsidRPr="000A1A30">
        <w:rPr>
          <w:rFonts w:ascii="Garamond" w:hAnsi="Garamond" w:cs="Times New Roman"/>
          <w:sz w:val="24"/>
          <w:szCs w:val="24"/>
        </w:rPr>
        <w:t xml:space="preserve">21. Kërkuesi ka pretenduar se Kolegji Administrativ i Gjykatës së Lartë, duke mos njoftuar rekurset e paraqitura nga Avokatura e Shtetit dhe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 e ka vendosur atë në pamundësi për të paraqitur prapësimet e tij. Sipas tij, Kolegji Administrativ i Gjykatës së Lartë duhej të merrte masat e nevojshme për t’i garantuar kërkuesit të drejtën për të marrë pjesë në gjykim, për t’u dëgjuar dhe për t’u mbrojtur, pavarësisht faktit që gjykimi bëhet si rregull në dhomën e këshillimit</w:t>
      </w:r>
      <w:r w:rsidR="00170EF7">
        <w:rPr>
          <w:rFonts w:ascii="Garamond" w:hAnsi="Garamond" w:cs="Times New Roman"/>
          <w:sz w:val="24"/>
          <w:szCs w:val="24"/>
        </w:rPr>
        <w:t xml:space="preserve"> </w:t>
      </w:r>
      <w:r w:rsidRPr="000A1A30">
        <w:rPr>
          <w:rFonts w:ascii="Garamond" w:hAnsi="Garamond" w:cs="Times New Roman"/>
          <w:sz w:val="24"/>
          <w:szCs w:val="24"/>
        </w:rPr>
        <w:t>mbi bazë të dokumenteve.</w:t>
      </w:r>
    </w:p>
    <w:p w14:paraId="7917FE39" w14:textId="54EE54DD" w:rsidR="006A122A" w:rsidRPr="000A1A30" w:rsidRDefault="006A122A" w:rsidP="006A122A">
      <w:pPr>
        <w:pStyle w:val="BodyText"/>
        <w:tabs>
          <w:tab w:val="left" w:pos="108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 xml:space="preserve">22. Subjekti i interesuar, Ministria e Drejtësisë, ka prapësuar se pretendimi është i pabazuar, pasi kërkuesi ka marrë dijeni për rekurset e paraqitura nga Avokatura e Shtetit dhe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 dhe nuk ka ushtruar të drejtën për të paraqitur </w:t>
      </w:r>
      <w:proofErr w:type="spellStart"/>
      <w:r w:rsidRPr="000A1A30">
        <w:rPr>
          <w:rFonts w:ascii="Garamond" w:hAnsi="Garamond" w:cs="Times New Roman"/>
          <w:sz w:val="24"/>
          <w:szCs w:val="24"/>
        </w:rPr>
        <w:t>kundërrekurs</w:t>
      </w:r>
      <w:proofErr w:type="spellEnd"/>
      <w:r w:rsidRPr="000A1A30">
        <w:rPr>
          <w:rFonts w:ascii="Garamond" w:hAnsi="Garamond" w:cs="Times New Roman"/>
          <w:sz w:val="24"/>
          <w:szCs w:val="24"/>
        </w:rPr>
        <w:t xml:space="preserve">. Edhe subjekti tjetër i interesuar,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 ndonëse nuk ka prapësuar në lidhje me njoftimin e rekursit, ka parashtruar se Gjykata e Lartë ka respektuar procedurën për njoftimin e datës së seancës gjyqësore, sipas parashikimeve ligjore. Për sa kohë nuk ka cenim të së drejtës për t’u njoftuar, nuk mund të pretendohet cenim i së drejtës për t’u dëgjuar e për t’u mbrojtur.</w:t>
      </w:r>
    </w:p>
    <w:p w14:paraId="2880BBEE" w14:textId="05A371C0" w:rsidR="006A122A" w:rsidRPr="000A1A30" w:rsidRDefault="006A122A" w:rsidP="006A122A">
      <w:pPr>
        <w:pStyle w:val="BodyText"/>
        <w:tabs>
          <w:tab w:val="left" w:pos="108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 xml:space="preserve">23. Në jurisprudencën kushtetuese është theksuar se e drejta për t’u njoftuar dhe për të marrë pjesë në gjykim u paraprin të drejtave të tjera, pasi </w:t>
      </w:r>
      <w:proofErr w:type="spellStart"/>
      <w:r w:rsidRPr="000A1A30">
        <w:rPr>
          <w:rFonts w:ascii="Garamond" w:hAnsi="Garamond" w:cs="Times New Roman"/>
          <w:sz w:val="24"/>
          <w:szCs w:val="24"/>
        </w:rPr>
        <w:t>mosnjoftimi</w:t>
      </w:r>
      <w:proofErr w:type="spellEnd"/>
      <w:r w:rsidRPr="000A1A30">
        <w:rPr>
          <w:rFonts w:ascii="Garamond" w:hAnsi="Garamond" w:cs="Times New Roman"/>
          <w:sz w:val="24"/>
          <w:szCs w:val="24"/>
        </w:rPr>
        <w:t xml:space="preserve"> e vendos palën në pamundësi objektive për të ushtruar të drejtat që i garantohen nga neni 42 i Kushtetutës </w:t>
      </w:r>
      <w:r w:rsidRPr="000A1A30">
        <w:rPr>
          <w:rFonts w:ascii="Garamond" w:hAnsi="Garamond" w:cs="Times New Roman"/>
          <w:i/>
          <w:iCs/>
          <w:sz w:val="24"/>
          <w:szCs w:val="24"/>
        </w:rPr>
        <w:t>(shih vendimet nr. 40, d</w:t>
      </w:r>
      <w:r w:rsidR="00FC2590">
        <w:rPr>
          <w:rFonts w:ascii="Garamond" w:hAnsi="Garamond" w:cs="Times New Roman"/>
          <w:i/>
          <w:iCs/>
          <w:sz w:val="24"/>
          <w:szCs w:val="24"/>
        </w:rPr>
        <w:t>atë 14.9.2023; nr. 8, datë 23.</w:t>
      </w:r>
      <w:r w:rsidRPr="000A1A30">
        <w:rPr>
          <w:rFonts w:ascii="Garamond" w:hAnsi="Garamond" w:cs="Times New Roman"/>
          <w:i/>
          <w:iCs/>
          <w:sz w:val="24"/>
          <w:szCs w:val="24"/>
        </w:rPr>
        <w:t>2.2021;</w:t>
      </w:r>
      <w:r w:rsidRPr="000A1A30">
        <w:rPr>
          <w:rFonts w:ascii="Garamond" w:hAnsi="Garamond" w:cs="Times New Roman"/>
          <w:b/>
          <w:bCs/>
          <w:sz w:val="24"/>
          <w:szCs w:val="24"/>
        </w:rPr>
        <w:t xml:space="preserve"> </w:t>
      </w:r>
      <w:r w:rsidR="00FC2590">
        <w:rPr>
          <w:rFonts w:ascii="Garamond" w:hAnsi="Garamond" w:cs="Times New Roman"/>
          <w:i/>
          <w:iCs/>
          <w:sz w:val="24"/>
          <w:szCs w:val="24"/>
        </w:rPr>
        <w:t>nr. 49, datë 22.</w:t>
      </w:r>
      <w:r w:rsidRPr="000A1A30">
        <w:rPr>
          <w:rFonts w:ascii="Garamond" w:hAnsi="Garamond" w:cs="Times New Roman"/>
          <w:i/>
          <w:iCs/>
          <w:sz w:val="24"/>
          <w:szCs w:val="24"/>
        </w:rPr>
        <w:t>7.2016</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 xml:space="preserve">. Për sa i takon procesit në Gjykatën e Lartë, ajo ka detyrimin të verifikojë nëse palët në proces kanë marrë dijeni </w:t>
      </w:r>
      <w:proofErr w:type="spellStart"/>
      <w:r w:rsidRPr="000A1A30">
        <w:rPr>
          <w:rFonts w:ascii="Garamond" w:hAnsi="Garamond" w:cs="Times New Roman"/>
          <w:sz w:val="24"/>
          <w:szCs w:val="24"/>
        </w:rPr>
        <w:t>efektivisht</w:t>
      </w:r>
      <w:proofErr w:type="spellEnd"/>
      <w:r w:rsidRPr="000A1A30">
        <w:rPr>
          <w:rFonts w:ascii="Garamond" w:hAnsi="Garamond" w:cs="Times New Roman"/>
          <w:sz w:val="24"/>
          <w:szCs w:val="24"/>
        </w:rPr>
        <w:t xml:space="preserve"> për rekursin dhe procesin, me qëllim garantimin e së drejtës së mbrojtjes dhe parimit të barazisë së armëve në gjykim (</w:t>
      </w:r>
      <w:r w:rsidR="00FC2590">
        <w:rPr>
          <w:rFonts w:ascii="Garamond" w:hAnsi="Garamond" w:cs="Times New Roman"/>
          <w:i/>
          <w:iCs/>
          <w:sz w:val="24"/>
          <w:szCs w:val="24"/>
        </w:rPr>
        <w:t>shih vendimin nr. 14, datë 21.</w:t>
      </w:r>
      <w:r w:rsidRPr="000A1A30">
        <w:rPr>
          <w:rFonts w:ascii="Garamond" w:hAnsi="Garamond" w:cs="Times New Roman"/>
          <w:i/>
          <w:iCs/>
          <w:sz w:val="24"/>
          <w:szCs w:val="24"/>
        </w:rPr>
        <w:t>3.2023</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 xml:space="preserve">) dhe është detyrë e administratës gjyqësore që të marrë masat për të kryer njoftimin e palëve </w:t>
      </w:r>
      <w:proofErr w:type="spellStart"/>
      <w:r w:rsidRPr="000A1A30">
        <w:rPr>
          <w:rFonts w:ascii="Garamond" w:hAnsi="Garamond" w:cs="Times New Roman"/>
          <w:sz w:val="24"/>
          <w:szCs w:val="24"/>
        </w:rPr>
        <w:t>ndërgjyqëse</w:t>
      </w:r>
      <w:proofErr w:type="spellEnd"/>
      <w:r w:rsidRPr="000A1A30">
        <w:rPr>
          <w:rFonts w:ascii="Garamond" w:hAnsi="Garamond" w:cs="Times New Roman"/>
          <w:sz w:val="24"/>
          <w:szCs w:val="24"/>
        </w:rPr>
        <w:t xml:space="preserve"> (</w:t>
      </w:r>
      <w:r w:rsidR="00FC2590">
        <w:rPr>
          <w:rFonts w:ascii="Garamond" w:hAnsi="Garamond" w:cs="Times New Roman"/>
          <w:i/>
          <w:iCs/>
          <w:sz w:val="24"/>
          <w:szCs w:val="24"/>
        </w:rPr>
        <w:t>shih vendimin nr. 41, datë 29.</w:t>
      </w:r>
      <w:r w:rsidRPr="000A1A30">
        <w:rPr>
          <w:rFonts w:ascii="Garamond" w:hAnsi="Garamond" w:cs="Times New Roman"/>
          <w:i/>
          <w:iCs/>
          <w:sz w:val="24"/>
          <w:szCs w:val="24"/>
        </w:rPr>
        <w:t>5.2024</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 xml:space="preserve">). </w:t>
      </w:r>
    </w:p>
    <w:p w14:paraId="6DB6709A" w14:textId="378F03BF" w:rsidR="006A122A" w:rsidRPr="000A1A30" w:rsidRDefault="006A122A" w:rsidP="006A122A">
      <w:pPr>
        <w:pStyle w:val="BodyText"/>
        <w:tabs>
          <w:tab w:val="left" w:pos="108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lastRenderedPageBreak/>
        <w:t xml:space="preserve">24. Në kuptim të këtyre standardeve, Gjykata do të analizojë nëse kërkuesi ka marrë dijeni </w:t>
      </w:r>
      <w:proofErr w:type="spellStart"/>
      <w:r w:rsidRPr="000A1A30">
        <w:rPr>
          <w:rFonts w:ascii="Garamond" w:hAnsi="Garamond" w:cs="Times New Roman"/>
          <w:sz w:val="24"/>
          <w:szCs w:val="24"/>
        </w:rPr>
        <w:t>efektivisht</w:t>
      </w:r>
      <w:proofErr w:type="spellEnd"/>
      <w:r w:rsidRPr="000A1A30">
        <w:rPr>
          <w:rFonts w:ascii="Garamond" w:hAnsi="Garamond" w:cs="Times New Roman"/>
          <w:sz w:val="24"/>
          <w:szCs w:val="24"/>
        </w:rPr>
        <w:t xml:space="preserve"> për rekurset e ushtruara nga Avokatura e Shtetit dhe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 në respektim të së drejtës për t’u njoftuar, për t’u dëgjuar e për t’u mbrojtur.</w:t>
      </w:r>
    </w:p>
    <w:p w14:paraId="0B0AA74E" w14:textId="4D4FF950"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25. Sikur u parashtrua në rrethanat e çështjes </w:t>
      </w:r>
      <w:r w:rsidRPr="000A1A30">
        <w:rPr>
          <w:rFonts w:ascii="Garamond" w:hAnsi="Garamond" w:cs="Times New Roman"/>
          <w:i/>
          <w:iCs/>
          <w:sz w:val="24"/>
          <w:szCs w:val="24"/>
        </w:rPr>
        <w:t>(shih paragrafin 5 të vendimit),</w:t>
      </w:r>
      <w:r w:rsidRPr="000A1A30">
        <w:rPr>
          <w:rFonts w:ascii="Garamond" w:hAnsi="Garamond" w:cs="Times New Roman"/>
          <w:sz w:val="24"/>
          <w:szCs w:val="24"/>
        </w:rPr>
        <w:t xml:space="preserve"> Gjykata e Lartë është vënë në lëvizje mbi bazën e rekurseve të paraqitura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 dhe nga Avokatura e Shtetit, që i janë komunikuar avokatit A.</w:t>
      </w:r>
      <w:r w:rsidR="00FC2590">
        <w:rPr>
          <w:rFonts w:ascii="Garamond" w:hAnsi="Garamond" w:cs="Times New Roman"/>
          <w:sz w:val="24"/>
          <w:szCs w:val="24"/>
        </w:rPr>
        <w:t xml:space="preserve"> </w:t>
      </w:r>
      <w:r w:rsidRPr="000A1A30">
        <w:rPr>
          <w:rFonts w:ascii="Garamond" w:hAnsi="Garamond" w:cs="Times New Roman"/>
          <w:sz w:val="24"/>
          <w:szCs w:val="24"/>
        </w:rPr>
        <w:t>D., i cili ka nënshkruar edhe dëftesat e komunikimit të rekurseve. Nga përmbajtja e akteve të dosjes gjyqësore të administruar për efekt të gjykimit kushtetues, rezulton se kërkesëpadia e depozituar në gjykatën e shkallës së parë mban vulën dhe të dhënat e zyrës ligjore të këtij avokati, por është nënshkruar nga vetë kërkuesi. Gjatë gjykimit në shkallë të parë kërkuesi ka caktuar dy avokatë të tjerë me prokurë (E.</w:t>
      </w:r>
      <w:r w:rsidR="00FC2590">
        <w:rPr>
          <w:rFonts w:ascii="Garamond" w:hAnsi="Garamond" w:cs="Times New Roman"/>
          <w:sz w:val="24"/>
          <w:szCs w:val="24"/>
        </w:rPr>
        <w:t xml:space="preserve"> </w:t>
      </w:r>
      <w:r w:rsidRPr="000A1A30">
        <w:rPr>
          <w:rFonts w:ascii="Garamond" w:hAnsi="Garamond" w:cs="Times New Roman"/>
          <w:sz w:val="24"/>
          <w:szCs w:val="24"/>
        </w:rPr>
        <w:t>J. dhe D. M.). Gjykata konstaton se në disa prej kërkesave të depozituara në gjykatën e shkallës së parë (kërkesë për shtesë të objektit të padisë, kërkesë për përjashtim gjyqtari, pretendime në seancën gjyqësore, konkluzione përfundimtare) në pjesën e sipërme të tyre figuron emërtimi “Zyra e Avokatit A.</w:t>
      </w:r>
      <w:r w:rsidR="00FC2590">
        <w:rPr>
          <w:rFonts w:ascii="Garamond" w:hAnsi="Garamond" w:cs="Times New Roman"/>
          <w:sz w:val="24"/>
          <w:szCs w:val="24"/>
        </w:rPr>
        <w:t xml:space="preserve"> </w:t>
      </w:r>
      <w:r w:rsidRPr="000A1A30">
        <w:rPr>
          <w:rFonts w:ascii="Garamond" w:hAnsi="Garamond" w:cs="Times New Roman"/>
          <w:sz w:val="24"/>
          <w:szCs w:val="24"/>
        </w:rPr>
        <w:t>D.” edhe pse janë të nënshkruara nga avokati E.</w:t>
      </w:r>
      <w:r w:rsidR="00FC2590">
        <w:rPr>
          <w:rFonts w:ascii="Garamond" w:hAnsi="Garamond" w:cs="Times New Roman"/>
          <w:sz w:val="24"/>
          <w:szCs w:val="24"/>
        </w:rPr>
        <w:t xml:space="preserve"> </w:t>
      </w:r>
      <w:r w:rsidRPr="000A1A30">
        <w:rPr>
          <w:rFonts w:ascii="Garamond" w:hAnsi="Garamond" w:cs="Times New Roman"/>
          <w:sz w:val="24"/>
          <w:szCs w:val="24"/>
        </w:rPr>
        <w:t xml:space="preserve">J. </w:t>
      </w:r>
    </w:p>
    <w:p w14:paraId="32C1096B" w14:textId="33D142D7" w:rsidR="006A122A" w:rsidRPr="000A1A30" w:rsidRDefault="006A122A" w:rsidP="006A122A">
      <w:pPr>
        <w:pStyle w:val="BodyText"/>
        <w:tabs>
          <w:tab w:val="left" w:pos="1080"/>
        </w:tabs>
        <w:spacing w:after="0" w:line="240" w:lineRule="auto"/>
        <w:ind w:firstLine="284"/>
        <w:jc w:val="both"/>
        <w:rPr>
          <w:rFonts w:ascii="Garamond" w:hAnsi="Garamond" w:cs="Times New Roman"/>
          <w:i/>
          <w:iCs/>
          <w:sz w:val="24"/>
          <w:szCs w:val="24"/>
        </w:rPr>
      </w:pPr>
      <w:r w:rsidRPr="000A1A30">
        <w:rPr>
          <w:rFonts w:ascii="Garamond" w:hAnsi="Garamond" w:cs="Times New Roman"/>
          <w:sz w:val="24"/>
          <w:szCs w:val="24"/>
        </w:rPr>
        <w:t>26. Gjith</w:t>
      </w:r>
      <w:r w:rsidR="00FC2590">
        <w:rPr>
          <w:rFonts w:ascii="Garamond" w:hAnsi="Garamond" w:cs="Times New Roman"/>
          <w:sz w:val="24"/>
          <w:szCs w:val="24"/>
        </w:rPr>
        <w:t>ashtu, rezulton se në datën 13.</w:t>
      </w:r>
      <w:r w:rsidRPr="000A1A30">
        <w:rPr>
          <w:rFonts w:ascii="Garamond" w:hAnsi="Garamond" w:cs="Times New Roman"/>
          <w:sz w:val="24"/>
          <w:szCs w:val="24"/>
        </w:rPr>
        <w:t>2.2025</w:t>
      </w:r>
      <w:r w:rsidR="00FC2590">
        <w:rPr>
          <w:rFonts w:ascii="Garamond" w:hAnsi="Garamond" w:cs="Times New Roman"/>
          <w:sz w:val="24"/>
          <w:szCs w:val="24"/>
        </w:rPr>
        <w:t>,</w:t>
      </w:r>
      <w:r w:rsidRPr="000A1A30">
        <w:rPr>
          <w:rFonts w:ascii="Garamond" w:hAnsi="Garamond" w:cs="Times New Roman"/>
          <w:sz w:val="24"/>
          <w:szCs w:val="24"/>
        </w:rPr>
        <w:t xml:space="preserve"> Gjykata e Lartë ka vendosur shqyrtimin e çështjes në dho</w:t>
      </w:r>
      <w:r w:rsidR="00FC2590">
        <w:rPr>
          <w:rFonts w:ascii="Garamond" w:hAnsi="Garamond" w:cs="Times New Roman"/>
          <w:sz w:val="24"/>
          <w:szCs w:val="24"/>
        </w:rPr>
        <w:t>mën e këshillimit për në datën 6.</w:t>
      </w:r>
      <w:r w:rsidRPr="000A1A30">
        <w:rPr>
          <w:rFonts w:ascii="Garamond" w:hAnsi="Garamond" w:cs="Times New Roman"/>
          <w:sz w:val="24"/>
          <w:szCs w:val="24"/>
        </w:rPr>
        <w:t>3.2025 dhe është urdhëruar sekretaria e gjykatës të bëjë njoftimin e palëve sipas nenit 61, pika 2, të ligjit nr. 49/2012. Njoftimi është dërguar po në adresën e postës elektronike të avokatit A.</w:t>
      </w:r>
      <w:r w:rsidR="00FC2590">
        <w:rPr>
          <w:rFonts w:ascii="Garamond" w:hAnsi="Garamond" w:cs="Times New Roman"/>
          <w:sz w:val="24"/>
          <w:szCs w:val="24"/>
        </w:rPr>
        <w:t xml:space="preserve"> </w:t>
      </w:r>
      <w:r w:rsidRPr="000A1A30">
        <w:rPr>
          <w:rFonts w:ascii="Garamond" w:hAnsi="Garamond" w:cs="Times New Roman"/>
          <w:sz w:val="24"/>
          <w:szCs w:val="24"/>
        </w:rPr>
        <w:t>D.</w:t>
      </w:r>
      <w:r w:rsidRPr="000A1A30">
        <w:rPr>
          <w:rFonts w:ascii="Garamond" w:hAnsi="Garamond"/>
          <w:sz w:val="24"/>
          <w:szCs w:val="24"/>
        </w:rPr>
        <w:t xml:space="preserve"> </w:t>
      </w:r>
      <w:r w:rsidR="00FC2590">
        <w:rPr>
          <w:rFonts w:ascii="Garamond" w:hAnsi="Garamond" w:cs="Times New Roman"/>
          <w:sz w:val="24"/>
          <w:szCs w:val="24"/>
        </w:rPr>
        <w:t>Në datën 13.</w:t>
      </w:r>
      <w:r w:rsidRPr="000A1A30">
        <w:rPr>
          <w:rFonts w:ascii="Garamond" w:hAnsi="Garamond" w:cs="Times New Roman"/>
          <w:sz w:val="24"/>
          <w:szCs w:val="24"/>
        </w:rPr>
        <w:t>2.2025</w:t>
      </w:r>
      <w:r w:rsidR="00FC2590">
        <w:rPr>
          <w:rFonts w:ascii="Garamond" w:hAnsi="Garamond" w:cs="Times New Roman"/>
          <w:sz w:val="24"/>
          <w:szCs w:val="24"/>
        </w:rPr>
        <w:t>,</w:t>
      </w:r>
      <w:r w:rsidRPr="000A1A30">
        <w:rPr>
          <w:rFonts w:ascii="Garamond" w:hAnsi="Garamond" w:cs="Times New Roman"/>
          <w:sz w:val="24"/>
          <w:szCs w:val="24"/>
        </w:rPr>
        <w:t xml:space="preserve"> është publikuar lista e çështjeve për shqyrtim në dhomën e këshillimit në datë</w:t>
      </w:r>
      <w:r w:rsidR="00FC2590">
        <w:rPr>
          <w:rFonts w:ascii="Garamond" w:hAnsi="Garamond" w:cs="Times New Roman"/>
          <w:sz w:val="24"/>
          <w:szCs w:val="24"/>
        </w:rPr>
        <w:t>n 6.</w:t>
      </w:r>
      <w:r w:rsidRPr="000A1A30">
        <w:rPr>
          <w:rFonts w:ascii="Garamond" w:hAnsi="Garamond" w:cs="Times New Roman"/>
          <w:sz w:val="24"/>
          <w:szCs w:val="24"/>
        </w:rPr>
        <w:t>3.2025, ku përfshihej edhe çështja e kërkuesit, e cila është shpallur, sipas akteve të dosjes gjyqësore, edhe në ambientet fizike të asaj gjykate. Në përfundim të shqyrtimit, Kolegji Administrativ i Gjykatës së Lartë ka vendosur ndryshimin e vendimit të gjykatës së apelit dhe të gjykatës së shkallës së parë dhe rrëzimin e padisë. Sipas materialeve të vëna në dispozicion nga vetë kërkuesi, por edhe nga përmbajtja e dosjes së Gjykatës së Lartë, ka rezultuar se vendimi i Gjykatës së Lartë është dërguar n</w:t>
      </w:r>
      <w:r w:rsidR="00FC2590">
        <w:rPr>
          <w:rFonts w:ascii="Garamond" w:hAnsi="Garamond" w:cs="Times New Roman"/>
          <w:sz w:val="24"/>
          <w:szCs w:val="24"/>
        </w:rPr>
        <w:t>ë datën 8.</w:t>
      </w:r>
      <w:r w:rsidRPr="000A1A30">
        <w:rPr>
          <w:rFonts w:ascii="Garamond" w:hAnsi="Garamond" w:cs="Times New Roman"/>
          <w:sz w:val="24"/>
          <w:szCs w:val="24"/>
        </w:rPr>
        <w:t>4.2025</w:t>
      </w:r>
      <w:r w:rsidR="00FC2590">
        <w:rPr>
          <w:rFonts w:ascii="Garamond" w:hAnsi="Garamond" w:cs="Times New Roman"/>
          <w:sz w:val="24"/>
          <w:szCs w:val="24"/>
        </w:rPr>
        <w:t>,</w:t>
      </w:r>
      <w:r w:rsidRPr="000A1A30">
        <w:rPr>
          <w:rFonts w:ascii="Garamond" w:hAnsi="Garamond" w:cs="Times New Roman"/>
          <w:sz w:val="24"/>
          <w:szCs w:val="24"/>
        </w:rPr>
        <w:t xml:space="preserve"> në adresën e postës elektronike të avokatit A.</w:t>
      </w:r>
      <w:r w:rsidR="00FC2590">
        <w:rPr>
          <w:rFonts w:ascii="Garamond" w:hAnsi="Garamond" w:cs="Times New Roman"/>
          <w:sz w:val="24"/>
          <w:szCs w:val="24"/>
        </w:rPr>
        <w:t xml:space="preserve"> </w:t>
      </w:r>
      <w:r w:rsidRPr="000A1A30">
        <w:rPr>
          <w:rFonts w:ascii="Garamond" w:hAnsi="Garamond" w:cs="Times New Roman"/>
          <w:sz w:val="24"/>
          <w:szCs w:val="24"/>
        </w:rPr>
        <w:t xml:space="preserve">D. </w:t>
      </w:r>
    </w:p>
    <w:p w14:paraId="32931C8C" w14:textId="072434B1" w:rsidR="006A122A" w:rsidRPr="000A1A30" w:rsidRDefault="006A122A" w:rsidP="006A122A">
      <w:pPr>
        <w:pStyle w:val="BodyText"/>
        <w:tabs>
          <w:tab w:val="left" w:pos="108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27. Për sa më lart, Gjykata konstaton se Gjykata e Lartë të gjitha njoftimet e nevojshme i ka bërë në adresën elektronike të avokatit A.</w:t>
      </w:r>
      <w:r w:rsidR="00FC2590">
        <w:rPr>
          <w:rFonts w:ascii="Garamond" w:hAnsi="Garamond" w:cs="Times New Roman"/>
          <w:sz w:val="24"/>
          <w:szCs w:val="24"/>
        </w:rPr>
        <w:t xml:space="preserve"> </w:t>
      </w:r>
      <w:r w:rsidRPr="000A1A30">
        <w:rPr>
          <w:rFonts w:ascii="Garamond" w:hAnsi="Garamond" w:cs="Times New Roman"/>
          <w:sz w:val="24"/>
          <w:szCs w:val="24"/>
        </w:rPr>
        <w:t>D., duke përfshirë edhe njoftimin e vendimit të Gjykatës së Lartë, objekt kundërshtimi. Në kushtet kur vetë kërkuesi ka pranuar se për vendimin e Gjykatës së Lar</w:t>
      </w:r>
      <w:r w:rsidR="00FC2590">
        <w:rPr>
          <w:rFonts w:ascii="Garamond" w:hAnsi="Garamond" w:cs="Times New Roman"/>
          <w:sz w:val="24"/>
          <w:szCs w:val="24"/>
        </w:rPr>
        <w:t>të ka marrë dijeni në datën 8.</w:t>
      </w:r>
      <w:r w:rsidRPr="000A1A30">
        <w:rPr>
          <w:rFonts w:ascii="Garamond" w:hAnsi="Garamond" w:cs="Times New Roman"/>
          <w:sz w:val="24"/>
          <w:szCs w:val="24"/>
        </w:rPr>
        <w:t>4.2025, që në fakt i është komunikuar avokatit A.</w:t>
      </w:r>
      <w:r w:rsidR="00FC2590">
        <w:rPr>
          <w:rFonts w:ascii="Garamond" w:hAnsi="Garamond" w:cs="Times New Roman"/>
          <w:sz w:val="24"/>
          <w:szCs w:val="24"/>
        </w:rPr>
        <w:t xml:space="preserve"> </w:t>
      </w:r>
      <w:r w:rsidRPr="000A1A30">
        <w:rPr>
          <w:rFonts w:ascii="Garamond" w:hAnsi="Garamond" w:cs="Times New Roman"/>
          <w:sz w:val="24"/>
          <w:szCs w:val="24"/>
        </w:rPr>
        <w:t xml:space="preserve">D., mund të konsiderohet se kërkuesi ka marrë dijeni edhe për rekurset e ushtruara nga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-i dhe Avokatura e Shtetit, të cilat gjithashtu i janë komunikuar avokatit A.</w:t>
      </w:r>
      <w:r w:rsidR="00FC2590">
        <w:rPr>
          <w:rFonts w:ascii="Garamond" w:hAnsi="Garamond" w:cs="Times New Roman"/>
          <w:sz w:val="24"/>
          <w:szCs w:val="24"/>
        </w:rPr>
        <w:t xml:space="preserve"> </w:t>
      </w:r>
      <w:r w:rsidRPr="000A1A30">
        <w:rPr>
          <w:rFonts w:ascii="Garamond" w:hAnsi="Garamond" w:cs="Times New Roman"/>
          <w:sz w:val="24"/>
          <w:szCs w:val="24"/>
        </w:rPr>
        <w:t>D. Në këtë drejtim, Gjykata mban në konsideratë edhe faktin se, megjithëse kërkuesi kishte caktuar me prokurë avokatë të tjerë, fakti se kërkesat e tyre në procesin gjyqësor mbajnë emërtimin “Zyra e Avokatit A.</w:t>
      </w:r>
      <w:r w:rsidR="00FC2590">
        <w:rPr>
          <w:rFonts w:ascii="Garamond" w:hAnsi="Garamond" w:cs="Times New Roman"/>
          <w:sz w:val="24"/>
          <w:szCs w:val="24"/>
        </w:rPr>
        <w:t xml:space="preserve"> </w:t>
      </w:r>
      <w:r w:rsidRPr="000A1A30">
        <w:rPr>
          <w:rFonts w:ascii="Garamond" w:hAnsi="Garamond" w:cs="Times New Roman"/>
          <w:sz w:val="24"/>
          <w:szCs w:val="24"/>
        </w:rPr>
        <w:t xml:space="preserve">D.”, krijon bindjen se ai ka qenë në dijeni të ecurisë së procesit gjyqësor të tij. Ndaj, Gjykata vlerëson se mënyra sesi ka vepruar Gjykata e Lartë në rastin konkret nuk krijon dyshime për cenimin e së drejtës </w:t>
      </w:r>
      <w:r w:rsidRPr="000A1A30">
        <w:rPr>
          <w:rFonts w:ascii="Garamond" w:hAnsi="Garamond" w:cs="Times New Roman"/>
          <w:i/>
          <w:iCs/>
          <w:sz w:val="24"/>
          <w:szCs w:val="24"/>
        </w:rPr>
        <w:t>për t’u njoftuar, për t’u dëgjuar e për t’u mbrojtur,</w:t>
      </w:r>
      <w:r w:rsidRPr="000A1A30">
        <w:rPr>
          <w:rFonts w:ascii="Garamond" w:hAnsi="Garamond" w:cs="Times New Roman"/>
          <w:sz w:val="24"/>
          <w:szCs w:val="24"/>
        </w:rPr>
        <w:t xml:space="preserve"> për rrjedhojë pretendimi i kërkuesit në këtë drejtim është i pabazuar.</w:t>
      </w:r>
    </w:p>
    <w:p w14:paraId="2F7E7711" w14:textId="28D81348" w:rsidR="006A122A" w:rsidRPr="000A1A30" w:rsidRDefault="00FC2590" w:rsidP="006A122A">
      <w:pPr>
        <w:tabs>
          <w:tab w:val="left" w:pos="1080"/>
        </w:tabs>
        <w:spacing w:after="0" w:line="240" w:lineRule="auto"/>
        <w:ind w:firstLine="284"/>
        <w:jc w:val="both"/>
        <w:rPr>
          <w:rFonts w:ascii="Garamond" w:hAnsi="Garamond" w:cs="Times New Roman"/>
          <w:i/>
          <w:iCs/>
          <w:sz w:val="24"/>
          <w:szCs w:val="24"/>
        </w:rPr>
      </w:pPr>
      <w:r>
        <w:rPr>
          <w:rFonts w:ascii="Garamond" w:hAnsi="Garamond" w:cs="Times New Roman"/>
          <w:i/>
          <w:iCs/>
          <w:sz w:val="24"/>
          <w:szCs w:val="24"/>
        </w:rPr>
        <w:t>B.2</w:t>
      </w:r>
      <w:r w:rsidR="006A122A" w:rsidRPr="000A1A30">
        <w:rPr>
          <w:rFonts w:ascii="Garamond" w:hAnsi="Garamond" w:cs="Times New Roman"/>
          <w:i/>
          <w:iCs/>
          <w:sz w:val="24"/>
          <w:szCs w:val="24"/>
        </w:rPr>
        <w:t xml:space="preserve"> Për cenimin e standardit të arsyetimit të vendimit gjyqësor</w:t>
      </w:r>
    </w:p>
    <w:p w14:paraId="21AA83F2" w14:textId="13062486"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28. Kërkuesi ka pretenduar se Kolegji Administrativ i Gjykatës së Lartë ka vendosur për themelin e çështjes duke bërë një vlerësim të ndryshëm të provave dhe të fakteve të administruara gjatë gjykimit në gjykatat më të ulëta. Sipas tij, Kolegji Administrativ i Gjykatës së Lartë, në raste të ngjashme, për zgjidhjen e mosmarrëveshjeve të punës të nëpunësve civilë ka mbajtur qëndrim të ndryshëm nga rasti i kërkuesit, sikurse ka qenë rasti i shtetasit A.</w:t>
      </w:r>
      <w:r w:rsidR="00FC2590">
        <w:rPr>
          <w:rFonts w:ascii="Garamond" w:hAnsi="Garamond" w:cs="Times New Roman"/>
          <w:sz w:val="24"/>
          <w:szCs w:val="24"/>
        </w:rPr>
        <w:t xml:space="preserve"> </w:t>
      </w:r>
      <w:r w:rsidRPr="000A1A30">
        <w:rPr>
          <w:rFonts w:ascii="Garamond" w:hAnsi="Garamond" w:cs="Times New Roman"/>
          <w:sz w:val="24"/>
          <w:szCs w:val="24"/>
        </w:rPr>
        <w:t xml:space="preserve">B., që ka qenë në kushte tërësisht të njëjta me të. Për shkak të kësaj vendimmarrjeje ai do të detyrohet të kthejë shpërblimin e fituar me vendim gjyqësor të formës së prerë e të ekzekutuar vullnetarisht nga ministria. </w:t>
      </w:r>
    </w:p>
    <w:p w14:paraId="25949A4E" w14:textId="3B3A7A95"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29. Subjekti i interesuar, Ministria e Drejtësisë, ka prapësuar se Gjykata e Lartë e ka arsyetuar vendimin e saj dhe se pretendimi i kërkuesit lidhet me zbatimin e ligjit nga gjykatat e juridiksionit të zakonshëm. Ndërsa subjekti tjetër i interesuar,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 ka prapësuar se Gjykata e Lartë ka marrë në shqyrtim, ka analizuar e ka vlerësuar pretendimet dhe vendimi i saj ka respektuar standardet kushtetuese për arsyetimin e vendimit gjyqësor. Mënyra e zgjidhjes së çështjes dhe zbatimi i ligjit është e drejtë e çdo gjykate, duke u bazuar në specifikat dhe individualitetin e saj të harmonizuar me rrethana, faktorë, motive ose prova gjyqësore që nuk janë të njëjta dhe se vendimi i referuar nga kërkuesi nuk përbën vendim </w:t>
      </w:r>
      <w:proofErr w:type="spellStart"/>
      <w:r w:rsidRPr="000A1A30">
        <w:rPr>
          <w:rFonts w:ascii="Garamond" w:hAnsi="Garamond" w:cs="Times New Roman"/>
          <w:sz w:val="24"/>
          <w:szCs w:val="24"/>
        </w:rPr>
        <w:t>unifikues</w:t>
      </w:r>
      <w:proofErr w:type="spellEnd"/>
      <w:r w:rsidRPr="000A1A30">
        <w:rPr>
          <w:rFonts w:ascii="Garamond" w:hAnsi="Garamond" w:cs="Times New Roman"/>
          <w:sz w:val="24"/>
          <w:szCs w:val="24"/>
        </w:rPr>
        <w:t xml:space="preserve"> që mund t’i sillte pritshmëri atij në zgjidhjen e çështjes.</w:t>
      </w:r>
    </w:p>
    <w:p w14:paraId="50F06F70" w14:textId="3FA91A40"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lastRenderedPageBreak/>
        <w:t>30. Në jurisprudencën kushtetuese është pohuar se e drejta për një proces të rregullt ligjor përfshin edhe të drejtën për të pasur një vendim gjyqësor të arsyetuar. Funksioni i një vendimi të arsyetuar është t’u tregojë palëve që ato janë dëgjuar, si dhe u jep mundësinë atyre ta kundërshtojnë atë</w:t>
      </w:r>
      <w:r w:rsidR="00FC2590">
        <w:rPr>
          <w:rFonts w:ascii="Garamond" w:hAnsi="Garamond" w:cs="Times New Roman"/>
          <w:i/>
          <w:iCs/>
          <w:sz w:val="24"/>
          <w:szCs w:val="24"/>
        </w:rPr>
        <w:t xml:space="preserve"> (shih vendimet nr. 9, datë 27.2.2024; nr. 12, datë 15.</w:t>
      </w:r>
      <w:r w:rsidRPr="000A1A30">
        <w:rPr>
          <w:rFonts w:ascii="Garamond" w:hAnsi="Garamond" w:cs="Times New Roman"/>
          <w:i/>
          <w:iCs/>
          <w:sz w:val="24"/>
          <w:szCs w:val="24"/>
        </w:rPr>
        <w:t>3.2023</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 xml:space="preserv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në funksion të njëra-tjetrës.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0A1A30">
        <w:rPr>
          <w:rFonts w:ascii="Garamond" w:hAnsi="Garamond" w:cs="Times New Roman"/>
          <w:sz w:val="24"/>
          <w:szCs w:val="24"/>
        </w:rPr>
        <w:t>kontradiksion</w:t>
      </w:r>
      <w:proofErr w:type="spellEnd"/>
      <w:r w:rsidRPr="000A1A30">
        <w:rPr>
          <w:rFonts w:ascii="Garamond" w:hAnsi="Garamond" w:cs="Times New Roman"/>
          <w:sz w:val="24"/>
          <w:szCs w:val="24"/>
        </w:rPr>
        <w:t xml:space="preserve"> të hapur ose të fshehtë. Zbatimi i këtij standardi është vlerësuar nga Gjykata rast pas rasti, në varësi të rrethanave konkrete të çështjes, duke analizuar nëse vendimet gjyqësore të kundërshtuara e kanë përmbushur në mënyrë të mjaftueshme detyrimin për arsyetimin e vendimeve të tyre (</w:t>
      </w:r>
      <w:r w:rsidR="00FC2590">
        <w:rPr>
          <w:rFonts w:ascii="Garamond" w:hAnsi="Garamond" w:cs="Times New Roman"/>
          <w:i/>
          <w:iCs/>
          <w:sz w:val="24"/>
          <w:szCs w:val="24"/>
        </w:rPr>
        <w:t xml:space="preserve">shih vendimet nr. 12, datë 28.2.2024; nr.12, datë 19.3.2015; nr. 33, datë </w:t>
      </w:r>
      <w:r w:rsidRPr="000A1A30">
        <w:rPr>
          <w:rFonts w:ascii="Garamond" w:hAnsi="Garamond" w:cs="Times New Roman"/>
          <w:i/>
          <w:iCs/>
          <w:sz w:val="24"/>
          <w:szCs w:val="24"/>
        </w:rPr>
        <w:t>8.12.2005</w:t>
      </w:r>
      <w:r w:rsidR="00FC2590">
        <w:rPr>
          <w:rFonts w:ascii="Garamond" w:hAnsi="Garamond" w:cs="Times New Roman"/>
          <w:i/>
          <w:iCs/>
          <w:sz w:val="24"/>
          <w:szCs w:val="24"/>
        </w:rPr>
        <w:t>,</w:t>
      </w:r>
      <w:r w:rsidRPr="000A1A30">
        <w:rPr>
          <w:rFonts w:ascii="Garamond" w:hAnsi="Garamond" w:cs="Bahnschrift"/>
          <w:i/>
          <w:iCs/>
          <w:sz w:val="24"/>
          <w:szCs w:val="24"/>
        </w:rPr>
        <w:t xml:space="preserve"> </w:t>
      </w:r>
      <w:r w:rsidRPr="000A1A30">
        <w:rPr>
          <w:rFonts w:ascii="Garamond" w:hAnsi="Garamond" w:cs="Times New Roman"/>
          <w:i/>
          <w:iCs/>
          <w:sz w:val="24"/>
          <w:szCs w:val="24"/>
        </w:rPr>
        <w:t>të Gjykatës Kushtetuese</w:t>
      </w:r>
      <w:r w:rsidRPr="000A1A30">
        <w:rPr>
          <w:rFonts w:ascii="Garamond" w:hAnsi="Garamond" w:cs="Times New Roman"/>
          <w:sz w:val="24"/>
          <w:szCs w:val="24"/>
        </w:rPr>
        <w:t>).</w:t>
      </w:r>
    </w:p>
    <w:p w14:paraId="32EFF202" w14:textId="664484C2"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31. Nga ana tjetër, Gjykata ka theksuar se ajo e vlerëson arsyetimin e një vendimi gjyqësor vetëm në kuadrin e përmbushjes ose jo të standardeve të mësipërme kushtetuese, pasi nuk është detyrë e saj të analizojë provat dhe faktet ku është bazuar gjykata për zgjidhjen e çështjes së themelit. Kjo mbetet detyrë funksionale e gjykatave të juridiksionit të zakonshëm. Detyra e saj është të shqyrtojë dhe të vlerësojë nëse gjatë procesit gjyqësor ka pasur shkelje të </w:t>
      </w:r>
      <w:proofErr w:type="spellStart"/>
      <w:r w:rsidRPr="000A1A30">
        <w:rPr>
          <w:rFonts w:ascii="Garamond" w:hAnsi="Garamond" w:cs="Times New Roman"/>
          <w:sz w:val="24"/>
          <w:szCs w:val="24"/>
        </w:rPr>
        <w:t>të</w:t>
      </w:r>
      <w:proofErr w:type="spellEnd"/>
      <w:r w:rsidRPr="000A1A30">
        <w:rPr>
          <w:rFonts w:ascii="Garamond" w:hAnsi="Garamond" w:cs="Times New Roman"/>
          <w:sz w:val="24"/>
          <w:szCs w:val="24"/>
        </w:rPr>
        <w:t xml:space="preserve"> drejtave kushtetuese, si dhe nëse zbatimi i ligjit ka qenë eventualisht arbitrar, në kuptimin që të bjerë ndesh haptazi me konceptin e gjykimit të drejtë të përcaktuar në nenin 42 të Kushtetutës (</w:t>
      </w:r>
      <w:r w:rsidR="00FC2590">
        <w:rPr>
          <w:rFonts w:ascii="Garamond" w:hAnsi="Garamond" w:cs="Times New Roman"/>
          <w:i/>
          <w:iCs/>
          <w:sz w:val="24"/>
          <w:szCs w:val="24"/>
        </w:rPr>
        <w:t>shih vendimet nr. 30, datë 29.</w:t>
      </w:r>
      <w:r w:rsidRPr="000A1A30">
        <w:rPr>
          <w:rFonts w:ascii="Garamond" w:hAnsi="Garamond" w:cs="Times New Roman"/>
          <w:i/>
          <w:iCs/>
          <w:sz w:val="24"/>
          <w:szCs w:val="24"/>
        </w:rPr>
        <w:t>5.2023; nr. 33, d</w:t>
      </w:r>
      <w:r w:rsidR="00FC2590">
        <w:rPr>
          <w:rFonts w:ascii="Garamond" w:hAnsi="Garamond" w:cs="Times New Roman"/>
          <w:i/>
          <w:iCs/>
          <w:sz w:val="24"/>
          <w:szCs w:val="24"/>
        </w:rPr>
        <w:t>atë 14.11.2022; nr. 3, datë 23.</w:t>
      </w:r>
      <w:r w:rsidRPr="000A1A30">
        <w:rPr>
          <w:rFonts w:ascii="Garamond" w:hAnsi="Garamond" w:cs="Times New Roman"/>
          <w:i/>
          <w:iCs/>
          <w:sz w:val="24"/>
          <w:szCs w:val="24"/>
        </w:rPr>
        <w:t>2.2016</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 xml:space="preserve">). Gjykata nuk vepron si shkallë e katërt gjykimi, por ndërhyn atëherë kur gabimi ligjor ose faktik nga gjykatat e juridiksionit të zakonshëm është aq i dukshëm, sa një gjykatë e kujdesshme nuk mund ta kishte bërë ndonjëherë ose është i tillë që gjykimin e bën të padrejtë </w:t>
      </w:r>
      <w:r w:rsidRPr="000A1A30">
        <w:rPr>
          <w:rFonts w:ascii="Garamond" w:hAnsi="Garamond" w:cs="Times New Roman"/>
          <w:i/>
          <w:iCs/>
          <w:sz w:val="24"/>
          <w:szCs w:val="24"/>
        </w:rPr>
        <w:t>(shih vendimet nr. 63, datë 23.10.2025; nr. 33, datë 14.11.20</w:t>
      </w:r>
      <w:r w:rsidR="00FC2590">
        <w:rPr>
          <w:rFonts w:ascii="Garamond" w:hAnsi="Garamond" w:cs="Times New Roman"/>
          <w:i/>
          <w:iCs/>
          <w:sz w:val="24"/>
          <w:szCs w:val="24"/>
        </w:rPr>
        <w:t>22; nr. 3, datë 23.</w:t>
      </w:r>
      <w:r w:rsidRPr="000A1A30">
        <w:rPr>
          <w:rFonts w:ascii="Garamond" w:hAnsi="Garamond" w:cs="Times New Roman"/>
          <w:i/>
          <w:iCs/>
          <w:sz w:val="24"/>
          <w:szCs w:val="24"/>
        </w:rPr>
        <w:t>2.2016</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 xml:space="preserve"> Në këto raste, për të mos vënë në dyshim të drejtën e gjykatave të zakonshme për të interpretuar ligjin për qëllim të procesit gjyqësor që ato zhvillojnë, Gjykata kufizohet vetëm në identifikimin e gabimeve të dukshme, të cilat shkojnë përtej pretendimeve për interpretim të gabuar të ligjit dhe që cenojnë gjykimin e drejtë </w:t>
      </w:r>
      <w:r w:rsidR="00FC2590">
        <w:rPr>
          <w:rFonts w:ascii="Garamond" w:hAnsi="Garamond" w:cs="Times New Roman"/>
          <w:i/>
          <w:iCs/>
          <w:sz w:val="24"/>
          <w:szCs w:val="24"/>
        </w:rPr>
        <w:t>(shih vendimin nr. 11, datë 11.</w:t>
      </w:r>
      <w:r w:rsidRPr="000A1A30">
        <w:rPr>
          <w:rFonts w:ascii="Garamond" w:hAnsi="Garamond" w:cs="Times New Roman"/>
          <w:i/>
          <w:iCs/>
          <w:sz w:val="24"/>
          <w:szCs w:val="24"/>
        </w:rPr>
        <w:t>2.2026</w:t>
      </w:r>
      <w:r w:rsidR="00FC2590">
        <w:rPr>
          <w:rFonts w:ascii="Garamond" w:hAnsi="Garamond" w:cs="Times New Roman"/>
          <w:i/>
          <w:iCs/>
          <w:sz w:val="24"/>
          <w:szCs w:val="24"/>
        </w:rPr>
        <w:t>,</w:t>
      </w:r>
      <w:r w:rsidRPr="000A1A30">
        <w:rPr>
          <w:rFonts w:ascii="Garamond" w:hAnsi="Garamond" w:cs="Times New Roman"/>
          <w:i/>
          <w:iCs/>
          <w:sz w:val="24"/>
          <w:szCs w:val="24"/>
        </w:rPr>
        <w:t xml:space="preserve"> të Gjykatës Kushtetuese)</w:t>
      </w:r>
      <w:r w:rsidRPr="000A1A30">
        <w:rPr>
          <w:rFonts w:ascii="Garamond" w:hAnsi="Garamond" w:cs="Times New Roman"/>
          <w:sz w:val="24"/>
          <w:szCs w:val="24"/>
        </w:rPr>
        <w:t>.</w:t>
      </w:r>
    </w:p>
    <w:p w14:paraId="3A23F3CB" w14:textId="524A6AB8"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32. Nën dritën e standardeve të mësipërme dhe bazuar në thelbin e pretendimeve të kërkuesit, Gjykata do të analizojë nëse në rastin në shqyrtim Kolegji Administrativ i Gjykatës së Lartë ka respektuar standardet e vendosura nga jurisprudenca kushtetuese për arsyetimin e vendimit gjyqësor, si dhe nëse përmban elemente arbitrariteti, në kuptim të gabimeve të dukshme, nga pikëpamja ligjore.</w:t>
      </w:r>
    </w:p>
    <w:p w14:paraId="104C8E03" w14:textId="21918157"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33. Sikurse u parashtrua në rrethanat e çështjes, ka rezultuar se kërkuesi</w:t>
      </w:r>
      <w:r w:rsidR="00FC2590">
        <w:rPr>
          <w:rFonts w:ascii="Garamond" w:hAnsi="Garamond" w:cs="Times New Roman"/>
          <w:sz w:val="24"/>
          <w:szCs w:val="24"/>
        </w:rPr>
        <w:t>,</w:t>
      </w:r>
      <w:r w:rsidRPr="000A1A30">
        <w:rPr>
          <w:rFonts w:ascii="Garamond" w:hAnsi="Garamond" w:cs="Times New Roman"/>
          <w:sz w:val="24"/>
          <w:szCs w:val="24"/>
        </w:rPr>
        <w:t xml:space="preserve"> në datën 23.10.2014</w:t>
      </w:r>
      <w:r w:rsidR="00FC2590">
        <w:rPr>
          <w:rFonts w:ascii="Garamond" w:hAnsi="Garamond" w:cs="Times New Roman"/>
          <w:sz w:val="24"/>
          <w:szCs w:val="24"/>
        </w:rPr>
        <w:t>,</w:t>
      </w:r>
      <w:r w:rsidRPr="000A1A30">
        <w:rPr>
          <w:rFonts w:ascii="Garamond" w:hAnsi="Garamond" w:cs="Times New Roman"/>
          <w:sz w:val="24"/>
          <w:szCs w:val="24"/>
        </w:rPr>
        <w:t xml:space="preserve"> i është drejtuar gjykatës administrative të shkallës së parë duke kundërshtuar urdhrin e ministrit të Drejtësisë për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dhe zgjidhjen e pasojave për shkak të pavlefshmërisë së këtij urdhri. Gjykata Administrative e Shkallës së Parë Tiranë ka vlerësuar se ligji i zbatueshëm në zgjidhjen e çështjes është ligji nr. 8549/1999. Ajo ka arsyetuar se në rastin konkret nuk jemi para suprimimit të vendit të punës dhe se nuk plotësohen kushtet dhe rrethanat për të lejuar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Sipas gjykatës së shkallës së p</w:t>
      </w:r>
      <w:r w:rsidR="00FC2590">
        <w:rPr>
          <w:rFonts w:ascii="Garamond" w:hAnsi="Garamond" w:cs="Times New Roman"/>
          <w:sz w:val="24"/>
          <w:szCs w:val="24"/>
        </w:rPr>
        <w:t xml:space="preserve">arë, vendimi nr. 413/4/1, datë </w:t>
      </w:r>
      <w:r w:rsidRPr="000A1A30">
        <w:rPr>
          <w:rFonts w:ascii="Garamond" w:hAnsi="Garamond" w:cs="Times New Roman"/>
          <w:sz w:val="24"/>
          <w:szCs w:val="24"/>
        </w:rPr>
        <w:t>1.11.2013</w:t>
      </w:r>
      <w:r w:rsidR="00FC2590">
        <w:rPr>
          <w:rFonts w:ascii="Garamond" w:hAnsi="Garamond" w:cs="Times New Roman"/>
          <w:sz w:val="24"/>
          <w:szCs w:val="24"/>
        </w:rPr>
        <w:t>,</w:t>
      </w:r>
      <w:r w:rsidRPr="000A1A30">
        <w:rPr>
          <w:rFonts w:ascii="Garamond" w:hAnsi="Garamond" w:cs="Times New Roman"/>
          <w:sz w:val="24"/>
          <w:szCs w:val="24"/>
        </w:rPr>
        <w:t xml:space="preserve"> “Për daljen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i marrë nga ministri i Drejtësisë, pavarësisht rrethanave që e kanë imponuar, është një vendim i marrë jashtë kompetencave të tij pasi kjo kompetencë i është dhënë sekretarit të përgjithshëm. Si konkluzion, ky vendim i marrë nga një organ </w:t>
      </w:r>
      <w:proofErr w:type="spellStart"/>
      <w:r w:rsidRPr="000A1A30">
        <w:rPr>
          <w:rFonts w:ascii="Garamond" w:hAnsi="Garamond" w:cs="Times New Roman"/>
          <w:sz w:val="24"/>
          <w:szCs w:val="24"/>
        </w:rPr>
        <w:t>jokompetent</w:t>
      </w:r>
      <w:proofErr w:type="spellEnd"/>
      <w:r w:rsidRPr="000A1A30">
        <w:rPr>
          <w:rFonts w:ascii="Garamond" w:hAnsi="Garamond" w:cs="Times New Roman"/>
          <w:sz w:val="24"/>
          <w:szCs w:val="24"/>
        </w:rPr>
        <w:t xml:space="preserve"> dhe në kuptim të nenit 116 të Kodit të Procedurave Administrative, është një akt absolutisht i pavlefshëm. Gjykata Administrative e Shkallës së Parë Tiranë ka arsyetuar se justifikimi i përdorur nga Avokatura e Shtetit se vendimi i marrë nga ministri për shkak të </w:t>
      </w:r>
      <w:proofErr w:type="spellStart"/>
      <w:r w:rsidRPr="000A1A30">
        <w:rPr>
          <w:rFonts w:ascii="Garamond" w:hAnsi="Garamond" w:cs="Times New Roman"/>
          <w:sz w:val="24"/>
          <w:szCs w:val="24"/>
        </w:rPr>
        <w:t>vakancës</w:t>
      </w:r>
      <w:proofErr w:type="spellEnd"/>
      <w:r w:rsidRPr="000A1A30">
        <w:rPr>
          <w:rFonts w:ascii="Garamond" w:hAnsi="Garamond" w:cs="Times New Roman"/>
          <w:sz w:val="24"/>
          <w:szCs w:val="24"/>
        </w:rPr>
        <w:t xml:space="preserve"> së pozicionit të sekretarit të përgjithshëm është i pabazuar </w:t>
      </w:r>
      <w:r w:rsidRPr="000A1A30">
        <w:rPr>
          <w:rFonts w:ascii="Garamond" w:hAnsi="Garamond" w:cs="Times New Roman"/>
          <w:i/>
          <w:iCs/>
          <w:sz w:val="24"/>
          <w:szCs w:val="24"/>
        </w:rPr>
        <w:t>(shih faqen 10</w:t>
      </w:r>
      <w:r w:rsidR="00FC2590">
        <w:rPr>
          <w:rFonts w:ascii="Garamond" w:hAnsi="Garamond" w:cs="Times New Roman"/>
          <w:i/>
          <w:iCs/>
          <w:sz w:val="24"/>
          <w:szCs w:val="24"/>
        </w:rPr>
        <w:t>,</w:t>
      </w:r>
      <w:r w:rsidRPr="000A1A30">
        <w:rPr>
          <w:rFonts w:ascii="Garamond" w:hAnsi="Garamond" w:cs="Times New Roman"/>
          <w:i/>
          <w:iCs/>
          <w:sz w:val="24"/>
          <w:szCs w:val="24"/>
        </w:rPr>
        <w:t xml:space="preserve"> të vendimit të Gjykatës Administrative të Shkallës së Parë Tiranë).</w:t>
      </w:r>
      <w:r w:rsidRPr="000A1A30">
        <w:rPr>
          <w:rFonts w:ascii="Garamond" w:hAnsi="Garamond" w:cs="Times New Roman"/>
          <w:sz w:val="24"/>
          <w:szCs w:val="24"/>
        </w:rPr>
        <w:t xml:space="preserve"> Sipas kësaj gjykate, </w:t>
      </w:r>
      <w:proofErr w:type="spellStart"/>
      <w:r w:rsidRPr="000A1A30">
        <w:rPr>
          <w:rFonts w:ascii="Garamond" w:hAnsi="Garamond" w:cs="Times New Roman"/>
          <w:sz w:val="24"/>
          <w:szCs w:val="24"/>
        </w:rPr>
        <w:t>dakordësia</w:t>
      </w:r>
      <w:proofErr w:type="spellEnd"/>
      <w:r w:rsidRPr="000A1A30">
        <w:rPr>
          <w:rFonts w:ascii="Garamond" w:hAnsi="Garamond" w:cs="Times New Roman"/>
          <w:sz w:val="24"/>
          <w:szCs w:val="24"/>
        </w:rPr>
        <w:t xml:space="preserve"> e shprehur prej tij për të kaluar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deri në gjetjen e mundësive të sistemimit sipas strukturës së re nuk do të thotë se ai është dorëhequr, edhe sepse </w:t>
      </w:r>
      <w:r w:rsidRPr="000A1A30">
        <w:rPr>
          <w:rFonts w:ascii="Garamond" w:hAnsi="Garamond" w:cs="Times New Roman"/>
          <w:sz w:val="24"/>
          <w:szCs w:val="24"/>
        </w:rPr>
        <w:lastRenderedPageBreak/>
        <w:t xml:space="preserve">dhënia e pëlqimit nuk parashikohet si element i domosdoshëm për kalimin e nëpunësit civil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w:t>
      </w:r>
      <w:r w:rsidRPr="000A1A30">
        <w:rPr>
          <w:rFonts w:ascii="Garamond" w:hAnsi="Garamond" w:cs="Times New Roman"/>
          <w:i/>
          <w:iCs/>
          <w:sz w:val="24"/>
          <w:szCs w:val="24"/>
        </w:rPr>
        <w:t>(shih faqen 11</w:t>
      </w:r>
      <w:r w:rsidR="00FC2590">
        <w:rPr>
          <w:rFonts w:ascii="Garamond" w:hAnsi="Garamond" w:cs="Times New Roman"/>
          <w:i/>
          <w:iCs/>
          <w:sz w:val="24"/>
          <w:szCs w:val="24"/>
        </w:rPr>
        <w:t>,</w:t>
      </w:r>
      <w:r w:rsidRPr="000A1A30">
        <w:rPr>
          <w:rFonts w:ascii="Garamond" w:hAnsi="Garamond" w:cs="Times New Roman"/>
          <w:i/>
          <w:iCs/>
          <w:sz w:val="24"/>
          <w:szCs w:val="24"/>
        </w:rPr>
        <w:t xml:space="preserve"> të vendimit të Gjykatës Administrative të Shkallës së Parë Tiranë). </w:t>
      </w:r>
    </w:p>
    <w:p w14:paraId="63F0C5B4" w14:textId="661BA099"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34. Në ndryshim nga gjykata e shkallës së parë, Gjykata Administrative e Apelit ka vlerësuar se për zgjidhjen e rastit konkret është i zbatueshëm ligji nr. 152/2013. Ajo ka arsyetuar se urdhri i largimit është disponuar nga ministri i Drejtësisë, i cili nuk identifikohet me organin kompetent të parashikuar nga ligji për </w:t>
      </w:r>
      <w:proofErr w:type="spellStart"/>
      <w:r w:rsidRPr="000A1A30">
        <w:rPr>
          <w:rFonts w:ascii="Garamond" w:hAnsi="Garamond" w:cs="Times New Roman"/>
          <w:sz w:val="24"/>
          <w:szCs w:val="24"/>
        </w:rPr>
        <w:t>disponimin</w:t>
      </w:r>
      <w:proofErr w:type="spellEnd"/>
      <w:r w:rsidRPr="000A1A30">
        <w:rPr>
          <w:rFonts w:ascii="Garamond" w:hAnsi="Garamond" w:cs="Times New Roman"/>
          <w:sz w:val="24"/>
          <w:szCs w:val="24"/>
        </w:rPr>
        <w:t xml:space="preserve"> e akteve që konfirmojnë lirimin nga detyra të nëpunësit civil dhe kalimin e tij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w:t>
      </w:r>
      <w:r w:rsidRPr="000A1A30">
        <w:rPr>
          <w:rFonts w:ascii="Garamond" w:hAnsi="Garamond" w:cs="Times New Roman"/>
          <w:i/>
          <w:iCs/>
          <w:sz w:val="24"/>
          <w:szCs w:val="24"/>
        </w:rPr>
        <w:t>(shih faqen 21</w:t>
      </w:r>
      <w:r w:rsidR="00FC2590">
        <w:rPr>
          <w:rFonts w:ascii="Garamond" w:hAnsi="Garamond" w:cs="Times New Roman"/>
          <w:i/>
          <w:iCs/>
          <w:sz w:val="24"/>
          <w:szCs w:val="24"/>
        </w:rPr>
        <w:t>,</w:t>
      </w:r>
      <w:r w:rsidRPr="000A1A30">
        <w:rPr>
          <w:rFonts w:ascii="Garamond" w:hAnsi="Garamond" w:cs="Times New Roman"/>
          <w:i/>
          <w:iCs/>
          <w:sz w:val="24"/>
          <w:szCs w:val="24"/>
        </w:rPr>
        <w:t xml:space="preserve"> të vendimit të gjykatës së apelit).</w:t>
      </w:r>
      <w:r w:rsidRPr="000A1A30">
        <w:rPr>
          <w:rFonts w:ascii="Garamond" w:hAnsi="Garamond" w:cs="Times New Roman"/>
          <w:sz w:val="24"/>
          <w:szCs w:val="24"/>
        </w:rPr>
        <w:t xml:space="preserve"> Vetëm fakti i mosrespektimit nga pala e paditur të kësaj rrethane, pa i hyrë analizës së ekzistencës ose jo të rrethanave që diktuan vendimmarrjen objekt gjykimi, për atë gjykatë ka qenë i mjaftueshëm për të vlerësuar </w:t>
      </w:r>
      <w:proofErr w:type="spellStart"/>
      <w:r w:rsidRPr="000A1A30">
        <w:rPr>
          <w:rFonts w:ascii="Garamond" w:hAnsi="Garamond" w:cs="Times New Roman"/>
          <w:sz w:val="24"/>
          <w:szCs w:val="24"/>
        </w:rPr>
        <w:t>moscenimin</w:t>
      </w:r>
      <w:proofErr w:type="spellEnd"/>
      <w:r w:rsidRPr="000A1A30">
        <w:rPr>
          <w:rFonts w:ascii="Garamond" w:hAnsi="Garamond" w:cs="Times New Roman"/>
          <w:sz w:val="24"/>
          <w:szCs w:val="24"/>
        </w:rPr>
        <w:t xml:space="preserve"> e vendimit të gjykatës së shkallës së parë.</w:t>
      </w:r>
    </w:p>
    <w:p w14:paraId="26DD8892" w14:textId="0520E439"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35. Ndërsa Kolegji Administrativ i Gjykatës së Lartë fillimisht ka konstatuar se ligji nr. 8549/1999 është i zbatueshëm për zgjidhjen e çështjes dhe se kërkuesi ka nënshkruar deklaratë ku shprehej për </w:t>
      </w:r>
      <w:proofErr w:type="spellStart"/>
      <w:r w:rsidRPr="000A1A30">
        <w:rPr>
          <w:rFonts w:ascii="Garamond" w:hAnsi="Garamond" w:cs="Times New Roman"/>
          <w:sz w:val="24"/>
          <w:szCs w:val="24"/>
        </w:rPr>
        <w:t>dakordësinë</w:t>
      </w:r>
      <w:proofErr w:type="spellEnd"/>
      <w:r w:rsidRPr="000A1A30">
        <w:rPr>
          <w:rFonts w:ascii="Garamond" w:hAnsi="Garamond" w:cs="Times New Roman"/>
          <w:sz w:val="24"/>
          <w:szCs w:val="24"/>
        </w:rPr>
        <w:t xml:space="preserve"> për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për shkak të suprimimit të pozicionit të tij të punës. Në vijim,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 ka miratuar kalimin e kërkuesit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dhe ministri i Drejtësisë, me vendimin nr. 413/</w:t>
      </w:r>
      <w:r w:rsidR="00FC2590">
        <w:rPr>
          <w:rFonts w:ascii="Garamond" w:hAnsi="Garamond" w:cs="Times New Roman"/>
          <w:sz w:val="24"/>
          <w:szCs w:val="24"/>
        </w:rPr>
        <w:t xml:space="preserve">4/1, datë </w:t>
      </w:r>
      <w:r w:rsidRPr="000A1A30">
        <w:rPr>
          <w:rFonts w:ascii="Garamond" w:hAnsi="Garamond" w:cs="Times New Roman"/>
          <w:sz w:val="24"/>
          <w:szCs w:val="24"/>
        </w:rPr>
        <w:t>1.11.2013</w:t>
      </w:r>
      <w:r w:rsidR="00FC2590">
        <w:rPr>
          <w:rFonts w:ascii="Garamond" w:hAnsi="Garamond" w:cs="Times New Roman"/>
          <w:sz w:val="24"/>
          <w:szCs w:val="24"/>
        </w:rPr>
        <w:t>,</w:t>
      </w:r>
      <w:r w:rsidRPr="000A1A30">
        <w:rPr>
          <w:rFonts w:ascii="Garamond" w:hAnsi="Garamond" w:cs="Times New Roman"/>
          <w:sz w:val="24"/>
          <w:szCs w:val="24"/>
        </w:rPr>
        <w:t xml:space="preserve"> “Për daljen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ka vendosur kalimin e kërkuesit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Në këtë pikë arsyetimi, Kolegji ka vlerësuar se argumenti i gjykatave më të ulëta se ministri i Drejtësisë rezulton të ketë disponuar në shmangie të kompetencave të parashikuara nga ligji, pasi nuk është organi kompetent për marrjen e vendimit të kalimit të nëpunësit civil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është i gabuar për sa i përket efektit të vlerësuar prej gjykatave në lidhje me pavlefshmërinë absolute të aktit. Sipas Gjykatës së Lartë, duke qenë se pozicioni i sekretarit të përgjithshëm ishte vakant, ndonëse ligji parashikon se vendimi për kalimin në </w:t>
      </w:r>
      <w:proofErr w:type="spellStart"/>
      <w:r w:rsidRPr="000A1A30">
        <w:rPr>
          <w:rFonts w:ascii="Garamond" w:hAnsi="Garamond" w:cs="Times New Roman"/>
          <w:sz w:val="24"/>
          <w:szCs w:val="24"/>
        </w:rPr>
        <w:t>list</w:t>
      </w:r>
      <w:r w:rsidR="00FC2590" w:rsidRPr="000A1A30">
        <w:rPr>
          <w:rFonts w:ascii="Garamond" w:hAnsi="Garamond" w:cs="Times New Roman"/>
          <w:sz w:val="24"/>
          <w:szCs w:val="24"/>
        </w:rPr>
        <w:t>ë</w:t>
      </w:r>
      <w:r w:rsidRPr="000A1A30">
        <w:rPr>
          <w:rFonts w:ascii="Garamond" w:hAnsi="Garamond" w:cs="Times New Roman"/>
          <w:sz w:val="24"/>
          <w:szCs w:val="24"/>
        </w:rPr>
        <w:t>pritje</w:t>
      </w:r>
      <w:proofErr w:type="spellEnd"/>
      <w:r w:rsidRPr="000A1A30">
        <w:rPr>
          <w:rFonts w:ascii="Garamond" w:hAnsi="Garamond" w:cs="Times New Roman"/>
          <w:sz w:val="24"/>
          <w:szCs w:val="24"/>
        </w:rPr>
        <w:t xml:space="preserve"> është kompetencë e tij, në mungesë të këtij të fundit, kur akti nënshkruhet nga ministri, nuk jemi në kushtet e pavlefshmërisë absolute të aktit, përderisa është provuar që ekziston shkaku i kalimit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dhe për më tepër është shprehur në atë kohë edhe </w:t>
      </w:r>
      <w:proofErr w:type="spellStart"/>
      <w:r w:rsidRPr="000A1A30">
        <w:rPr>
          <w:rFonts w:ascii="Garamond" w:hAnsi="Garamond" w:cs="Times New Roman"/>
          <w:sz w:val="24"/>
          <w:szCs w:val="24"/>
        </w:rPr>
        <w:t>dakordësia</w:t>
      </w:r>
      <w:proofErr w:type="spellEnd"/>
      <w:r w:rsidRPr="000A1A30">
        <w:rPr>
          <w:rFonts w:ascii="Garamond" w:hAnsi="Garamond" w:cs="Times New Roman"/>
          <w:sz w:val="24"/>
          <w:szCs w:val="24"/>
        </w:rPr>
        <w:t xml:space="preserve"> nga kërkuesi për kalimin në listë pritje. Ndërhyrja e tij në këtë situatë, pra nënshkrimi i aktit objekt gjykimi, ishte pikërisht fakti se pozicioni i sekretarit të përgjithshëm ishte vakant. Kjo parregullsi procedurale nuk prek thelbin e vendimmarrjes, e cila nuk është kundërshtuar as nga kërkuesi në atë kohë dhe as </w:t>
      </w:r>
      <w:proofErr w:type="spellStart"/>
      <w:r w:rsidRPr="000A1A30">
        <w:rPr>
          <w:rFonts w:ascii="Garamond" w:hAnsi="Garamond" w:cs="Times New Roman"/>
          <w:sz w:val="24"/>
          <w:szCs w:val="24"/>
        </w:rPr>
        <w:t>DAP</w:t>
      </w:r>
      <w:proofErr w:type="spellEnd"/>
      <w:r w:rsidRPr="000A1A30">
        <w:rPr>
          <w:rFonts w:ascii="Garamond" w:hAnsi="Garamond" w:cs="Times New Roman"/>
          <w:sz w:val="24"/>
          <w:szCs w:val="24"/>
        </w:rPr>
        <w:t xml:space="preserve">-i nuk e ka gjetur të parregullt propozimin për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Në këto kushte, në kontekstin e rrethanave të faktit, nuk mund të pretendohet për shkelje “flagrante” të tillë që mund të sjellë pavlefshmëri absolute të aktit. Shkelja në këtë rast, edhe nëse ka ekzistuar, është vetëm e natyrës formale dhe nuk prek thelbin e vendimmarrjes </w:t>
      </w:r>
      <w:r w:rsidRPr="000A1A30">
        <w:rPr>
          <w:rFonts w:ascii="Garamond" w:hAnsi="Garamond" w:cs="Times New Roman"/>
          <w:i/>
          <w:iCs/>
          <w:sz w:val="24"/>
          <w:szCs w:val="24"/>
        </w:rPr>
        <w:t>(shih paragrafin 16</w:t>
      </w:r>
      <w:r w:rsidR="00FC2590">
        <w:rPr>
          <w:rFonts w:ascii="Garamond" w:hAnsi="Garamond" w:cs="Times New Roman"/>
          <w:i/>
          <w:iCs/>
          <w:sz w:val="24"/>
          <w:szCs w:val="24"/>
        </w:rPr>
        <w:t>,</w:t>
      </w:r>
      <w:r w:rsidRPr="000A1A30">
        <w:rPr>
          <w:rFonts w:ascii="Garamond" w:hAnsi="Garamond" w:cs="Times New Roman"/>
          <w:i/>
          <w:iCs/>
          <w:sz w:val="24"/>
          <w:szCs w:val="24"/>
        </w:rPr>
        <w:t xml:space="preserve"> të vendimit të Gjykatës së Lartë).</w:t>
      </w:r>
    </w:p>
    <w:p w14:paraId="1BCD1E63" w14:textId="53EF31CC"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 xml:space="preserve">36. Në analizë të sa më sipër, Gjykata vëren se Kolegji Administrativ i Gjykatës së Lartë, ndonëse ka pranuar se ligji i zbatueshëm në rastin e kërkuesit, konkretisht ligji nr. 8549/1999, ia njeh kompetencën për nxjerrjen e vendimit të kalimit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sekretarit të përgjithshëm, ka arritur në përfundimin se nënshkrimi i aktit nga ministri i Drejtësisë nuk përbën shkak për pavlefshmëri absolute. Ky kolegj është bazuar në argumentin se, për sa kohë që pozicioni i sekretarit të përgjithshëm ka qenë vakant, ka ekzistuar shkaku ligjor për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si dhe kërkuesi ka shprehur </w:t>
      </w:r>
      <w:proofErr w:type="spellStart"/>
      <w:r w:rsidRPr="000A1A30">
        <w:rPr>
          <w:rFonts w:ascii="Garamond" w:hAnsi="Garamond" w:cs="Times New Roman"/>
          <w:sz w:val="24"/>
          <w:szCs w:val="24"/>
        </w:rPr>
        <w:t>dakordësinë</w:t>
      </w:r>
      <w:proofErr w:type="spellEnd"/>
      <w:r w:rsidRPr="000A1A30">
        <w:rPr>
          <w:rFonts w:ascii="Garamond" w:hAnsi="Garamond" w:cs="Times New Roman"/>
          <w:sz w:val="24"/>
          <w:szCs w:val="24"/>
        </w:rPr>
        <w:t xml:space="preserve"> e tij për këtë masë. Ndërkohë, nga përmbajtja e dispozitave të ligjit nr. 8549/1999, si d</w:t>
      </w:r>
      <w:r w:rsidR="00FC2590">
        <w:rPr>
          <w:rFonts w:ascii="Garamond" w:hAnsi="Garamond" w:cs="Times New Roman"/>
          <w:sz w:val="24"/>
          <w:szCs w:val="24"/>
        </w:rPr>
        <w:t>he të ligjit nr. 8678, datë 14.</w:t>
      </w:r>
      <w:r w:rsidRPr="000A1A30">
        <w:rPr>
          <w:rFonts w:ascii="Garamond" w:hAnsi="Garamond" w:cs="Times New Roman"/>
          <w:sz w:val="24"/>
          <w:szCs w:val="24"/>
        </w:rPr>
        <w:t>5.2001</w:t>
      </w:r>
      <w:r w:rsidR="00FC2590">
        <w:rPr>
          <w:rFonts w:ascii="Garamond" w:hAnsi="Garamond" w:cs="Times New Roman"/>
          <w:sz w:val="24"/>
          <w:szCs w:val="24"/>
        </w:rPr>
        <w:t>,</w:t>
      </w:r>
      <w:r w:rsidRPr="000A1A30">
        <w:rPr>
          <w:rFonts w:ascii="Garamond" w:hAnsi="Garamond" w:cs="Times New Roman"/>
          <w:sz w:val="24"/>
          <w:szCs w:val="24"/>
        </w:rPr>
        <w:t xml:space="preserve"> “Për organizimin dhe funksionimin e Ministrisë së Drejtësisë”, nuk rezulton se ministrit, si funksionar politik, i është njohur kompetenca për të ushtruar atributet që ligji ia rezervon sekretarit të përgjithshëm në marrëdhëniet e shërbimit civil. Me fjalë të tjera, ministri, si funksionar me natyrë politike dhe pjesë e pushtetit ekzekutiv në nivel </w:t>
      </w:r>
      <w:proofErr w:type="spellStart"/>
      <w:r w:rsidRPr="000A1A30">
        <w:rPr>
          <w:rFonts w:ascii="Garamond" w:hAnsi="Garamond" w:cs="Times New Roman"/>
          <w:sz w:val="24"/>
          <w:szCs w:val="24"/>
        </w:rPr>
        <w:t>politikëbërës</w:t>
      </w:r>
      <w:proofErr w:type="spellEnd"/>
      <w:r w:rsidRPr="000A1A30">
        <w:rPr>
          <w:rFonts w:ascii="Garamond" w:hAnsi="Garamond" w:cs="Times New Roman"/>
          <w:sz w:val="24"/>
          <w:szCs w:val="24"/>
        </w:rPr>
        <w:t>, nuk mund të ushtrojë kompetenca administrative për emërimin, vlerësimin ose largimin e nëpunësve civilë, të cilat ligji ia atribuon organeve të administratës civile të përcaktuara shprehimisht. Ky aspekt është trajtuar edhe nga gjykatat e faktit të cilat kanë arritur në përfundimin se vendimi i ministrit të Drejtësisë ishte nxjerrë jashtë kompetencave të tij ligjore, pavarësisht rrethanave që mund të kenë diktuar ndërhyrjen e tij. Në këto kushte, argumenti i Gjykatës së Lartë se ndërhyrja e ministrit justifikohej nga mungesa e sekretarit të përgjithshëm nuk shoqërohet me një analizë të dispozitave ligjore që do të mund të mbështesnin qëndrimin e saj. Një qëndrim i tillë jo vetëm është formalist, por edhe arbitrar, në kuptim të gabimeve të dukshme nga pikëpamja ligjore.</w:t>
      </w:r>
    </w:p>
    <w:p w14:paraId="27136B2C" w14:textId="7907519E"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lastRenderedPageBreak/>
        <w:t xml:space="preserve">37. Nga ana tjetër, Gjykata çmon se fakti i evidentuar nga Gjykata e Lartë se kërkuesi kishte shprehur </w:t>
      </w:r>
      <w:proofErr w:type="spellStart"/>
      <w:r w:rsidRPr="000A1A30">
        <w:rPr>
          <w:rFonts w:ascii="Garamond" w:hAnsi="Garamond" w:cs="Times New Roman"/>
          <w:sz w:val="24"/>
          <w:szCs w:val="24"/>
        </w:rPr>
        <w:t>dakordësinë</w:t>
      </w:r>
      <w:proofErr w:type="spellEnd"/>
      <w:r w:rsidRPr="000A1A30">
        <w:rPr>
          <w:rFonts w:ascii="Garamond" w:hAnsi="Garamond" w:cs="Times New Roman"/>
          <w:sz w:val="24"/>
          <w:szCs w:val="24"/>
        </w:rPr>
        <w:t xml:space="preserve"> e tij për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nuk përbën një rrethanë përcaktuese për vlerësimin e kompetencës së organit që ka nxjerrë aktin administrativ. Pëlqimi i subjektit të prekur nga akti nuk mund të zëvendësojë ose të plotësojë mungesën e kompetencës së organit që e nxjerr atë. Për rrjedhojë, në rastin konkret, </w:t>
      </w:r>
      <w:proofErr w:type="spellStart"/>
      <w:r w:rsidRPr="000A1A30">
        <w:rPr>
          <w:rFonts w:ascii="Garamond" w:hAnsi="Garamond" w:cs="Times New Roman"/>
          <w:sz w:val="24"/>
          <w:szCs w:val="24"/>
        </w:rPr>
        <w:t>dakordësia</w:t>
      </w:r>
      <w:proofErr w:type="spellEnd"/>
      <w:r w:rsidRPr="000A1A30">
        <w:rPr>
          <w:rFonts w:ascii="Garamond" w:hAnsi="Garamond" w:cs="Times New Roman"/>
          <w:sz w:val="24"/>
          <w:szCs w:val="24"/>
        </w:rPr>
        <w:t xml:space="preserve"> e kërkuesit nuk legjitimon ushtrimin e një kompetence që ligji ia ka </w:t>
      </w:r>
      <w:proofErr w:type="spellStart"/>
      <w:r w:rsidRPr="000A1A30">
        <w:rPr>
          <w:rFonts w:ascii="Garamond" w:hAnsi="Garamond" w:cs="Times New Roman"/>
          <w:sz w:val="24"/>
          <w:szCs w:val="24"/>
        </w:rPr>
        <w:t>atribuar</w:t>
      </w:r>
      <w:proofErr w:type="spellEnd"/>
      <w:r w:rsidRPr="000A1A30">
        <w:rPr>
          <w:rFonts w:ascii="Garamond" w:hAnsi="Garamond" w:cs="Times New Roman"/>
          <w:sz w:val="24"/>
          <w:szCs w:val="24"/>
        </w:rPr>
        <w:t xml:space="preserve"> një organi tjetër. Po kështu, edhe arsyetimi i Gjykatës së Lartë, sipas të cilit pasojat do të kishin qenë të njëjta edhe nëse vendimi do të ishte marrë nga sekretari i përgjithshëm, për sa kohë që kërkuesi kishte shprehur vullnetin e tij, mbështetet në një vlerësim hipotetik të rezultatit të procedurës dhe jo në verifikimin e respektimit të kërkesave ligjore që përcaktojnë vlefshmërinë e aktit administrativ. Një qasje e tillë nuk merr në konsideratë faktin se nenet 21 dhe 23</w:t>
      </w:r>
      <w:r w:rsidR="00FC2590">
        <w:rPr>
          <w:rFonts w:ascii="Garamond" w:hAnsi="Garamond" w:cs="Times New Roman"/>
          <w:sz w:val="24"/>
          <w:szCs w:val="24"/>
        </w:rPr>
        <w:t>,</w:t>
      </w:r>
      <w:r w:rsidRPr="000A1A30">
        <w:rPr>
          <w:rFonts w:ascii="Garamond" w:hAnsi="Garamond" w:cs="Times New Roman"/>
          <w:sz w:val="24"/>
          <w:szCs w:val="24"/>
        </w:rPr>
        <w:t xml:space="preserve"> të ligjit nr. 8549/1999</w:t>
      </w:r>
      <w:r w:rsidR="00FC2590">
        <w:rPr>
          <w:rFonts w:ascii="Garamond" w:hAnsi="Garamond" w:cs="Times New Roman"/>
          <w:sz w:val="24"/>
          <w:szCs w:val="24"/>
        </w:rPr>
        <w:t>,</w:t>
      </w:r>
      <w:r w:rsidRPr="000A1A30">
        <w:rPr>
          <w:rFonts w:ascii="Garamond" w:hAnsi="Garamond" w:cs="Times New Roman"/>
          <w:sz w:val="24"/>
          <w:szCs w:val="24"/>
        </w:rPr>
        <w:t xml:space="preserve"> rregullojnë në mënyrë të posaçme procedurat dhe organet kompetente për lirimin nga shërbimi civil dhe kalimin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xml:space="preserve"> në rastet e ristrukturimit të administratës, duke vendosur garanci procedurale që nuk mund të anashkalohen.</w:t>
      </w:r>
    </w:p>
    <w:p w14:paraId="2F033B18" w14:textId="28D49699" w:rsidR="006A122A" w:rsidRPr="000A1A30" w:rsidRDefault="006A122A" w:rsidP="006A122A">
      <w:pPr>
        <w:pStyle w:val="ListParagraph"/>
        <w:tabs>
          <w:tab w:val="left" w:pos="1080"/>
        </w:tabs>
        <w:spacing w:after="0" w:line="240" w:lineRule="auto"/>
        <w:ind w:left="0" w:firstLine="284"/>
        <w:jc w:val="both"/>
        <w:rPr>
          <w:rFonts w:ascii="Garamond" w:hAnsi="Garamond"/>
          <w:sz w:val="24"/>
          <w:szCs w:val="24"/>
        </w:rPr>
      </w:pPr>
      <w:r w:rsidRPr="000A1A30">
        <w:rPr>
          <w:rFonts w:ascii="Garamond" w:hAnsi="Garamond" w:cs="Times New Roman"/>
          <w:sz w:val="24"/>
          <w:szCs w:val="24"/>
        </w:rPr>
        <w:t>38. Për më tepër, Gjykata evidenton se kërkuesi në mbështetje të pretendimeve të tij ka paraqitur vendim</w:t>
      </w:r>
      <w:r w:rsidR="00FC2590">
        <w:rPr>
          <w:rFonts w:ascii="Garamond" w:hAnsi="Garamond" w:cs="Times New Roman"/>
          <w:sz w:val="24"/>
          <w:szCs w:val="24"/>
        </w:rPr>
        <w:t>in nr. 00-2025-31 (4), datë 14.</w:t>
      </w:r>
      <w:r w:rsidRPr="000A1A30">
        <w:rPr>
          <w:rFonts w:ascii="Garamond" w:hAnsi="Garamond" w:cs="Times New Roman"/>
          <w:sz w:val="24"/>
          <w:szCs w:val="24"/>
        </w:rPr>
        <w:t>1.2025</w:t>
      </w:r>
      <w:r w:rsidR="00FC2590">
        <w:rPr>
          <w:rFonts w:ascii="Garamond" w:hAnsi="Garamond" w:cs="Times New Roman"/>
          <w:sz w:val="24"/>
          <w:szCs w:val="24"/>
        </w:rPr>
        <w:t>,</w:t>
      </w:r>
      <w:r w:rsidRPr="000A1A30">
        <w:rPr>
          <w:rFonts w:ascii="Garamond" w:hAnsi="Garamond" w:cs="Times New Roman"/>
          <w:sz w:val="24"/>
          <w:szCs w:val="24"/>
        </w:rPr>
        <w:t xml:space="preserve"> të Gjykatës së Lartë, në të cilin është arsyetuar se veprimi administrativ i kalimit në </w:t>
      </w:r>
      <w:proofErr w:type="spellStart"/>
      <w:r w:rsidRPr="000A1A30">
        <w:rPr>
          <w:rFonts w:ascii="Garamond" w:hAnsi="Garamond" w:cs="Times New Roman"/>
          <w:sz w:val="24"/>
          <w:szCs w:val="24"/>
        </w:rPr>
        <w:t>listëpritje</w:t>
      </w:r>
      <w:proofErr w:type="spellEnd"/>
      <w:r w:rsidRPr="000A1A30">
        <w:rPr>
          <w:rFonts w:ascii="Garamond" w:hAnsi="Garamond" w:cs="Times New Roman"/>
          <w:sz w:val="24"/>
          <w:szCs w:val="24"/>
        </w:rPr>
        <w:t>, i kryer nga ministri i Drejtësisë, nuk rezulton të jetë kryer nga personi zyrtar përgjegjës brenda kompetencave të përcaktuara nga ligji nr. 8549/1999. Megjithëse ky vendim nuk është njësues për praktikën gjyqësore, Gjykata vëren se, në rastin konkret, Gjykata e Lartë, ndonëse konkurrojnë të njëjtat rrethana me atë të shqyrtuar në rastin e vendimit të lartpërmendur, ka mbajtur një qëndrim të ndryshëm për pasojat juridike që sjell ushtrimi i kompetencës nga një organ i papërcaktuar nga ligji, pa dhënë arsye të mjaftueshme për të justifikuar këtë ndryshim qasjeje. Në këto kushte, arsyetimi i saj konsiderohet i pamjaftueshëm për të shpjeguar se përse në njërin rast mungesa e kompetencës konsiderohet element me rëndësi për vlerësimin e ligjshmërisë së aktit, ndërsa në rastin tjetër vlerësohet si një parregullsi thjesht formale. Për rrjedhojë, Gjykata vlerëson se pretendimi i kërkuesit për cenimin e standardit të arsyetimit të vendimit është i bazuar.</w:t>
      </w:r>
    </w:p>
    <w:p w14:paraId="29FEE5D5" w14:textId="00E2308F" w:rsidR="006A122A" w:rsidRPr="000A1A30" w:rsidRDefault="006A122A" w:rsidP="006A122A">
      <w:pPr>
        <w:pStyle w:val="ListParagraph"/>
        <w:tabs>
          <w:tab w:val="left" w:pos="1080"/>
        </w:tabs>
        <w:spacing w:after="0" w:line="240" w:lineRule="auto"/>
        <w:ind w:left="0" w:firstLine="284"/>
        <w:jc w:val="both"/>
        <w:rPr>
          <w:rFonts w:ascii="Garamond" w:hAnsi="Garamond"/>
          <w:sz w:val="24"/>
          <w:szCs w:val="24"/>
        </w:rPr>
      </w:pPr>
      <w:r w:rsidRPr="000A1A30">
        <w:rPr>
          <w:rFonts w:ascii="Garamond" w:hAnsi="Garamond" w:cs="Times New Roman"/>
          <w:sz w:val="24"/>
          <w:szCs w:val="24"/>
        </w:rPr>
        <w:t xml:space="preserve">39. Po kështu, Gjykata vëren se kërkuesi ka kërkuar edhe pezullimin e vendimit të Kolegjit Administrativ të Gjykatës së Lartë, me argumentin se nëse nuk merret një masë e tillë me efekt të përkohshëm, ankimi kushtetues individual nuk do të kishte asnjë efekt dhe do të ngelej </w:t>
      </w:r>
      <w:proofErr w:type="spellStart"/>
      <w:r w:rsidRPr="000A1A30">
        <w:rPr>
          <w:rFonts w:ascii="Garamond" w:hAnsi="Garamond" w:cs="Times New Roman"/>
          <w:sz w:val="24"/>
          <w:szCs w:val="24"/>
        </w:rPr>
        <w:t>iluziv</w:t>
      </w:r>
      <w:proofErr w:type="spellEnd"/>
      <w:r w:rsidRPr="000A1A30">
        <w:rPr>
          <w:rFonts w:ascii="Garamond" w:hAnsi="Garamond" w:cs="Times New Roman"/>
          <w:sz w:val="24"/>
          <w:szCs w:val="24"/>
        </w:rPr>
        <w:t xml:space="preserve">. Ekzekutimi i vendimit do të sillte një barrë të rëndë për kërkuesin në anën ekonomike dhe në standardin minimal të jetesës. Subjekti i interesuar, Ministria e Drejtësisë, ka prapësuar se kërkuesi nuk ka paraqitur asnjë rrethanë konkrete sesi mund të cenohet nga ekzekutimi i vendimit të Gjykatës së Lartë. Pavarësisht se vendimi i gjykatës së apelit është ekzekutuar plotësisht pas vendimit të Gjykatës së Lartë, që ka vendosur rrëzimin e padisë, kërkuesi detyrohet të kthejë përfitimet e marra nga vendimi gjyqësor i ekzekutuar. </w:t>
      </w:r>
    </w:p>
    <w:p w14:paraId="32C3D540" w14:textId="50B2619C" w:rsidR="006A122A" w:rsidRPr="000A1A30" w:rsidRDefault="006A122A" w:rsidP="006A122A">
      <w:pPr>
        <w:pStyle w:val="ListParagraph"/>
        <w:tabs>
          <w:tab w:val="left" w:pos="1080"/>
        </w:tabs>
        <w:spacing w:after="0" w:line="240" w:lineRule="auto"/>
        <w:ind w:left="0" w:firstLine="284"/>
        <w:jc w:val="both"/>
        <w:rPr>
          <w:rFonts w:ascii="Garamond" w:hAnsi="Garamond"/>
          <w:sz w:val="24"/>
          <w:szCs w:val="24"/>
        </w:rPr>
      </w:pPr>
      <w:r w:rsidRPr="000A1A30">
        <w:rPr>
          <w:rFonts w:ascii="Garamond" w:hAnsi="Garamond" w:cs="Times New Roman"/>
          <w:sz w:val="24"/>
          <w:szCs w:val="24"/>
        </w:rPr>
        <w:t>40.</w:t>
      </w:r>
      <w:r w:rsidR="00170EF7">
        <w:rPr>
          <w:rFonts w:ascii="Garamond" w:hAnsi="Garamond" w:cs="Times New Roman"/>
          <w:sz w:val="24"/>
          <w:szCs w:val="24"/>
        </w:rPr>
        <w:t xml:space="preserve"> </w:t>
      </w:r>
      <w:r w:rsidRPr="000A1A30">
        <w:rPr>
          <w:rFonts w:ascii="Garamond" w:hAnsi="Garamond" w:cs="Times New Roman"/>
          <w:sz w:val="24"/>
          <w:szCs w:val="24"/>
        </w:rPr>
        <w:t>Në lidhje me kërkesën për pezullimin e ekzekutimit të</w:t>
      </w:r>
      <w:r w:rsidRPr="000A1A30">
        <w:rPr>
          <w:rFonts w:ascii="Garamond" w:hAnsi="Garamond" w:cs="Times New Roman"/>
          <w:i/>
          <w:iCs/>
          <w:sz w:val="24"/>
          <w:szCs w:val="24"/>
        </w:rPr>
        <w:t xml:space="preserve"> </w:t>
      </w:r>
      <w:r w:rsidRPr="000A1A30">
        <w:rPr>
          <w:rFonts w:ascii="Garamond" w:hAnsi="Garamond" w:cs="Times New Roman"/>
          <w:sz w:val="24"/>
          <w:szCs w:val="24"/>
        </w:rPr>
        <w:t>vendimit të Gjykatës së Lartë, Gjykata vlerëson se ardhja e pasojave të pretenduara nga kërkuesi nuk është e pariparueshme ose që të justifikojë pezullimin e aktit. Për këtë arsye, kërkesa për pezullimin e ekzekutimit të vendimit të Gjykatës së Lartë nuk është e bazuar.</w:t>
      </w:r>
    </w:p>
    <w:p w14:paraId="1DD8CCEC" w14:textId="27B0CADF" w:rsidR="006A122A" w:rsidRPr="000A1A30" w:rsidRDefault="006A122A" w:rsidP="006A122A">
      <w:pPr>
        <w:pStyle w:val="ListParagraph"/>
        <w:tabs>
          <w:tab w:val="left" w:pos="1080"/>
        </w:tabs>
        <w:spacing w:after="0" w:line="240" w:lineRule="auto"/>
        <w:ind w:left="0" w:firstLine="284"/>
        <w:jc w:val="both"/>
        <w:rPr>
          <w:rFonts w:ascii="Garamond" w:hAnsi="Garamond"/>
          <w:sz w:val="24"/>
          <w:szCs w:val="24"/>
        </w:rPr>
      </w:pPr>
      <w:r w:rsidRPr="000A1A30">
        <w:rPr>
          <w:rFonts w:ascii="Garamond" w:hAnsi="Garamond" w:cs="Times New Roman"/>
          <w:sz w:val="24"/>
          <w:szCs w:val="24"/>
        </w:rPr>
        <w:t>41. Në përfundim, sipas arsyetimit të mësipërm, Gjykata çmon se kërkesa e kërkuesit është e bazuar, sipas arsyetimit të mësipërm të këtij vendimi, ndaj duhet të pranohet.</w:t>
      </w:r>
    </w:p>
    <w:p w14:paraId="213A36F4" w14:textId="77777777" w:rsidR="006A122A" w:rsidRPr="000A1A30" w:rsidRDefault="006A122A" w:rsidP="006A122A">
      <w:pPr>
        <w:pStyle w:val="ListParagraph"/>
        <w:tabs>
          <w:tab w:val="left" w:pos="1080"/>
        </w:tabs>
        <w:spacing w:after="0" w:line="240" w:lineRule="auto"/>
        <w:ind w:left="0" w:firstLine="284"/>
        <w:jc w:val="both"/>
        <w:rPr>
          <w:rFonts w:ascii="Garamond" w:hAnsi="Garamond" w:cs="Times New Roman"/>
          <w:color w:val="222222"/>
          <w:sz w:val="24"/>
          <w:szCs w:val="24"/>
        </w:rPr>
      </w:pPr>
    </w:p>
    <w:p w14:paraId="28EEB00F" w14:textId="482A0A61" w:rsidR="006A122A" w:rsidRPr="000A1A30" w:rsidRDefault="006A122A" w:rsidP="006A122A">
      <w:pPr>
        <w:tabs>
          <w:tab w:val="left" w:pos="1080"/>
        </w:tabs>
        <w:spacing w:after="0" w:line="240" w:lineRule="auto"/>
        <w:ind w:firstLine="284"/>
        <w:jc w:val="center"/>
        <w:rPr>
          <w:rFonts w:ascii="Garamond" w:hAnsi="Garamond" w:cs="Times New Roman"/>
          <w:bCs/>
          <w:sz w:val="24"/>
          <w:szCs w:val="24"/>
        </w:rPr>
      </w:pPr>
      <w:r w:rsidRPr="000A1A30">
        <w:rPr>
          <w:rFonts w:ascii="Garamond" w:hAnsi="Garamond" w:cs="Times New Roman"/>
          <w:bCs/>
          <w:sz w:val="24"/>
          <w:szCs w:val="24"/>
        </w:rPr>
        <w:t>PËR KËTO ARSYE,</w:t>
      </w:r>
    </w:p>
    <w:p w14:paraId="0FDD15A4" w14:textId="77777777" w:rsidR="006A122A" w:rsidRPr="000A1A30" w:rsidRDefault="006A122A" w:rsidP="006A122A">
      <w:pPr>
        <w:tabs>
          <w:tab w:val="left" w:pos="1080"/>
        </w:tabs>
        <w:spacing w:after="0" w:line="240" w:lineRule="auto"/>
        <w:ind w:firstLine="284"/>
        <w:jc w:val="center"/>
        <w:rPr>
          <w:rFonts w:ascii="Garamond" w:hAnsi="Garamond"/>
          <w:sz w:val="24"/>
          <w:szCs w:val="24"/>
        </w:rPr>
      </w:pPr>
    </w:p>
    <w:p w14:paraId="67E50803" w14:textId="76BB0883" w:rsidR="006A122A" w:rsidRPr="000A1A30" w:rsidRDefault="006A122A" w:rsidP="006A122A">
      <w:pPr>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Gjykata Kushtetuese, në mbështetje të neneve 131, pika 1, shkronja “f”, dhe 134, pika 1, shkronja “i”, të Kushtetutës, si dhe nenit 72</w:t>
      </w:r>
      <w:r w:rsidR="00FC2590">
        <w:rPr>
          <w:rFonts w:ascii="Garamond" w:hAnsi="Garamond" w:cs="Times New Roman"/>
          <w:sz w:val="24"/>
          <w:szCs w:val="24"/>
        </w:rPr>
        <w:t>, të ligjit nr. 8577, datë 10.</w:t>
      </w:r>
      <w:r w:rsidRPr="000A1A30">
        <w:rPr>
          <w:rFonts w:ascii="Garamond" w:hAnsi="Garamond" w:cs="Times New Roman"/>
          <w:sz w:val="24"/>
          <w:szCs w:val="24"/>
        </w:rPr>
        <w:t>2.2000</w:t>
      </w:r>
      <w:r w:rsidR="00FC2590">
        <w:rPr>
          <w:rFonts w:ascii="Garamond" w:hAnsi="Garamond" w:cs="Times New Roman"/>
          <w:sz w:val="24"/>
          <w:szCs w:val="24"/>
        </w:rPr>
        <w:t>,</w:t>
      </w:r>
      <w:r w:rsidRPr="000A1A30">
        <w:rPr>
          <w:rFonts w:ascii="Garamond" w:hAnsi="Garamond" w:cs="Times New Roman"/>
          <w:sz w:val="24"/>
          <w:szCs w:val="24"/>
        </w:rPr>
        <w:t xml:space="preserve"> “Për organizimin dhe funksionimin e Gjykatës Kushtetuese të Republikës së Shqipërisë”, të ndryshuar, njëzëri,</w:t>
      </w:r>
    </w:p>
    <w:p w14:paraId="58714FC1" w14:textId="77777777" w:rsidR="006A122A" w:rsidRPr="000A1A30" w:rsidRDefault="006A122A" w:rsidP="006A122A">
      <w:pPr>
        <w:spacing w:after="0" w:line="240" w:lineRule="auto"/>
        <w:ind w:firstLine="284"/>
        <w:jc w:val="both"/>
        <w:rPr>
          <w:rFonts w:ascii="Garamond" w:hAnsi="Garamond" w:cs="Times New Roman"/>
          <w:sz w:val="24"/>
          <w:szCs w:val="24"/>
        </w:rPr>
      </w:pPr>
    </w:p>
    <w:p w14:paraId="34D4E699" w14:textId="21E13969" w:rsidR="006A122A" w:rsidRPr="000A1A30" w:rsidRDefault="006A122A" w:rsidP="006A122A">
      <w:pPr>
        <w:spacing w:after="0" w:line="240" w:lineRule="auto"/>
        <w:ind w:firstLine="284"/>
        <w:jc w:val="center"/>
        <w:rPr>
          <w:rFonts w:ascii="Garamond" w:hAnsi="Garamond" w:cs="Times New Roman"/>
          <w:bCs/>
          <w:sz w:val="24"/>
          <w:szCs w:val="24"/>
        </w:rPr>
      </w:pPr>
      <w:r w:rsidRPr="000A1A30">
        <w:rPr>
          <w:rFonts w:ascii="Garamond" w:hAnsi="Garamond" w:cs="Times New Roman"/>
          <w:bCs/>
          <w:sz w:val="24"/>
          <w:szCs w:val="24"/>
        </w:rPr>
        <w:t>VENDOSI:</w:t>
      </w:r>
    </w:p>
    <w:p w14:paraId="175BDCBA" w14:textId="77777777" w:rsidR="006A122A" w:rsidRPr="000A1A30" w:rsidRDefault="006A122A" w:rsidP="006A122A">
      <w:pPr>
        <w:pStyle w:val="ListParagraph"/>
        <w:spacing w:after="0" w:line="240" w:lineRule="auto"/>
        <w:ind w:left="0" w:firstLine="284"/>
        <w:jc w:val="both"/>
        <w:rPr>
          <w:rFonts w:ascii="Garamond" w:hAnsi="Garamond" w:cs="Times New Roman"/>
          <w:sz w:val="24"/>
          <w:szCs w:val="24"/>
        </w:rPr>
      </w:pPr>
    </w:p>
    <w:p w14:paraId="669F5CD6" w14:textId="58643541" w:rsidR="006A122A" w:rsidRPr="000A1A30" w:rsidRDefault="006A122A" w:rsidP="006A122A">
      <w:pPr>
        <w:pStyle w:val="ListParagraph"/>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t>1. Pranimin e kërkesës.</w:t>
      </w:r>
    </w:p>
    <w:p w14:paraId="0AB9751B" w14:textId="0F4436ED" w:rsidR="006A122A" w:rsidRPr="000A1A30" w:rsidRDefault="006A122A" w:rsidP="006A122A">
      <w:pPr>
        <w:pStyle w:val="ListParagraph"/>
        <w:tabs>
          <w:tab w:val="left" w:pos="1080"/>
        </w:tabs>
        <w:spacing w:after="0" w:line="240" w:lineRule="auto"/>
        <w:ind w:left="0" w:firstLine="284"/>
        <w:jc w:val="both"/>
        <w:rPr>
          <w:rFonts w:ascii="Garamond" w:hAnsi="Garamond" w:cs="Times New Roman"/>
          <w:sz w:val="24"/>
          <w:szCs w:val="24"/>
        </w:rPr>
      </w:pPr>
      <w:r w:rsidRPr="000A1A30">
        <w:rPr>
          <w:rFonts w:ascii="Garamond" w:hAnsi="Garamond" w:cs="Times New Roman"/>
          <w:sz w:val="24"/>
          <w:szCs w:val="24"/>
        </w:rPr>
        <w:lastRenderedPageBreak/>
        <w:t xml:space="preserve">2. Shfuqizimin e vendimit nr. </w:t>
      </w:r>
      <w:r w:rsidR="00FC2590">
        <w:rPr>
          <w:rFonts w:ascii="Garamond" w:hAnsi="Garamond" w:cs="Times New Roman"/>
          <w:sz w:val="24"/>
          <w:szCs w:val="24"/>
        </w:rPr>
        <w:t>00-2025-826 (100), datë 6.</w:t>
      </w:r>
      <w:r w:rsidRPr="000A1A30">
        <w:rPr>
          <w:rFonts w:ascii="Garamond" w:hAnsi="Garamond" w:cs="Times New Roman"/>
          <w:sz w:val="24"/>
          <w:szCs w:val="24"/>
        </w:rPr>
        <w:t>3.2025</w:t>
      </w:r>
      <w:r w:rsidR="00FC2590">
        <w:rPr>
          <w:rFonts w:ascii="Garamond" w:hAnsi="Garamond" w:cs="Times New Roman"/>
          <w:sz w:val="24"/>
          <w:szCs w:val="24"/>
        </w:rPr>
        <w:t>,</w:t>
      </w:r>
      <w:r w:rsidRPr="000A1A30">
        <w:rPr>
          <w:rFonts w:ascii="Garamond" w:hAnsi="Garamond" w:cs="Times New Roman"/>
          <w:sz w:val="24"/>
          <w:szCs w:val="24"/>
        </w:rPr>
        <w:t xml:space="preserve"> të Kolegjit Administrativ të Gjykatës së Lartë, si të papajtueshëm me Kushtetutën e Republikës së Shqipërisë.</w:t>
      </w:r>
    </w:p>
    <w:p w14:paraId="07CE4DDA" w14:textId="0F5778F7" w:rsidR="006A122A" w:rsidRPr="000A1A30" w:rsidRDefault="006A122A" w:rsidP="006A122A">
      <w:pPr>
        <w:pStyle w:val="ListParagraph"/>
        <w:spacing w:after="0" w:line="240" w:lineRule="auto"/>
        <w:ind w:left="0" w:firstLine="284"/>
        <w:rPr>
          <w:rFonts w:ascii="Garamond" w:hAnsi="Garamond" w:cs="Times New Roman"/>
          <w:sz w:val="24"/>
          <w:szCs w:val="24"/>
        </w:rPr>
      </w:pPr>
      <w:r w:rsidRPr="000A1A30">
        <w:rPr>
          <w:rFonts w:ascii="Garamond" w:hAnsi="Garamond" w:cs="Times New Roman"/>
          <w:sz w:val="24"/>
          <w:szCs w:val="24"/>
        </w:rPr>
        <w:t>3. Dërgimin e çështjes për shqyrtim në Gjykatën e Lartë.</w:t>
      </w:r>
    </w:p>
    <w:p w14:paraId="108D4AC9" w14:textId="46FBD101" w:rsidR="006A122A" w:rsidRDefault="006A122A" w:rsidP="006A122A">
      <w:pPr>
        <w:tabs>
          <w:tab w:val="left" w:pos="1800"/>
        </w:tabs>
        <w:spacing w:after="0" w:line="240" w:lineRule="auto"/>
        <w:ind w:firstLine="284"/>
        <w:jc w:val="both"/>
        <w:rPr>
          <w:rFonts w:ascii="Garamond" w:hAnsi="Garamond" w:cs="Times New Roman"/>
          <w:sz w:val="24"/>
          <w:szCs w:val="24"/>
        </w:rPr>
      </w:pPr>
      <w:r w:rsidRPr="000A1A30">
        <w:rPr>
          <w:rFonts w:ascii="Garamond" w:hAnsi="Garamond" w:cs="Times New Roman"/>
          <w:sz w:val="24"/>
          <w:szCs w:val="24"/>
        </w:rPr>
        <w:t>Ky vendim është përfundimtar dhe hyn në fuqi ditën e botimit në Fletoren Zyrtare.</w:t>
      </w:r>
    </w:p>
    <w:p w14:paraId="458DE1F7" w14:textId="77777777" w:rsidR="00FC2590" w:rsidRPr="000A1A30" w:rsidRDefault="00FC2590" w:rsidP="006A122A">
      <w:pPr>
        <w:tabs>
          <w:tab w:val="left" w:pos="1800"/>
        </w:tabs>
        <w:spacing w:after="0" w:line="240" w:lineRule="auto"/>
        <w:ind w:firstLine="284"/>
        <w:jc w:val="both"/>
        <w:rPr>
          <w:rFonts w:ascii="Garamond" w:hAnsi="Garamond" w:cs="Times New Roman"/>
          <w:sz w:val="24"/>
          <w:szCs w:val="24"/>
        </w:rPr>
      </w:pPr>
    </w:p>
    <w:p w14:paraId="177AC967" w14:textId="6BA5F411" w:rsidR="006A122A" w:rsidRPr="000A1A30" w:rsidRDefault="00FC2590" w:rsidP="006A122A">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Marrë më 30.</w:t>
      </w:r>
      <w:r w:rsidR="006A122A" w:rsidRPr="000A1A30">
        <w:rPr>
          <w:rFonts w:ascii="Garamond" w:hAnsi="Garamond" w:cs="Times New Roman"/>
          <w:b/>
          <w:bCs/>
          <w:sz w:val="24"/>
          <w:szCs w:val="24"/>
        </w:rPr>
        <w:t>4.2026</w:t>
      </w:r>
      <w:r>
        <w:rPr>
          <w:rFonts w:ascii="Garamond" w:hAnsi="Garamond" w:cs="Times New Roman"/>
          <w:b/>
          <w:bCs/>
          <w:sz w:val="24"/>
          <w:szCs w:val="24"/>
        </w:rPr>
        <w:t>.</w:t>
      </w:r>
    </w:p>
    <w:p w14:paraId="5C8D39BA" w14:textId="58912B5B" w:rsidR="006A122A" w:rsidRPr="000A1A30" w:rsidRDefault="00FC2590" w:rsidP="006A122A">
      <w:pPr>
        <w:spacing w:after="0" w:line="240" w:lineRule="auto"/>
        <w:ind w:firstLine="284"/>
        <w:jc w:val="both"/>
        <w:rPr>
          <w:rFonts w:ascii="Garamond" w:hAnsi="Garamond" w:cs="Times New Roman"/>
          <w:b/>
          <w:bCs/>
          <w:sz w:val="24"/>
          <w:szCs w:val="24"/>
        </w:rPr>
      </w:pPr>
      <w:r>
        <w:rPr>
          <w:rFonts w:ascii="Garamond" w:hAnsi="Garamond" w:cs="Times New Roman"/>
          <w:b/>
          <w:bCs/>
          <w:sz w:val="24"/>
          <w:szCs w:val="24"/>
        </w:rPr>
        <w:t>Shpallur më 25.</w:t>
      </w:r>
      <w:r w:rsidR="006A122A" w:rsidRPr="000A1A30">
        <w:rPr>
          <w:rFonts w:ascii="Garamond" w:hAnsi="Garamond" w:cs="Times New Roman"/>
          <w:b/>
          <w:bCs/>
          <w:sz w:val="24"/>
          <w:szCs w:val="24"/>
        </w:rPr>
        <w:t>6.2026</w:t>
      </w:r>
      <w:r>
        <w:rPr>
          <w:rFonts w:ascii="Garamond" w:hAnsi="Garamond" w:cs="Times New Roman"/>
          <w:b/>
          <w:bCs/>
          <w:sz w:val="24"/>
          <w:szCs w:val="24"/>
        </w:rPr>
        <w:t>.</w:t>
      </w:r>
      <w:bookmarkStart w:id="0" w:name="_GoBack"/>
      <w:bookmarkEnd w:id="0"/>
    </w:p>
    <w:p w14:paraId="30EC6F16" w14:textId="77777777" w:rsidR="006A122A" w:rsidRPr="000A1A30" w:rsidRDefault="006A122A" w:rsidP="006A122A">
      <w:pPr>
        <w:spacing w:after="0" w:line="240" w:lineRule="auto"/>
        <w:ind w:firstLine="284"/>
        <w:jc w:val="both"/>
        <w:rPr>
          <w:rFonts w:ascii="Garamond" w:hAnsi="Garamond" w:cs="Times New Roman"/>
          <w:b/>
          <w:bCs/>
          <w:sz w:val="24"/>
          <w:szCs w:val="24"/>
        </w:rPr>
      </w:pPr>
    </w:p>
    <w:p w14:paraId="4BF8B7B8" w14:textId="4F342F7C" w:rsidR="006A122A" w:rsidRPr="000A1A30" w:rsidRDefault="006A122A" w:rsidP="006A122A">
      <w:pPr>
        <w:spacing w:after="0" w:line="240" w:lineRule="auto"/>
        <w:ind w:firstLine="284"/>
        <w:jc w:val="both"/>
        <w:rPr>
          <w:rFonts w:ascii="Garamond" w:hAnsi="Garamond" w:cs="Times New Roman"/>
          <w:b/>
          <w:bCs/>
          <w:sz w:val="24"/>
          <w:szCs w:val="24"/>
        </w:rPr>
      </w:pPr>
      <w:r w:rsidRPr="000A1A30">
        <w:rPr>
          <w:rFonts w:ascii="Garamond" w:hAnsi="Garamond" w:cs="Times New Roman"/>
          <w:b/>
          <w:bCs/>
          <w:sz w:val="24"/>
          <w:szCs w:val="24"/>
        </w:rPr>
        <w:t xml:space="preserve">Kryetare: </w:t>
      </w:r>
      <w:proofErr w:type="spellStart"/>
      <w:r w:rsidRPr="000A1A30">
        <w:rPr>
          <w:rFonts w:ascii="Garamond" w:hAnsi="Garamond" w:cs="Times New Roman"/>
          <w:bCs/>
          <w:sz w:val="24"/>
          <w:szCs w:val="24"/>
        </w:rPr>
        <w:t>Fiona</w:t>
      </w:r>
      <w:proofErr w:type="spellEnd"/>
      <w:r w:rsidRPr="000A1A30">
        <w:rPr>
          <w:rFonts w:ascii="Garamond" w:hAnsi="Garamond" w:cs="Times New Roman"/>
          <w:bCs/>
          <w:sz w:val="24"/>
          <w:szCs w:val="24"/>
        </w:rPr>
        <w:t xml:space="preserve"> </w:t>
      </w:r>
      <w:proofErr w:type="spellStart"/>
      <w:r w:rsidRPr="000A1A30">
        <w:rPr>
          <w:rFonts w:ascii="Garamond" w:hAnsi="Garamond" w:cs="Times New Roman"/>
          <w:bCs/>
          <w:sz w:val="24"/>
          <w:szCs w:val="24"/>
        </w:rPr>
        <w:t>Papajorgji</w:t>
      </w:r>
      <w:proofErr w:type="spellEnd"/>
    </w:p>
    <w:p w14:paraId="48B6A56F" w14:textId="341A4F54" w:rsidR="006A122A" w:rsidRPr="000A1A30" w:rsidRDefault="006A122A" w:rsidP="006A122A">
      <w:pPr>
        <w:spacing w:after="0" w:line="240" w:lineRule="auto"/>
        <w:ind w:firstLine="284"/>
        <w:jc w:val="both"/>
        <w:rPr>
          <w:rFonts w:ascii="Garamond" w:hAnsi="Garamond" w:cs="Times New Roman"/>
          <w:b/>
          <w:bCs/>
          <w:sz w:val="24"/>
          <w:szCs w:val="24"/>
        </w:rPr>
      </w:pPr>
      <w:r w:rsidRPr="000A1A30">
        <w:rPr>
          <w:rFonts w:ascii="Garamond" w:hAnsi="Garamond" w:cs="Times New Roman"/>
          <w:b/>
          <w:bCs/>
          <w:sz w:val="24"/>
          <w:szCs w:val="24"/>
        </w:rPr>
        <w:t xml:space="preserve">Anëtarë: </w:t>
      </w:r>
      <w:proofErr w:type="spellStart"/>
      <w:r w:rsidRPr="000A1A30">
        <w:rPr>
          <w:rFonts w:ascii="Garamond" w:hAnsi="Garamond" w:cs="Times New Roman"/>
          <w:bCs/>
          <w:sz w:val="24"/>
          <w:szCs w:val="24"/>
        </w:rPr>
        <w:t>Sonila</w:t>
      </w:r>
      <w:proofErr w:type="spellEnd"/>
      <w:r w:rsidRPr="000A1A30">
        <w:rPr>
          <w:rFonts w:ascii="Garamond" w:hAnsi="Garamond" w:cs="Times New Roman"/>
          <w:bCs/>
          <w:sz w:val="24"/>
          <w:szCs w:val="24"/>
        </w:rPr>
        <w:t xml:space="preserve"> Bejtja, </w:t>
      </w:r>
      <w:proofErr w:type="spellStart"/>
      <w:r w:rsidRPr="000A1A30">
        <w:rPr>
          <w:rFonts w:ascii="Garamond" w:hAnsi="Garamond" w:cs="Times New Roman"/>
          <w:bCs/>
          <w:sz w:val="24"/>
          <w:szCs w:val="24"/>
        </w:rPr>
        <w:t>Marsida</w:t>
      </w:r>
      <w:proofErr w:type="spellEnd"/>
      <w:r w:rsidRPr="000A1A30">
        <w:rPr>
          <w:rFonts w:ascii="Garamond" w:hAnsi="Garamond" w:cs="Times New Roman"/>
          <w:bCs/>
          <w:sz w:val="24"/>
          <w:szCs w:val="24"/>
        </w:rPr>
        <w:t xml:space="preserve"> </w:t>
      </w:r>
      <w:proofErr w:type="spellStart"/>
      <w:r w:rsidRPr="000A1A30">
        <w:rPr>
          <w:rFonts w:ascii="Garamond" w:hAnsi="Garamond" w:cs="Times New Roman"/>
          <w:bCs/>
          <w:sz w:val="24"/>
          <w:szCs w:val="24"/>
        </w:rPr>
        <w:t>Xhaferllari</w:t>
      </w:r>
      <w:proofErr w:type="spellEnd"/>
      <w:r w:rsidRPr="000A1A30">
        <w:rPr>
          <w:rFonts w:ascii="Garamond" w:hAnsi="Garamond" w:cs="Times New Roman"/>
          <w:bCs/>
          <w:sz w:val="24"/>
          <w:szCs w:val="24"/>
        </w:rPr>
        <w:t xml:space="preserve">, Ilir Toska, </w:t>
      </w:r>
      <w:proofErr w:type="spellStart"/>
      <w:r w:rsidRPr="000A1A30">
        <w:rPr>
          <w:rFonts w:ascii="Garamond" w:hAnsi="Garamond" w:cs="Times New Roman"/>
          <w:bCs/>
          <w:sz w:val="24"/>
          <w:szCs w:val="24"/>
        </w:rPr>
        <w:t>Sandër</w:t>
      </w:r>
      <w:proofErr w:type="spellEnd"/>
      <w:r w:rsidRPr="000A1A30">
        <w:rPr>
          <w:rFonts w:ascii="Garamond" w:hAnsi="Garamond" w:cs="Times New Roman"/>
          <w:bCs/>
          <w:sz w:val="24"/>
          <w:szCs w:val="24"/>
        </w:rPr>
        <w:t xml:space="preserve"> Beci, Genti Ibrahimi, </w:t>
      </w:r>
      <w:proofErr w:type="spellStart"/>
      <w:r w:rsidRPr="000A1A30">
        <w:rPr>
          <w:rFonts w:ascii="Garamond" w:hAnsi="Garamond" w:cs="Times New Roman"/>
          <w:bCs/>
          <w:sz w:val="24"/>
          <w:szCs w:val="24"/>
        </w:rPr>
        <w:t>Marjana</w:t>
      </w:r>
      <w:proofErr w:type="spellEnd"/>
      <w:r w:rsidRPr="000A1A30">
        <w:rPr>
          <w:rFonts w:ascii="Garamond" w:hAnsi="Garamond" w:cs="Times New Roman"/>
          <w:bCs/>
          <w:sz w:val="24"/>
          <w:szCs w:val="24"/>
        </w:rPr>
        <w:t xml:space="preserve"> </w:t>
      </w:r>
      <w:proofErr w:type="spellStart"/>
      <w:r w:rsidRPr="000A1A30">
        <w:rPr>
          <w:rFonts w:ascii="Garamond" w:hAnsi="Garamond" w:cs="Times New Roman"/>
          <w:bCs/>
          <w:sz w:val="24"/>
          <w:szCs w:val="24"/>
        </w:rPr>
        <w:t>Semini</w:t>
      </w:r>
      <w:proofErr w:type="spellEnd"/>
    </w:p>
    <w:p w14:paraId="5F8C3460" w14:textId="77777777" w:rsidR="006A122A" w:rsidRPr="000A1A30" w:rsidRDefault="006A122A" w:rsidP="006A122A">
      <w:pPr>
        <w:spacing w:after="0" w:line="240" w:lineRule="auto"/>
        <w:ind w:firstLine="284"/>
        <w:jc w:val="both"/>
        <w:rPr>
          <w:rFonts w:ascii="Garamond" w:hAnsi="Garamond" w:cs="Times New Roman"/>
          <w:b/>
          <w:bCs/>
          <w:sz w:val="24"/>
          <w:szCs w:val="24"/>
        </w:rPr>
      </w:pPr>
    </w:p>
    <w:sectPr w:rsidR="006A122A" w:rsidRPr="000A1A30" w:rsidSect="00CA6E21">
      <w:headerReference w:type="default" r:id="rId11"/>
      <w:footerReference w:type="default" r:id="rId12"/>
      <w:headerReference w:type="first" r:id="rId13"/>
      <w:pgSz w:w="11909" w:h="16834" w:code="9"/>
      <w:pgMar w:top="117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85A2D5" w14:textId="77777777" w:rsidR="00C72068" w:rsidRDefault="00C72068" w:rsidP="00DC4764">
      <w:pPr>
        <w:spacing w:after="0" w:line="240" w:lineRule="auto"/>
      </w:pPr>
      <w:r>
        <w:separator/>
      </w:r>
    </w:p>
  </w:endnote>
  <w:endnote w:type="continuationSeparator" w:id="0">
    <w:p w14:paraId="4785A2D6" w14:textId="77777777" w:rsidR="00C72068" w:rsidRDefault="00C72068" w:rsidP="00DC4764">
      <w:pPr>
        <w:spacing w:after="0" w:line="240" w:lineRule="auto"/>
      </w:pPr>
      <w:r>
        <w:continuationSeparator/>
      </w:r>
    </w:p>
  </w:endnote>
  <w:endnote w:type="continuationNotice" w:id="1">
    <w:p w14:paraId="43EAA414" w14:textId="77777777" w:rsidR="005F0573" w:rsidRDefault="005F05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55473" w14:textId="77777777" w:rsidR="005F0573" w:rsidRDefault="005F057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85A2D3" w14:textId="77777777" w:rsidR="00C72068" w:rsidRDefault="00C72068" w:rsidP="00DC4764">
      <w:pPr>
        <w:spacing w:after="0" w:line="240" w:lineRule="auto"/>
      </w:pPr>
      <w:r>
        <w:separator/>
      </w:r>
    </w:p>
  </w:footnote>
  <w:footnote w:type="continuationSeparator" w:id="0">
    <w:p w14:paraId="4785A2D4" w14:textId="77777777" w:rsidR="00C72068" w:rsidRDefault="00C72068" w:rsidP="00DC4764">
      <w:pPr>
        <w:spacing w:after="0" w:line="240" w:lineRule="auto"/>
      </w:pPr>
      <w:r>
        <w:continuationSeparator/>
      </w:r>
    </w:p>
  </w:footnote>
  <w:footnote w:type="continuationNotice" w:id="1">
    <w:p w14:paraId="38132A06" w14:textId="77777777" w:rsidR="005F0573" w:rsidRDefault="005F0573">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5A2D7" w14:textId="77777777" w:rsidR="00C72068" w:rsidRPr="00850A73" w:rsidRDefault="00C72068">
    <w:pPr>
      <w:pStyle w:val="Header"/>
      <w:rPr>
        <w:rFonts w:ascii="Times New Roman" w:hAnsi="Times New Roman" w:cs="Times New Roman"/>
      </w:rPr>
    </w:pPr>
    <w:r>
      <w:rPr>
        <w:rFonts w:ascii="Times New Roman" w:hAnsi="Times New Roman" w:cs="Times New Roman"/>
      </w:rPr>
      <w:tab/>
    </w:r>
    <w:r>
      <w:rPr>
        <w:rFonts w:ascii="Times New Roman" w:hAnsi="Times New Roman" w:cs="Times New Roman"/>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5A2DB" w14:textId="77777777" w:rsidR="00C72068" w:rsidRPr="002B4B7C" w:rsidRDefault="00C72068" w:rsidP="00F62DA5">
    <w:pPr>
      <w:pStyle w:val="Header"/>
      <w:jc w:val="center"/>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2403"/>
    <w:multiLevelType w:val="hybridMultilevel"/>
    <w:tmpl w:val="D3C261C8"/>
    <w:lvl w:ilvl="0" w:tplc="E1D400D4">
      <w:start w:val="14"/>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712C0"/>
    <w:multiLevelType w:val="hybridMultilevel"/>
    <w:tmpl w:val="3D7C0F8C"/>
    <w:lvl w:ilvl="0" w:tplc="EBAE3314">
      <w:start w:val="23"/>
      <w:numFmt w:val="decimal"/>
      <w:lvlText w:val="%1."/>
      <w:lvlJc w:val="left"/>
      <w:pPr>
        <w:ind w:left="1288"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94140AC"/>
    <w:multiLevelType w:val="hybridMultilevel"/>
    <w:tmpl w:val="D7E6490C"/>
    <w:lvl w:ilvl="0" w:tplc="DB46A02C">
      <w:start w:val="1"/>
      <w:numFmt w:val="decimal"/>
      <w:lvlText w:val="%1."/>
      <w:lvlJc w:val="left"/>
      <w:pPr>
        <w:ind w:left="1440" w:hanging="360"/>
      </w:pPr>
      <w:rPr>
        <w:rFonts w:ascii="Times New Roman" w:eastAsia="Times New Roman" w:hAnsi="Times New Roman" w:cs="Times New Roman"/>
        <w:b w:val="0"/>
        <w:i w:val="0"/>
        <w:color w:val="auto"/>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A3593"/>
    <w:multiLevelType w:val="hybridMultilevel"/>
    <w:tmpl w:val="7ED0638E"/>
    <w:lvl w:ilvl="0" w:tplc="3580DA34">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4"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C8D0CB4"/>
    <w:multiLevelType w:val="hybridMultilevel"/>
    <w:tmpl w:val="114CE9C0"/>
    <w:lvl w:ilvl="0" w:tplc="7C14831A">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15:restartNumberingAfterBreak="0">
    <w:nsid w:val="1D950BFF"/>
    <w:multiLevelType w:val="hybridMultilevel"/>
    <w:tmpl w:val="A07E8702"/>
    <w:lvl w:ilvl="0" w:tplc="A526376E">
      <w:start w:val="13"/>
      <w:numFmt w:val="decimal"/>
      <w:lvlText w:val="%1."/>
      <w:lvlJc w:val="left"/>
      <w:pPr>
        <w:ind w:left="1288" w:hanging="360"/>
      </w:pPr>
      <w:rPr>
        <w:rFonts w:ascii="Times New Roman" w:hAnsi="Times New Roman" w:cs="Times New Roman" w:hint="default"/>
        <w:b w:val="0"/>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24465CC5"/>
    <w:multiLevelType w:val="multilevel"/>
    <w:tmpl w:val="4B404D80"/>
    <w:lvl w:ilvl="0">
      <w:start w:val="1"/>
      <w:numFmt w:val="decimal"/>
      <w:lvlText w:val="%1."/>
      <w:lvlJc w:val="left"/>
      <w:pPr>
        <w:ind w:left="990" w:hanging="360"/>
      </w:pPr>
      <w:rPr>
        <w:rFonts w:hint="default"/>
        <w:b w:val="0"/>
        <w:bCs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298624C5"/>
    <w:multiLevelType w:val="hybridMultilevel"/>
    <w:tmpl w:val="BCC6A97C"/>
    <w:lvl w:ilvl="0" w:tplc="8B501C58">
      <w:start w:val="1"/>
      <w:numFmt w:val="upperLetter"/>
      <w:lvlText w:val="%1."/>
      <w:lvlJc w:val="left"/>
      <w:pPr>
        <w:ind w:left="1288" w:hanging="360"/>
      </w:pPr>
      <w:rPr>
        <w:rFonts w:hint="default"/>
        <w:b w:val="0"/>
        <w:i/>
      </w:rPr>
    </w:lvl>
    <w:lvl w:ilvl="1" w:tplc="04090019">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9" w15:restartNumberingAfterBreak="0">
    <w:nsid w:val="2F4526BA"/>
    <w:multiLevelType w:val="hybridMultilevel"/>
    <w:tmpl w:val="D31465EC"/>
    <w:lvl w:ilvl="0" w:tplc="37BC9DF6">
      <w:start w:val="34"/>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310D0298"/>
    <w:multiLevelType w:val="multilevel"/>
    <w:tmpl w:val="F5066B3A"/>
    <w:lvl w:ilvl="0">
      <w:start w:val="9"/>
      <w:numFmt w:val="decimal"/>
      <w:lvlText w:val="%1."/>
      <w:lvlJc w:val="left"/>
      <w:pPr>
        <w:ind w:left="1440" w:hanging="360"/>
      </w:pPr>
      <w:rPr>
        <w:rFonts w:ascii="Times New Roman" w:hAnsi="Times New Roman" w:cs="Times New Roman" w:hint="default"/>
        <w:i w:val="0"/>
        <w:sz w:val="24"/>
        <w:szCs w:val="24"/>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39F77915"/>
    <w:multiLevelType w:val="hybridMultilevel"/>
    <w:tmpl w:val="BCD84A18"/>
    <w:lvl w:ilvl="0" w:tplc="F1D88770">
      <w:start w:val="57"/>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3A0E766F"/>
    <w:multiLevelType w:val="hybridMultilevel"/>
    <w:tmpl w:val="C5BC5382"/>
    <w:lvl w:ilvl="0" w:tplc="1564207A">
      <w:start w:val="25"/>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4D7C5970"/>
    <w:multiLevelType w:val="multilevel"/>
    <w:tmpl w:val="342CD60E"/>
    <w:lvl w:ilvl="0">
      <w:start w:val="9"/>
      <w:numFmt w:val="decimal"/>
      <w:lvlText w:val="%1."/>
      <w:lvlJc w:val="left"/>
      <w:pPr>
        <w:ind w:left="1440" w:hanging="360"/>
      </w:pPr>
      <w:rPr>
        <w:rFonts w:hint="default"/>
        <w:i w:val="0"/>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4F0B12B2"/>
    <w:multiLevelType w:val="hybridMultilevel"/>
    <w:tmpl w:val="B6161F5A"/>
    <w:lvl w:ilvl="0" w:tplc="0409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5" w15:restartNumberingAfterBreak="0">
    <w:nsid w:val="53BF2076"/>
    <w:multiLevelType w:val="multilevel"/>
    <w:tmpl w:val="2AFA4068"/>
    <w:lvl w:ilvl="0">
      <w:start w:val="9"/>
      <w:numFmt w:val="decimal"/>
      <w:lvlText w:val="%1."/>
      <w:lvlJc w:val="left"/>
      <w:pPr>
        <w:ind w:left="1440" w:hanging="360"/>
      </w:pPr>
      <w:rPr>
        <w:rFonts w:hint="default"/>
        <w:i w:val="0"/>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54297857"/>
    <w:multiLevelType w:val="hybridMultilevel"/>
    <w:tmpl w:val="D48825B4"/>
    <w:lvl w:ilvl="0" w:tplc="1F2C4E14">
      <w:start w:val="60"/>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54A33A13"/>
    <w:multiLevelType w:val="multilevel"/>
    <w:tmpl w:val="5C9EA88C"/>
    <w:lvl w:ilvl="0">
      <w:start w:val="1"/>
      <w:numFmt w:val="decimal"/>
      <w:lvlText w:val="%1."/>
      <w:lvlJc w:val="left"/>
      <w:pPr>
        <w:ind w:left="1890" w:hanging="360"/>
      </w:pPr>
      <w:rPr>
        <w:rFonts w:ascii="Times New Roman" w:hAnsi="Times New Roman" w:cs="Times New Roman" w:hint="default"/>
        <w:b w:val="0"/>
        <w:i w:val="0"/>
        <w:color w:val="auto"/>
        <w:sz w:val="24"/>
        <w:szCs w:val="24"/>
      </w:rPr>
    </w:lvl>
    <w:lvl w:ilvl="1">
      <w:start w:val="1"/>
      <w:numFmt w:val="decimal"/>
      <w:isLgl/>
      <w:lvlText w:val="%1.%2."/>
      <w:lvlJc w:val="left"/>
      <w:pPr>
        <w:ind w:left="1080" w:hanging="720"/>
      </w:pPr>
      <w:rPr>
        <w:i w:val="0"/>
      </w:rPr>
    </w:lvl>
    <w:lvl w:ilvl="2">
      <w:start w:val="1"/>
      <w:numFmt w:val="decimal"/>
      <w:isLgl/>
      <w:lvlText w:val="%1.%2.%3."/>
      <w:lvlJc w:val="left"/>
      <w:pPr>
        <w:ind w:left="1080" w:hanging="720"/>
      </w:pPr>
      <w:rPr>
        <w:i w:val="0"/>
      </w:rPr>
    </w:lvl>
    <w:lvl w:ilvl="3">
      <w:start w:val="1"/>
      <w:numFmt w:val="decimal"/>
      <w:isLgl/>
      <w:lvlText w:val="%1.%2.%3.%4."/>
      <w:lvlJc w:val="left"/>
      <w:pPr>
        <w:ind w:left="1440" w:hanging="1080"/>
      </w:pPr>
      <w:rPr>
        <w:i/>
      </w:rPr>
    </w:lvl>
    <w:lvl w:ilvl="4">
      <w:start w:val="1"/>
      <w:numFmt w:val="decimal"/>
      <w:isLgl/>
      <w:lvlText w:val="%1.%2.%3.%4.%5."/>
      <w:lvlJc w:val="left"/>
      <w:pPr>
        <w:ind w:left="1440" w:hanging="1080"/>
      </w:pPr>
      <w:rPr>
        <w:i/>
      </w:rPr>
    </w:lvl>
    <w:lvl w:ilvl="5">
      <w:start w:val="1"/>
      <w:numFmt w:val="decimal"/>
      <w:isLgl/>
      <w:lvlText w:val="%1.%2.%3.%4.%5.%6."/>
      <w:lvlJc w:val="left"/>
      <w:pPr>
        <w:ind w:left="1800" w:hanging="1440"/>
      </w:pPr>
      <w:rPr>
        <w:i/>
      </w:rPr>
    </w:lvl>
    <w:lvl w:ilvl="6">
      <w:start w:val="1"/>
      <w:numFmt w:val="decimal"/>
      <w:isLgl/>
      <w:lvlText w:val="%1.%2.%3.%4.%5.%6.%7."/>
      <w:lvlJc w:val="left"/>
      <w:pPr>
        <w:ind w:left="1800" w:hanging="1440"/>
      </w:pPr>
      <w:rPr>
        <w:i/>
      </w:rPr>
    </w:lvl>
    <w:lvl w:ilvl="7">
      <w:start w:val="1"/>
      <w:numFmt w:val="decimal"/>
      <w:isLgl/>
      <w:lvlText w:val="%1.%2.%3.%4.%5.%6.%7.%8."/>
      <w:lvlJc w:val="left"/>
      <w:pPr>
        <w:ind w:left="2160" w:hanging="1800"/>
      </w:pPr>
      <w:rPr>
        <w:i/>
      </w:rPr>
    </w:lvl>
    <w:lvl w:ilvl="8">
      <w:start w:val="1"/>
      <w:numFmt w:val="decimal"/>
      <w:isLgl/>
      <w:lvlText w:val="%1.%2.%3.%4.%5.%6.%7.%8.%9."/>
      <w:lvlJc w:val="left"/>
      <w:pPr>
        <w:ind w:left="2160" w:hanging="1800"/>
      </w:pPr>
      <w:rPr>
        <w:i/>
      </w:rPr>
    </w:lvl>
  </w:abstractNum>
  <w:abstractNum w:abstractNumId="18" w15:restartNumberingAfterBreak="0">
    <w:nsid w:val="56524B4F"/>
    <w:multiLevelType w:val="multilevel"/>
    <w:tmpl w:val="02BE9DFA"/>
    <w:lvl w:ilvl="0">
      <w:start w:val="1"/>
      <w:numFmt w:val="decimal"/>
      <w:lvlText w:val="%1."/>
      <w:lvlJc w:val="left"/>
      <w:pPr>
        <w:ind w:left="360" w:hanging="360"/>
      </w:pPr>
      <w:rPr>
        <w:b w:val="0"/>
        <w:i w:val="0"/>
      </w:rPr>
    </w:lvl>
    <w:lvl w:ilvl="1">
      <w:start w:val="1"/>
      <w:numFmt w:val="decimal"/>
      <w:lvlText w:val="%1.%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8E12CC"/>
    <w:multiLevelType w:val="hybridMultilevel"/>
    <w:tmpl w:val="9D008B1A"/>
    <w:lvl w:ilvl="0" w:tplc="0132356A">
      <w:start w:val="32"/>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59CC278B"/>
    <w:multiLevelType w:val="hybridMultilevel"/>
    <w:tmpl w:val="6DD86BCA"/>
    <w:lvl w:ilvl="0" w:tplc="C8C6E75E">
      <w:start w:val="23"/>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C905279"/>
    <w:multiLevelType w:val="multilevel"/>
    <w:tmpl w:val="5010DBE4"/>
    <w:lvl w:ilvl="0">
      <w:start w:val="1"/>
      <w:numFmt w:val="decimal"/>
      <w:lvlText w:val="%1."/>
      <w:lvlJc w:val="left"/>
      <w:pPr>
        <w:ind w:left="720" w:hanging="360"/>
      </w:pPr>
      <w:rPr>
        <w:b w:val="0"/>
        <w:i w:val="0"/>
        <w:sz w:val="24"/>
        <w:szCs w:val="24"/>
      </w:rPr>
    </w:lvl>
    <w:lvl w:ilvl="1">
      <w:start w:val="1"/>
      <w:numFmt w:val="decimal"/>
      <w:isLgl/>
      <w:lvlText w:val="%1.%2."/>
      <w:lvlJc w:val="left"/>
      <w:pPr>
        <w:ind w:left="81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35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430" w:hanging="1440"/>
      </w:pPr>
      <w:rPr>
        <w:rFonts w:hint="default"/>
      </w:rPr>
    </w:lvl>
    <w:lvl w:ilvl="8">
      <w:start w:val="1"/>
      <w:numFmt w:val="decimal"/>
      <w:isLgl/>
      <w:lvlText w:val="%1.%2.%3.%4.%5.%6.%7.%8.%9."/>
      <w:lvlJc w:val="left"/>
      <w:pPr>
        <w:ind w:left="2880" w:hanging="1800"/>
      </w:pPr>
      <w:rPr>
        <w:rFonts w:hint="default"/>
      </w:rPr>
    </w:lvl>
  </w:abstractNum>
  <w:abstractNum w:abstractNumId="22" w15:restartNumberingAfterBreak="0">
    <w:nsid w:val="5E2C0D7B"/>
    <w:multiLevelType w:val="multilevel"/>
    <w:tmpl w:val="9E943DB8"/>
    <w:lvl w:ilvl="0">
      <w:start w:val="1"/>
      <w:numFmt w:val="decimal"/>
      <w:lvlText w:val="%1."/>
      <w:lvlJc w:val="left"/>
      <w:pPr>
        <w:ind w:left="720" w:hanging="360"/>
      </w:pPr>
      <w:rPr>
        <w:b w:val="0"/>
      </w:rPr>
    </w:lvl>
    <w:lvl w:ilvl="1">
      <w:start w:val="1"/>
      <w:numFmt w:val="decimal"/>
      <w:isLgl/>
      <w:lvlText w:val="%1.%2."/>
      <w:lvlJc w:val="left"/>
      <w:pPr>
        <w:ind w:left="840" w:hanging="480"/>
      </w:pPr>
      <w:rPr>
        <w:rFonts w:hint="default"/>
        <w:i w:val="0"/>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23" w15:restartNumberingAfterBreak="0">
    <w:nsid w:val="5E6352A2"/>
    <w:multiLevelType w:val="hybridMultilevel"/>
    <w:tmpl w:val="6D8644B4"/>
    <w:lvl w:ilvl="0" w:tplc="1A08FC9C">
      <w:start w:val="1"/>
      <w:numFmt w:val="decimal"/>
      <w:lvlText w:val="%1."/>
      <w:lvlJc w:val="left"/>
      <w:pPr>
        <w:ind w:left="1260" w:hanging="360"/>
      </w:pPr>
      <w:rPr>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15:restartNumberingAfterBreak="0">
    <w:nsid w:val="62F75B13"/>
    <w:multiLevelType w:val="multilevel"/>
    <w:tmpl w:val="5F9A051C"/>
    <w:lvl w:ilvl="0">
      <w:start w:val="18"/>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65095D07"/>
    <w:multiLevelType w:val="multilevel"/>
    <w:tmpl w:val="B68ED59E"/>
    <w:lvl w:ilvl="0">
      <w:start w:val="1"/>
      <w:numFmt w:val="decimal"/>
      <w:lvlText w:val="%1."/>
      <w:lvlJc w:val="left"/>
      <w:pPr>
        <w:ind w:left="720" w:hanging="360"/>
      </w:p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i/>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26" w15:restartNumberingAfterBreak="0">
    <w:nsid w:val="6B5723D3"/>
    <w:multiLevelType w:val="hybridMultilevel"/>
    <w:tmpl w:val="C9009368"/>
    <w:lvl w:ilvl="0" w:tplc="DADCED8C">
      <w:start w:val="19"/>
      <w:numFmt w:val="decimal"/>
      <w:lvlText w:val="%1."/>
      <w:lvlJc w:val="left"/>
      <w:pPr>
        <w:ind w:left="117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F9319DF"/>
    <w:multiLevelType w:val="hybridMultilevel"/>
    <w:tmpl w:val="5C6631F8"/>
    <w:lvl w:ilvl="0" w:tplc="8C7E4E44">
      <w:start w:val="12"/>
      <w:numFmt w:val="decimal"/>
      <w:lvlText w:val="%1."/>
      <w:lvlJc w:val="left"/>
      <w:pPr>
        <w:ind w:left="12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741C4A"/>
    <w:multiLevelType w:val="multilevel"/>
    <w:tmpl w:val="2AFA4068"/>
    <w:lvl w:ilvl="0">
      <w:start w:val="9"/>
      <w:numFmt w:val="decimal"/>
      <w:lvlText w:val="%1."/>
      <w:lvlJc w:val="left"/>
      <w:pPr>
        <w:ind w:left="1440" w:hanging="360"/>
      </w:pPr>
      <w:rPr>
        <w:rFonts w:hint="default"/>
        <w:i w:val="0"/>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74A417AB"/>
    <w:multiLevelType w:val="hybridMultilevel"/>
    <w:tmpl w:val="04CE8DA6"/>
    <w:lvl w:ilvl="0" w:tplc="B6E4F2BE">
      <w:start w:val="1"/>
      <w:numFmt w:val="decimal"/>
      <w:lvlText w:val="%1."/>
      <w:lvlJc w:val="left"/>
      <w:pPr>
        <w:ind w:left="360" w:hanging="360"/>
      </w:pPr>
      <w:rPr>
        <w:rFonts w:hint="default"/>
        <w:b w:val="0"/>
        <w:color w:val="auto"/>
      </w:rPr>
    </w:lvl>
    <w:lvl w:ilvl="1" w:tplc="041C0019">
      <w:start w:val="1"/>
      <w:numFmt w:val="lowerLetter"/>
      <w:lvlText w:val="%2."/>
      <w:lvlJc w:val="left"/>
      <w:pPr>
        <w:ind w:left="-2610" w:hanging="360"/>
      </w:pPr>
    </w:lvl>
    <w:lvl w:ilvl="2" w:tplc="041C001B">
      <w:start w:val="1"/>
      <w:numFmt w:val="lowerRoman"/>
      <w:lvlText w:val="%3."/>
      <w:lvlJc w:val="right"/>
      <w:pPr>
        <w:ind w:left="-1890" w:hanging="180"/>
      </w:pPr>
    </w:lvl>
    <w:lvl w:ilvl="3" w:tplc="041C000F" w:tentative="1">
      <w:start w:val="1"/>
      <w:numFmt w:val="decimal"/>
      <w:lvlText w:val="%4."/>
      <w:lvlJc w:val="left"/>
      <w:pPr>
        <w:ind w:left="-1170" w:hanging="360"/>
      </w:pPr>
    </w:lvl>
    <w:lvl w:ilvl="4" w:tplc="041C0019" w:tentative="1">
      <w:start w:val="1"/>
      <w:numFmt w:val="lowerLetter"/>
      <w:lvlText w:val="%5."/>
      <w:lvlJc w:val="left"/>
      <w:pPr>
        <w:ind w:left="-450" w:hanging="360"/>
      </w:pPr>
    </w:lvl>
    <w:lvl w:ilvl="5" w:tplc="041C001B" w:tentative="1">
      <w:start w:val="1"/>
      <w:numFmt w:val="lowerRoman"/>
      <w:lvlText w:val="%6."/>
      <w:lvlJc w:val="right"/>
      <w:pPr>
        <w:ind w:left="270" w:hanging="180"/>
      </w:pPr>
    </w:lvl>
    <w:lvl w:ilvl="6" w:tplc="041C000F" w:tentative="1">
      <w:start w:val="1"/>
      <w:numFmt w:val="decimal"/>
      <w:lvlText w:val="%7."/>
      <w:lvlJc w:val="left"/>
      <w:pPr>
        <w:ind w:left="990" w:hanging="360"/>
      </w:pPr>
    </w:lvl>
    <w:lvl w:ilvl="7" w:tplc="041C0019" w:tentative="1">
      <w:start w:val="1"/>
      <w:numFmt w:val="lowerLetter"/>
      <w:lvlText w:val="%8."/>
      <w:lvlJc w:val="left"/>
      <w:pPr>
        <w:ind w:left="1710" w:hanging="360"/>
      </w:pPr>
    </w:lvl>
    <w:lvl w:ilvl="8" w:tplc="041C001B" w:tentative="1">
      <w:start w:val="1"/>
      <w:numFmt w:val="lowerRoman"/>
      <w:lvlText w:val="%9."/>
      <w:lvlJc w:val="right"/>
      <w:pPr>
        <w:ind w:left="2430" w:hanging="180"/>
      </w:pPr>
    </w:lvl>
  </w:abstractNum>
  <w:abstractNum w:abstractNumId="30" w15:restartNumberingAfterBreak="0">
    <w:nsid w:val="7BAF3812"/>
    <w:multiLevelType w:val="hybridMultilevel"/>
    <w:tmpl w:val="C754654A"/>
    <w:lvl w:ilvl="0" w:tplc="E410C3FA">
      <w:start w:val="2"/>
      <w:numFmt w:val="upperLetter"/>
      <w:lvlText w:val="%1."/>
      <w:lvlJc w:val="left"/>
      <w:pPr>
        <w:ind w:left="1288" w:hanging="360"/>
      </w:pPr>
      <w:rPr>
        <w:rFonts w:hint="default"/>
        <w:b w:val="0"/>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F4A01C6"/>
    <w:multiLevelType w:val="hybridMultilevel"/>
    <w:tmpl w:val="4FD2A378"/>
    <w:lvl w:ilvl="0" w:tplc="B25E410C">
      <w:start w:val="33"/>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7FE268CE"/>
    <w:multiLevelType w:val="hybridMultilevel"/>
    <w:tmpl w:val="D5A4A2C4"/>
    <w:lvl w:ilvl="0" w:tplc="D18A428A">
      <w:start w:val="16"/>
      <w:numFmt w:val="decimal"/>
      <w:lvlText w:val="%1."/>
      <w:lvlJc w:val="left"/>
      <w:pPr>
        <w:ind w:left="1288"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0"/>
  </w:num>
  <w:num w:numId="3">
    <w:abstractNumId w:val="10"/>
  </w:num>
  <w:num w:numId="4">
    <w:abstractNumId w:val="14"/>
  </w:num>
  <w:num w:numId="5">
    <w:abstractNumId w:val="5"/>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2"/>
  </w:num>
  <w:num w:numId="10">
    <w:abstractNumId w:val="27"/>
  </w:num>
  <w:num w:numId="11">
    <w:abstractNumId w:val="2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num>
  <w:num w:numId="13">
    <w:abstractNumId w:val="29"/>
  </w:num>
  <w:num w:numId="14">
    <w:abstractNumId w:val="30"/>
  </w:num>
  <w:num w:numId="15">
    <w:abstractNumId w:val="20"/>
  </w:num>
  <w:num w:numId="16">
    <w:abstractNumId w:val="12"/>
  </w:num>
  <w:num w:numId="17">
    <w:abstractNumId w:val="9"/>
  </w:num>
  <w:num w:numId="18">
    <w:abstractNumId w:val="1"/>
  </w:num>
  <w:num w:numId="19">
    <w:abstractNumId w:val="19"/>
  </w:num>
  <w:num w:numId="20">
    <w:abstractNumId w:val="31"/>
  </w:num>
  <w:num w:numId="21">
    <w:abstractNumId w:val="7"/>
  </w:num>
  <w:num w:numId="22">
    <w:abstractNumId w:val="3"/>
  </w:num>
  <w:num w:numId="23">
    <w:abstractNumId w:val="6"/>
  </w:num>
  <w:num w:numId="24">
    <w:abstractNumId w:val="4"/>
  </w:num>
  <w:num w:numId="25">
    <w:abstractNumId w:val="24"/>
  </w:num>
  <w:num w:numId="26">
    <w:abstractNumId w:val="28"/>
  </w:num>
  <w:num w:numId="27">
    <w:abstractNumId w:val="16"/>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1"/>
  </w:num>
  <w:num w:numId="32">
    <w:abstractNumId w:val="2"/>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540"/>
    <w:rsid w:val="00000736"/>
    <w:rsid w:val="00001268"/>
    <w:rsid w:val="00010BF3"/>
    <w:rsid w:val="00012931"/>
    <w:rsid w:val="0001506A"/>
    <w:rsid w:val="0002084B"/>
    <w:rsid w:val="00023A8B"/>
    <w:rsid w:val="00026B74"/>
    <w:rsid w:val="00026C08"/>
    <w:rsid w:val="00027007"/>
    <w:rsid w:val="00031581"/>
    <w:rsid w:val="000347A4"/>
    <w:rsid w:val="00035B64"/>
    <w:rsid w:val="00036442"/>
    <w:rsid w:val="000429C8"/>
    <w:rsid w:val="0004685D"/>
    <w:rsid w:val="000472A1"/>
    <w:rsid w:val="00056C16"/>
    <w:rsid w:val="000642A3"/>
    <w:rsid w:val="00065164"/>
    <w:rsid w:val="00065BD7"/>
    <w:rsid w:val="0007090A"/>
    <w:rsid w:val="00075F4C"/>
    <w:rsid w:val="000828B8"/>
    <w:rsid w:val="00082EA8"/>
    <w:rsid w:val="0008557D"/>
    <w:rsid w:val="00091FF8"/>
    <w:rsid w:val="000953E4"/>
    <w:rsid w:val="00096009"/>
    <w:rsid w:val="00097B88"/>
    <w:rsid w:val="000A0607"/>
    <w:rsid w:val="000A0760"/>
    <w:rsid w:val="000A0C4A"/>
    <w:rsid w:val="000A1A30"/>
    <w:rsid w:val="000A29C4"/>
    <w:rsid w:val="000A43D5"/>
    <w:rsid w:val="000A5C7C"/>
    <w:rsid w:val="000A720B"/>
    <w:rsid w:val="000A735C"/>
    <w:rsid w:val="000B12C0"/>
    <w:rsid w:val="000B26D9"/>
    <w:rsid w:val="000B3F17"/>
    <w:rsid w:val="000B74B9"/>
    <w:rsid w:val="000C3422"/>
    <w:rsid w:val="000C64D6"/>
    <w:rsid w:val="000D4A1A"/>
    <w:rsid w:val="000E073C"/>
    <w:rsid w:val="000E1B2B"/>
    <w:rsid w:val="000E5599"/>
    <w:rsid w:val="000F6031"/>
    <w:rsid w:val="000F6709"/>
    <w:rsid w:val="001000A6"/>
    <w:rsid w:val="00104860"/>
    <w:rsid w:val="00105A5B"/>
    <w:rsid w:val="001062D6"/>
    <w:rsid w:val="00115B2C"/>
    <w:rsid w:val="00122F85"/>
    <w:rsid w:val="00123B23"/>
    <w:rsid w:val="0012621E"/>
    <w:rsid w:val="00126C88"/>
    <w:rsid w:val="00126F5C"/>
    <w:rsid w:val="0013311A"/>
    <w:rsid w:val="00134C3E"/>
    <w:rsid w:val="001374AF"/>
    <w:rsid w:val="00140866"/>
    <w:rsid w:val="00142EE9"/>
    <w:rsid w:val="00143DDB"/>
    <w:rsid w:val="0014697B"/>
    <w:rsid w:val="001500FA"/>
    <w:rsid w:val="00154404"/>
    <w:rsid w:val="00155564"/>
    <w:rsid w:val="001569EA"/>
    <w:rsid w:val="001574C5"/>
    <w:rsid w:val="001575CA"/>
    <w:rsid w:val="00170EF7"/>
    <w:rsid w:val="00171BF8"/>
    <w:rsid w:val="00173B5A"/>
    <w:rsid w:val="00174C55"/>
    <w:rsid w:val="00174D60"/>
    <w:rsid w:val="001778D2"/>
    <w:rsid w:val="0018278E"/>
    <w:rsid w:val="001836FD"/>
    <w:rsid w:val="00185187"/>
    <w:rsid w:val="00187DB1"/>
    <w:rsid w:val="001906DD"/>
    <w:rsid w:val="00191F51"/>
    <w:rsid w:val="00192D2E"/>
    <w:rsid w:val="001954DA"/>
    <w:rsid w:val="00196A83"/>
    <w:rsid w:val="0019798F"/>
    <w:rsid w:val="00197EE8"/>
    <w:rsid w:val="001A1403"/>
    <w:rsid w:val="001A5AC8"/>
    <w:rsid w:val="001B23AB"/>
    <w:rsid w:val="001B4203"/>
    <w:rsid w:val="001B62D1"/>
    <w:rsid w:val="001B66C8"/>
    <w:rsid w:val="001C112C"/>
    <w:rsid w:val="001C7316"/>
    <w:rsid w:val="001D0356"/>
    <w:rsid w:val="001D04F5"/>
    <w:rsid w:val="001D2ED9"/>
    <w:rsid w:val="001D2F27"/>
    <w:rsid w:val="001D39BF"/>
    <w:rsid w:val="001D54C2"/>
    <w:rsid w:val="001E38C5"/>
    <w:rsid w:val="001E43B7"/>
    <w:rsid w:val="001E5440"/>
    <w:rsid w:val="001E54BE"/>
    <w:rsid w:val="001E6380"/>
    <w:rsid w:val="001F6CBA"/>
    <w:rsid w:val="001F7A13"/>
    <w:rsid w:val="00202ED7"/>
    <w:rsid w:val="0020304E"/>
    <w:rsid w:val="00205399"/>
    <w:rsid w:val="0020697A"/>
    <w:rsid w:val="0020754E"/>
    <w:rsid w:val="002113BA"/>
    <w:rsid w:val="00212540"/>
    <w:rsid w:val="00221FE2"/>
    <w:rsid w:val="00230AF8"/>
    <w:rsid w:val="00233437"/>
    <w:rsid w:val="002417AE"/>
    <w:rsid w:val="00242A68"/>
    <w:rsid w:val="00254767"/>
    <w:rsid w:val="00254ABD"/>
    <w:rsid w:val="002558A5"/>
    <w:rsid w:val="00261B72"/>
    <w:rsid w:val="00262FD9"/>
    <w:rsid w:val="00265A6C"/>
    <w:rsid w:val="00266FFB"/>
    <w:rsid w:val="00272724"/>
    <w:rsid w:val="00276413"/>
    <w:rsid w:val="0027734B"/>
    <w:rsid w:val="002807E3"/>
    <w:rsid w:val="00285281"/>
    <w:rsid w:val="0029160F"/>
    <w:rsid w:val="002950CC"/>
    <w:rsid w:val="00296CFE"/>
    <w:rsid w:val="002A09F5"/>
    <w:rsid w:val="002A4A19"/>
    <w:rsid w:val="002A51DA"/>
    <w:rsid w:val="002B0396"/>
    <w:rsid w:val="002B10F2"/>
    <w:rsid w:val="002B2ED6"/>
    <w:rsid w:val="002B44CE"/>
    <w:rsid w:val="002B4B7C"/>
    <w:rsid w:val="002B5047"/>
    <w:rsid w:val="002B672B"/>
    <w:rsid w:val="002B7109"/>
    <w:rsid w:val="002C2C4C"/>
    <w:rsid w:val="002D139D"/>
    <w:rsid w:val="002D1F2E"/>
    <w:rsid w:val="002D74F7"/>
    <w:rsid w:val="002E1C24"/>
    <w:rsid w:val="002E278A"/>
    <w:rsid w:val="002F4656"/>
    <w:rsid w:val="002F4FC6"/>
    <w:rsid w:val="002F5257"/>
    <w:rsid w:val="002F65DB"/>
    <w:rsid w:val="0030007E"/>
    <w:rsid w:val="00302F6D"/>
    <w:rsid w:val="0031238C"/>
    <w:rsid w:val="0031348C"/>
    <w:rsid w:val="003158A8"/>
    <w:rsid w:val="00325339"/>
    <w:rsid w:val="003304C3"/>
    <w:rsid w:val="00330F11"/>
    <w:rsid w:val="00337343"/>
    <w:rsid w:val="0034419B"/>
    <w:rsid w:val="0034566C"/>
    <w:rsid w:val="003511BE"/>
    <w:rsid w:val="00353A7D"/>
    <w:rsid w:val="003560EB"/>
    <w:rsid w:val="003631BF"/>
    <w:rsid w:val="00364639"/>
    <w:rsid w:val="00365F97"/>
    <w:rsid w:val="00367F8E"/>
    <w:rsid w:val="003713A7"/>
    <w:rsid w:val="0037145A"/>
    <w:rsid w:val="00371ED1"/>
    <w:rsid w:val="00371F5C"/>
    <w:rsid w:val="00372133"/>
    <w:rsid w:val="00372517"/>
    <w:rsid w:val="0037317C"/>
    <w:rsid w:val="00373559"/>
    <w:rsid w:val="003749A9"/>
    <w:rsid w:val="00374E67"/>
    <w:rsid w:val="00380480"/>
    <w:rsid w:val="00381DE1"/>
    <w:rsid w:val="00382141"/>
    <w:rsid w:val="003859FF"/>
    <w:rsid w:val="003956B1"/>
    <w:rsid w:val="00396814"/>
    <w:rsid w:val="00396F2E"/>
    <w:rsid w:val="00397CC0"/>
    <w:rsid w:val="003A337B"/>
    <w:rsid w:val="003B07E3"/>
    <w:rsid w:val="003B1962"/>
    <w:rsid w:val="003B2C15"/>
    <w:rsid w:val="003B6724"/>
    <w:rsid w:val="003C28C0"/>
    <w:rsid w:val="003C39AF"/>
    <w:rsid w:val="003C484C"/>
    <w:rsid w:val="003D285D"/>
    <w:rsid w:val="003D2CC6"/>
    <w:rsid w:val="003E0649"/>
    <w:rsid w:val="003E499E"/>
    <w:rsid w:val="00405B3D"/>
    <w:rsid w:val="00413477"/>
    <w:rsid w:val="004146D1"/>
    <w:rsid w:val="00414A5E"/>
    <w:rsid w:val="0041686F"/>
    <w:rsid w:val="0042141A"/>
    <w:rsid w:val="0042292E"/>
    <w:rsid w:val="0043573B"/>
    <w:rsid w:val="00440A3D"/>
    <w:rsid w:val="004442DF"/>
    <w:rsid w:val="00451517"/>
    <w:rsid w:val="0045282D"/>
    <w:rsid w:val="00455760"/>
    <w:rsid w:val="00456936"/>
    <w:rsid w:val="00460716"/>
    <w:rsid w:val="00462E29"/>
    <w:rsid w:val="00464450"/>
    <w:rsid w:val="0047181A"/>
    <w:rsid w:val="00474148"/>
    <w:rsid w:val="00475781"/>
    <w:rsid w:val="00481C1B"/>
    <w:rsid w:val="00486215"/>
    <w:rsid w:val="0048737A"/>
    <w:rsid w:val="00494F8E"/>
    <w:rsid w:val="00496AD0"/>
    <w:rsid w:val="004A14D7"/>
    <w:rsid w:val="004A1501"/>
    <w:rsid w:val="004A1ED1"/>
    <w:rsid w:val="004A47EB"/>
    <w:rsid w:val="004A4E0E"/>
    <w:rsid w:val="004A65F8"/>
    <w:rsid w:val="004A6975"/>
    <w:rsid w:val="004A78FC"/>
    <w:rsid w:val="004B212F"/>
    <w:rsid w:val="004B3EA6"/>
    <w:rsid w:val="004D4D16"/>
    <w:rsid w:val="004E1994"/>
    <w:rsid w:val="004E3C5A"/>
    <w:rsid w:val="004E4FF2"/>
    <w:rsid w:val="004E6647"/>
    <w:rsid w:val="004E7B18"/>
    <w:rsid w:val="004E7C75"/>
    <w:rsid w:val="004F3446"/>
    <w:rsid w:val="004F3590"/>
    <w:rsid w:val="004F58F0"/>
    <w:rsid w:val="00504CA8"/>
    <w:rsid w:val="00504D2D"/>
    <w:rsid w:val="005128AD"/>
    <w:rsid w:val="0051333D"/>
    <w:rsid w:val="00515ADB"/>
    <w:rsid w:val="00520AF5"/>
    <w:rsid w:val="005364D8"/>
    <w:rsid w:val="00540027"/>
    <w:rsid w:val="005425B8"/>
    <w:rsid w:val="0055461C"/>
    <w:rsid w:val="00573DA6"/>
    <w:rsid w:val="00581668"/>
    <w:rsid w:val="005821C2"/>
    <w:rsid w:val="0058527C"/>
    <w:rsid w:val="00585A0D"/>
    <w:rsid w:val="005872AF"/>
    <w:rsid w:val="0059380C"/>
    <w:rsid w:val="00594206"/>
    <w:rsid w:val="00594C86"/>
    <w:rsid w:val="005952DF"/>
    <w:rsid w:val="005B4350"/>
    <w:rsid w:val="005B67C5"/>
    <w:rsid w:val="005B685D"/>
    <w:rsid w:val="005B783F"/>
    <w:rsid w:val="005B7B51"/>
    <w:rsid w:val="005C42D6"/>
    <w:rsid w:val="005C5A7C"/>
    <w:rsid w:val="005C6596"/>
    <w:rsid w:val="005D0871"/>
    <w:rsid w:val="005D0B83"/>
    <w:rsid w:val="005D1F62"/>
    <w:rsid w:val="005D71EF"/>
    <w:rsid w:val="005E3C8D"/>
    <w:rsid w:val="005E43AE"/>
    <w:rsid w:val="005E7B1C"/>
    <w:rsid w:val="005E7B31"/>
    <w:rsid w:val="005F0573"/>
    <w:rsid w:val="005F0B99"/>
    <w:rsid w:val="005F37D7"/>
    <w:rsid w:val="005F7476"/>
    <w:rsid w:val="005F7CE0"/>
    <w:rsid w:val="005F7F7D"/>
    <w:rsid w:val="006023F4"/>
    <w:rsid w:val="00606807"/>
    <w:rsid w:val="006070B5"/>
    <w:rsid w:val="0060744D"/>
    <w:rsid w:val="00607B75"/>
    <w:rsid w:val="0061111B"/>
    <w:rsid w:val="0061331C"/>
    <w:rsid w:val="00615706"/>
    <w:rsid w:val="00616D69"/>
    <w:rsid w:val="00617D9A"/>
    <w:rsid w:val="00620EB6"/>
    <w:rsid w:val="00625567"/>
    <w:rsid w:val="00625737"/>
    <w:rsid w:val="00627662"/>
    <w:rsid w:val="0063386A"/>
    <w:rsid w:val="00637A34"/>
    <w:rsid w:val="00641038"/>
    <w:rsid w:val="00644675"/>
    <w:rsid w:val="0064575E"/>
    <w:rsid w:val="006473C0"/>
    <w:rsid w:val="00652747"/>
    <w:rsid w:val="00661500"/>
    <w:rsid w:val="00662237"/>
    <w:rsid w:val="00671B38"/>
    <w:rsid w:val="006730DF"/>
    <w:rsid w:val="00674CDF"/>
    <w:rsid w:val="00676136"/>
    <w:rsid w:val="00686895"/>
    <w:rsid w:val="006875CF"/>
    <w:rsid w:val="00693C4C"/>
    <w:rsid w:val="0069561F"/>
    <w:rsid w:val="006966C0"/>
    <w:rsid w:val="006A122A"/>
    <w:rsid w:val="006A35D4"/>
    <w:rsid w:val="006A45CD"/>
    <w:rsid w:val="006A531E"/>
    <w:rsid w:val="006A743B"/>
    <w:rsid w:val="006A7A7D"/>
    <w:rsid w:val="006B2EC9"/>
    <w:rsid w:val="006B3970"/>
    <w:rsid w:val="006B4866"/>
    <w:rsid w:val="006B48B7"/>
    <w:rsid w:val="006B5437"/>
    <w:rsid w:val="006C3E56"/>
    <w:rsid w:val="006D08CF"/>
    <w:rsid w:val="006D43D5"/>
    <w:rsid w:val="006D480B"/>
    <w:rsid w:val="006D76D1"/>
    <w:rsid w:val="006D7B67"/>
    <w:rsid w:val="006E0960"/>
    <w:rsid w:val="006E2250"/>
    <w:rsid w:val="006E469E"/>
    <w:rsid w:val="006E4B25"/>
    <w:rsid w:val="006E4E47"/>
    <w:rsid w:val="006E504F"/>
    <w:rsid w:val="006E609B"/>
    <w:rsid w:val="006F3C94"/>
    <w:rsid w:val="006F631F"/>
    <w:rsid w:val="00702768"/>
    <w:rsid w:val="007173B8"/>
    <w:rsid w:val="00740EAD"/>
    <w:rsid w:val="00745CD3"/>
    <w:rsid w:val="00747C8D"/>
    <w:rsid w:val="00753A2B"/>
    <w:rsid w:val="0075430B"/>
    <w:rsid w:val="0075477A"/>
    <w:rsid w:val="0076178A"/>
    <w:rsid w:val="00762851"/>
    <w:rsid w:val="0076371F"/>
    <w:rsid w:val="00771435"/>
    <w:rsid w:val="00772BAE"/>
    <w:rsid w:val="0077405C"/>
    <w:rsid w:val="00775735"/>
    <w:rsid w:val="00776359"/>
    <w:rsid w:val="00777906"/>
    <w:rsid w:val="0078039E"/>
    <w:rsid w:val="00785609"/>
    <w:rsid w:val="007953A1"/>
    <w:rsid w:val="00795EAA"/>
    <w:rsid w:val="00797358"/>
    <w:rsid w:val="007A394D"/>
    <w:rsid w:val="007A668D"/>
    <w:rsid w:val="007A6BBE"/>
    <w:rsid w:val="007B02D4"/>
    <w:rsid w:val="007B0B95"/>
    <w:rsid w:val="007B1324"/>
    <w:rsid w:val="007B6B05"/>
    <w:rsid w:val="007B74C3"/>
    <w:rsid w:val="007C29D0"/>
    <w:rsid w:val="007C33AF"/>
    <w:rsid w:val="007C5416"/>
    <w:rsid w:val="007C7544"/>
    <w:rsid w:val="007E0F7B"/>
    <w:rsid w:val="007E1698"/>
    <w:rsid w:val="007E2DB0"/>
    <w:rsid w:val="007E3C5E"/>
    <w:rsid w:val="007E507A"/>
    <w:rsid w:val="007E79DB"/>
    <w:rsid w:val="007F5070"/>
    <w:rsid w:val="00801A19"/>
    <w:rsid w:val="0080237F"/>
    <w:rsid w:val="00802C8F"/>
    <w:rsid w:val="00805AED"/>
    <w:rsid w:val="008159E6"/>
    <w:rsid w:val="0082234F"/>
    <w:rsid w:val="0082255D"/>
    <w:rsid w:val="00825ACB"/>
    <w:rsid w:val="008275E7"/>
    <w:rsid w:val="00831D68"/>
    <w:rsid w:val="00833CA7"/>
    <w:rsid w:val="00835A34"/>
    <w:rsid w:val="00842A7D"/>
    <w:rsid w:val="008461ED"/>
    <w:rsid w:val="00847E7F"/>
    <w:rsid w:val="0085035D"/>
    <w:rsid w:val="00857513"/>
    <w:rsid w:val="0086197C"/>
    <w:rsid w:val="008632A9"/>
    <w:rsid w:val="00864AFA"/>
    <w:rsid w:val="00867BD0"/>
    <w:rsid w:val="0087260D"/>
    <w:rsid w:val="0087447C"/>
    <w:rsid w:val="00874F59"/>
    <w:rsid w:val="008805AD"/>
    <w:rsid w:val="0088364E"/>
    <w:rsid w:val="008848EE"/>
    <w:rsid w:val="00890C43"/>
    <w:rsid w:val="0089743D"/>
    <w:rsid w:val="008A5AE8"/>
    <w:rsid w:val="008B02B4"/>
    <w:rsid w:val="008B26E3"/>
    <w:rsid w:val="008B318E"/>
    <w:rsid w:val="008C37F3"/>
    <w:rsid w:val="008D36DA"/>
    <w:rsid w:val="008D5499"/>
    <w:rsid w:val="008E1F1E"/>
    <w:rsid w:val="008E1FC8"/>
    <w:rsid w:val="008E431D"/>
    <w:rsid w:val="008F1122"/>
    <w:rsid w:val="008F255C"/>
    <w:rsid w:val="008F3834"/>
    <w:rsid w:val="008F46F8"/>
    <w:rsid w:val="009030D9"/>
    <w:rsid w:val="00923085"/>
    <w:rsid w:val="00923204"/>
    <w:rsid w:val="009308A0"/>
    <w:rsid w:val="009337CC"/>
    <w:rsid w:val="00933C01"/>
    <w:rsid w:val="009354D1"/>
    <w:rsid w:val="00936951"/>
    <w:rsid w:val="0094026D"/>
    <w:rsid w:val="00941094"/>
    <w:rsid w:val="00941828"/>
    <w:rsid w:val="00941C58"/>
    <w:rsid w:val="009421D9"/>
    <w:rsid w:val="0094480E"/>
    <w:rsid w:val="009457B0"/>
    <w:rsid w:val="00946E52"/>
    <w:rsid w:val="00950A16"/>
    <w:rsid w:val="00950AF2"/>
    <w:rsid w:val="0095289F"/>
    <w:rsid w:val="0095518E"/>
    <w:rsid w:val="00957BEA"/>
    <w:rsid w:val="00967701"/>
    <w:rsid w:val="00971214"/>
    <w:rsid w:val="00983E8C"/>
    <w:rsid w:val="00984226"/>
    <w:rsid w:val="00986B53"/>
    <w:rsid w:val="0099229D"/>
    <w:rsid w:val="0099756A"/>
    <w:rsid w:val="009A0462"/>
    <w:rsid w:val="009A1735"/>
    <w:rsid w:val="009A3122"/>
    <w:rsid w:val="009A3674"/>
    <w:rsid w:val="009A380C"/>
    <w:rsid w:val="009A7D5C"/>
    <w:rsid w:val="009B4F69"/>
    <w:rsid w:val="009B7FD4"/>
    <w:rsid w:val="009C11FE"/>
    <w:rsid w:val="009C14DB"/>
    <w:rsid w:val="009C529F"/>
    <w:rsid w:val="009C5359"/>
    <w:rsid w:val="009C5C65"/>
    <w:rsid w:val="009D47CA"/>
    <w:rsid w:val="009D487E"/>
    <w:rsid w:val="009D48EE"/>
    <w:rsid w:val="009D54E3"/>
    <w:rsid w:val="009D5D78"/>
    <w:rsid w:val="009E253D"/>
    <w:rsid w:val="009E5069"/>
    <w:rsid w:val="009E55E8"/>
    <w:rsid w:val="009F0AE7"/>
    <w:rsid w:val="009F2AAF"/>
    <w:rsid w:val="00A10859"/>
    <w:rsid w:val="00A11DBC"/>
    <w:rsid w:val="00A17A7D"/>
    <w:rsid w:val="00A203AC"/>
    <w:rsid w:val="00A20994"/>
    <w:rsid w:val="00A31684"/>
    <w:rsid w:val="00A31705"/>
    <w:rsid w:val="00A31DE4"/>
    <w:rsid w:val="00A35C68"/>
    <w:rsid w:val="00A35F12"/>
    <w:rsid w:val="00A41D7D"/>
    <w:rsid w:val="00A45950"/>
    <w:rsid w:val="00A4644F"/>
    <w:rsid w:val="00A47168"/>
    <w:rsid w:val="00A512FA"/>
    <w:rsid w:val="00A52A50"/>
    <w:rsid w:val="00A53240"/>
    <w:rsid w:val="00A57D9A"/>
    <w:rsid w:val="00A65E11"/>
    <w:rsid w:val="00A75D22"/>
    <w:rsid w:val="00A83ADA"/>
    <w:rsid w:val="00A91C05"/>
    <w:rsid w:val="00A930CF"/>
    <w:rsid w:val="00A94EA7"/>
    <w:rsid w:val="00A96802"/>
    <w:rsid w:val="00AA083A"/>
    <w:rsid w:val="00AA6D3D"/>
    <w:rsid w:val="00AB1A1B"/>
    <w:rsid w:val="00AB7B11"/>
    <w:rsid w:val="00AC7F94"/>
    <w:rsid w:val="00AD23C3"/>
    <w:rsid w:val="00AD2AF0"/>
    <w:rsid w:val="00AD32C0"/>
    <w:rsid w:val="00AD366A"/>
    <w:rsid w:val="00AD7AA3"/>
    <w:rsid w:val="00AE4AED"/>
    <w:rsid w:val="00AF3CFB"/>
    <w:rsid w:val="00AF424F"/>
    <w:rsid w:val="00B0708C"/>
    <w:rsid w:val="00B117BD"/>
    <w:rsid w:val="00B12392"/>
    <w:rsid w:val="00B12E08"/>
    <w:rsid w:val="00B131FA"/>
    <w:rsid w:val="00B16340"/>
    <w:rsid w:val="00B22A5A"/>
    <w:rsid w:val="00B22D28"/>
    <w:rsid w:val="00B22D71"/>
    <w:rsid w:val="00B25460"/>
    <w:rsid w:val="00B26B8A"/>
    <w:rsid w:val="00B4115F"/>
    <w:rsid w:val="00B46C58"/>
    <w:rsid w:val="00B52945"/>
    <w:rsid w:val="00B5461F"/>
    <w:rsid w:val="00B55EFE"/>
    <w:rsid w:val="00B602F0"/>
    <w:rsid w:val="00B721C7"/>
    <w:rsid w:val="00B7534C"/>
    <w:rsid w:val="00B9500C"/>
    <w:rsid w:val="00B97628"/>
    <w:rsid w:val="00BA0570"/>
    <w:rsid w:val="00BA0A06"/>
    <w:rsid w:val="00BA0F95"/>
    <w:rsid w:val="00BA660D"/>
    <w:rsid w:val="00BC68BC"/>
    <w:rsid w:val="00BD11BE"/>
    <w:rsid w:val="00BD4696"/>
    <w:rsid w:val="00BD7F31"/>
    <w:rsid w:val="00BE0BC6"/>
    <w:rsid w:val="00BE4140"/>
    <w:rsid w:val="00BF1F1C"/>
    <w:rsid w:val="00BF2630"/>
    <w:rsid w:val="00BF3114"/>
    <w:rsid w:val="00BF3FAE"/>
    <w:rsid w:val="00BF458D"/>
    <w:rsid w:val="00C11998"/>
    <w:rsid w:val="00C1203C"/>
    <w:rsid w:val="00C13E77"/>
    <w:rsid w:val="00C21754"/>
    <w:rsid w:val="00C2279A"/>
    <w:rsid w:val="00C23EBB"/>
    <w:rsid w:val="00C24817"/>
    <w:rsid w:val="00C40369"/>
    <w:rsid w:val="00C41D72"/>
    <w:rsid w:val="00C42792"/>
    <w:rsid w:val="00C45146"/>
    <w:rsid w:val="00C4716B"/>
    <w:rsid w:val="00C5063C"/>
    <w:rsid w:val="00C52E1B"/>
    <w:rsid w:val="00C54499"/>
    <w:rsid w:val="00C61B62"/>
    <w:rsid w:val="00C6412F"/>
    <w:rsid w:val="00C72068"/>
    <w:rsid w:val="00C726C2"/>
    <w:rsid w:val="00C75238"/>
    <w:rsid w:val="00C80619"/>
    <w:rsid w:val="00C8451F"/>
    <w:rsid w:val="00C87A87"/>
    <w:rsid w:val="00C907B7"/>
    <w:rsid w:val="00C912AE"/>
    <w:rsid w:val="00C95602"/>
    <w:rsid w:val="00C97AD9"/>
    <w:rsid w:val="00CA0402"/>
    <w:rsid w:val="00CA3ECA"/>
    <w:rsid w:val="00CA63B0"/>
    <w:rsid w:val="00CA6E21"/>
    <w:rsid w:val="00CB12DB"/>
    <w:rsid w:val="00CB68B3"/>
    <w:rsid w:val="00CC042B"/>
    <w:rsid w:val="00CC6176"/>
    <w:rsid w:val="00CC72D9"/>
    <w:rsid w:val="00CD33EC"/>
    <w:rsid w:val="00CD4B60"/>
    <w:rsid w:val="00CF1968"/>
    <w:rsid w:val="00CF2BBB"/>
    <w:rsid w:val="00CF324F"/>
    <w:rsid w:val="00CF3A54"/>
    <w:rsid w:val="00D06133"/>
    <w:rsid w:val="00D123F1"/>
    <w:rsid w:val="00D13D68"/>
    <w:rsid w:val="00D152EC"/>
    <w:rsid w:val="00D23F5E"/>
    <w:rsid w:val="00D277FE"/>
    <w:rsid w:val="00D309C8"/>
    <w:rsid w:val="00D30DDC"/>
    <w:rsid w:val="00D32935"/>
    <w:rsid w:val="00D33E26"/>
    <w:rsid w:val="00D34CC6"/>
    <w:rsid w:val="00D45657"/>
    <w:rsid w:val="00D470FA"/>
    <w:rsid w:val="00D51E37"/>
    <w:rsid w:val="00D566B6"/>
    <w:rsid w:val="00D6116F"/>
    <w:rsid w:val="00D65A80"/>
    <w:rsid w:val="00D703E2"/>
    <w:rsid w:val="00D707FB"/>
    <w:rsid w:val="00D747B4"/>
    <w:rsid w:val="00D74CC9"/>
    <w:rsid w:val="00D76F26"/>
    <w:rsid w:val="00D7779E"/>
    <w:rsid w:val="00D97DCC"/>
    <w:rsid w:val="00DA2C60"/>
    <w:rsid w:val="00DA408D"/>
    <w:rsid w:val="00DA425E"/>
    <w:rsid w:val="00DB0B6B"/>
    <w:rsid w:val="00DB1425"/>
    <w:rsid w:val="00DB4104"/>
    <w:rsid w:val="00DC0A3A"/>
    <w:rsid w:val="00DC4764"/>
    <w:rsid w:val="00DC61E1"/>
    <w:rsid w:val="00DC6821"/>
    <w:rsid w:val="00DC74C1"/>
    <w:rsid w:val="00DC75F7"/>
    <w:rsid w:val="00DD764D"/>
    <w:rsid w:val="00DE660A"/>
    <w:rsid w:val="00DF09C9"/>
    <w:rsid w:val="00DF173D"/>
    <w:rsid w:val="00DF2C59"/>
    <w:rsid w:val="00DF55FA"/>
    <w:rsid w:val="00E01936"/>
    <w:rsid w:val="00E01B2E"/>
    <w:rsid w:val="00E057E0"/>
    <w:rsid w:val="00E07B6C"/>
    <w:rsid w:val="00E07D98"/>
    <w:rsid w:val="00E10B86"/>
    <w:rsid w:val="00E117F3"/>
    <w:rsid w:val="00E13D66"/>
    <w:rsid w:val="00E13EFA"/>
    <w:rsid w:val="00E167C6"/>
    <w:rsid w:val="00E17AD6"/>
    <w:rsid w:val="00E21780"/>
    <w:rsid w:val="00E223A2"/>
    <w:rsid w:val="00E2256E"/>
    <w:rsid w:val="00E2330C"/>
    <w:rsid w:val="00E2494E"/>
    <w:rsid w:val="00E274F0"/>
    <w:rsid w:val="00E32384"/>
    <w:rsid w:val="00E42D7E"/>
    <w:rsid w:val="00E4458A"/>
    <w:rsid w:val="00E45C23"/>
    <w:rsid w:val="00E51A38"/>
    <w:rsid w:val="00E521C3"/>
    <w:rsid w:val="00E528D4"/>
    <w:rsid w:val="00E559EC"/>
    <w:rsid w:val="00E6399A"/>
    <w:rsid w:val="00E67BB5"/>
    <w:rsid w:val="00E72315"/>
    <w:rsid w:val="00E7242F"/>
    <w:rsid w:val="00E727B9"/>
    <w:rsid w:val="00E73561"/>
    <w:rsid w:val="00E743AE"/>
    <w:rsid w:val="00E76B25"/>
    <w:rsid w:val="00E80117"/>
    <w:rsid w:val="00E831A2"/>
    <w:rsid w:val="00E83CC9"/>
    <w:rsid w:val="00E83ECB"/>
    <w:rsid w:val="00E85E16"/>
    <w:rsid w:val="00EA1FDD"/>
    <w:rsid w:val="00EA22E9"/>
    <w:rsid w:val="00EA30BB"/>
    <w:rsid w:val="00EA6353"/>
    <w:rsid w:val="00EA6873"/>
    <w:rsid w:val="00EB1CDD"/>
    <w:rsid w:val="00EB22F3"/>
    <w:rsid w:val="00EB536E"/>
    <w:rsid w:val="00EB5530"/>
    <w:rsid w:val="00EB5C8B"/>
    <w:rsid w:val="00EB6DF5"/>
    <w:rsid w:val="00EB765E"/>
    <w:rsid w:val="00EC3E9F"/>
    <w:rsid w:val="00EC4A42"/>
    <w:rsid w:val="00EC66A3"/>
    <w:rsid w:val="00ED4DD1"/>
    <w:rsid w:val="00ED6281"/>
    <w:rsid w:val="00ED6A49"/>
    <w:rsid w:val="00EE24FD"/>
    <w:rsid w:val="00EE6280"/>
    <w:rsid w:val="00EE77F1"/>
    <w:rsid w:val="00EF0DEC"/>
    <w:rsid w:val="00EF189F"/>
    <w:rsid w:val="00EF3316"/>
    <w:rsid w:val="00EF38BC"/>
    <w:rsid w:val="00F03F5B"/>
    <w:rsid w:val="00F0625F"/>
    <w:rsid w:val="00F116F9"/>
    <w:rsid w:val="00F129A3"/>
    <w:rsid w:val="00F14B51"/>
    <w:rsid w:val="00F15B76"/>
    <w:rsid w:val="00F172DB"/>
    <w:rsid w:val="00F20D8A"/>
    <w:rsid w:val="00F2710E"/>
    <w:rsid w:val="00F3218B"/>
    <w:rsid w:val="00F33150"/>
    <w:rsid w:val="00F36D3D"/>
    <w:rsid w:val="00F42AE4"/>
    <w:rsid w:val="00F42CEB"/>
    <w:rsid w:val="00F42D5A"/>
    <w:rsid w:val="00F50D9A"/>
    <w:rsid w:val="00F5288A"/>
    <w:rsid w:val="00F52BC0"/>
    <w:rsid w:val="00F530D8"/>
    <w:rsid w:val="00F54589"/>
    <w:rsid w:val="00F54C61"/>
    <w:rsid w:val="00F56278"/>
    <w:rsid w:val="00F6005B"/>
    <w:rsid w:val="00F600EB"/>
    <w:rsid w:val="00F603A3"/>
    <w:rsid w:val="00F620AA"/>
    <w:rsid w:val="00F62DA5"/>
    <w:rsid w:val="00F63D6D"/>
    <w:rsid w:val="00F714CE"/>
    <w:rsid w:val="00F71C94"/>
    <w:rsid w:val="00F72A6E"/>
    <w:rsid w:val="00F75A5D"/>
    <w:rsid w:val="00F76807"/>
    <w:rsid w:val="00F76A0F"/>
    <w:rsid w:val="00F76AD3"/>
    <w:rsid w:val="00F76C54"/>
    <w:rsid w:val="00F87697"/>
    <w:rsid w:val="00F90756"/>
    <w:rsid w:val="00F96078"/>
    <w:rsid w:val="00F963E0"/>
    <w:rsid w:val="00FA438D"/>
    <w:rsid w:val="00FA7CBE"/>
    <w:rsid w:val="00FB1C6A"/>
    <w:rsid w:val="00FB48D6"/>
    <w:rsid w:val="00FB5191"/>
    <w:rsid w:val="00FC2590"/>
    <w:rsid w:val="00FC28D0"/>
    <w:rsid w:val="00FC2AB9"/>
    <w:rsid w:val="00FC332A"/>
    <w:rsid w:val="00FC36E2"/>
    <w:rsid w:val="00FD05CD"/>
    <w:rsid w:val="00FD0936"/>
    <w:rsid w:val="00FD237E"/>
    <w:rsid w:val="00FE1A95"/>
    <w:rsid w:val="00FE4B89"/>
    <w:rsid w:val="00FE5D17"/>
    <w:rsid w:val="00FF0EA2"/>
    <w:rsid w:val="00FF29A0"/>
    <w:rsid w:val="00FF61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85A248"/>
  <w15:chartTrackingRefBased/>
  <w15:docId w15:val="{C725A304-C3B8-4517-9131-1DF60047F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540"/>
  </w:style>
  <w:style w:type="paragraph" w:styleId="Heading3">
    <w:name w:val="heading 3"/>
    <w:basedOn w:val="Normal"/>
    <w:next w:val="Normal"/>
    <w:link w:val="Heading3Char"/>
    <w:uiPriority w:val="9"/>
    <w:unhideWhenUsed/>
    <w:qFormat/>
    <w:rsid w:val="00212540"/>
    <w:pPr>
      <w:keepNext/>
      <w:spacing w:before="240" w:after="60" w:line="240" w:lineRule="auto"/>
      <w:outlineLvl w:val="2"/>
    </w:pPr>
    <w:rPr>
      <w:rFonts w:ascii="Cambria" w:eastAsia="MS Mincho" w:hAnsi="Cambria" w:cs="Times New Roman"/>
      <w:b/>
      <w:bCs/>
      <w:sz w:val="26"/>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12540"/>
    <w:rPr>
      <w:rFonts w:ascii="Cambria" w:eastAsia="MS Mincho" w:hAnsi="Cambria" w:cs="Times New Roman"/>
      <w:b/>
      <w:bCs/>
      <w:sz w:val="26"/>
      <w:szCs w:val="26"/>
      <w:lang w:bidi="en-US"/>
    </w:rPr>
  </w:style>
  <w:style w:type="paragraph" w:styleId="Footer">
    <w:name w:val="footer"/>
    <w:basedOn w:val="Normal"/>
    <w:link w:val="FooterChar"/>
    <w:uiPriority w:val="99"/>
    <w:unhideWhenUsed/>
    <w:rsid w:val="002125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540"/>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212540"/>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12540"/>
  </w:style>
  <w:style w:type="paragraph" w:styleId="BodyText">
    <w:name w:val="Body Text"/>
    <w:basedOn w:val="Normal"/>
    <w:link w:val="BodyTextChar"/>
    <w:uiPriority w:val="99"/>
    <w:unhideWhenUsed/>
    <w:rsid w:val="00212540"/>
    <w:pPr>
      <w:spacing w:after="120"/>
    </w:pPr>
  </w:style>
  <w:style w:type="character" w:customStyle="1" w:styleId="BodyTextChar">
    <w:name w:val="Body Text Char"/>
    <w:basedOn w:val="DefaultParagraphFont"/>
    <w:link w:val="BodyText"/>
    <w:uiPriority w:val="99"/>
    <w:rsid w:val="00212540"/>
  </w:style>
  <w:style w:type="paragraph" w:styleId="Header">
    <w:name w:val="header"/>
    <w:basedOn w:val="Normal"/>
    <w:link w:val="HeaderChar"/>
    <w:uiPriority w:val="99"/>
    <w:unhideWhenUsed/>
    <w:rsid w:val="002125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540"/>
  </w:style>
  <w:style w:type="character" w:styleId="CommentReference">
    <w:name w:val="annotation reference"/>
    <w:basedOn w:val="DefaultParagraphFont"/>
    <w:uiPriority w:val="99"/>
    <w:semiHidden/>
    <w:unhideWhenUsed/>
    <w:rsid w:val="00212540"/>
    <w:rPr>
      <w:sz w:val="16"/>
      <w:szCs w:val="16"/>
    </w:rPr>
  </w:style>
  <w:style w:type="paragraph" w:styleId="CommentText">
    <w:name w:val="annotation text"/>
    <w:basedOn w:val="Normal"/>
    <w:link w:val="CommentTextChar"/>
    <w:uiPriority w:val="99"/>
    <w:semiHidden/>
    <w:unhideWhenUsed/>
    <w:rsid w:val="00212540"/>
    <w:pPr>
      <w:spacing w:line="240" w:lineRule="auto"/>
    </w:pPr>
    <w:rPr>
      <w:sz w:val="20"/>
      <w:szCs w:val="20"/>
    </w:rPr>
  </w:style>
  <w:style w:type="character" w:customStyle="1" w:styleId="CommentTextChar">
    <w:name w:val="Comment Text Char"/>
    <w:basedOn w:val="DefaultParagraphFont"/>
    <w:link w:val="CommentText"/>
    <w:uiPriority w:val="99"/>
    <w:semiHidden/>
    <w:rsid w:val="00212540"/>
    <w:rPr>
      <w:sz w:val="20"/>
      <w:szCs w:val="20"/>
    </w:rPr>
  </w:style>
  <w:style w:type="paragraph" w:styleId="CommentSubject">
    <w:name w:val="annotation subject"/>
    <w:basedOn w:val="CommentText"/>
    <w:next w:val="CommentText"/>
    <w:link w:val="CommentSubjectChar"/>
    <w:uiPriority w:val="99"/>
    <w:semiHidden/>
    <w:unhideWhenUsed/>
    <w:rsid w:val="00212540"/>
    <w:rPr>
      <w:b/>
      <w:bCs/>
    </w:rPr>
  </w:style>
  <w:style w:type="character" w:customStyle="1" w:styleId="CommentSubjectChar">
    <w:name w:val="Comment Subject Char"/>
    <w:basedOn w:val="CommentTextChar"/>
    <w:link w:val="CommentSubject"/>
    <w:uiPriority w:val="99"/>
    <w:semiHidden/>
    <w:rsid w:val="00212540"/>
    <w:rPr>
      <w:b/>
      <w:bCs/>
      <w:sz w:val="20"/>
      <w:szCs w:val="20"/>
    </w:rPr>
  </w:style>
  <w:style w:type="paragraph" w:styleId="BalloonText">
    <w:name w:val="Balloon Text"/>
    <w:basedOn w:val="Normal"/>
    <w:link w:val="BalloonTextChar"/>
    <w:uiPriority w:val="99"/>
    <w:semiHidden/>
    <w:unhideWhenUsed/>
    <w:rsid w:val="002125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540"/>
    <w:rPr>
      <w:rFonts w:ascii="Segoe UI" w:hAnsi="Segoe UI" w:cs="Segoe UI"/>
      <w:sz w:val="18"/>
      <w:szCs w:val="18"/>
    </w:rPr>
  </w:style>
  <w:style w:type="paragraph" w:styleId="NoSpacing">
    <w:name w:val="No Spacing"/>
    <w:link w:val="NoSpacingChar"/>
    <w:uiPriority w:val="1"/>
    <w:qFormat/>
    <w:rsid w:val="00212540"/>
    <w:pPr>
      <w:spacing w:after="0" w:line="240" w:lineRule="auto"/>
    </w:pPr>
    <w:rPr>
      <w:rFonts w:ascii="Calibri" w:eastAsia="MS Mincho" w:hAnsi="Calibri" w:cs="Times New Roman"/>
    </w:rPr>
  </w:style>
  <w:style w:type="character" w:customStyle="1" w:styleId="NoSpacingChar">
    <w:name w:val="No Spacing Char"/>
    <w:link w:val="NoSpacing"/>
    <w:uiPriority w:val="1"/>
    <w:locked/>
    <w:rsid w:val="00212540"/>
    <w:rPr>
      <w:rFonts w:ascii="Calibri" w:eastAsia="MS Mincho" w:hAnsi="Calibri" w:cs="Times New Roman"/>
    </w:rPr>
  </w:style>
  <w:style w:type="paragraph" w:styleId="NormalWeb">
    <w:name w:val="Normal (Web)"/>
    <w:basedOn w:val="Normal"/>
    <w:uiPriority w:val="99"/>
    <w:semiHidden/>
    <w:unhideWhenUsed/>
    <w:rsid w:val="00481C1B"/>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whitespace-normal">
    <w:name w:val="whitespace-normal"/>
    <w:basedOn w:val="DefaultParagraphFont"/>
    <w:rsid w:val="00481C1B"/>
  </w:style>
  <w:style w:type="character" w:styleId="Strong">
    <w:name w:val="Strong"/>
    <w:basedOn w:val="DefaultParagraphFont"/>
    <w:uiPriority w:val="22"/>
    <w:qFormat/>
    <w:rsid w:val="00481C1B"/>
    <w:rPr>
      <w:b/>
      <w:bCs/>
    </w:rPr>
  </w:style>
  <w:style w:type="paragraph" w:styleId="z-TopofForm">
    <w:name w:val="HTML Top of Form"/>
    <w:basedOn w:val="Normal"/>
    <w:next w:val="Normal"/>
    <w:link w:val="z-TopofFormChar"/>
    <w:hidden/>
    <w:uiPriority w:val="99"/>
    <w:semiHidden/>
    <w:unhideWhenUsed/>
    <w:rsid w:val="00481C1B"/>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481C1B"/>
    <w:rPr>
      <w:rFonts w:ascii="Arial" w:eastAsia="Times New Roman" w:hAnsi="Arial" w:cs="Arial"/>
      <w:vanish/>
      <w:sz w:val="16"/>
      <w:szCs w:val="16"/>
      <w:lang w:val="en-US"/>
    </w:rPr>
  </w:style>
  <w:style w:type="paragraph" w:customStyle="1" w:styleId="placeholder">
    <w:name w:val="placeholder"/>
    <w:basedOn w:val="Normal"/>
    <w:rsid w:val="00481C1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481C1B"/>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481C1B"/>
    <w:rPr>
      <w:rFonts w:ascii="Arial" w:eastAsia="Times New Roman" w:hAnsi="Arial" w:cs="Arial"/>
      <w:vanish/>
      <w:sz w:val="16"/>
      <w:szCs w:val="16"/>
      <w:lang w:val="en-US"/>
    </w:rPr>
  </w:style>
  <w:style w:type="paragraph" w:customStyle="1" w:styleId="isselectedend">
    <w:name w:val="isselectedend"/>
    <w:basedOn w:val="Normal"/>
    <w:rsid w:val="00E743AE"/>
    <w:pPr>
      <w:spacing w:before="100" w:beforeAutospacing="1" w:after="100" w:afterAutospacing="1" w:line="240" w:lineRule="auto"/>
    </w:pPr>
    <w:rPr>
      <w:rFonts w:ascii="Times New Roman" w:eastAsia="Times New Roman" w:hAnsi="Times New Roman" w:cs="Times New Roman"/>
      <w:sz w:val="24"/>
      <w:szCs w:val="24"/>
      <w:lang w:eastAsia="sq-AL"/>
    </w:rPr>
  </w:style>
  <w:style w:type="table" w:styleId="TableGrid">
    <w:name w:val="Table Grid"/>
    <w:basedOn w:val="TableNormal"/>
    <w:uiPriority w:val="39"/>
    <w:rsid w:val="006A1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178955">
      <w:bodyDiv w:val="1"/>
      <w:marLeft w:val="0"/>
      <w:marRight w:val="0"/>
      <w:marTop w:val="0"/>
      <w:marBottom w:val="0"/>
      <w:divBdr>
        <w:top w:val="none" w:sz="0" w:space="0" w:color="auto"/>
        <w:left w:val="none" w:sz="0" w:space="0" w:color="auto"/>
        <w:bottom w:val="none" w:sz="0" w:space="0" w:color="auto"/>
        <w:right w:val="none" w:sz="0" w:space="0" w:color="auto"/>
      </w:divBdr>
    </w:div>
    <w:div w:id="198554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F27D734ECA24A4CAE6F23AE073AC2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54</Nr_x002e__x0020_akti>
    <Data_x0020_e_x0020_Krijimit xmlns="0e656187-b300-4fb0-8bf4-3a50f872073c">2026-06-29T13:01:14Z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Me objekt shfuqizimin e vendimit nr. 00-2025-826 (100), datë 6.3.2025 të Kolegjit Administrativ të Gjykatës së Lartë, si i papajtueshëm me Kushtetutën e Republikës së Shqipërisë. Pezullimin e vendimit nr. 00-2025-826 (100), datë 6.3.2025 të Kolegjit Administrativ të Gjykatës së Lartë.</Titulli>
    <Modifikuesi xmlns="0e656187-b300-4fb0-8bf4-3a50f872073c">ermira.bukaci</Modifikuesi>
    <Nr_x002e__x0020_prot_x0020_QBZ xmlns="0e656187-b300-4fb0-8bf4-3a50f872073c">1417/1</Nr_x002e__x0020_prot_x0020_QBZ>
    <Data_x0020_e_x0020_Modifikimit xmlns="0e656187-b300-4fb0-8bf4-3a50f872073c">2026-07-01T07:35:49Z</Data_x0020_e_x0020_Modifikimit>
    <Dekretuar xmlns="0e656187-b300-4fb0-8bf4-3a50f872073c">false</Dekretuar>
    <Data xmlns="0e656187-b300-4fb0-8bf4-3a50f872073c">2026-04-30T00:00:00Z</Data>
    <Nr_x002e__x0020_protokolli_x0020_i_x0020_aktit xmlns="0e656187-b300-4fb0-8bf4-3a50f872073c">38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F8208-2001-4241-A185-E7A424CD85C2}">
  <ds:schemaRefs>
    <ds:schemaRef ds:uri="http://schemas.microsoft.com/sharepoint/v3/contenttype/forms"/>
  </ds:schemaRefs>
</ds:datastoreItem>
</file>

<file path=customXml/itemProps2.xml><?xml version="1.0" encoding="utf-8"?>
<ds:datastoreItem xmlns:ds="http://schemas.openxmlformats.org/officeDocument/2006/customXml" ds:itemID="{F2B393AE-DA36-4BD0-B997-A5BA7C8B9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D2227A-ED6F-4AA5-9461-1098B7D024B3}">
  <ds:schemaRefs>
    <ds:schemaRef ds:uri="http://purl.org/dc/dcmitype/"/>
    <ds:schemaRef ds:uri="http://purl.org/dc/elements/1.1/"/>
    <ds:schemaRef ds:uri="http://schemas.microsoft.com/office/2006/documentManagement/types"/>
    <ds:schemaRef ds:uri="http://purl.org/dc/terms/"/>
    <ds:schemaRef ds:uri="http://www.w3.org/XML/1998/namespace"/>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0F3BD96C-435F-4F4E-8CF0-DE31558CF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6698</Words>
  <Characters>38184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44793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00-2025-826 (100), datë 6.3.2025 të Kolegjit Administrativ të Gjykatës së Lartë, si i papajtueshëm me Kushtetutën e Republikës së Shqipërisë. Pezullimin e vendimit nr. 00-2025-826 (100), datë 6.3.2025 të Kolegjit Administrativ të Gjykatës së Lartë.</dc:title>
  <dc:creator>Jonida Kondili</dc:creator>
  <cp:lastModifiedBy>fjora.cahani</cp:lastModifiedBy>
  <cp:revision>7</cp:revision>
  <cp:lastPrinted>2026-06-25T07:39:00Z</cp:lastPrinted>
  <dcterms:created xsi:type="dcterms:W3CDTF">2026-06-29T12:47:00Z</dcterms:created>
  <dcterms:modified xsi:type="dcterms:W3CDTF">2026-07-01T10:01:00Z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0x010100ECB998D59AECAB4CB7402308DDB55B03</vt:lpwstr>
  </property>
</Properties>
</file>