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A63ECA" w14:textId="3ADF2E88" w:rsidR="008E4E29" w:rsidRPr="002E3F2B" w:rsidRDefault="008E4E29" w:rsidP="00901941">
      <w:pPr>
        <w:spacing w:after="0" w:line="240" w:lineRule="auto"/>
        <w:ind w:firstLine="284"/>
        <w:rPr>
          <w:rFonts w:ascii="Garamond" w:hAnsi="Garamond"/>
          <w:sz w:val="24"/>
          <w:szCs w:val="24"/>
        </w:rPr>
      </w:pPr>
    </w:p>
    <w:p w14:paraId="6D57EA66" w14:textId="7872124C" w:rsidR="00470F0A" w:rsidRPr="002E3F2B" w:rsidRDefault="00470F0A" w:rsidP="00901941">
      <w:pPr>
        <w:spacing w:after="0" w:line="240" w:lineRule="auto"/>
        <w:ind w:firstLine="284"/>
        <w:jc w:val="center"/>
        <w:rPr>
          <w:rFonts w:ascii="Garamond" w:hAnsi="Garamond" w:cs="Times New Roman"/>
          <w:b/>
          <w:bCs/>
          <w:sz w:val="24"/>
          <w:szCs w:val="24"/>
        </w:rPr>
      </w:pPr>
      <w:r w:rsidRPr="002E3F2B">
        <w:rPr>
          <w:rFonts w:ascii="Garamond" w:hAnsi="Garamond" w:cs="Times New Roman"/>
          <w:b/>
          <w:bCs/>
          <w:sz w:val="24"/>
          <w:szCs w:val="24"/>
        </w:rPr>
        <w:t>VENDIM</w:t>
      </w:r>
    </w:p>
    <w:p w14:paraId="60C83035" w14:textId="77777777" w:rsidR="00470F0A" w:rsidRPr="002E3F2B" w:rsidRDefault="00470F0A" w:rsidP="00901941">
      <w:pPr>
        <w:spacing w:after="0" w:line="240" w:lineRule="auto"/>
        <w:ind w:firstLine="284"/>
        <w:jc w:val="center"/>
        <w:rPr>
          <w:rFonts w:ascii="Garamond" w:hAnsi="Garamond" w:cs="Times New Roman"/>
          <w:b/>
          <w:bCs/>
          <w:sz w:val="24"/>
          <w:szCs w:val="24"/>
        </w:rPr>
      </w:pPr>
      <w:r w:rsidRPr="002E3F2B">
        <w:rPr>
          <w:rFonts w:ascii="Garamond" w:hAnsi="Garamond" w:cs="Times New Roman"/>
          <w:b/>
          <w:bCs/>
          <w:sz w:val="24"/>
          <w:szCs w:val="24"/>
        </w:rPr>
        <w:t>Nr. 60, datë 28.5.2026</w:t>
      </w:r>
    </w:p>
    <w:p w14:paraId="3E13A438" w14:textId="77777777" w:rsidR="00470F0A" w:rsidRPr="002E3F2B" w:rsidRDefault="00470F0A" w:rsidP="00901941">
      <w:pPr>
        <w:spacing w:after="0" w:line="240" w:lineRule="auto"/>
        <w:ind w:firstLine="284"/>
        <w:jc w:val="center"/>
        <w:rPr>
          <w:rFonts w:ascii="Garamond" w:hAnsi="Garamond" w:cs="Times New Roman"/>
          <w:b/>
          <w:bCs/>
          <w:sz w:val="24"/>
          <w:szCs w:val="24"/>
        </w:rPr>
      </w:pPr>
    </w:p>
    <w:p w14:paraId="7AEE437B" w14:textId="067DAF24" w:rsidR="00470F0A" w:rsidRPr="002E3F2B" w:rsidRDefault="00470F0A" w:rsidP="00901941">
      <w:pPr>
        <w:spacing w:after="0" w:line="240" w:lineRule="auto"/>
        <w:ind w:firstLine="284"/>
        <w:jc w:val="center"/>
        <w:rPr>
          <w:rFonts w:ascii="Garamond" w:hAnsi="Garamond" w:cs="Times New Roman"/>
          <w:b/>
          <w:bCs/>
          <w:sz w:val="24"/>
          <w:szCs w:val="24"/>
        </w:rPr>
      </w:pPr>
      <w:r w:rsidRPr="002E3F2B">
        <w:rPr>
          <w:rFonts w:ascii="Garamond" w:hAnsi="Garamond" w:cs="Times New Roman"/>
          <w:b/>
          <w:bCs/>
          <w:sz w:val="24"/>
          <w:szCs w:val="24"/>
        </w:rPr>
        <w:t>NË E</w:t>
      </w:r>
      <w:r w:rsidR="002E3F2B" w:rsidRPr="002E3F2B">
        <w:rPr>
          <w:rFonts w:ascii="Garamond" w:hAnsi="Garamond" w:cs="Times New Roman"/>
          <w:b/>
          <w:bCs/>
          <w:sz w:val="24"/>
          <w:szCs w:val="24"/>
        </w:rPr>
        <w:t>MËR TË REPUBLIKËS SË SHQIPËRISË</w:t>
      </w:r>
    </w:p>
    <w:p w14:paraId="219FCAE9" w14:textId="77777777" w:rsidR="00470F0A" w:rsidRPr="002E3F2B" w:rsidRDefault="00470F0A" w:rsidP="00901941">
      <w:pPr>
        <w:spacing w:after="0" w:line="240" w:lineRule="auto"/>
        <w:ind w:firstLine="284"/>
        <w:jc w:val="both"/>
        <w:rPr>
          <w:rFonts w:ascii="Garamond" w:hAnsi="Garamond" w:cs="Times New Roman"/>
          <w:sz w:val="24"/>
          <w:szCs w:val="24"/>
        </w:rPr>
      </w:pPr>
    </w:p>
    <w:p w14:paraId="0A37FEA0" w14:textId="77777777" w:rsidR="00470F0A" w:rsidRPr="002E3F2B" w:rsidRDefault="00470F0A" w:rsidP="00901941">
      <w:pPr>
        <w:spacing w:after="0" w:line="240" w:lineRule="auto"/>
        <w:ind w:firstLine="284"/>
        <w:jc w:val="both"/>
        <w:rPr>
          <w:rFonts w:ascii="Garamond" w:hAnsi="Garamond" w:cs="Times New Roman"/>
          <w:sz w:val="24"/>
          <w:szCs w:val="24"/>
        </w:rPr>
      </w:pPr>
      <w:r w:rsidRPr="002E3F2B">
        <w:rPr>
          <w:rFonts w:ascii="Garamond" w:hAnsi="Garamond" w:cs="Times New Roman"/>
          <w:sz w:val="24"/>
          <w:szCs w:val="24"/>
        </w:rPr>
        <w:t>Gjykata Kushtetuese e Republikës së Shqipërisë, e përbërë nga:</w:t>
      </w:r>
    </w:p>
    <w:tbl>
      <w:tblPr>
        <w:tblStyle w:val="TableGrid"/>
        <w:tblW w:w="0" w:type="auto"/>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1276"/>
      </w:tblGrid>
      <w:tr w:rsidR="00901941" w:rsidRPr="002E3F2B" w14:paraId="30E8E58F" w14:textId="77777777" w:rsidTr="00901941">
        <w:tc>
          <w:tcPr>
            <w:tcW w:w="2263" w:type="dxa"/>
          </w:tcPr>
          <w:p w14:paraId="6AFBFFB4" w14:textId="77777777" w:rsidR="00901941" w:rsidRPr="002E3F2B" w:rsidRDefault="00901941" w:rsidP="00901941">
            <w:pPr>
              <w:jc w:val="both"/>
              <w:rPr>
                <w:rFonts w:ascii="Garamond" w:hAnsi="Garamond" w:cs="Times New Roman"/>
                <w:sz w:val="24"/>
                <w:szCs w:val="24"/>
              </w:rPr>
            </w:pPr>
            <w:proofErr w:type="spellStart"/>
            <w:r w:rsidRPr="002E3F2B">
              <w:rPr>
                <w:rFonts w:ascii="Garamond" w:hAnsi="Garamond" w:cs="Times New Roman"/>
                <w:sz w:val="24"/>
                <w:szCs w:val="24"/>
              </w:rPr>
              <w:t>Fiona</w:t>
            </w:r>
            <w:proofErr w:type="spellEnd"/>
            <w:r w:rsidRPr="002E3F2B">
              <w:rPr>
                <w:rFonts w:ascii="Garamond" w:hAnsi="Garamond" w:cs="Times New Roman"/>
                <w:sz w:val="24"/>
                <w:szCs w:val="24"/>
              </w:rPr>
              <w:t xml:space="preserve"> </w:t>
            </w:r>
            <w:proofErr w:type="spellStart"/>
            <w:r w:rsidRPr="002E3F2B">
              <w:rPr>
                <w:rFonts w:ascii="Garamond" w:hAnsi="Garamond" w:cs="Times New Roman"/>
                <w:sz w:val="24"/>
                <w:szCs w:val="24"/>
              </w:rPr>
              <w:t>Papajorgji</w:t>
            </w:r>
            <w:proofErr w:type="spellEnd"/>
          </w:p>
        </w:tc>
        <w:tc>
          <w:tcPr>
            <w:tcW w:w="1276" w:type="dxa"/>
          </w:tcPr>
          <w:p w14:paraId="608D89B6" w14:textId="7F7B4306" w:rsidR="00901941" w:rsidRPr="002E3F2B" w:rsidRDefault="002E3F2B" w:rsidP="00901941">
            <w:pPr>
              <w:jc w:val="both"/>
              <w:rPr>
                <w:rFonts w:ascii="Garamond" w:hAnsi="Garamond" w:cs="Times New Roman"/>
                <w:sz w:val="24"/>
                <w:szCs w:val="24"/>
              </w:rPr>
            </w:pPr>
            <w:r w:rsidRPr="002E3F2B">
              <w:rPr>
                <w:rFonts w:ascii="Garamond" w:hAnsi="Garamond" w:cs="Times New Roman"/>
                <w:sz w:val="24"/>
                <w:szCs w:val="24"/>
              </w:rPr>
              <w:t>kryetare;</w:t>
            </w:r>
          </w:p>
        </w:tc>
      </w:tr>
      <w:tr w:rsidR="00901941" w:rsidRPr="002E3F2B" w14:paraId="09EA9E16" w14:textId="77777777" w:rsidTr="00901941">
        <w:tc>
          <w:tcPr>
            <w:tcW w:w="2263" w:type="dxa"/>
          </w:tcPr>
          <w:p w14:paraId="71BB5BA3" w14:textId="77777777" w:rsidR="00901941" w:rsidRPr="002E3F2B" w:rsidRDefault="00901941" w:rsidP="00901941">
            <w:pPr>
              <w:jc w:val="both"/>
              <w:rPr>
                <w:rFonts w:ascii="Garamond" w:hAnsi="Garamond" w:cs="Times New Roman"/>
                <w:sz w:val="24"/>
                <w:szCs w:val="24"/>
              </w:rPr>
            </w:pPr>
            <w:proofErr w:type="spellStart"/>
            <w:r w:rsidRPr="002E3F2B">
              <w:rPr>
                <w:rFonts w:ascii="Garamond" w:hAnsi="Garamond" w:cs="Times New Roman"/>
                <w:sz w:val="24"/>
                <w:szCs w:val="24"/>
              </w:rPr>
              <w:t>Marsida</w:t>
            </w:r>
            <w:proofErr w:type="spellEnd"/>
            <w:r w:rsidRPr="002E3F2B">
              <w:rPr>
                <w:rFonts w:ascii="Garamond" w:hAnsi="Garamond" w:cs="Times New Roman"/>
                <w:sz w:val="24"/>
                <w:szCs w:val="24"/>
              </w:rPr>
              <w:t xml:space="preserve"> </w:t>
            </w:r>
            <w:proofErr w:type="spellStart"/>
            <w:r w:rsidRPr="002E3F2B">
              <w:rPr>
                <w:rFonts w:ascii="Garamond" w:hAnsi="Garamond" w:cs="Times New Roman"/>
                <w:sz w:val="24"/>
                <w:szCs w:val="24"/>
              </w:rPr>
              <w:t>Xhaferllari</w:t>
            </w:r>
            <w:proofErr w:type="spellEnd"/>
          </w:p>
        </w:tc>
        <w:tc>
          <w:tcPr>
            <w:tcW w:w="1276" w:type="dxa"/>
          </w:tcPr>
          <w:p w14:paraId="3BB7815D" w14:textId="36C7348B" w:rsidR="00901941" w:rsidRPr="002E3F2B" w:rsidRDefault="002E3F2B" w:rsidP="00901941">
            <w:pPr>
              <w:jc w:val="both"/>
              <w:rPr>
                <w:rFonts w:ascii="Garamond" w:hAnsi="Garamond" w:cs="Times New Roman"/>
                <w:sz w:val="24"/>
                <w:szCs w:val="24"/>
              </w:rPr>
            </w:pPr>
            <w:r w:rsidRPr="002E3F2B">
              <w:rPr>
                <w:rFonts w:ascii="Garamond" w:hAnsi="Garamond" w:cs="Times New Roman"/>
                <w:sz w:val="24"/>
                <w:szCs w:val="24"/>
              </w:rPr>
              <w:t>anëtare;</w:t>
            </w:r>
          </w:p>
        </w:tc>
      </w:tr>
      <w:tr w:rsidR="00901941" w:rsidRPr="002E3F2B" w14:paraId="37D3C59C" w14:textId="77777777" w:rsidTr="00901941">
        <w:tc>
          <w:tcPr>
            <w:tcW w:w="2263" w:type="dxa"/>
          </w:tcPr>
          <w:p w14:paraId="08BF688B" w14:textId="77777777" w:rsidR="00901941" w:rsidRPr="002E3F2B" w:rsidRDefault="00901941" w:rsidP="00901941">
            <w:pPr>
              <w:jc w:val="both"/>
              <w:rPr>
                <w:rFonts w:ascii="Garamond" w:hAnsi="Garamond" w:cs="Times New Roman"/>
                <w:sz w:val="24"/>
                <w:szCs w:val="24"/>
              </w:rPr>
            </w:pPr>
            <w:proofErr w:type="spellStart"/>
            <w:r w:rsidRPr="002E3F2B">
              <w:rPr>
                <w:rFonts w:ascii="Garamond" w:hAnsi="Garamond" w:cs="Times New Roman"/>
                <w:sz w:val="24"/>
                <w:szCs w:val="24"/>
              </w:rPr>
              <w:t>Sonila</w:t>
            </w:r>
            <w:proofErr w:type="spellEnd"/>
            <w:r w:rsidRPr="002E3F2B">
              <w:rPr>
                <w:rFonts w:ascii="Garamond" w:hAnsi="Garamond" w:cs="Times New Roman"/>
                <w:sz w:val="24"/>
                <w:szCs w:val="24"/>
              </w:rPr>
              <w:t xml:space="preserve"> Bejtja</w:t>
            </w:r>
          </w:p>
        </w:tc>
        <w:tc>
          <w:tcPr>
            <w:tcW w:w="1276" w:type="dxa"/>
          </w:tcPr>
          <w:p w14:paraId="321A58F7" w14:textId="1337799D" w:rsidR="00901941" w:rsidRPr="002E3F2B" w:rsidRDefault="002E3F2B" w:rsidP="00901941">
            <w:pPr>
              <w:jc w:val="both"/>
              <w:rPr>
                <w:rFonts w:ascii="Garamond" w:hAnsi="Garamond" w:cs="Times New Roman"/>
                <w:sz w:val="24"/>
                <w:szCs w:val="24"/>
              </w:rPr>
            </w:pPr>
            <w:r w:rsidRPr="002E3F2B">
              <w:rPr>
                <w:rFonts w:ascii="Garamond" w:hAnsi="Garamond" w:cs="Times New Roman"/>
                <w:sz w:val="24"/>
                <w:szCs w:val="24"/>
              </w:rPr>
              <w:t>anëtare;</w:t>
            </w:r>
          </w:p>
        </w:tc>
      </w:tr>
      <w:tr w:rsidR="00901941" w:rsidRPr="002E3F2B" w14:paraId="0D01BC44" w14:textId="77777777" w:rsidTr="00901941">
        <w:tc>
          <w:tcPr>
            <w:tcW w:w="2263" w:type="dxa"/>
          </w:tcPr>
          <w:p w14:paraId="5250CF42" w14:textId="77777777" w:rsidR="00901941" w:rsidRPr="002E3F2B" w:rsidRDefault="00901941" w:rsidP="00901941">
            <w:pPr>
              <w:jc w:val="both"/>
              <w:rPr>
                <w:rFonts w:ascii="Garamond" w:hAnsi="Garamond" w:cs="Times New Roman"/>
                <w:sz w:val="24"/>
                <w:szCs w:val="24"/>
              </w:rPr>
            </w:pPr>
            <w:proofErr w:type="spellStart"/>
            <w:r w:rsidRPr="002E3F2B">
              <w:rPr>
                <w:rFonts w:ascii="Garamond" w:hAnsi="Garamond" w:cs="Times New Roman"/>
                <w:sz w:val="24"/>
                <w:szCs w:val="24"/>
              </w:rPr>
              <w:t>Sandër</w:t>
            </w:r>
            <w:proofErr w:type="spellEnd"/>
            <w:r w:rsidRPr="002E3F2B">
              <w:rPr>
                <w:rFonts w:ascii="Garamond" w:hAnsi="Garamond" w:cs="Times New Roman"/>
                <w:sz w:val="24"/>
                <w:szCs w:val="24"/>
              </w:rPr>
              <w:t xml:space="preserve"> Beci</w:t>
            </w:r>
          </w:p>
        </w:tc>
        <w:tc>
          <w:tcPr>
            <w:tcW w:w="1276" w:type="dxa"/>
          </w:tcPr>
          <w:p w14:paraId="012BEBCD" w14:textId="52412997" w:rsidR="00901941" w:rsidRPr="002E3F2B" w:rsidRDefault="002E3F2B" w:rsidP="00901941">
            <w:pPr>
              <w:jc w:val="both"/>
              <w:rPr>
                <w:rFonts w:ascii="Garamond" w:hAnsi="Garamond" w:cs="Times New Roman"/>
                <w:sz w:val="24"/>
                <w:szCs w:val="24"/>
              </w:rPr>
            </w:pPr>
            <w:r w:rsidRPr="002E3F2B">
              <w:rPr>
                <w:rFonts w:ascii="Garamond" w:hAnsi="Garamond" w:cs="Times New Roman"/>
                <w:sz w:val="24"/>
                <w:szCs w:val="24"/>
              </w:rPr>
              <w:t>anëtar;</w:t>
            </w:r>
          </w:p>
        </w:tc>
      </w:tr>
      <w:tr w:rsidR="00901941" w:rsidRPr="002E3F2B" w14:paraId="2358DEC1" w14:textId="77777777" w:rsidTr="00901941">
        <w:tc>
          <w:tcPr>
            <w:tcW w:w="2263" w:type="dxa"/>
          </w:tcPr>
          <w:p w14:paraId="16A0374D" w14:textId="77777777" w:rsidR="00901941" w:rsidRPr="002E3F2B" w:rsidRDefault="00901941" w:rsidP="00901941">
            <w:pPr>
              <w:jc w:val="both"/>
              <w:rPr>
                <w:rFonts w:ascii="Garamond" w:hAnsi="Garamond" w:cs="Times New Roman"/>
                <w:sz w:val="24"/>
                <w:szCs w:val="24"/>
              </w:rPr>
            </w:pPr>
            <w:r w:rsidRPr="002E3F2B">
              <w:rPr>
                <w:rFonts w:ascii="Garamond" w:hAnsi="Garamond" w:cs="Times New Roman"/>
                <w:sz w:val="24"/>
                <w:szCs w:val="24"/>
              </w:rPr>
              <w:t>Ilir Toska</w:t>
            </w:r>
          </w:p>
        </w:tc>
        <w:tc>
          <w:tcPr>
            <w:tcW w:w="1276" w:type="dxa"/>
          </w:tcPr>
          <w:p w14:paraId="1B76459A" w14:textId="28E5707B" w:rsidR="00901941" w:rsidRPr="002E3F2B" w:rsidRDefault="002E3F2B" w:rsidP="00901941">
            <w:pPr>
              <w:jc w:val="both"/>
              <w:rPr>
                <w:rFonts w:ascii="Garamond" w:hAnsi="Garamond" w:cs="Times New Roman"/>
                <w:sz w:val="24"/>
                <w:szCs w:val="24"/>
              </w:rPr>
            </w:pPr>
            <w:r w:rsidRPr="002E3F2B">
              <w:rPr>
                <w:rFonts w:ascii="Garamond" w:hAnsi="Garamond" w:cs="Times New Roman"/>
                <w:sz w:val="24"/>
                <w:szCs w:val="24"/>
              </w:rPr>
              <w:t>anëtar;</w:t>
            </w:r>
          </w:p>
        </w:tc>
      </w:tr>
      <w:tr w:rsidR="00901941" w:rsidRPr="002E3F2B" w14:paraId="37B24ED8" w14:textId="77777777" w:rsidTr="00901941">
        <w:tc>
          <w:tcPr>
            <w:tcW w:w="2263" w:type="dxa"/>
          </w:tcPr>
          <w:p w14:paraId="23665DFB" w14:textId="77777777" w:rsidR="00901941" w:rsidRPr="002E3F2B" w:rsidRDefault="00901941" w:rsidP="00901941">
            <w:pPr>
              <w:jc w:val="both"/>
              <w:rPr>
                <w:rFonts w:ascii="Garamond" w:hAnsi="Garamond" w:cs="Times New Roman"/>
                <w:sz w:val="24"/>
                <w:szCs w:val="24"/>
              </w:rPr>
            </w:pPr>
            <w:r w:rsidRPr="002E3F2B">
              <w:rPr>
                <w:rFonts w:ascii="Garamond" w:hAnsi="Garamond" w:cs="Times New Roman"/>
                <w:sz w:val="24"/>
                <w:szCs w:val="24"/>
              </w:rPr>
              <w:t>Genti Ibrahimi</w:t>
            </w:r>
          </w:p>
        </w:tc>
        <w:tc>
          <w:tcPr>
            <w:tcW w:w="1276" w:type="dxa"/>
          </w:tcPr>
          <w:p w14:paraId="2930296F" w14:textId="0518E45F" w:rsidR="00901941" w:rsidRPr="002E3F2B" w:rsidRDefault="002E3F2B" w:rsidP="00901941">
            <w:pPr>
              <w:jc w:val="both"/>
              <w:rPr>
                <w:rFonts w:ascii="Garamond" w:hAnsi="Garamond" w:cs="Times New Roman"/>
                <w:sz w:val="24"/>
                <w:szCs w:val="24"/>
              </w:rPr>
            </w:pPr>
            <w:r w:rsidRPr="002E3F2B">
              <w:rPr>
                <w:rFonts w:ascii="Garamond" w:hAnsi="Garamond" w:cs="Times New Roman"/>
                <w:sz w:val="24"/>
                <w:szCs w:val="24"/>
              </w:rPr>
              <w:t>anëtar;</w:t>
            </w:r>
          </w:p>
        </w:tc>
      </w:tr>
      <w:tr w:rsidR="00901941" w:rsidRPr="002E3F2B" w14:paraId="6FCBE7E8" w14:textId="77777777" w:rsidTr="00901941">
        <w:tc>
          <w:tcPr>
            <w:tcW w:w="2263" w:type="dxa"/>
          </w:tcPr>
          <w:p w14:paraId="4E87898D" w14:textId="77777777" w:rsidR="00901941" w:rsidRPr="002E3F2B" w:rsidRDefault="00901941" w:rsidP="00901941">
            <w:pPr>
              <w:jc w:val="both"/>
              <w:rPr>
                <w:rFonts w:ascii="Garamond" w:hAnsi="Garamond" w:cs="Times New Roman"/>
                <w:sz w:val="24"/>
                <w:szCs w:val="24"/>
              </w:rPr>
            </w:pPr>
            <w:proofErr w:type="spellStart"/>
            <w:r w:rsidRPr="002E3F2B">
              <w:rPr>
                <w:rFonts w:ascii="Garamond" w:hAnsi="Garamond" w:cs="Times New Roman"/>
                <w:sz w:val="24"/>
                <w:szCs w:val="24"/>
              </w:rPr>
              <w:t>Asim</w:t>
            </w:r>
            <w:proofErr w:type="spellEnd"/>
            <w:r w:rsidRPr="002E3F2B">
              <w:rPr>
                <w:rFonts w:ascii="Garamond" w:hAnsi="Garamond" w:cs="Times New Roman"/>
                <w:sz w:val="24"/>
                <w:szCs w:val="24"/>
              </w:rPr>
              <w:t xml:space="preserve"> </w:t>
            </w:r>
            <w:proofErr w:type="spellStart"/>
            <w:r w:rsidRPr="002E3F2B">
              <w:rPr>
                <w:rFonts w:ascii="Garamond" w:hAnsi="Garamond" w:cs="Times New Roman"/>
                <w:sz w:val="24"/>
                <w:szCs w:val="24"/>
              </w:rPr>
              <w:t>Vokshi</w:t>
            </w:r>
            <w:proofErr w:type="spellEnd"/>
          </w:p>
        </w:tc>
        <w:tc>
          <w:tcPr>
            <w:tcW w:w="1276" w:type="dxa"/>
          </w:tcPr>
          <w:p w14:paraId="40B4B68C" w14:textId="26FDC124" w:rsidR="00901941" w:rsidRPr="002E3F2B" w:rsidRDefault="002E3F2B" w:rsidP="00901941">
            <w:pPr>
              <w:jc w:val="both"/>
              <w:rPr>
                <w:rFonts w:ascii="Garamond" w:hAnsi="Garamond" w:cs="Times New Roman"/>
                <w:sz w:val="24"/>
                <w:szCs w:val="24"/>
              </w:rPr>
            </w:pPr>
            <w:r w:rsidRPr="002E3F2B">
              <w:rPr>
                <w:rFonts w:ascii="Garamond" w:hAnsi="Garamond" w:cs="Times New Roman"/>
                <w:sz w:val="24"/>
                <w:szCs w:val="24"/>
              </w:rPr>
              <w:t>anëtar;</w:t>
            </w:r>
          </w:p>
        </w:tc>
      </w:tr>
      <w:tr w:rsidR="00901941" w:rsidRPr="002E3F2B" w14:paraId="6D6673B6" w14:textId="77777777" w:rsidTr="00901941">
        <w:tc>
          <w:tcPr>
            <w:tcW w:w="2263" w:type="dxa"/>
          </w:tcPr>
          <w:p w14:paraId="7C8CA152" w14:textId="77777777" w:rsidR="00901941" w:rsidRPr="002E3F2B" w:rsidRDefault="00901941" w:rsidP="00901941">
            <w:pPr>
              <w:jc w:val="both"/>
              <w:rPr>
                <w:rFonts w:ascii="Garamond" w:hAnsi="Garamond" w:cs="Times New Roman"/>
                <w:sz w:val="24"/>
                <w:szCs w:val="24"/>
              </w:rPr>
            </w:pPr>
            <w:proofErr w:type="spellStart"/>
            <w:r w:rsidRPr="002E3F2B">
              <w:rPr>
                <w:rFonts w:ascii="Garamond" w:hAnsi="Garamond" w:cs="Times New Roman"/>
                <w:sz w:val="24"/>
                <w:szCs w:val="24"/>
              </w:rPr>
              <w:t>Marjana</w:t>
            </w:r>
            <w:proofErr w:type="spellEnd"/>
            <w:r w:rsidRPr="002E3F2B">
              <w:rPr>
                <w:rFonts w:ascii="Garamond" w:hAnsi="Garamond" w:cs="Times New Roman"/>
                <w:sz w:val="24"/>
                <w:szCs w:val="24"/>
              </w:rPr>
              <w:t xml:space="preserve"> </w:t>
            </w:r>
            <w:proofErr w:type="spellStart"/>
            <w:r w:rsidRPr="002E3F2B">
              <w:rPr>
                <w:rFonts w:ascii="Garamond" w:hAnsi="Garamond" w:cs="Times New Roman"/>
                <w:sz w:val="24"/>
                <w:szCs w:val="24"/>
              </w:rPr>
              <w:t>Semini</w:t>
            </w:r>
            <w:proofErr w:type="spellEnd"/>
          </w:p>
        </w:tc>
        <w:tc>
          <w:tcPr>
            <w:tcW w:w="1276" w:type="dxa"/>
          </w:tcPr>
          <w:p w14:paraId="3A15B250" w14:textId="6FE7577E" w:rsidR="00901941" w:rsidRPr="002E3F2B" w:rsidRDefault="002E3F2B" w:rsidP="00901941">
            <w:pPr>
              <w:jc w:val="both"/>
              <w:rPr>
                <w:rFonts w:ascii="Garamond" w:hAnsi="Garamond" w:cs="Times New Roman"/>
                <w:sz w:val="24"/>
                <w:szCs w:val="24"/>
              </w:rPr>
            </w:pPr>
            <w:r w:rsidRPr="002E3F2B">
              <w:rPr>
                <w:rFonts w:ascii="Garamond" w:hAnsi="Garamond" w:cs="Times New Roman"/>
                <w:sz w:val="24"/>
                <w:szCs w:val="24"/>
              </w:rPr>
              <w:t>anëtare,</w:t>
            </w:r>
          </w:p>
        </w:tc>
      </w:tr>
    </w:tbl>
    <w:p w14:paraId="609E604C" w14:textId="499F0319" w:rsidR="00470F0A" w:rsidRPr="002E3F2B" w:rsidRDefault="00470F0A" w:rsidP="00901941">
      <w:pPr>
        <w:spacing w:after="0" w:line="240" w:lineRule="auto"/>
        <w:ind w:firstLine="284"/>
        <w:jc w:val="both"/>
        <w:rPr>
          <w:rFonts w:ascii="Garamond" w:hAnsi="Garamond" w:cs="Times New Roman"/>
          <w:sz w:val="24"/>
          <w:szCs w:val="24"/>
        </w:rPr>
      </w:pPr>
      <w:r w:rsidRPr="002E3F2B">
        <w:rPr>
          <w:rFonts w:ascii="Garamond" w:hAnsi="Garamond" w:cs="Times New Roman"/>
          <w:sz w:val="24"/>
          <w:szCs w:val="24"/>
        </w:rPr>
        <w:t>me sekretar</w:t>
      </w:r>
      <w:r w:rsidR="002E3F2B" w:rsidRPr="002E3F2B">
        <w:rPr>
          <w:rFonts w:ascii="Garamond" w:hAnsi="Garamond" w:cs="Times New Roman"/>
          <w:sz w:val="24"/>
          <w:szCs w:val="24"/>
        </w:rPr>
        <w:t xml:space="preserve">e </w:t>
      </w:r>
      <w:proofErr w:type="spellStart"/>
      <w:r w:rsidR="002E3F2B" w:rsidRPr="002E3F2B">
        <w:rPr>
          <w:rFonts w:ascii="Garamond" w:hAnsi="Garamond" w:cs="Times New Roman"/>
          <w:sz w:val="24"/>
          <w:szCs w:val="24"/>
        </w:rPr>
        <w:t>Farisja</w:t>
      </w:r>
      <w:proofErr w:type="spellEnd"/>
      <w:r w:rsidR="002E3F2B" w:rsidRPr="002E3F2B">
        <w:rPr>
          <w:rFonts w:ascii="Garamond" w:hAnsi="Garamond" w:cs="Times New Roman"/>
          <w:sz w:val="24"/>
          <w:szCs w:val="24"/>
        </w:rPr>
        <w:t xml:space="preserve"> </w:t>
      </w:r>
      <w:proofErr w:type="spellStart"/>
      <w:r w:rsidR="002E3F2B" w:rsidRPr="002E3F2B">
        <w:rPr>
          <w:rFonts w:ascii="Garamond" w:hAnsi="Garamond" w:cs="Times New Roman"/>
          <w:sz w:val="24"/>
          <w:szCs w:val="24"/>
        </w:rPr>
        <w:t>Idrizaj</w:t>
      </w:r>
      <w:proofErr w:type="spellEnd"/>
      <w:r w:rsidR="002E3F2B" w:rsidRPr="002E3F2B">
        <w:rPr>
          <w:rFonts w:ascii="Garamond" w:hAnsi="Garamond" w:cs="Times New Roman"/>
          <w:sz w:val="24"/>
          <w:szCs w:val="24"/>
        </w:rPr>
        <w:t>, në datën 20.</w:t>
      </w:r>
      <w:r w:rsidRPr="002E3F2B">
        <w:rPr>
          <w:rFonts w:ascii="Garamond" w:hAnsi="Garamond" w:cs="Times New Roman"/>
          <w:sz w:val="24"/>
          <w:szCs w:val="24"/>
        </w:rPr>
        <w:t>5.2026</w:t>
      </w:r>
      <w:r w:rsidR="002E3F2B" w:rsidRPr="002E3F2B">
        <w:rPr>
          <w:rFonts w:ascii="Garamond" w:hAnsi="Garamond" w:cs="Times New Roman"/>
          <w:sz w:val="24"/>
          <w:szCs w:val="24"/>
        </w:rPr>
        <w:t>,</w:t>
      </w:r>
      <w:r w:rsidRPr="002E3F2B">
        <w:rPr>
          <w:rFonts w:ascii="Garamond" w:hAnsi="Garamond" w:cs="Times New Roman"/>
          <w:sz w:val="24"/>
          <w:szCs w:val="24"/>
        </w:rPr>
        <w:t xml:space="preserve"> mori në shqyrtim në seancë plenare mbi bazë të dokumenteve çështjen nr. 19 (S) 2025</w:t>
      </w:r>
      <w:r w:rsidRPr="002E3F2B">
        <w:rPr>
          <w:rFonts w:ascii="Garamond" w:hAnsi="Garamond" w:cs="Times New Roman"/>
          <w:b/>
          <w:bCs/>
          <w:sz w:val="24"/>
          <w:szCs w:val="24"/>
        </w:rPr>
        <w:t xml:space="preserve"> </w:t>
      </w:r>
      <w:r w:rsidRPr="002E3F2B">
        <w:rPr>
          <w:rFonts w:ascii="Garamond" w:hAnsi="Garamond" w:cs="Times New Roman"/>
          <w:sz w:val="24"/>
          <w:szCs w:val="24"/>
        </w:rPr>
        <w:t>të Regjistrit Themeltar,</w:t>
      </w:r>
      <w:r w:rsidRPr="002E3F2B">
        <w:rPr>
          <w:rFonts w:ascii="Garamond" w:hAnsi="Garamond" w:cs="Times New Roman"/>
          <w:b/>
          <w:bCs/>
          <w:sz w:val="24"/>
          <w:szCs w:val="24"/>
        </w:rPr>
        <w:t xml:space="preserve"> </w:t>
      </w:r>
      <w:r w:rsidRPr="002E3F2B">
        <w:rPr>
          <w:rFonts w:ascii="Garamond" w:hAnsi="Garamond" w:cs="Times New Roman"/>
          <w:sz w:val="24"/>
          <w:szCs w:val="24"/>
        </w:rPr>
        <w:t>që u përket:</w:t>
      </w:r>
    </w:p>
    <w:p w14:paraId="77D9F7ED" w14:textId="39FA512B" w:rsidR="00470F0A" w:rsidRPr="002E3F2B" w:rsidRDefault="00470F0A" w:rsidP="00901941">
      <w:pPr>
        <w:tabs>
          <w:tab w:val="left" w:pos="1080"/>
        </w:tabs>
        <w:spacing w:after="0" w:line="240" w:lineRule="auto"/>
        <w:ind w:firstLine="284"/>
        <w:jc w:val="both"/>
        <w:rPr>
          <w:rFonts w:ascii="Garamond" w:hAnsi="Garamond" w:cs="Times New Roman"/>
          <w:bCs/>
          <w:sz w:val="24"/>
          <w:szCs w:val="24"/>
        </w:rPr>
      </w:pPr>
      <w:r w:rsidRPr="002E3F2B">
        <w:rPr>
          <w:rFonts w:ascii="Garamond" w:hAnsi="Garamond" w:cs="Times New Roman"/>
          <w:bCs/>
          <w:sz w:val="24"/>
          <w:szCs w:val="24"/>
        </w:rPr>
        <w:t xml:space="preserve">KËRKUES: </w:t>
      </w:r>
      <w:proofErr w:type="spellStart"/>
      <w:r w:rsidR="002E3F2B" w:rsidRPr="002E3F2B">
        <w:rPr>
          <w:rFonts w:ascii="Garamond" w:hAnsi="Garamond" w:cs="Times New Roman"/>
          <w:bCs/>
          <w:sz w:val="24"/>
          <w:szCs w:val="24"/>
        </w:rPr>
        <w:t>Sanie</w:t>
      </w:r>
      <w:proofErr w:type="spellEnd"/>
      <w:r w:rsidR="002E3F2B" w:rsidRPr="002E3F2B">
        <w:rPr>
          <w:rFonts w:ascii="Garamond" w:hAnsi="Garamond" w:cs="Times New Roman"/>
          <w:bCs/>
          <w:sz w:val="24"/>
          <w:szCs w:val="24"/>
        </w:rPr>
        <w:t xml:space="preserve"> </w:t>
      </w:r>
      <w:proofErr w:type="spellStart"/>
      <w:r w:rsidR="002E3F2B" w:rsidRPr="002E3F2B">
        <w:rPr>
          <w:rFonts w:ascii="Garamond" w:hAnsi="Garamond" w:cs="Times New Roman"/>
          <w:bCs/>
          <w:sz w:val="24"/>
          <w:szCs w:val="24"/>
        </w:rPr>
        <w:t>Metushi</w:t>
      </w:r>
      <w:proofErr w:type="spellEnd"/>
      <w:r w:rsidRPr="002E3F2B">
        <w:rPr>
          <w:rFonts w:ascii="Garamond" w:hAnsi="Garamond" w:cs="Times New Roman"/>
          <w:bCs/>
          <w:sz w:val="24"/>
          <w:szCs w:val="24"/>
        </w:rPr>
        <w:t xml:space="preserve">, </w:t>
      </w:r>
      <w:r w:rsidR="002E3F2B" w:rsidRPr="002E3F2B">
        <w:rPr>
          <w:rFonts w:ascii="Garamond" w:hAnsi="Garamond" w:cs="Times New Roman"/>
          <w:bCs/>
          <w:sz w:val="24"/>
          <w:szCs w:val="24"/>
        </w:rPr>
        <w:t xml:space="preserve">Dudi Shabani </w:t>
      </w:r>
      <w:r w:rsidRPr="002E3F2B">
        <w:rPr>
          <w:rFonts w:ascii="Garamond" w:hAnsi="Garamond" w:cs="Times New Roman"/>
          <w:bCs/>
          <w:sz w:val="24"/>
          <w:szCs w:val="24"/>
        </w:rPr>
        <w:t>(</w:t>
      </w:r>
      <w:proofErr w:type="spellStart"/>
      <w:r w:rsidR="002E3F2B" w:rsidRPr="002E3F2B">
        <w:rPr>
          <w:rFonts w:ascii="Garamond" w:hAnsi="Garamond" w:cs="Times New Roman"/>
          <w:bCs/>
          <w:sz w:val="24"/>
          <w:szCs w:val="24"/>
        </w:rPr>
        <w:t>Metushi</w:t>
      </w:r>
      <w:proofErr w:type="spellEnd"/>
      <w:r w:rsidRPr="002E3F2B">
        <w:rPr>
          <w:rFonts w:ascii="Garamond" w:hAnsi="Garamond" w:cs="Times New Roman"/>
          <w:bCs/>
          <w:sz w:val="24"/>
          <w:szCs w:val="24"/>
        </w:rPr>
        <w:t xml:space="preserve">), </w:t>
      </w:r>
      <w:r w:rsidRPr="002E3F2B">
        <w:rPr>
          <w:rFonts w:ascii="Garamond" w:hAnsi="Garamond" w:cs="Times New Roman"/>
          <w:sz w:val="24"/>
          <w:szCs w:val="24"/>
        </w:rPr>
        <w:t xml:space="preserve">përfaqësuar nga avokati </w:t>
      </w:r>
      <w:proofErr w:type="spellStart"/>
      <w:r w:rsidRPr="002E3F2B">
        <w:rPr>
          <w:rFonts w:ascii="Garamond" w:hAnsi="Garamond" w:cs="Times New Roman"/>
          <w:sz w:val="24"/>
          <w:szCs w:val="24"/>
        </w:rPr>
        <w:t>Toto</w:t>
      </w:r>
      <w:proofErr w:type="spellEnd"/>
      <w:r w:rsidRPr="002E3F2B">
        <w:rPr>
          <w:rFonts w:ascii="Garamond" w:hAnsi="Garamond" w:cs="Times New Roman"/>
          <w:sz w:val="24"/>
          <w:szCs w:val="24"/>
        </w:rPr>
        <w:t xml:space="preserve"> </w:t>
      </w:r>
      <w:proofErr w:type="spellStart"/>
      <w:r w:rsidRPr="002E3F2B">
        <w:rPr>
          <w:rFonts w:ascii="Garamond" w:hAnsi="Garamond" w:cs="Times New Roman"/>
          <w:sz w:val="24"/>
          <w:szCs w:val="24"/>
        </w:rPr>
        <w:t>Avdiaj</w:t>
      </w:r>
      <w:proofErr w:type="spellEnd"/>
      <w:r w:rsidRPr="002E3F2B">
        <w:rPr>
          <w:rFonts w:ascii="Garamond" w:hAnsi="Garamond" w:cs="Times New Roman"/>
          <w:sz w:val="24"/>
          <w:szCs w:val="24"/>
        </w:rPr>
        <w:t>, me prokurë të posaçme.</w:t>
      </w:r>
    </w:p>
    <w:p w14:paraId="4D20098A" w14:textId="0C1832E2" w:rsidR="00470F0A" w:rsidRPr="002E3F2B" w:rsidRDefault="00470F0A" w:rsidP="002E3F2B">
      <w:pPr>
        <w:tabs>
          <w:tab w:val="left" w:pos="1080"/>
        </w:tabs>
        <w:spacing w:after="0" w:line="240" w:lineRule="auto"/>
        <w:ind w:firstLine="284"/>
        <w:jc w:val="both"/>
        <w:rPr>
          <w:rFonts w:ascii="Garamond" w:hAnsi="Garamond" w:cs="Times New Roman"/>
          <w:bCs/>
          <w:sz w:val="24"/>
          <w:szCs w:val="24"/>
        </w:rPr>
      </w:pPr>
      <w:r w:rsidRPr="002E3F2B">
        <w:rPr>
          <w:rFonts w:ascii="Garamond" w:hAnsi="Garamond" w:cs="Times New Roman"/>
          <w:bCs/>
          <w:sz w:val="24"/>
          <w:szCs w:val="24"/>
        </w:rPr>
        <w:t>SUBJEKT I INTERESUAR:</w:t>
      </w:r>
      <w:r w:rsidR="002E3F2B">
        <w:rPr>
          <w:rFonts w:ascii="Garamond" w:hAnsi="Garamond" w:cs="Times New Roman"/>
          <w:bCs/>
          <w:sz w:val="24"/>
          <w:szCs w:val="24"/>
        </w:rPr>
        <w:t xml:space="preserve"> </w:t>
      </w:r>
      <w:r w:rsidR="002E3F2B" w:rsidRPr="002E3F2B">
        <w:rPr>
          <w:rFonts w:ascii="Garamond" w:hAnsi="Garamond" w:cs="Times New Roman"/>
          <w:bCs/>
          <w:sz w:val="24"/>
          <w:szCs w:val="24"/>
        </w:rPr>
        <w:t>Prokuroria e</w:t>
      </w:r>
      <w:r w:rsidRPr="002E3F2B">
        <w:rPr>
          <w:rFonts w:ascii="Garamond" w:hAnsi="Garamond" w:cs="Times New Roman"/>
          <w:bCs/>
          <w:sz w:val="24"/>
          <w:szCs w:val="24"/>
        </w:rPr>
        <w:t xml:space="preserve"> </w:t>
      </w:r>
      <w:r w:rsidR="002E3F2B" w:rsidRPr="002E3F2B">
        <w:rPr>
          <w:rFonts w:ascii="Garamond" w:hAnsi="Garamond" w:cs="Times New Roman"/>
          <w:bCs/>
          <w:sz w:val="24"/>
          <w:szCs w:val="24"/>
        </w:rPr>
        <w:t>Përgjithshme</w:t>
      </w:r>
      <w:r w:rsidRPr="002E3F2B">
        <w:rPr>
          <w:rFonts w:ascii="Garamond" w:hAnsi="Garamond" w:cs="Times New Roman"/>
          <w:sz w:val="24"/>
          <w:szCs w:val="24"/>
        </w:rPr>
        <w:t>,</w:t>
      </w:r>
      <w:r w:rsidRPr="002E3F2B">
        <w:rPr>
          <w:rFonts w:ascii="Garamond" w:hAnsi="Garamond" w:cs="Times New Roman"/>
          <w:bCs/>
          <w:sz w:val="24"/>
          <w:szCs w:val="24"/>
        </w:rPr>
        <w:t xml:space="preserve"> </w:t>
      </w:r>
      <w:r w:rsidRPr="002E3F2B">
        <w:rPr>
          <w:rFonts w:ascii="Garamond" w:hAnsi="Garamond" w:cs="Times New Roman"/>
          <w:sz w:val="24"/>
          <w:szCs w:val="24"/>
        </w:rPr>
        <w:t xml:space="preserve">përfaqësuar nga prokurori </w:t>
      </w:r>
      <w:proofErr w:type="spellStart"/>
      <w:r w:rsidRPr="002E3F2B">
        <w:rPr>
          <w:rFonts w:ascii="Garamond" w:hAnsi="Garamond" w:cs="Times New Roman"/>
          <w:sz w:val="24"/>
          <w:szCs w:val="24"/>
        </w:rPr>
        <w:t>Arqilea</w:t>
      </w:r>
      <w:proofErr w:type="spellEnd"/>
      <w:r w:rsidRPr="002E3F2B">
        <w:rPr>
          <w:rFonts w:ascii="Garamond" w:hAnsi="Garamond" w:cs="Times New Roman"/>
          <w:sz w:val="24"/>
          <w:szCs w:val="24"/>
        </w:rPr>
        <w:t xml:space="preserve"> Koça.</w:t>
      </w:r>
    </w:p>
    <w:p w14:paraId="5CF9B555" w14:textId="5ABA430F" w:rsidR="00470F0A" w:rsidRPr="002E3F2B" w:rsidRDefault="00470F0A" w:rsidP="00901941">
      <w:pPr>
        <w:spacing w:after="0" w:line="240" w:lineRule="auto"/>
        <w:ind w:firstLine="284"/>
        <w:jc w:val="both"/>
        <w:rPr>
          <w:rFonts w:ascii="Garamond" w:hAnsi="Garamond" w:cs="Times New Roman"/>
          <w:bCs/>
          <w:sz w:val="24"/>
          <w:szCs w:val="24"/>
        </w:rPr>
      </w:pPr>
      <w:r w:rsidRPr="002E3F2B">
        <w:rPr>
          <w:rFonts w:ascii="Garamond" w:hAnsi="Garamond" w:cs="Times New Roman"/>
          <w:bCs/>
          <w:sz w:val="24"/>
          <w:szCs w:val="24"/>
        </w:rPr>
        <w:t>OBJEKTI: Shfuqizimi i vendimeve n</w:t>
      </w:r>
      <w:r w:rsidR="002E3F2B">
        <w:rPr>
          <w:rFonts w:ascii="Garamond" w:hAnsi="Garamond" w:cs="Times New Roman"/>
          <w:bCs/>
          <w:sz w:val="24"/>
          <w:szCs w:val="24"/>
        </w:rPr>
        <w:t>r. 62-2022-2874 (789), datë 8.</w:t>
      </w:r>
      <w:r w:rsidRPr="002E3F2B">
        <w:rPr>
          <w:rFonts w:ascii="Garamond" w:hAnsi="Garamond" w:cs="Times New Roman"/>
          <w:bCs/>
          <w:sz w:val="24"/>
          <w:szCs w:val="24"/>
        </w:rPr>
        <w:t>7.2022</w:t>
      </w:r>
      <w:r w:rsidR="002E3F2B">
        <w:rPr>
          <w:rFonts w:ascii="Garamond" w:hAnsi="Garamond" w:cs="Times New Roman"/>
          <w:bCs/>
          <w:sz w:val="24"/>
          <w:szCs w:val="24"/>
        </w:rPr>
        <w:t>,</w:t>
      </w:r>
      <w:r w:rsidRPr="002E3F2B">
        <w:rPr>
          <w:rFonts w:ascii="Garamond" w:hAnsi="Garamond" w:cs="Times New Roman"/>
          <w:bCs/>
          <w:sz w:val="24"/>
          <w:szCs w:val="24"/>
        </w:rPr>
        <w:t xml:space="preserve"> të Gjykatës së Rrethit Gjyqësor Fier; nr. 97, datë 11.10.2022 të Gjykatës së Apeli</w:t>
      </w:r>
      <w:r w:rsidR="002E3F2B">
        <w:rPr>
          <w:rFonts w:ascii="Garamond" w:hAnsi="Garamond" w:cs="Times New Roman"/>
          <w:bCs/>
          <w:sz w:val="24"/>
          <w:szCs w:val="24"/>
        </w:rPr>
        <w:t>t Vlorë; nr. 00-2025-553, datë 2.</w:t>
      </w:r>
      <w:r w:rsidRPr="002E3F2B">
        <w:rPr>
          <w:rFonts w:ascii="Garamond" w:hAnsi="Garamond" w:cs="Times New Roman"/>
          <w:bCs/>
          <w:sz w:val="24"/>
          <w:szCs w:val="24"/>
        </w:rPr>
        <w:t>4.2025</w:t>
      </w:r>
      <w:r w:rsidR="002E3F2B">
        <w:rPr>
          <w:rFonts w:ascii="Garamond" w:hAnsi="Garamond" w:cs="Times New Roman"/>
          <w:bCs/>
          <w:sz w:val="24"/>
          <w:szCs w:val="24"/>
        </w:rPr>
        <w:t>,</w:t>
      </w:r>
      <w:r w:rsidRPr="002E3F2B">
        <w:rPr>
          <w:rFonts w:ascii="Garamond" w:hAnsi="Garamond" w:cs="Times New Roman"/>
          <w:bCs/>
          <w:sz w:val="24"/>
          <w:szCs w:val="24"/>
        </w:rPr>
        <w:t xml:space="preserve"> të Kolegjit Penal të Gjykatës së Lartë, si të papajtueshme me Kushtetutën e Republikës së Shqipërisë.</w:t>
      </w:r>
    </w:p>
    <w:p w14:paraId="29561241" w14:textId="0F3502D4" w:rsidR="00470F0A" w:rsidRPr="002E3F2B" w:rsidRDefault="00470F0A" w:rsidP="00901941">
      <w:pPr>
        <w:tabs>
          <w:tab w:val="left" w:pos="1080"/>
        </w:tabs>
        <w:spacing w:after="0" w:line="240" w:lineRule="auto"/>
        <w:ind w:firstLine="284"/>
        <w:jc w:val="both"/>
        <w:rPr>
          <w:rFonts w:ascii="Garamond" w:hAnsi="Garamond" w:cs="Times New Roman"/>
          <w:bCs/>
          <w:i/>
          <w:iCs/>
          <w:sz w:val="24"/>
          <w:szCs w:val="24"/>
        </w:rPr>
      </w:pPr>
      <w:r w:rsidRPr="002E3F2B">
        <w:rPr>
          <w:rFonts w:ascii="Garamond" w:hAnsi="Garamond" w:cs="Times New Roman"/>
          <w:bCs/>
          <w:sz w:val="24"/>
          <w:szCs w:val="24"/>
        </w:rPr>
        <w:t xml:space="preserve"> BAZA LIGJORE: Nenet 18, 41, 42, 131, pika 1, shkronja “f” dhe 134, pika 1, shkronja “i”, të Kushtetutës së Republikës së Shqipërisë </w:t>
      </w:r>
      <w:r w:rsidRPr="002E3F2B">
        <w:rPr>
          <w:rFonts w:ascii="Garamond" w:hAnsi="Garamond" w:cs="Times New Roman"/>
          <w:bCs/>
          <w:i/>
          <w:iCs/>
          <w:sz w:val="24"/>
          <w:szCs w:val="24"/>
        </w:rPr>
        <w:t>(Kushtetuta)</w:t>
      </w:r>
      <w:r w:rsidRPr="002E3F2B">
        <w:rPr>
          <w:rFonts w:ascii="Garamond" w:hAnsi="Garamond" w:cs="Times New Roman"/>
          <w:bCs/>
          <w:sz w:val="24"/>
          <w:szCs w:val="24"/>
        </w:rPr>
        <w:t xml:space="preserve">; nenet 6, 13 dhe 14 të Konventës Evropiane për të Drejtat e Njeriut </w:t>
      </w:r>
      <w:r w:rsidRPr="002E3F2B">
        <w:rPr>
          <w:rFonts w:ascii="Garamond" w:hAnsi="Garamond" w:cs="Times New Roman"/>
          <w:bCs/>
          <w:i/>
          <w:iCs/>
          <w:sz w:val="24"/>
          <w:szCs w:val="24"/>
        </w:rPr>
        <w:t xml:space="preserve">(KEDNJ) </w:t>
      </w:r>
      <w:r w:rsidRPr="002E3F2B">
        <w:rPr>
          <w:rFonts w:ascii="Garamond" w:hAnsi="Garamond" w:cs="Times New Roman"/>
          <w:bCs/>
          <w:sz w:val="24"/>
          <w:szCs w:val="24"/>
        </w:rPr>
        <w:t>dhe</w:t>
      </w:r>
      <w:r w:rsidRPr="002E3F2B">
        <w:rPr>
          <w:rFonts w:ascii="Garamond" w:hAnsi="Garamond" w:cs="Times New Roman"/>
          <w:bCs/>
          <w:i/>
          <w:iCs/>
          <w:sz w:val="24"/>
          <w:szCs w:val="24"/>
        </w:rPr>
        <w:t xml:space="preserve"> </w:t>
      </w:r>
      <w:r w:rsidRPr="002E3F2B">
        <w:rPr>
          <w:rFonts w:ascii="Garamond" w:hAnsi="Garamond" w:cs="Times New Roman"/>
          <w:bCs/>
          <w:sz w:val="24"/>
          <w:szCs w:val="24"/>
        </w:rPr>
        <w:t>neni 1</w:t>
      </w:r>
      <w:r w:rsidR="002E3F2B">
        <w:rPr>
          <w:rFonts w:ascii="Garamond" w:hAnsi="Garamond" w:cs="Times New Roman"/>
          <w:bCs/>
          <w:sz w:val="24"/>
          <w:szCs w:val="24"/>
        </w:rPr>
        <w:t>,</w:t>
      </w:r>
      <w:r w:rsidRPr="002E3F2B">
        <w:rPr>
          <w:rFonts w:ascii="Garamond" w:hAnsi="Garamond" w:cs="Times New Roman"/>
          <w:bCs/>
          <w:sz w:val="24"/>
          <w:szCs w:val="24"/>
        </w:rPr>
        <w:t xml:space="preserve"> i Protokollit nr. 12 t</w:t>
      </w:r>
      <w:r w:rsidR="002E3F2B">
        <w:rPr>
          <w:rFonts w:ascii="Garamond" w:hAnsi="Garamond" w:cs="Times New Roman"/>
          <w:bCs/>
          <w:sz w:val="24"/>
          <w:szCs w:val="24"/>
        </w:rPr>
        <w:t>ë saj; ligji nr. 8577, datë 10.</w:t>
      </w:r>
      <w:r w:rsidRPr="002E3F2B">
        <w:rPr>
          <w:rFonts w:ascii="Garamond" w:hAnsi="Garamond" w:cs="Times New Roman"/>
          <w:bCs/>
          <w:sz w:val="24"/>
          <w:szCs w:val="24"/>
        </w:rPr>
        <w:t xml:space="preserve">2.2000, “Për organizimin dhe funksionimin e Gjykatës Kushtetuese të Republikës së Shqipërisë”, i ndryshuar </w:t>
      </w:r>
      <w:r w:rsidRPr="002E3F2B">
        <w:rPr>
          <w:rFonts w:ascii="Garamond" w:hAnsi="Garamond" w:cs="Times New Roman"/>
          <w:bCs/>
          <w:i/>
          <w:iCs/>
          <w:sz w:val="24"/>
          <w:szCs w:val="24"/>
        </w:rPr>
        <w:t>(Ligji Organik i Gjykatës).</w:t>
      </w:r>
    </w:p>
    <w:p w14:paraId="66070A13" w14:textId="77777777" w:rsidR="00470F0A" w:rsidRPr="002E3F2B" w:rsidRDefault="00470F0A" w:rsidP="00901941">
      <w:pPr>
        <w:spacing w:after="0" w:line="240" w:lineRule="auto"/>
        <w:ind w:firstLine="284"/>
        <w:jc w:val="center"/>
        <w:rPr>
          <w:rFonts w:ascii="Garamond" w:hAnsi="Garamond"/>
          <w:bCs/>
          <w:sz w:val="24"/>
          <w:szCs w:val="24"/>
        </w:rPr>
      </w:pPr>
    </w:p>
    <w:p w14:paraId="371A592A" w14:textId="77777777" w:rsidR="00470F0A" w:rsidRPr="002E3F2B" w:rsidRDefault="00470F0A" w:rsidP="00901941">
      <w:pPr>
        <w:spacing w:after="0" w:line="240" w:lineRule="auto"/>
        <w:ind w:firstLine="284"/>
        <w:jc w:val="center"/>
        <w:rPr>
          <w:rFonts w:ascii="Garamond" w:hAnsi="Garamond" w:cs="Times New Roman"/>
          <w:bCs/>
          <w:sz w:val="24"/>
          <w:szCs w:val="24"/>
        </w:rPr>
      </w:pPr>
      <w:r w:rsidRPr="002E3F2B">
        <w:rPr>
          <w:rFonts w:ascii="Garamond" w:hAnsi="Garamond" w:cs="Times New Roman"/>
          <w:bCs/>
          <w:sz w:val="24"/>
          <w:szCs w:val="24"/>
        </w:rPr>
        <w:t>GJYKATA KUSHTETUESE,</w:t>
      </w:r>
    </w:p>
    <w:p w14:paraId="02B2F2E0" w14:textId="77777777" w:rsidR="00901941" w:rsidRPr="002E3F2B" w:rsidRDefault="00901941" w:rsidP="00901941">
      <w:pPr>
        <w:tabs>
          <w:tab w:val="left" w:pos="1080"/>
        </w:tabs>
        <w:spacing w:after="0" w:line="240" w:lineRule="auto"/>
        <w:ind w:firstLine="284"/>
        <w:jc w:val="both"/>
        <w:rPr>
          <w:rFonts w:ascii="Garamond" w:hAnsi="Garamond" w:cs="Times New Roman"/>
          <w:sz w:val="24"/>
          <w:szCs w:val="24"/>
        </w:rPr>
      </w:pPr>
    </w:p>
    <w:p w14:paraId="08DB6712" w14:textId="3D3DB0C3" w:rsidR="00470F0A" w:rsidRPr="002E3F2B" w:rsidRDefault="00470F0A" w:rsidP="00901941">
      <w:pPr>
        <w:tabs>
          <w:tab w:val="left" w:pos="1080"/>
        </w:tabs>
        <w:spacing w:after="0" w:line="240" w:lineRule="auto"/>
        <w:ind w:firstLine="284"/>
        <w:jc w:val="both"/>
        <w:rPr>
          <w:rFonts w:ascii="Garamond" w:hAnsi="Garamond" w:cs="Times New Roman"/>
          <w:sz w:val="24"/>
          <w:szCs w:val="24"/>
        </w:rPr>
      </w:pPr>
      <w:r w:rsidRPr="002E3F2B">
        <w:rPr>
          <w:rFonts w:ascii="Garamond" w:hAnsi="Garamond" w:cs="Times New Roman"/>
          <w:sz w:val="24"/>
          <w:szCs w:val="24"/>
        </w:rPr>
        <w:t xml:space="preserve">pasi dëgjoi </w:t>
      </w:r>
      <w:proofErr w:type="spellStart"/>
      <w:r w:rsidRPr="002E3F2B">
        <w:rPr>
          <w:rFonts w:ascii="Garamond" w:hAnsi="Garamond" w:cs="Times New Roman"/>
          <w:sz w:val="24"/>
          <w:szCs w:val="24"/>
        </w:rPr>
        <w:t>relatoren</w:t>
      </w:r>
      <w:proofErr w:type="spellEnd"/>
      <w:r w:rsidRPr="002E3F2B">
        <w:rPr>
          <w:rFonts w:ascii="Garamond" w:hAnsi="Garamond" w:cs="Times New Roman"/>
          <w:sz w:val="24"/>
          <w:szCs w:val="24"/>
        </w:rPr>
        <w:t xml:space="preserve"> e çështjes </w:t>
      </w:r>
      <w:proofErr w:type="spellStart"/>
      <w:r w:rsidRPr="002E3F2B">
        <w:rPr>
          <w:rFonts w:ascii="Garamond" w:hAnsi="Garamond" w:cs="Times New Roman"/>
          <w:sz w:val="24"/>
          <w:szCs w:val="24"/>
        </w:rPr>
        <w:t>Marjana</w:t>
      </w:r>
      <w:proofErr w:type="spellEnd"/>
      <w:r w:rsidRPr="002E3F2B">
        <w:rPr>
          <w:rFonts w:ascii="Garamond" w:hAnsi="Garamond" w:cs="Times New Roman"/>
          <w:sz w:val="24"/>
          <w:szCs w:val="24"/>
        </w:rPr>
        <w:t xml:space="preserve"> </w:t>
      </w:r>
      <w:proofErr w:type="spellStart"/>
      <w:r w:rsidRPr="002E3F2B">
        <w:rPr>
          <w:rFonts w:ascii="Garamond" w:hAnsi="Garamond" w:cs="Times New Roman"/>
          <w:sz w:val="24"/>
          <w:szCs w:val="24"/>
        </w:rPr>
        <w:t>Semini</w:t>
      </w:r>
      <w:proofErr w:type="spellEnd"/>
      <w:r w:rsidRPr="002E3F2B">
        <w:rPr>
          <w:rFonts w:ascii="Garamond" w:hAnsi="Garamond" w:cs="Times New Roman"/>
          <w:sz w:val="24"/>
          <w:szCs w:val="24"/>
        </w:rPr>
        <w:t xml:space="preserve">, mori në shqyrtim pretendimet e kërkueseve </w:t>
      </w:r>
      <w:proofErr w:type="spellStart"/>
      <w:r w:rsidRPr="002E3F2B">
        <w:rPr>
          <w:rFonts w:ascii="Garamond" w:hAnsi="Garamond" w:cs="Times New Roman"/>
          <w:sz w:val="24"/>
          <w:szCs w:val="24"/>
        </w:rPr>
        <w:t>Sanie</w:t>
      </w:r>
      <w:proofErr w:type="spellEnd"/>
      <w:r w:rsidRPr="002E3F2B">
        <w:rPr>
          <w:rFonts w:ascii="Garamond" w:hAnsi="Garamond" w:cs="Times New Roman"/>
          <w:sz w:val="24"/>
          <w:szCs w:val="24"/>
        </w:rPr>
        <w:t xml:space="preserve"> </w:t>
      </w:r>
      <w:proofErr w:type="spellStart"/>
      <w:r w:rsidRPr="002E3F2B">
        <w:rPr>
          <w:rFonts w:ascii="Garamond" w:hAnsi="Garamond" w:cs="Times New Roman"/>
          <w:sz w:val="24"/>
          <w:szCs w:val="24"/>
        </w:rPr>
        <w:t>Metushi</w:t>
      </w:r>
      <w:proofErr w:type="spellEnd"/>
      <w:r w:rsidRPr="002E3F2B">
        <w:rPr>
          <w:rFonts w:ascii="Garamond" w:hAnsi="Garamond" w:cs="Times New Roman"/>
          <w:sz w:val="24"/>
          <w:szCs w:val="24"/>
        </w:rPr>
        <w:t xml:space="preserve"> dhe Dudi Shabani (</w:t>
      </w:r>
      <w:proofErr w:type="spellStart"/>
      <w:r w:rsidRPr="002E3F2B">
        <w:rPr>
          <w:rFonts w:ascii="Garamond" w:hAnsi="Garamond" w:cs="Times New Roman"/>
          <w:sz w:val="24"/>
          <w:szCs w:val="24"/>
        </w:rPr>
        <w:t>Metushi</w:t>
      </w:r>
      <w:proofErr w:type="spellEnd"/>
      <w:r w:rsidRPr="002E3F2B">
        <w:rPr>
          <w:rFonts w:ascii="Garamond" w:hAnsi="Garamond" w:cs="Times New Roman"/>
          <w:sz w:val="24"/>
          <w:szCs w:val="24"/>
        </w:rPr>
        <w:t xml:space="preserve">) </w:t>
      </w:r>
      <w:r w:rsidRPr="002E3F2B">
        <w:rPr>
          <w:rFonts w:ascii="Garamond" w:hAnsi="Garamond" w:cs="Times New Roman"/>
          <w:i/>
          <w:iCs/>
          <w:sz w:val="24"/>
          <w:szCs w:val="24"/>
        </w:rPr>
        <w:t>(kërkueset)</w:t>
      </w:r>
      <w:r w:rsidRPr="002E3F2B">
        <w:rPr>
          <w:rFonts w:ascii="Garamond" w:hAnsi="Garamond" w:cs="Times New Roman"/>
          <w:sz w:val="24"/>
          <w:szCs w:val="24"/>
        </w:rPr>
        <w:t>, të cilat kanë kërkuar pranimin e kërkesës, prapësimet e subjektit të interesuar,</w:t>
      </w:r>
      <w:r w:rsidRPr="002E3F2B">
        <w:rPr>
          <w:rFonts w:ascii="Garamond" w:hAnsi="Garamond" w:cs="Times New Roman"/>
          <w:b/>
          <w:bCs/>
          <w:sz w:val="24"/>
          <w:szCs w:val="24"/>
        </w:rPr>
        <w:t xml:space="preserve"> </w:t>
      </w:r>
      <w:r w:rsidRPr="002E3F2B">
        <w:rPr>
          <w:rFonts w:ascii="Garamond" w:hAnsi="Garamond" w:cs="Times New Roman"/>
          <w:sz w:val="24"/>
          <w:szCs w:val="24"/>
        </w:rPr>
        <w:t>Prokurorisë së Përgjithshme, i cili ka kërkuar rrëzimin e kërkesës, si dhe diskutoi çështjen në tërësi,</w:t>
      </w:r>
    </w:p>
    <w:p w14:paraId="640DC39A" w14:textId="77777777" w:rsidR="00470F0A" w:rsidRPr="002E3F2B" w:rsidRDefault="00470F0A" w:rsidP="00901941">
      <w:pPr>
        <w:tabs>
          <w:tab w:val="left" w:pos="1080"/>
        </w:tabs>
        <w:spacing w:after="0" w:line="240" w:lineRule="auto"/>
        <w:ind w:firstLine="284"/>
        <w:jc w:val="both"/>
        <w:rPr>
          <w:rFonts w:ascii="Garamond" w:hAnsi="Garamond" w:cs="Times New Roman"/>
          <w:sz w:val="24"/>
          <w:szCs w:val="24"/>
        </w:rPr>
      </w:pPr>
    </w:p>
    <w:p w14:paraId="7F15CF45" w14:textId="704B78E5" w:rsidR="00470F0A" w:rsidRPr="002E3F2B" w:rsidRDefault="00470F0A" w:rsidP="00901941">
      <w:pPr>
        <w:spacing w:after="0" w:line="240" w:lineRule="auto"/>
        <w:ind w:firstLine="284"/>
        <w:jc w:val="center"/>
        <w:rPr>
          <w:rFonts w:ascii="Garamond" w:hAnsi="Garamond" w:cs="Times New Roman"/>
          <w:bCs/>
          <w:i/>
          <w:iCs/>
          <w:sz w:val="24"/>
          <w:szCs w:val="24"/>
        </w:rPr>
      </w:pPr>
      <w:r w:rsidRPr="002E3F2B">
        <w:rPr>
          <w:rFonts w:ascii="Garamond" w:hAnsi="Garamond" w:cs="Times New Roman"/>
          <w:bCs/>
          <w:sz w:val="24"/>
          <w:szCs w:val="24"/>
        </w:rPr>
        <w:t>VËREN:</w:t>
      </w:r>
    </w:p>
    <w:p w14:paraId="1F24D691" w14:textId="77777777" w:rsidR="00901941" w:rsidRPr="002E3F2B" w:rsidRDefault="00901941" w:rsidP="00901941">
      <w:pPr>
        <w:spacing w:after="0" w:line="240" w:lineRule="auto"/>
        <w:ind w:firstLine="284"/>
        <w:jc w:val="center"/>
        <w:rPr>
          <w:rFonts w:ascii="Garamond" w:hAnsi="Garamond" w:cs="Times New Roman"/>
          <w:b/>
          <w:bCs/>
          <w:sz w:val="24"/>
          <w:szCs w:val="24"/>
        </w:rPr>
      </w:pPr>
    </w:p>
    <w:p w14:paraId="02BD9297" w14:textId="261C1A2C" w:rsidR="00470F0A" w:rsidRPr="002E3F2B" w:rsidRDefault="00470F0A" w:rsidP="00901941">
      <w:pPr>
        <w:spacing w:after="0" w:line="240" w:lineRule="auto"/>
        <w:ind w:firstLine="284"/>
        <w:jc w:val="center"/>
        <w:rPr>
          <w:rFonts w:ascii="Garamond" w:hAnsi="Garamond" w:cs="Times New Roman"/>
          <w:b/>
          <w:bCs/>
          <w:sz w:val="24"/>
          <w:szCs w:val="24"/>
        </w:rPr>
      </w:pPr>
      <w:r w:rsidRPr="002E3F2B">
        <w:rPr>
          <w:rFonts w:ascii="Garamond" w:hAnsi="Garamond" w:cs="Times New Roman"/>
          <w:b/>
          <w:bCs/>
          <w:sz w:val="24"/>
          <w:szCs w:val="24"/>
        </w:rPr>
        <w:t>I</w:t>
      </w:r>
    </w:p>
    <w:p w14:paraId="3DAD5C89" w14:textId="7FBA3EC7" w:rsidR="00470F0A" w:rsidRDefault="00470F0A" w:rsidP="00901941">
      <w:pPr>
        <w:spacing w:after="0" w:line="240" w:lineRule="auto"/>
        <w:ind w:firstLine="284"/>
        <w:jc w:val="center"/>
        <w:rPr>
          <w:rFonts w:ascii="Garamond" w:hAnsi="Garamond" w:cs="Times New Roman"/>
          <w:b/>
          <w:bCs/>
          <w:sz w:val="24"/>
          <w:szCs w:val="24"/>
        </w:rPr>
      </w:pPr>
      <w:r w:rsidRPr="002E3F2B">
        <w:rPr>
          <w:rFonts w:ascii="Garamond" w:hAnsi="Garamond" w:cs="Times New Roman"/>
          <w:b/>
          <w:bCs/>
          <w:sz w:val="24"/>
          <w:szCs w:val="24"/>
        </w:rPr>
        <w:t>Rrethanat e çështjes</w:t>
      </w:r>
    </w:p>
    <w:p w14:paraId="2707483D" w14:textId="77777777" w:rsidR="002E3F2B" w:rsidRPr="002E3F2B" w:rsidRDefault="002E3F2B" w:rsidP="00901941">
      <w:pPr>
        <w:spacing w:after="0" w:line="240" w:lineRule="auto"/>
        <w:ind w:firstLine="284"/>
        <w:jc w:val="center"/>
        <w:rPr>
          <w:rFonts w:ascii="Garamond" w:hAnsi="Garamond" w:cs="Times New Roman"/>
          <w:b/>
          <w:bCs/>
          <w:sz w:val="24"/>
          <w:szCs w:val="24"/>
        </w:rPr>
      </w:pPr>
    </w:p>
    <w:p w14:paraId="3EC3B7A8" w14:textId="477FDB41" w:rsidR="00470F0A" w:rsidRPr="002E3F2B" w:rsidRDefault="00470F0A" w:rsidP="00901941">
      <w:pPr>
        <w:pStyle w:val="NoSpacing"/>
        <w:tabs>
          <w:tab w:val="left" w:pos="1080"/>
        </w:tabs>
        <w:spacing w:before="0" w:beforeAutospacing="0" w:after="0" w:afterAutospacing="0"/>
        <w:ind w:firstLine="284"/>
        <w:jc w:val="both"/>
        <w:rPr>
          <w:rFonts w:ascii="Garamond" w:hAnsi="Garamond"/>
        </w:rPr>
      </w:pPr>
      <w:r w:rsidRPr="002E3F2B">
        <w:rPr>
          <w:rFonts w:ascii="Garamond" w:hAnsi="Garamond"/>
        </w:rPr>
        <w:t>1. Kërkueset janë nëna dhe motra e shtetasit B.</w:t>
      </w:r>
      <w:r w:rsidR="002E3F2B">
        <w:rPr>
          <w:rFonts w:ascii="Garamond" w:hAnsi="Garamond"/>
        </w:rPr>
        <w:t xml:space="preserve"> </w:t>
      </w:r>
      <w:r w:rsidRPr="002E3F2B">
        <w:rPr>
          <w:rFonts w:ascii="Garamond" w:hAnsi="Garamond"/>
        </w:rPr>
        <w:t xml:space="preserve">M. </w:t>
      </w:r>
      <w:r w:rsidRPr="002E3F2B">
        <w:rPr>
          <w:rFonts w:ascii="Garamond" w:hAnsi="Garamond"/>
          <w:i/>
          <w:iCs/>
        </w:rPr>
        <w:t>(viktima),</w:t>
      </w:r>
      <w:r w:rsidRPr="002E3F2B">
        <w:rPr>
          <w:rFonts w:ascii="Garamond" w:hAnsi="Garamond"/>
        </w:rPr>
        <w:t xml:space="preserve"> i cili kishte emigruar në mënyrë të parregullt në Greqi dhe, për një periudhë kohe, kishte qëndruar në fshatin</w:t>
      </w:r>
      <w:r w:rsidR="002E3F2B">
        <w:rPr>
          <w:rFonts w:ascii="Garamond" w:hAnsi="Garamond"/>
        </w:rPr>
        <w:t xml:space="preserve"> </w:t>
      </w:r>
      <w:proofErr w:type="spellStart"/>
      <w:r w:rsidR="002E3F2B">
        <w:rPr>
          <w:rFonts w:ascii="Garamond" w:hAnsi="Garamond"/>
        </w:rPr>
        <w:t>Nikea</w:t>
      </w:r>
      <w:proofErr w:type="spellEnd"/>
      <w:r w:rsidR="002E3F2B">
        <w:rPr>
          <w:rFonts w:ascii="Garamond" w:hAnsi="Garamond"/>
        </w:rPr>
        <w:t xml:space="preserve"> të </w:t>
      </w:r>
      <w:proofErr w:type="spellStart"/>
      <w:r w:rsidR="002E3F2B">
        <w:rPr>
          <w:rFonts w:ascii="Garamond" w:hAnsi="Garamond"/>
        </w:rPr>
        <w:t>Larisës</w:t>
      </w:r>
      <w:proofErr w:type="spellEnd"/>
      <w:r w:rsidR="002E3F2B">
        <w:rPr>
          <w:rFonts w:ascii="Garamond" w:hAnsi="Garamond"/>
        </w:rPr>
        <w:t>. Në datën 25.</w:t>
      </w:r>
      <w:r w:rsidRPr="002E3F2B">
        <w:rPr>
          <w:rFonts w:ascii="Garamond" w:hAnsi="Garamond"/>
        </w:rPr>
        <w:t>9.1996, në një arë të këtij fshati, një shtetas grek e ka gjetur viktimën të vrarë dhe ka njoftuar menjëherë policinë. Sipas aktit të eksper</w:t>
      </w:r>
      <w:r w:rsidR="002E3F2B">
        <w:rPr>
          <w:rFonts w:ascii="Garamond" w:hAnsi="Garamond"/>
        </w:rPr>
        <w:t>timit mjeko-ligjor të datës 26.</w:t>
      </w:r>
      <w:r w:rsidRPr="002E3F2B">
        <w:rPr>
          <w:rFonts w:ascii="Garamond" w:hAnsi="Garamond"/>
        </w:rPr>
        <w:t xml:space="preserve">9.1996, viktima ka pasur një plagë prerëse dhe një dëmtim thërrmues të kockës së pjesës së sipërme të kokës, të shkaktuar me një levë hekuri, ndërsa janë gjetur shenja gjaku dhe fije floku me gjatësi 20 </w:t>
      </w:r>
      <w:proofErr w:type="spellStart"/>
      <w:r w:rsidRPr="002E3F2B">
        <w:rPr>
          <w:rFonts w:ascii="Garamond" w:hAnsi="Garamond"/>
        </w:rPr>
        <w:t>cm</w:t>
      </w:r>
      <w:proofErr w:type="spellEnd"/>
      <w:r w:rsidRPr="002E3F2B">
        <w:rPr>
          <w:rFonts w:ascii="Garamond" w:hAnsi="Garamond"/>
        </w:rPr>
        <w:t>. Viktima është identifikuar nga xhaxhai i tij, shtetasi P.</w:t>
      </w:r>
      <w:r w:rsidR="002E3F2B">
        <w:rPr>
          <w:rFonts w:ascii="Garamond" w:hAnsi="Garamond"/>
        </w:rPr>
        <w:t xml:space="preserve"> </w:t>
      </w:r>
      <w:r w:rsidRPr="002E3F2B">
        <w:rPr>
          <w:rFonts w:ascii="Garamond" w:hAnsi="Garamond"/>
        </w:rPr>
        <w:t>M</w:t>
      </w:r>
      <w:r w:rsidR="002E3F2B">
        <w:rPr>
          <w:rFonts w:ascii="Garamond" w:hAnsi="Garamond"/>
        </w:rPr>
        <w:t>., dy ditë më pas, në datën 27.</w:t>
      </w:r>
      <w:r w:rsidRPr="002E3F2B">
        <w:rPr>
          <w:rFonts w:ascii="Garamond" w:hAnsi="Garamond"/>
        </w:rPr>
        <w:t xml:space="preserve">9.1996. Për këtë ngjarje janë regjistruar procedime penale si nga autoritetet greke, ashtu edhe nga autoritetet shqiptare. </w:t>
      </w:r>
    </w:p>
    <w:p w14:paraId="7569883C" w14:textId="05BF9011" w:rsidR="00470F0A" w:rsidRPr="002E3F2B" w:rsidRDefault="00470F0A" w:rsidP="00901941">
      <w:pPr>
        <w:pStyle w:val="NoSpacing"/>
        <w:tabs>
          <w:tab w:val="left" w:pos="1080"/>
        </w:tabs>
        <w:spacing w:before="0" w:beforeAutospacing="0" w:after="0" w:afterAutospacing="0"/>
        <w:ind w:firstLine="284"/>
        <w:jc w:val="both"/>
        <w:rPr>
          <w:rFonts w:ascii="Garamond" w:hAnsi="Garamond"/>
        </w:rPr>
      </w:pPr>
      <w:r w:rsidRPr="002E3F2B">
        <w:rPr>
          <w:rFonts w:ascii="Garamond" w:hAnsi="Garamond"/>
        </w:rPr>
        <w:t xml:space="preserve">2. Autoritetet greke kanë regjistruar procedim penal për veprat penale të vrasjes me paramendim dhe të përdorimit të armës, të parashikuara nga neni 299, paragrafi 1, i Kodit Penal të Greqisë dhe </w:t>
      </w:r>
      <w:r w:rsidRPr="002E3F2B">
        <w:rPr>
          <w:rFonts w:ascii="Garamond" w:hAnsi="Garamond"/>
        </w:rPr>
        <w:lastRenderedPageBreak/>
        <w:t>neni 14</w:t>
      </w:r>
      <w:r w:rsidR="005B2EFA">
        <w:rPr>
          <w:rFonts w:ascii="Garamond" w:hAnsi="Garamond"/>
        </w:rPr>
        <w:t>,</w:t>
      </w:r>
      <w:r w:rsidRPr="002E3F2B">
        <w:rPr>
          <w:rFonts w:ascii="Garamond" w:hAnsi="Garamond"/>
        </w:rPr>
        <w:t xml:space="preserve"> i ligjit nr. 2168/93. Pas kryerjes së disa veprimeve hetimore, prokurori i Gjykatës së Shkallës së Parë të </w:t>
      </w:r>
      <w:proofErr w:type="spellStart"/>
      <w:r w:rsidRPr="002E3F2B">
        <w:rPr>
          <w:rFonts w:ascii="Garamond" w:hAnsi="Garamond"/>
        </w:rPr>
        <w:t>L</w:t>
      </w:r>
      <w:r w:rsidR="002E3F2B">
        <w:rPr>
          <w:rFonts w:ascii="Garamond" w:hAnsi="Garamond"/>
        </w:rPr>
        <w:t>arisës</w:t>
      </w:r>
      <w:proofErr w:type="spellEnd"/>
      <w:r w:rsidR="002E3F2B">
        <w:rPr>
          <w:rFonts w:ascii="Garamond" w:hAnsi="Garamond"/>
        </w:rPr>
        <w:t>, me vendimin e datës 10.</w:t>
      </w:r>
      <w:r w:rsidRPr="002E3F2B">
        <w:rPr>
          <w:rFonts w:ascii="Garamond" w:hAnsi="Garamond"/>
        </w:rPr>
        <w:t>3.1999, ka vendosur arkivimin e çështjes në arshivën e çështjeve me autorë të panjohur.</w:t>
      </w:r>
    </w:p>
    <w:p w14:paraId="6C9C6EB0" w14:textId="4429232A" w:rsidR="00470F0A" w:rsidRPr="002E3F2B" w:rsidRDefault="00470F0A" w:rsidP="00901941">
      <w:pPr>
        <w:pStyle w:val="NoSpacing"/>
        <w:tabs>
          <w:tab w:val="left" w:pos="1080"/>
        </w:tabs>
        <w:spacing w:before="0" w:beforeAutospacing="0" w:after="0" w:afterAutospacing="0"/>
        <w:ind w:firstLine="284"/>
        <w:jc w:val="both"/>
        <w:rPr>
          <w:rFonts w:ascii="Garamond" w:hAnsi="Garamond"/>
        </w:rPr>
      </w:pPr>
      <w:r w:rsidRPr="002E3F2B">
        <w:rPr>
          <w:rFonts w:ascii="Garamond" w:hAnsi="Garamond"/>
        </w:rPr>
        <w:t>3. Procedimi penal nga autoritetet shqiptare ka filluar mbi bazën e kallëzimit penal të datës 28.11.1996, të bërë nga xhaxhai i viktimës, në të cilin ai ka dhënë të dhëna për autorët e mundshëm të krimit dhe për motivin e mundshëm të krimit, konkretisht përvetësimin e një shume parash. Në datën 29.11.1996</w:t>
      </w:r>
      <w:r w:rsidR="002E3F2B">
        <w:rPr>
          <w:rFonts w:ascii="Garamond" w:hAnsi="Garamond"/>
        </w:rPr>
        <w:t>,</w:t>
      </w:r>
      <w:r w:rsidRPr="002E3F2B">
        <w:rPr>
          <w:rFonts w:ascii="Garamond" w:hAnsi="Garamond"/>
        </w:rPr>
        <w:t xml:space="preserve"> Prokuroria pranë Gjykatës së Shkallës së Parë Fier </w:t>
      </w:r>
      <w:r w:rsidRPr="002E3F2B">
        <w:rPr>
          <w:rFonts w:ascii="Garamond" w:hAnsi="Garamond"/>
          <w:i/>
          <w:iCs/>
        </w:rPr>
        <w:t>(Prokuroria e Fierit)</w:t>
      </w:r>
      <w:r w:rsidRPr="002E3F2B">
        <w:rPr>
          <w:rFonts w:ascii="Garamond" w:hAnsi="Garamond"/>
        </w:rPr>
        <w:t xml:space="preserve"> ka regjistruar procedimin penal nr. 502 (procedimi nr. 502/1996)</w:t>
      </w:r>
      <w:r w:rsidRPr="002E3F2B">
        <w:rPr>
          <w:rFonts w:ascii="Garamond" w:hAnsi="Garamond"/>
          <w:i/>
          <w:iCs/>
        </w:rPr>
        <w:t xml:space="preserve"> </w:t>
      </w:r>
      <w:r w:rsidRPr="002E3F2B">
        <w:rPr>
          <w:rFonts w:ascii="Garamond" w:hAnsi="Garamond"/>
        </w:rPr>
        <w:t xml:space="preserve">për veprën penale “Vrasja me dashje”, të kryer në bashkëpunim, të parashikuar nga nenet 76 dhe 25 të Kodit Penal </w:t>
      </w:r>
      <w:r w:rsidRPr="002E3F2B">
        <w:rPr>
          <w:rFonts w:ascii="Garamond" w:hAnsi="Garamond"/>
          <w:i/>
          <w:iCs/>
        </w:rPr>
        <w:t>(KP).</w:t>
      </w:r>
      <w:r w:rsidRPr="002E3F2B">
        <w:rPr>
          <w:rFonts w:ascii="Garamond" w:hAnsi="Garamond"/>
        </w:rPr>
        <w:t xml:space="preserve"> </w:t>
      </w:r>
    </w:p>
    <w:p w14:paraId="484F50BF" w14:textId="1B6C64DE" w:rsidR="00470F0A" w:rsidRPr="002E3F2B" w:rsidRDefault="00470F0A" w:rsidP="00901941">
      <w:pPr>
        <w:pStyle w:val="NoSpacing"/>
        <w:tabs>
          <w:tab w:val="left" w:pos="1080"/>
        </w:tabs>
        <w:spacing w:before="0" w:beforeAutospacing="0" w:after="0" w:afterAutospacing="0"/>
        <w:ind w:firstLine="284"/>
        <w:jc w:val="both"/>
        <w:rPr>
          <w:rFonts w:ascii="Garamond" w:hAnsi="Garamond"/>
        </w:rPr>
      </w:pPr>
      <w:r w:rsidRPr="002E3F2B">
        <w:rPr>
          <w:rFonts w:ascii="Garamond" w:hAnsi="Garamond"/>
        </w:rPr>
        <w:t>4. Në kuadër të këtij procedimi penal, me urdhër të prokurorit, janë ndaluar shtetasit F.</w:t>
      </w:r>
      <w:r w:rsidR="002E3F2B">
        <w:rPr>
          <w:rFonts w:ascii="Garamond" w:hAnsi="Garamond"/>
        </w:rPr>
        <w:t xml:space="preserve"> </w:t>
      </w:r>
      <w:r w:rsidRPr="002E3F2B">
        <w:rPr>
          <w:rFonts w:ascii="Garamond" w:hAnsi="Garamond"/>
        </w:rPr>
        <w:t>A., A.</w:t>
      </w:r>
      <w:r w:rsidR="002E3F2B">
        <w:rPr>
          <w:rFonts w:ascii="Garamond" w:hAnsi="Garamond"/>
        </w:rPr>
        <w:t xml:space="preserve"> </w:t>
      </w:r>
      <w:r w:rsidRPr="002E3F2B">
        <w:rPr>
          <w:rFonts w:ascii="Garamond" w:hAnsi="Garamond"/>
        </w:rPr>
        <w:t>M. dhe M.</w:t>
      </w:r>
      <w:r w:rsidR="002E3F2B">
        <w:rPr>
          <w:rFonts w:ascii="Garamond" w:hAnsi="Garamond"/>
        </w:rPr>
        <w:t xml:space="preserve"> </w:t>
      </w:r>
      <w:r w:rsidRPr="002E3F2B">
        <w:rPr>
          <w:rFonts w:ascii="Garamond" w:hAnsi="Garamond"/>
        </w:rPr>
        <w:t>T., me të cilët viktima kishte qëndruar në Greqi dhe që, sipas xhaxhait të viktimës, ishin autorë të mundshëm të vrasjes së tij. Për këta shtetas, Gjykata e Rrethit Gjyq</w:t>
      </w:r>
      <w:r w:rsidR="002E3F2B">
        <w:rPr>
          <w:rFonts w:ascii="Garamond" w:hAnsi="Garamond"/>
        </w:rPr>
        <w:t xml:space="preserve">ësor Fier, me vendimin e datës </w:t>
      </w:r>
      <w:r w:rsidRPr="002E3F2B">
        <w:rPr>
          <w:rFonts w:ascii="Garamond" w:hAnsi="Garamond"/>
        </w:rPr>
        <w:t>1.12.1996, ka caktuar masën e sigurimit personal “Arresti në burg”, me afat një muaj. Po ashtu, gjatë hetimeve paraprake, në muajt nëntor</w:t>
      </w:r>
      <w:r w:rsidR="002E3F2B">
        <w:rPr>
          <w:rFonts w:ascii="Garamond" w:hAnsi="Garamond"/>
        </w:rPr>
        <w:t>–</w:t>
      </w:r>
      <w:r w:rsidRPr="002E3F2B">
        <w:rPr>
          <w:rFonts w:ascii="Garamond" w:hAnsi="Garamond"/>
        </w:rPr>
        <w:t>dhjetor 1996, Prokuroria e Fierit, krahas deklarimeve të këtyre shtetasve të dyshuar, ka marrë deklarime edhe nga shtetas të tjerë, të përmendur nga kallëzuesi si persona që kishin dijeni për rrethanat e ngjarjes. Në</w:t>
      </w:r>
      <w:r w:rsidR="002E3F2B">
        <w:rPr>
          <w:rFonts w:ascii="Garamond" w:hAnsi="Garamond"/>
        </w:rPr>
        <w:t xml:space="preserve"> vijim, me vendimin e datës 25.</w:t>
      </w:r>
      <w:r w:rsidRPr="002E3F2B">
        <w:rPr>
          <w:rFonts w:ascii="Garamond" w:hAnsi="Garamond"/>
        </w:rPr>
        <w:t xml:space="preserve">3.2001, Prokuroria e Fierit ka vendosur pezullimin e hetimeve, me arsyetimin se, sipas saj, nuk ishte zbuluar autori ose autorët e veprës penale, duke iu kërkuar strukturave të Policisë së Qarkut Fier kryerjen e veprimeve për zbulimin e tyre. </w:t>
      </w:r>
    </w:p>
    <w:p w14:paraId="25D97E23" w14:textId="47EAEF6C" w:rsidR="00470F0A" w:rsidRPr="002E3F2B" w:rsidRDefault="002E3F2B" w:rsidP="00901941">
      <w:pPr>
        <w:pStyle w:val="NoSpacing"/>
        <w:tabs>
          <w:tab w:val="left" w:pos="1080"/>
        </w:tabs>
        <w:spacing w:before="0" w:beforeAutospacing="0" w:after="0" w:afterAutospacing="0"/>
        <w:ind w:firstLine="284"/>
        <w:jc w:val="both"/>
        <w:rPr>
          <w:rFonts w:ascii="Garamond" w:hAnsi="Garamond"/>
        </w:rPr>
      </w:pPr>
      <w:r>
        <w:rPr>
          <w:rFonts w:ascii="Garamond" w:hAnsi="Garamond"/>
        </w:rPr>
        <w:t>5. Në datën 13.</w:t>
      </w:r>
      <w:r w:rsidR="00470F0A" w:rsidRPr="002E3F2B">
        <w:rPr>
          <w:rFonts w:ascii="Garamond" w:hAnsi="Garamond"/>
        </w:rPr>
        <w:t>5.2009</w:t>
      </w:r>
      <w:r>
        <w:rPr>
          <w:rFonts w:ascii="Garamond" w:hAnsi="Garamond"/>
        </w:rPr>
        <w:t>,</w:t>
      </w:r>
      <w:r w:rsidR="00470F0A" w:rsidRPr="002E3F2B">
        <w:rPr>
          <w:rFonts w:ascii="Garamond" w:hAnsi="Garamond"/>
        </w:rPr>
        <w:t xml:space="preserve"> Prokuroria e Fierit, në zbatim të konventës evropiane “Mbi ndihm</w:t>
      </w:r>
      <w:r>
        <w:rPr>
          <w:rFonts w:ascii="Garamond" w:hAnsi="Garamond"/>
        </w:rPr>
        <w:t>ën e ndërsjell</w:t>
      </w:r>
      <w:r w:rsidR="00470F0A" w:rsidRPr="002E3F2B">
        <w:rPr>
          <w:rFonts w:ascii="Garamond" w:hAnsi="Garamond"/>
        </w:rPr>
        <w:t>ë juridike në fushën penale”, u ka kërkuar autoriteteve greke të drejtësisë konfirmimin e ekzistencës së faktit penal, informacion nëse ishte ushtruar ndjekje penale në atë shtet dhe për personat e dyshuar, si dhe, nëse ekzistonte procedim penal ndaj shtetasve shqiptarë, transferimin e tij ose vënien në dispozicion të akteve për</w:t>
      </w:r>
      <w:r>
        <w:rPr>
          <w:rFonts w:ascii="Garamond" w:hAnsi="Garamond"/>
        </w:rPr>
        <w:t>katëse. Në përgjigje, në datën 4.</w:t>
      </w:r>
      <w:r w:rsidR="00470F0A" w:rsidRPr="002E3F2B">
        <w:rPr>
          <w:rFonts w:ascii="Garamond" w:hAnsi="Garamond"/>
        </w:rPr>
        <w:t>8.2009, autoritetet greke të drejtësisë kanë dërguar aktet e procedimit penal të regjistruar në atë shtet.</w:t>
      </w:r>
    </w:p>
    <w:p w14:paraId="23C8DAE2" w14:textId="4F9D3EFD" w:rsidR="00470F0A" w:rsidRPr="002E3F2B" w:rsidRDefault="00470F0A" w:rsidP="00901941">
      <w:pPr>
        <w:pStyle w:val="NoSpacing"/>
        <w:tabs>
          <w:tab w:val="left" w:pos="1080"/>
        </w:tabs>
        <w:spacing w:before="0" w:beforeAutospacing="0" w:after="0" w:afterAutospacing="0"/>
        <w:ind w:firstLine="284"/>
        <w:jc w:val="both"/>
        <w:rPr>
          <w:rFonts w:ascii="Garamond" w:hAnsi="Garamond"/>
        </w:rPr>
      </w:pPr>
      <w:r w:rsidRPr="002E3F2B">
        <w:rPr>
          <w:rFonts w:ascii="Garamond" w:hAnsi="Garamond"/>
        </w:rPr>
        <w:t>6. Mbi bazën e materialeve të dërguara nga autoritetet greke të drejtësisë, Prokuroria</w:t>
      </w:r>
      <w:r w:rsidR="002E3F2B">
        <w:rPr>
          <w:rFonts w:ascii="Garamond" w:hAnsi="Garamond"/>
        </w:rPr>
        <w:t xml:space="preserve"> e Fierit, me vendimin e datës 1.</w:t>
      </w:r>
      <w:r w:rsidRPr="002E3F2B">
        <w:rPr>
          <w:rFonts w:ascii="Garamond" w:hAnsi="Garamond"/>
        </w:rPr>
        <w:t>9.2009, ka shfuqizuar vendimin e pezullimit të hetimeve, duke i rifilluar ato. Megjithatë, me vendimin e datës 28.10.2009, Prokuroria e Fierit ka vendosur sërish pezullimin e hetimeve, për të njëjtin shkak. Ky vendim ësht</w:t>
      </w:r>
      <w:r w:rsidR="002E3F2B">
        <w:rPr>
          <w:rFonts w:ascii="Garamond" w:hAnsi="Garamond"/>
        </w:rPr>
        <w:t>ë revokuar në datën 27.</w:t>
      </w:r>
      <w:r w:rsidRPr="002E3F2B">
        <w:rPr>
          <w:rFonts w:ascii="Garamond" w:hAnsi="Garamond"/>
        </w:rPr>
        <w:t xml:space="preserve">1.2017 dhe po në këtë datë, Prokuroria e Fierit ka vendosur pushimin e procedimit penal, bazuar në nenin 328, shkronja “d”, të Kodit të Procedurës Penale </w:t>
      </w:r>
      <w:r w:rsidRPr="002E3F2B">
        <w:rPr>
          <w:rFonts w:ascii="Garamond" w:hAnsi="Garamond"/>
          <w:i/>
          <w:iCs/>
        </w:rPr>
        <w:t xml:space="preserve">(KPP), </w:t>
      </w:r>
      <w:r w:rsidRPr="002E3F2B">
        <w:rPr>
          <w:rFonts w:ascii="Garamond" w:hAnsi="Garamond"/>
        </w:rPr>
        <w:t xml:space="preserve">me arsyetimin se ndjekja penale ishte parashkruar sipas nenit 66 të KP-së. Në </w:t>
      </w:r>
      <w:proofErr w:type="spellStart"/>
      <w:r w:rsidRPr="002E3F2B">
        <w:rPr>
          <w:rFonts w:ascii="Garamond" w:hAnsi="Garamond"/>
        </w:rPr>
        <w:t>dispozitivin</w:t>
      </w:r>
      <w:proofErr w:type="spellEnd"/>
      <w:r w:rsidRPr="002E3F2B">
        <w:rPr>
          <w:rFonts w:ascii="Garamond" w:hAnsi="Garamond"/>
        </w:rPr>
        <w:t xml:space="preserve"> e vendimit, prokurori ka urdhëruar që vendimi t’u njoftohej personave që kishin bërë kallëzimin penal. Megjithatë, në fashikullin e hetimit nuk rezulton ndonjë akt që të provojë dërgimin dhe marrjen e njoftimit nga kallëzuesi ose nga familjarë të tjerë të viktimës, përfshirë edhe kërkueset.</w:t>
      </w:r>
    </w:p>
    <w:p w14:paraId="6B81E598" w14:textId="33D04533" w:rsidR="00470F0A" w:rsidRPr="002E3F2B" w:rsidRDefault="00470F0A" w:rsidP="00901941">
      <w:pPr>
        <w:pStyle w:val="NoSpacing"/>
        <w:tabs>
          <w:tab w:val="left" w:pos="1080"/>
        </w:tabs>
        <w:spacing w:before="0" w:beforeAutospacing="0" w:after="0" w:afterAutospacing="0"/>
        <w:ind w:firstLine="284"/>
        <w:jc w:val="both"/>
        <w:rPr>
          <w:rFonts w:ascii="Garamond" w:hAnsi="Garamond"/>
        </w:rPr>
      </w:pPr>
      <w:r w:rsidRPr="002E3F2B">
        <w:rPr>
          <w:rFonts w:ascii="Garamond" w:hAnsi="Garamond"/>
        </w:rPr>
        <w:t>7. Gjatë viteve 2019</w:t>
      </w:r>
      <w:r w:rsidR="002E3F2B">
        <w:rPr>
          <w:rFonts w:ascii="Garamond" w:hAnsi="Garamond"/>
        </w:rPr>
        <w:t>–</w:t>
      </w:r>
      <w:r w:rsidRPr="002E3F2B">
        <w:rPr>
          <w:rFonts w:ascii="Garamond" w:hAnsi="Garamond"/>
        </w:rPr>
        <w:t>2022 babai i viktimës dhe avokatë të caktuar nga ai me prokurë i janë drejtuar disa herë Prokurorisë së Fierit, por edhe Prokurorisë së Përgjithshme, fillimisht me kërkesa për informacion lidhur me gjendjen e procedimit dhe, në vijim, edhe për vënien në dispozicion të kopjeve të njësuara të akteve të dosjes hetimore. Në përgjigje të këtyre kërkesave, Prokuroria e Fierit, përmes disa shkresave, ka informuar babanë e viktimës se informacioni për çështjen dhe aktet e hetimit i ishin vënë në dispozicion avokatit A.</w:t>
      </w:r>
      <w:r w:rsidR="002E3F2B">
        <w:rPr>
          <w:rFonts w:ascii="Garamond" w:hAnsi="Garamond"/>
        </w:rPr>
        <w:t xml:space="preserve"> </w:t>
      </w:r>
      <w:r w:rsidRPr="002E3F2B">
        <w:rPr>
          <w:rFonts w:ascii="Garamond" w:hAnsi="Garamond"/>
        </w:rPr>
        <w:t>K., i cili kishte nënshkruar kërkesën e datës 23.12.2019. Megjithatë, në dosjen e hetimit nuk ka konfirmim për marrjen e këtyre shkresave nga babai i viktimës. Kërkesa e fundit, e nënshkruar nga babai i viktimës dhe avoka</w:t>
      </w:r>
      <w:r w:rsidR="002E3F2B">
        <w:rPr>
          <w:rFonts w:ascii="Garamond" w:hAnsi="Garamond"/>
        </w:rPr>
        <w:t>ti me prokurë T. A., mban datën 1.</w:t>
      </w:r>
      <w:r w:rsidRPr="002E3F2B">
        <w:rPr>
          <w:rFonts w:ascii="Garamond" w:hAnsi="Garamond"/>
        </w:rPr>
        <w:t>6.2022. Në fund të saj gjendet shënimi me shkrim dore i avokatit T.</w:t>
      </w:r>
      <w:r w:rsidR="002E3F2B">
        <w:rPr>
          <w:rFonts w:ascii="Garamond" w:hAnsi="Garamond"/>
        </w:rPr>
        <w:t xml:space="preserve"> </w:t>
      </w:r>
      <w:r w:rsidRPr="002E3F2B">
        <w:rPr>
          <w:rFonts w:ascii="Garamond" w:hAnsi="Garamond"/>
        </w:rPr>
        <w:t>A. me këtë përmbajtje: “</w:t>
      </w:r>
      <w:r w:rsidRPr="002E3F2B">
        <w:rPr>
          <w:rFonts w:ascii="Garamond" w:hAnsi="Garamond"/>
          <w:i/>
          <w:iCs/>
        </w:rPr>
        <w:t>Mora një kopje të akteve</w:t>
      </w:r>
      <w:r w:rsidR="002E3F2B">
        <w:rPr>
          <w:rFonts w:ascii="Garamond" w:hAnsi="Garamond"/>
          <w:i/>
          <w:iCs/>
        </w:rPr>
        <w:t>, sipas kërkesës, sot në datën 3.</w:t>
      </w:r>
      <w:r w:rsidRPr="002E3F2B">
        <w:rPr>
          <w:rFonts w:ascii="Garamond" w:hAnsi="Garamond"/>
          <w:i/>
          <w:iCs/>
        </w:rPr>
        <w:t>6.2022.</w:t>
      </w:r>
      <w:r w:rsidRPr="002E3F2B">
        <w:rPr>
          <w:rFonts w:ascii="Garamond" w:hAnsi="Garamond"/>
        </w:rPr>
        <w:t>”. Gjithashtu, gjatë kësaj periudhe, babai i viktimës i është drejtuar edhe autoriteteve greke me kërkesë për informacion në lidhje me çështjen penale. Në përgjigje të kësaj kërkese, Prokuroria pranë Gjykatës së A</w:t>
      </w:r>
      <w:r w:rsidR="002E3F2B">
        <w:rPr>
          <w:rFonts w:ascii="Garamond" w:hAnsi="Garamond"/>
        </w:rPr>
        <w:t>pelit në Larisa në datën 19.</w:t>
      </w:r>
      <w:r w:rsidRPr="002E3F2B">
        <w:rPr>
          <w:rFonts w:ascii="Garamond" w:hAnsi="Garamond"/>
        </w:rPr>
        <w:t xml:space="preserve">7.2021 e ka informuar se për të marrë informacion për ecurinë e çështjes duhej të dërgohej </w:t>
      </w:r>
      <w:proofErr w:type="spellStart"/>
      <w:r w:rsidRPr="002E3F2B">
        <w:rPr>
          <w:rFonts w:ascii="Garamond" w:hAnsi="Garamond"/>
        </w:rPr>
        <w:t>letërporosi</w:t>
      </w:r>
      <w:proofErr w:type="spellEnd"/>
      <w:r w:rsidRPr="002E3F2B">
        <w:rPr>
          <w:rFonts w:ascii="Garamond" w:hAnsi="Garamond"/>
        </w:rPr>
        <w:t xml:space="preserve"> nga autoritetet kompetente shqiptare. </w:t>
      </w:r>
    </w:p>
    <w:p w14:paraId="7151DBB9" w14:textId="510D0649" w:rsidR="00470F0A" w:rsidRPr="002E3F2B" w:rsidRDefault="002E3F2B" w:rsidP="00901941">
      <w:pPr>
        <w:pStyle w:val="NoSpacing"/>
        <w:tabs>
          <w:tab w:val="left" w:pos="1080"/>
        </w:tabs>
        <w:spacing w:before="0" w:beforeAutospacing="0" w:after="0" w:afterAutospacing="0"/>
        <w:ind w:firstLine="284"/>
        <w:jc w:val="both"/>
        <w:rPr>
          <w:rFonts w:ascii="Garamond" w:hAnsi="Garamond"/>
        </w:rPr>
      </w:pPr>
      <w:r>
        <w:rPr>
          <w:rFonts w:ascii="Garamond" w:hAnsi="Garamond"/>
        </w:rPr>
        <w:t>8. Në datën 13.</w:t>
      </w:r>
      <w:r w:rsidR="00470F0A" w:rsidRPr="002E3F2B">
        <w:rPr>
          <w:rFonts w:ascii="Garamond" w:hAnsi="Garamond"/>
        </w:rPr>
        <w:t>6.2022, duke pretenduar se me vendimin e prokurorit për pushimin e çë</w:t>
      </w:r>
      <w:r>
        <w:rPr>
          <w:rFonts w:ascii="Garamond" w:hAnsi="Garamond"/>
        </w:rPr>
        <w:t>shtjes janë njohur në datën 3.</w:t>
      </w:r>
      <w:r w:rsidR="00470F0A" w:rsidRPr="002E3F2B">
        <w:rPr>
          <w:rFonts w:ascii="Garamond" w:hAnsi="Garamond"/>
        </w:rPr>
        <w:t>6.2022, kërkueset kanë paraqitur ankim në gjykatë, duke kërkuar shfuqizimin e vendimit dhe vazhdimin e hetimeve.</w:t>
      </w:r>
      <w:r w:rsidR="00470F0A" w:rsidRPr="002E3F2B">
        <w:rPr>
          <w:rFonts w:ascii="Garamond" w:hAnsi="Garamond"/>
          <w:b/>
          <w:bCs/>
        </w:rPr>
        <w:t xml:space="preserve"> </w:t>
      </w:r>
      <w:r w:rsidR="00470F0A" w:rsidRPr="002E3F2B">
        <w:rPr>
          <w:rFonts w:ascii="Garamond" w:hAnsi="Garamond"/>
        </w:rPr>
        <w:t>Gjykata e Rrethit Gjyqësor Fier, me vendimin nr. 62-2022-2874 (789)</w:t>
      </w:r>
      <w:r>
        <w:rPr>
          <w:rFonts w:ascii="Garamond" w:hAnsi="Garamond" w:cs="Book Antiqua"/>
        </w:rPr>
        <w:t xml:space="preserve"> datë 8.</w:t>
      </w:r>
      <w:r w:rsidR="00470F0A" w:rsidRPr="002E3F2B">
        <w:rPr>
          <w:rFonts w:ascii="Garamond" w:hAnsi="Garamond" w:cs="Book Antiqua"/>
        </w:rPr>
        <w:t>7.2022</w:t>
      </w:r>
      <w:r w:rsidR="00470F0A" w:rsidRPr="002E3F2B">
        <w:rPr>
          <w:rFonts w:ascii="Garamond" w:hAnsi="Garamond"/>
        </w:rPr>
        <w:t xml:space="preserve">, </w:t>
      </w:r>
      <w:r w:rsidR="00470F0A" w:rsidRPr="002E3F2B">
        <w:rPr>
          <w:rFonts w:ascii="Garamond" w:hAnsi="Garamond" w:cs="Book Antiqua"/>
        </w:rPr>
        <w:t>ka vendosur l</w:t>
      </w:r>
      <w:r w:rsidR="00470F0A" w:rsidRPr="002E3F2B">
        <w:rPr>
          <w:rFonts w:ascii="Garamond" w:hAnsi="Garamond"/>
        </w:rPr>
        <w:t xml:space="preserve">ënien në fuqi të vendimit të pushimit të procedimit penal. Në mënyrë të përmbledhur, gjykata ka arsyetuar se ankimi kundër vendimit të </w:t>
      </w:r>
      <w:r w:rsidR="00470F0A" w:rsidRPr="002E3F2B">
        <w:rPr>
          <w:rFonts w:ascii="Garamond" w:hAnsi="Garamond"/>
        </w:rPr>
        <w:lastRenderedPageBreak/>
        <w:t>pushimit të procedimit penal është paraqitur jashtë afatit 10-ditor sipas nenit 329, pika 1, të KPP-së. Sipas gjykatës, vendimi i pushimit i është njoftuar babait të viktimës me shkresën nr. 258/</w:t>
      </w:r>
      <w:r>
        <w:rPr>
          <w:rFonts w:ascii="Garamond" w:hAnsi="Garamond"/>
        </w:rPr>
        <w:t xml:space="preserve">1 </w:t>
      </w:r>
      <w:proofErr w:type="spellStart"/>
      <w:r>
        <w:rPr>
          <w:rFonts w:ascii="Garamond" w:hAnsi="Garamond"/>
        </w:rPr>
        <w:t>prot</w:t>
      </w:r>
      <w:proofErr w:type="spellEnd"/>
      <w:r>
        <w:rPr>
          <w:rFonts w:ascii="Garamond" w:hAnsi="Garamond"/>
        </w:rPr>
        <w:t>., datë 15.</w:t>
      </w:r>
      <w:r w:rsidR="00470F0A" w:rsidRPr="002E3F2B">
        <w:rPr>
          <w:rFonts w:ascii="Garamond" w:hAnsi="Garamond"/>
        </w:rPr>
        <w:t>1.2021, sipas së cilës kopjet e akteve janë marrë nga avokati A.</w:t>
      </w:r>
      <w:r>
        <w:rPr>
          <w:rFonts w:ascii="Garamond" w:hAnsi="Garamond"/>
        </w:rPr>
        <w:t xml:space="preserve"> </w:t>
      </w:r>
      <w:r w:rsidR="00470F0A" w:rsidRPr="002E3F2B">
        <w:rPr>
          <w:rFonts w:ascii="Garamond" w:hAnsi="Garamond"/>
        </w:rPr>
        <w:t>K. Po sipas gjykatës, edhe me shk</w:t>
      </w:r>
      <w:r>
        <w:rPr>
          <w:rFonts w:ascii="Garamond" w:hAnsi="Garamond"/>
        </w:rPr>
        <w:t xml:space="preserve">resën nr. 181/1 </w:t>
      </w:r>
      <w:proofErr w:type="spellStart"/>
      <w:r>
        <w:rPr>
          <w:rFonts w:ascii="Garamond" w:hAnsi="Garamond"/>
        </w:rPr>
        <w:t>prot</w:t>
      </w:r>
      <w:proofErr w:type="spellEnd"/>
      <w:r>
        <w:rPr>
          <w:rFonts w:ascii="Garamond" w:hAnsi="Garamond"/>
        </w:rPr>
        <w:t>., datë 20.</w:t>
      </w:r>
      <w:r w:rsidR="00470F0A" w:rsidRPr="002E3F2B">
        <w:rPr>
          <w:rFonts w:ascii="Garamond" w:hAnsi="Garamond"/>
        </w:rPr>
        <w:t xml:space="preserve">2.2020, avokati i caktuar nga babai i viktimës është informuar për mënyrën e zgjidhjes së çështjes, sikundër ai është informuar edhe me shkresën nr. 130/1 </w:t>
      </w:r>
      <w:proofErr w:type="spellStart"/>
      <w:r w:rsidR="00470F0A" w:rsidRPr="002E3F2B">
        <w:rPr>
          <w:rFonts w:ascii="Garamond" w:hAnsi="Garamond"/>
        </w:rPr>
        <w:t>prot</w:t>
      </w:r>
      <w:proofErr w:type="spellEnd"/>
      <w:r w:rsidR="00470F0A" w:rsidRPr="002E3F2B">
        <w:rPr>
          <w:rFonts w:ascii="Garamond" w:hAnsi="Garamond"/>
        </w:rPr>
        <w:t xml:space="preserve">., datë 14.12.2020. Megjithëse e ka konsideruar ankimin të paraqitur jashtë afatit, gjykata ka shqyrtuar edhe ligjshmërinë e vendimit të pushimit, duke vlerësuar se ndjekja penale ishte parashkruar sipas nenit 66, shkronja “a”, të KP-së, sipas përmbajtjes së tij përpara ndryshimeve të </w:t>
      </w:r>
      <w:r>
        <w:rPr>
          <w:rFonts w:ascii="Garamond" w:hAnsi="Garamond"/>
        </w:rPr>
        <w:t>bëra me ligjin nr. 36, datë 30.</w:t>
      </w:r>
      <w:r w:rsidR="00470F0A" w:rsidRPr="002E3F2B">
        <w:rPr>
          <w:rFonts w:ascii="Garamond" w:hAnsi="Garamond"/>
        </w:rPr>
        <w:t>3.2017</w:t>
      </w:r>
      <w:r>
        <w:rPr>
          <w:rFonts w:ascii="Garamond" w:hAnsi="Garamond"/>
        </w:rPr>
        <w:t>,</w:t>
      </w:r>
      <w:r w:rsidR="00470F0A" w:rsidRPr="002E3F2B">
        <w:rPr>
          <w:rFonts w:ascii="Garamond" w:hAnsi="Garamond"/>
        </w:rPr>
        <w:t xml:space="preserve"> “Për disa shtesa dhe ndrysh</w:t>
      </w:r>
      <w:r>
        <w:rPr>
          <w:rFonts w:ascii="Garamond" w:hAnsi="Garamond"/>
        </w:rPr>
        <w:t>ime në ligji nr. 7895, datë 27.</w:t>
      </w:r>
      <w:r w:rsidR="00470F0A" w:rsidRPr="002E3F2B">
        <w:rPr>
          <w:rFonts w:ascii="Garamond" w:hAnsi="Garamond"/>
        </w:rPr>
        <w:t>1.1995</w:t>
      </w:r>
      <w:r>
        <w:rPr>
          <w:rFonts w:ascii="Garamond" w:hAnsi="Garamond"/>
        </w:rPr>
        <w:t>,</w:t>
      </w:r>
      <w:r w:rsidR="00470F0A" w:rsidRPr="002E3F2B">
        <w:rPr>
          <w:rFonts w:ascii="Garamond" w:hAnsi="Garamond"/>
        </w:rPr>
        <w:t xml:space="preserve"> </w:t>
      </w:r>
      <w:r>
        <w:rPr>
          <w:rFonts w:ascii="Garamond" w:hAnsi="Garamond"/>
        </w:rPr>
        <w:t>‘</w:t>
      </w:r>
      <w:r w:rsidR="00470F0A" w:rsidRPr="002E3F2B">
        <w:rPr>
          <w:rFonts w:ascii="Garamond" w:hAnsi="Garamond"/>
        </w:rPr>
        <w:t>Kodi Penal i Republikë</w:t>
      </w:r>
      <w:r>
        <w:rPr>
          <w:rFonts w:ascii="Garamond" w:hAnsi="Garamond"/>
        </w:rPr>
        <w:t>s së Shqipërisë’”, të ndryshuar</w:t>
      </w:r>
      <w:r w:rsidR="00470F0A" w:rsidRPr="002E3F2B">
        <w:rPr>
          <w:rFonts w:ascii="Garamond" w:hAnsi="Garamond"/>
        </w:rPr>
        <w:t>, si dispozita më e favorshme. Sipas saj, nga koha e kryerjes së veprës p</w:t>
      </w:r>
      <w:r>
        <w:rPr>
          <w:rFonts w:ascii="Garamond" w:hAnsi="Garamond"/>
        </w:rPr>
        <w:t>enale, e përcaktuar si data 21.</w:t>
      </w:r>
      <w:r w:rsidR="00470F0A" w:rsidRPr="002E3F2B">
        <w:rPr>
          <w:rFonts w:ascii="Garamond" w:hAnsi="Garamond"/>
        </w:rPr>
        <w:t>9.1996, deri në çastin e pushimit të</w:t>
      </w:r>
      <w:r>
        <w:rPr>
          <w:rFonts w:ascii="Garamond" w:hAnsi="Garamond"/>
        </w:rPr>
        <w:t xml:space="preserve"> procedimit penal, në datën 27.</w:t>
      </w:r>
      <w:r w:rsidR="00470F0A" w:rsidRPr="002E3F2B">
        <w:rPr>
          <w:rFonts w:ascii="Garamond" w:hAnsi="Garamond"/>
        </w:rPr>
        <w:t>1.2017, kishin kaluar 20 vjet. Kërkueset kanë paraqitur ankim kundër këtij vendimi.</w:t>
      </w:r>
    </w:p>
    <w:p w14:paraId="6C672A70" w14:textId="416D3082" w:rsidR="00470F0A" w:rsidRPr="002E3F2B" w:rsidRDefault="00470F0A" w:rsidP="00901941">
      <w:pPr>
        <w:pStyle w:val="NoSpacing"/>
        <w:tabs>
          <w:tab w:val="left" w:pos="1080"/>
        </w:tabs>
        <w:spacing w:before="0" w:beforeAutospacing="0" w:after="0" w:afterAutospacing="0"/>
        <w:ind w:firstLine="284"/>
        <w:jc w:val="both"/>
        <w:rPr>
          <w:rFonts w:ascii="Garamond" w:hAnsi="Garamond"/>
        </w:rPr>
      </w:pPr>
      <w:r w:rsidRPr="002E3F2B">
        <w:rPr>
          <w:rFonts w:ascii="Garamond" w:hAnsi="Garamond"/>
        </w:rPr>
        <w:t xml:space="preserve">9. Gjykata e Apelit Vlorë, me vendimin nr. 97, datë 11.10.2022, ka vendosur lënien në fuqi të vendimit të gjykatës së shkallës së parë. Edhe gjykata e apelit e ka vlerësuar të pabazuar pretendimin e kërkueseve për mungesën e njoftimit të vendimit të pushimit të procedimit penal, pasi, sipas saj, ky vendim i ishte njoftuar babait të viktimës me shkresën nr. 130/1 </w:t>
      </w:r>
      <w:proofErr w:type="spellStart"/>
      <w:r w:rsidRPr="002E3F2B">
        <w:rPr>
          <w:rFonts w:ascii="Garamond" w:hAnsi="Garamond"/>
        </w:rPr>
        <w:t>prot</w:t>
      </w:r>
      <w:proofErr w:type="spellEnd"/>
      <w:r w:rsidRPr="002E3F2B">
        <w:rPr>
          <w:rFonts w:ascii="Garamond" w:hAnsi="Garamond"/>
        </w:rPr>
        <w:t xml:space="preserve">., datë 14.12.2020. Megjithatë, ajo ka shqyrtuar edhe pretendimet për ligjshmërinë e vendimit të pushimit të procedimit penal, duke e vlerësuar atë të drejtë dhe duke arritur në të njëjtin përfundim se ndjekja penale ishte parashkruar. Në arsyetimin e saj gjykata e apelit ka parashtruar se vendosja e afateve të parashkrimit nga ligjvënësi është shprehje e parimit të sigurisë juridike, pasi individi nuk mund të mbahet për një kohë të pacaktuar në pasiguri për ushtrimin ndaj tij të ndjekjes penale. Ajo ka vlerësuar se parashkrimi është edhe shprehje e parimit të humanizmit, pasi, pas kalimit të një kohe të gjatë pa u dënuar, dënimi i mëvonshëm i një personi që ka treguar se është </w:t>
      </w:r>
      <w:proofErr w:type="spellStart"/>
      <w:r w:rsidRPr="002E3F2B">
        <w:rPr>
          <w:rFonts w:ascii="Garamond" w:hAnsi="Garamond"/>
        </w:rPr>
        <w:t>risocializuar</w:t>
      </w:r>
      <w:proofErr w:type="spellEnd"/>
      <w:r w:rsidRPr="002E3F2B">
        <w:rPr>
          <w:rFonts w:ascii="Garamond" w:hAnsi="Garamond"/>
        </w:rPr>
        <w:t xml:space="preserve"> mund të mos përmbushë më qëllimet e dënimit. Po kështu, sipas gjykatës së apelit, kalimi i një kohe të gjatë mund të dëmtojë procesin gjyqësor për shkak të vështirësive në administrimin e provave. Gjykata e apelit ka vlerësuar se prokuroria kishte vendosur me të drejtë pushimin e procedimit penal, pasi kryerja e mëtejshme e hetimeve nuk do të sillte rezultat, për sa kohë procedimi nuk mund të vazhdonte. Kundër këtij vendimi kërkueset kanë paraqitur rekurs.</w:t>
      </w:r>
    </w:p>
    <w:p w14:paraId="4CD3E99F" w14:textId="5C6D1447" w:rsidR="00470F0A" w:rsidRPr="002E3F2B" w:rsidRDefault="00470F0A" w:rsidP="00901941">
      <w:pPr>
        <w:pStyle w:val="NoSpacing"/>
        <w:tabs>
          <w:tab w:val="left" w:pos="1080"/>
        </w:tabs>
        <w:spacing w:before="0" w:beforeAutospacing="0" w:after="0" w:afterAutospacing="0"/>
        <w:ind w:firstLine="284"/>
        <w:jc w:val="both"/>
        <w:rPr>
          <w:rFonts w:ascii="Garamond" w:hAnsi="Garamond"/>
        </w:rPr>
      </w:pPr>
      <w:r w:rsidRPr="002E3F2B">
        <w:rPr>
          <w:rFonts w:ascii="Garamond" w:hAnsi="Garamond"/>
        </w:rPr>
        <w:t xml:space="preserve">10. Kolegji Penal i Gjykatës së Lartë, me </w:t>
      </w:r>
      <w:r w:rsidR="002E3F2B">
        <w:rPr>
          <w:rFonts w:ascii="Garamond" w:hAnsi="Garamond"/>
        </w:rPr>
        <w:t>vendimin nr. 00-2025-553, datë 2.</w:t>
      </w:r>
      <w:r w:rsidRPr="002E3F2B">
        <w:rPr>
          <w:rFonts w:ascii="Garamond" w:hAnsi="Garamond"/>
        </w:rPr>
        <w:t xml:space="preserve">4.2025, pasi ka shqyrtuar rekursin në dhomën e këshillimit, ka vendosur mospranimin e tij, me arsyetimin se shkaqet e parashtruara nuk përfshiheshin në ato të parashikuara nga neni 432 i KPP-së. Sipas Kolegjit Penal, neni 66 i KP-së nuk kishte pësuar ndryshime në periudhën nga kryerja e veprës penale deri në marrjen e vendimit nga prokurori për pushimin e çështjes, ndaj vendimi i prokurorit ishte i drejtë, sikurse kishin </w:t>
      </w:r>
      <w:proofErr w:type="spellStart"/>
      <w:r w:rsidRPr="002E3F2B">
        <w:rPr>
          <w:rFonts w:ascii="Garamond" w:hAnsi="Garamond"/>
        </w:rPr>
        <w:t>konkluduar</w:t>
      </w:r>
      <w:proofErr w:type="spellEnd"/>
      <w:r w:rsidRPr="002E3F2B">
        <w:rPr>
          <w:rFonts w:ascii="Garamond" w:hAnsi="Garamond"/>
        </w:rPr>
        <w:t xml:space="preserve"> edhe gjykatat më të ulëta. Për </w:t>
      </w:r>
      <w:proofErr w:type="spellStart"/>
      <w:r w:rsidRPr="002E3F2B">
        <w:rPr>
          <w:rFonts w:ascii="Garamond" w:hAnsi="Garamond"/>
        </w:rPr>
        <w:t>mosnjoftimin</w:t>
      </w:r>
      <w:proofErr w:type="spellEnd"/>
      <w:r w:rsidRPr="002E3F2B">
        <w:rPr>
          <w:rFonts w:ascii="Garamond" w:hAnsi="Garamond"/>
        </w:rPr>
        <w:t xml:space="preserve"> e vendimit të prokurorit për pushimin e procedimit, Kolegji Penal ka vlerësuar se gjykatat e faktit e kishin gjetur me të drejtë këtë pretendim të pabazuar. </w:t>
      </w:r>
    </w:p>
    <w:p w14:paraId="78B657FE" w14:textId="596C8C5A" w:rsidR="00470F0A" w:rsidRPr="002E3F2B" w:rsidRDefault="00470F0A" w:rsidP="00901941">
      <w:pPr>
        <w:pStyle w:val="NoSpacing"/>
        <w:tabs>
          <w:tab w:val="left" w:pos="1080"/>
        </w:tabs>
        <w:spacing w:before="0" w:beforeAutospacing="0" w:after="0" w:afterAutospacing="0"/>
        <w:ind w:firstLine="284"/>
        <w:jc w:val="both"/>
        <w:rPr>
          <w:rFonts w:ascii="Garamond" w:hAnsi="Garamond"/>
        </w:rPr>
      </w:pPr>
      <w:r w:rsidRPr="002E3F2B">
        <w:rPr>
          <w:rFonts w:ascii="Garamond" w:hAnsi="Garamond"/>
        </w:rPr>
        <w:t>11. Në datën</w:t>
      </w:r>
      <w:r w:rsidR="002E3F2B">
        <w:rPr>
          <w:rFonts w:ascii="Garamond" w:hAnsi="Garamond"/>
        </w:rPr>
        <w:t xml:space="preserve"> 1.</w:t>
      </w:r>
      <w:r w:rsidRPr="002E3F2B">
        <w:rPr>
          <w:rFonts w:ascii="Garamond" w:hAnsi="Garamond"/>
        </w:rPr>
        <w:t>7.2025</w:t>
      </w:r>
      <w:r w:rsidR="002E3F2B">
        <w:rPr>
          <w:rFonts w:ascii="Garamond" w:hAnsi="Garamond"/>
        </w:rPr>
        <w:t>,</w:t>
      </w:r>
      <w:r w:rsidRPr="002E3F2B">
        <w:rPr>
          <w:rFonts w:ascii="Garamond" w:hAnsi="Garamond"/>
        </w:rPr>
        <w:t xml:space="preserve"> kërkueset, nëpërmjet shërbimit postar, i janë drejtuar Gjykatës Kushtetuese (</w:t>
      </w:r>
      <w:r w:rsidRPr="002E3F2B">
        <w:rPr>
          <w:rFonts w:ascii="Garamond" w:hAnsi="Garamond"/>
          <w:i/>
          <w:iCs/>
        </w:rPr>
        <w:t>Gjykata</w:t>
      </w:r>
      <w:r w:rsidRPr="002E3F2B">
        <w:rPr>
          <w:rFonts w:ascii="Garamond" w:hAnsi="Garamond"/>
        </w:rPr>
        <w:t>) me ankim kushtetues individual me objektin e pasqyruar në pjesën hyrëse të vendimit. Ky ankim, pasi është plotësuar sipas kërkesave të Ligjit Organik të Gjykat</w:t>
      </w:r>
      <w:r w:rsidR="002E3F2B">
        <w:rPr>
          <w:rFonts w:ascii="Garamond" w:hAnsi="Garamond"/>
        </w:rPr>
        <w:t>ës, është regjistruar në datën 9.</w:t>
      </w:r>
      <w:r w:rsidRPr="002E3F2B">
        <w:rPr>
          <w:rFonts w:ascii="Garamond" w:hAnsi="Garamond"/>
        </w:rPr>
        <w:t>7.2025. Kolegji i Gjykatës, në datën 22.10.2025, pas shqyrtimit paraprak të kërkesës, ka vendosur kalimin e çështjes për shqyrtim në seancë plenare mbi bazën e dokumenteve.</w:t>
      </w:r>
    </w:p>
    <w:p w14:paraId="2763B13F" w14:textId="77777777" w:rsidR="00901941" w:rsidRPr="002E3F2B" w:rsidRDefault="00901941" w:rsidP="00901941">
      <w:pPr>
        <w:spacing w:after="0" w:line="240" w:lineRule="auto"/>
        <w:ind w:firstLine="284"/>
        <w:jc w:val="center"/>
        <w:rPr>
          <w:rFonts w:ascii="Garamond" w:hAnsi="Garamond" w:cs="Times New Roman"/>
          <w:b/>
          <w:bCs/>
          <w:sz w:val="24"/>
          <w:szCs w:val="24"/>
        </w:rPr>
      </w:pPr>
    </w:p>
    <w:p w14:paraId="065AA64F" w14:textId="5A270E7D" w:rsidR="00470F0A" w:rsidRPr="002E3F2B" w:rsidRDefault="00470F0A" w:rsidP="00901941">
      <w:pPr>
        <w:spacing w:after="0" w:line="240" w:lineRule="auto"/>
        <w:ind w:firstLine="284"/>
        <w:jc w:val="center"/>
        <w:rPr>
          <w:rFonts w:ascii="Garamond" w:hAnsi="Garamond" w:cs="Times New Roman"/>
          <w:b/>
          <w:bCs/>
          <w:sz w:val="24"/>
          <w:szCs w:val="24"/>
        </w:rPr>
      </w:pPr>
      <w:r w:rsidRPr="002E3F2B">
        <w:rPr>
          <w:rFonts w:ascii="Garamond" w:hAnsi="Garamond" w:cs="Times New Roman"/>
          <w:b/>
          <w:bCs/>
          <w:sz w:val="24"/>
          <w:szCs w:val="24"/>
        </w:rPr>
        <w:t>II</w:t>
      </w:r>
    </w:p>
    <w:p w14:paraId="5EAAE210" w14:textId="77777777" w:rsidR="00470F0A" w:rsidRPr="002E3F2B" w:rsidRDefault="00470F0A" w:rsidP="00901941">
      <w:pPr>
        <w:tabs>
          <w:tab w:val="left" w:pos="1080"/>
        </w:tabs>
        <w:spacing w:after="0" w:line="240" w:lineRule="auto"/>
        <w:ind w:firstLine="284"/>
        <w:jc w:val="center"/>
        <w:rPr>
          <w:rFonts w:ascii="Garamond" w:hAnsi="Garamond" w:cs="Times New Roman"/>
          <w:b/>
          <w:bCs/>
          <w:sz w:val="24"/>
          <w:szCs w:val="24"/>
        </w:rPr>
      </w:pPr>
      <w:r w:rsidRPr="002E3F2B">
        <w:rPr>
          <w:rFonts w:ascii="Garamond" w:hAnsi="Garamond" w:cs="Times New Roman"/>
          <w:b/>
          <w:bCs/>
          <w:sz w:val="24"/>
          <w:szCs w:val="24"/>
        </w:rPr>
        <w:t>Pretendimet në Gjykatën Kushtetuese</w:t>
      </w:r>
    </w:p>
    <w:p w14:paraId="53455960" w14:textId="77777777" w:rsidR="00901941" w:rsidRPr="002E3F2B" w:rsidRDefault="00901941" w:rsidP="00901941">
      <w:pPr>
        <w:pStyle w:val="BodyText"/>
        <w:tabs>
          <w:tab w:val="left" w:pos="1080"/>
        </w:tabs>
        <w:spacing w:after="0" w:line="240" w:lineRule="auto"/>
        <w:ind w:firstLine="284"/>
        <w:jc w:val="both"/>
        <w:rPr>
          <w:rFonts w:ascii="Garamond" w:hAnsi="Garamond" w:cs="Times New Roman"/>
          <w:sz w:val="24"/>
          <w:szCs w:val="24"/>
        </w:rPr>
      </w:pPr>
    </w:p>
    <w:p w14:paraId="5CAF76F2" w14:textId="36937D94" w:rsidR="00470F0A" w:rsidRPr="002E3F2B" w:rsidRDefault="00470F0A" w:rsidP="00901941">
      <w:pPr>
        <w:pStyle w:val="BodyText"/>
        <w:tabs>
          <w:tab w:val="left" w:pos="1080"/>
        </w:tabs>
        <w:spacing w:after="0" w:line="240" w:lineRule="auto"/>
        <w:ind w:firstLine="284"/>
        <w:jc w:val="both"/>
        <w:rPr>
          <w:rFonts w:ascii="Garamond" w:hAnsi="Garamond" w:cs="Times New Roman"/>
          <w:sz w:val="24"/>
          <w:szCs w:val="24"/>
        </w:rPr>
      </w:pPr>
      <w:r w:rsidRPr="002E3F2B">
        <w:rPr>
          <w:rFonts w:ascii="Garamond" w:hAnsi="Garamond" w:cs="Times New Roman"/>
          <w:sz w:val="24"/>
          <w:szCs w:val="24"/>
        </w:rPr>
        <w:t xml:space="preserve">12. </w:t>
      </w:r>
      <w:r w:rsidRPr="002E3F2B">
        <w:rPr>
          <w:rFonts w:ascii="Garamond" w:hAnsi="Garamond" w:cs="Times New Roman"/>
          <w:b/>
          <w:bCs/>
          <w:i/>
          <w:iCs/>
          <w:color w:val="222222"/>
          <w:sz w:val="24"/>
          <w:szCs w:val="24"/>
        </w:rPr>
        <w:t>Kërkueset</w:t>
      </w:r>
      <w:r w:rsidRPr="002E3F2B">
        <w:rPr>
          <w:rFonts w:ascii="Garamond" w:hAnsi="Garamond" w:cs="Times New Roman"/>
          <w:b/>
          <w:bCs/>
          <w:color w:val="222222"/>
          <w:sz w:val="24"/>
          <w:szCs w:val="24"/>
        </w:rPr>
        <w:t>,</w:t>
      </w:r>
      <w:r w:rsidRPr="002E3F2B">
        <w:rPr>
          <w:rFonts w:ascii="Garamond" w:hAnsi="Garamond" w:cs="Times New Roman"/>
          <w:color w:val="222222"/>
          <w:sz w:val="24"/>
          <w:szCs w:val="24"/>
        </w:rPr>
        <w:t xml:space="preserve"> në mënyrë të përmbledhur, kanë pretenduar se u janë cenuar:</w:t>
      </w:r>
    </w:p>
    <w:p w14:paraId="52731AC6" w14:textId="0471C202" w:rsidR="00470F0A" w:rsidRPr="002E3F2B" w:rsidRDefault="002E3F2B" w:rsidP="00901941">
      <w:pPr>
        <w:pStyle w:val="BodyText"/>
        <w:tabs>
          <w:tab w:val="left" w:pos="1260"/>
        </w:tabs>
        <w:spacing w:after="0" w:line="240" w:lineRule="auto"/>
        <w:ind w:firstLine="284"/>
        <w:jc w:val="both"/>
        <w:rPr>
          <w:rFonts w:ascii="Garamond" w:hAnsi="Garamond" w:cs="Times New Roman"/>
          <w:sz w:val="24"/>
          <w:szCs w:val="24"/>
        </w:rPr>
      </w:pPr>
      <w:r>
        <w:rPr>
          <w:rFonts w:ascii="Garamond" w:hAnsi="Garamond" w:cs="Times New Roman"/>
          <w:sz w:val="24"/>
          <w:szCs w:val="24"/>
        </w:rPr>
        <w:t>12.1</w:t>
      </w:r>
      <w:r w:rsidR="00470F0A" w:rsidRPr="002E3F2B">
        <w:rPr>
          <w:rFonts w:ascii="Garamond" w:hAnsi="Garamond" w:cs="Times New Roman"/>
          <w:sz w:val="24"/>
          <w:szCs w:val="24"/>
        </w:rPr>
        <w:t xml:space="preserve"> </w:t>
      </w:r>
      <w:r w:rsidR="00470F0A" w:rsidRPr="002E3F2B">
        <w:rPr>
          <w:rFonts w:ascii="Garamond" w:hAnsi="Garamond" w:cs="Times New Roman"/>
          <w:i/>
          <w:iCs/>
          <w:sz w:val="24"/>
          <w:szCs w:val="24"/>
        </w:rPr>
        <w:t>E drejta për t’u njoftuar,</w:t>
      </w:r>
      <w:r w:rsidR="00470F0A" w:rsidRPr="002E3F2B">
        <w:rPr>
          <w:rFonts w:ascii="Garamond" w:hAnsi="Garamond" w:cs="Times New Roman"/>
          <w:b/>
          <w:bCs/>
          <w:sz w:val="24"/>
          <w:szCs w:val="24"/>
        </w:rPr>
        <w:t xml:space="preserve"> </w:t>
      </w:r>
      <w:r w:rsidR="00470F0A" w:rsidRPr="002E3F2B">
        <w:rPr>
          <w:rFonts w:ascii="Garamond" w:hAnsi="Garamond" w:cs="Times New Roman"/>
          <w:sz w:val="24"/>
          <w:szCs w:val="24"/>
        </w:rPr>
        <w:t>pasi</w:t>
      </w:r>
      <w:r w:rsidR="00470F0A" w:rsidRPr="002E3F2B">
        <w:rPr>
          <w:rFonts w:ascii="Garamond" w:hAnsi="Garamond" w:cs="Times New Roman"/>
          <w:b/>
          <w:bCs/>
          <w:sz w:val="24"/>
          <w:szCs w:val="24"/>
        </w:rPr>
        <w:t xml:space="preserve"> </w:t>
      </w:r>
      <w:r w:rsidR="00470F0A" w:rsidRPr="002E3F2B">
        <w:rPr>
          <w:rFonts w:ascii="Garamond" w:hAnsi="Garamond" w:cs="Times New Roman"/>
          <w:sz w:val="24"/>
          <w:szCs w:val="24"/>
        </w:rPr>
        <w:t xml:space="preserve">vendimi i prokurorisë për pushimin e procedimit penal nuk është komunikuar asnjëherë. Ato janë </w:t>
      </w:r>
      <w:r>
        <w:rPr>
          <w:rFonts w:ascii="Garamond" w:hAnsi="Garamond" w:cs="Times New Roman"/>
          <w:sz w:val="24"/>
          <w:szCs w:val="24"/>
        </w:rPr>
        <w:t>njohur me këtë vendim në datën 3.</w:t>
      </w:r>
      <w:r w:rsidR="00470F0A" w:rsidRPr="002E3F2B">
        <w:rPr>
          <w:rFonts w:ascii="Garamond" w:hAnsi="Garamond" w:cs="Times New Roman"/>
          <w:sz w:val="24"/>
          <w:szCs w:val="24"/>
        </w:rPr>
        <w:t xml:space="preserve">6.2022, kur avokati ka tërhequr një kopje të akteve të dosjes. Pavarësisht se në dosje gjenden shkresa përmes të cilave pretendohet se familjarët e viktimës janë informuar për mënyrën e përfundimit të procedimit penal, në të vërtetë ata nuk kanë marrë asnjë njoftim. Madje nuk rezulton </w:t>
      </w:r>
      <w:r w:rsidR="00470F0A" w:rsidRPr="002E3F2B">
        <w:rPr>
          <w:rFonts w:ascii="Garamond" w:hAnsi="Garamond" w:cs="Times New Roman"/>
          <w:bCs/>
          <w:sz w:val="24"/>
          <w:szCs w:val="24"/>
        </w:rPr>
        <w:t>që këto shkresa të jenë dërguar ose dorëzuar përmes shërbimit postar</w:t>
      </w:r>
      <w:r w:rsidR="00470F0A" w:rsidRPr="002E3F2B">
        <w:rPr>
          <w:rFonts w:ascii="Garamond" w:hAnsi="Garamond" w:cs="Times New Roman"/>
          <w:sz w:val="24"/>
          <w:szCs w:val="24"/>
        </w:rPr>
        <w:t>.</w:t>
      </w:r>
    </w:p>
    <w:p w14:paraId="24D6F73F" w14:textId="11B28D16" w:rsidR="00470F0A" w:rsidRPr="002E3F2B" w:rsidRDefault="002E3F2B" w:rsidP="00901941">
      <w:pPr>
        <w:pStyle w:val="BodyText"/>
        <w:tabs>
          <w:tab w:val="left" w:pos="1260"/>
        </w:tabs>
        <w:spacing w:after="0" w:line="240" w:lineRule="auto"/>
        <w:ind w:firstLine="284"/>
        <w:jc w:val="both"/>
        <w:rPr>
          <w:rFonts w:ascii="Garamond" w:hAnsi="Garamond" w:cs="Times New Roman"/>
          <w:sz w:val="24"/>
          <w:szCs w:val="24"/>
        </w:rPr>
      </w:pPr>
      <w:r>
        <w:rPr>
          <w:rFonts w:ascii="Garamond" w:hAnsi="Garamond" w:cs="Times New Roman"/>
          <w:sz w:val="24"/>
          <w:szCs w:val="24"/>
        </w:rPr>
        <w:lastRenderedPageBreak/>
        <w:t>12.2</w:t>
      </w:r>
      <w:r w:rsidR="00470F0A" w:rsidRPr="002E3F2B">
        <w:rPr>
          <w:rFonts w:ascii="Garamond" w:hAnsi="Garamond" w:cs="Times New Roman"/>
          <w:sz w:val="24"/>
          <w:szCs w:val="24"/>
        </w:rPr>
        <w:t xml:space="preserve"> </w:t>
      </w:r>
      <w:r w:rsidR="00470F0A" w:rsidRPr="002E3F2B">
        <w:rPr>
          <w:rFonts w:ascii="Garamond" w:hAnsi="Garamond" w:cs="Times New Roman"/>
          <w:i/>
          <w:iCs/>
          <w:sz w:val="24"/>
          <w:szCs w:val="24"/>
        </w:rPr>
        <w:t>E drejta për t’u dëgjuar,</w:t>
      </w:r>
      <w:r w:rsidR="00470F0A" w:rsidRPr="002E3F2B">
        <w:rPr>
          <w:rFonts w:ascii="Garamond" w:hAnsi="Garamond" w:cs="Times New Roman"/>
          <w:sz w:val="24"/>
          <w:szCs w:val="24"/>
        </w:rPr>
        <w:t xml:space="preserve"> pasi Gjykata e Apelit Vlorë ka shkelur nenin 426/a të KPP-së, për sa i përket shqyrtimit të çështjes në dhomën e këshillimit.</w:t>
      </w:r>
    </w:p>
    <w:p w14:paraId="65D7F324" w14:textId="30CABC9D" w:rsidR="00470F0A" w:rsidRPr="002E3F2B" w:rsidRDefault="00470F0A" w:rsidP="00901941">
      <w:pPr>
        <w:pStyle w:val="BodyText"/>
        <w:tabs>
          <w:tab w:val="left" w:pos="1260"/>
        </w:tabs>
        <w:spacing w:after="0" w:line="240" w:lineRule="auto"/>
        <w:ind w:firstLine="284"/>
        <w:jc w:val="both"/>
        <w:rPr>
          <w:rFonts w:ascii="Garamond" w:hAnsi="Garamond" w:cs="Times New Roman"/>
          <w:sz w:val="24"/>
          <w:szCs w:val="24"/>
        </w:rPr>
      </w:pPr>
      <w:r w:rsidRPr="002E3F2B">
        <w:rPr>
          <w:rFonts w:ascii="Garamond" w:hAnsi="Garamond" w:cs="Times New Roman"/>
          <w:sz w:val="24"/>
          <w:szCs w:val="24"/>
        </w:rPr>
        <w:t xml:space="preserve">12.3. </w:t>
      </w:r>
      <w:r w:rsidRPr="002E3F2B">
        <w:rPr>
          <w:rFonts w:ascii="Garamond" w:hAnsi="Garamond" w:cs="Times New Roman"/>
          <w:i/>
          <w:iCs/>
          <w:sz w:val="24"/>
          <w:szCs w:val="24"/>
        </w:rPr>
        <w:t>E drejta për jetën</w:t>
      </w:r>
      <w:r w:rsidRPr="002E3F2B">
        <w:rPr>
          <w:rFonts w:ascii="Garamond" w:hAnsi="Garamond" w:cs="Times New Roman"/>
          <w:sz w:val="24"/>
          <w:szCs w:val="24"/>
        </w:rPr>
        <w:t>, e garantuar nga neni</w:t>
      </w:r>
      <w:r w:rsidRPr="002E3F2B">
        <w:rPr>
          <w:rFonts w:ascii="Garamond" w:hAnsi="Garamond" w:cs="Times New Roman"/>
          <w:b/>
          <w:bCs/>
          <w:sz w:val="24"/>
          <w:szCs w:val="24"/>
        </w:rPr>
        <w:t xml:space="preserve"> </w:t>
      </w:r>
      <w:r w:rsidRPr="002E3F2B">
        <w:rPr>
          <w:rFonts w:ascii="Garamond" w:hAnsi="Garamond" w:cs="Times New Roman"/>
          <w:sz w:val="24"/>
          <w:szCs w:val="24"/>
        </w:rPr>
        <w:t>21 i Kushtetutës dhe neni 2 i KEDNJ-së, për shkak të mungesës së një hetimi të plotë dhe efektiv për vdekjen e familjarit të tyre. Prokuroria nuk ka kryer veprime hetimore të nevojshme për zbardhjen e ngjarjes</w:t>
      </w:r>
      <w:r w:rsidRPr="002E3F2B">
        <w:rPr>
          <w:rFonts w:ascii="Garamond" w:hAnsi="Garamond" w:cs="Times New Roman"/>
          <w:i/>
          <w:iCs/>
          <w:sz w:val="24"/>
          <w:szCs w:val="24"/>
        </w:rPr>
        <w:t xml:space="preserve">. </w:t>
      </w:r>
      <w:r w:rsidRPr="002E3F2B">
        <w:rPr>
          <w:rFonts w:ascii="Garamond" w:hAnsi="Garamond" w:cs="Times New Roman"/>
          <w:sz w:val="24"/>
          <w:szCs w:val="24"/>
        </w:rPr>
        <w:t>Në veçanti, ajo duhej t’u kërkonte autoriteteve greke vënien në dispozicion të provave materiale të gjetura dhe të sekuestruara në vendin e ngjarjes, përfshirë levën e hekurit dhe fijet e flokut, si dhe kryerjen e ekspertimeve të nevojshme për gjurmët e gishtave. Megjithatë, autoriteteve greke nuk u është drejtuar asnjë kërkesë për marrjen e këtyre provave ose për kryerjen e ekspertimeve përkatëse. Prokuroria e ka lënë procedimin për periudha të gjata pa kryer veprime hetimore, derisa është plotësuar afati i parashkrimit të ndjekjes penale. Familjarët e viktimës kishin treguar edhe emrat e tre personave të dyshuar si autorë të mundshëm të krimit, të cilët fillimisht janë ndaluar dhe më pas janë liruar për mungesë provash, pa u kryer veprimet e nevojshme për sigurimin e provave të administruara nga autoritetet greke. Prokuroria i është referuar qëllimisht nenit 76 të KP-së “</w:t>
      </w:r>
      <w:r w:rsidRPr="002E3F2B">
        <w:rPr>
          <w:rFonts w:ascii="Garamond" w:hAnsi="Garamond" w:cs="Times New Roman"/>
          <w:i/>
          <w:iCs/>
          <w:sz w:val="24"/>
          <w:szCs w:val="24"/>
        </w:rPr>
        <w:t>Vrasja me dashje</w:t>
      </w:r>
      <w:r w:rsidRPr="002E3F2B">
        <w:rPr>
          <w:rFonts w:ascii="Garamond" w:hAnsi="Garamond" w:cs="Times New Roman"/>
          <w:sz w:val="24"/>
          <w:szCs w:val="24"/>
        </w:rPr>
        <w:t xml:space="preserve">”, </w:t>
      </w:r>
      <w:r w:rsidRPr="002E3F2B">
        <w:rPr>
          <w:rFonts w:ascii="Garamond" w:hAnsi="Garamond" w:cs="Times New Roman"/>
          <w:bCs/>
          <w:sz w:val="24"/>
          <w:szCs w:val="24"/>
        </w:rPr>
        <w:t>me qëllim zbatimin e një afati më të shkurtër parashkrimi dhe favorizimin e autorëve të mundshëm të ngjarjes, ndonëse këta persona</w:t>
      </w:r>
      <w:r w:rsidRPr="002E3F2B">
        <w:rPr>
          <w:rFonts w:ascii="Garamond" w:hAnsi="Garamond" w:cs="Times New Roman"/>
          <w:b/>
          <w:bCs/>
          <w:sz w:val="24"/>
          <w:szCs w:val="24"/>
        </w:rPr>
        <w:t xml:space="preserve"> </w:t>
      </w:r>
      <w:r w:rsidRPr="002E3F2B">
        <w:rPr>
          <w:rFonts w:ascii="Garamond" w:hAnsi="Garamond" w:cs="Times New Roman"/>
          <w:sz w:val="24"/>
          <w:szCs w:val="24"/>
        </w:rPr>
        <w:t>ishin kallëzuar konkretisht nga familjarët e viktimës. Për sa kohë në dosje nuk kishte të dhëna të mjaftueshme për rrethanat dhe motivet e krimit, prokuroria nuk mund ta cilësonte veprën penale si “Vrasja me dashje”. Rrethanat e ngjarjes, përfshirë marrjen e shumës së parave që viktima kishte me vete, tregonin se ai ishte vrarë me paramendim. Për rrjedhojë, prokuroria dhe policia duhet të kryenin të gjitha veprimet e nevojshme hetimore për përcaktimin e rrethanave të veprës penale dhe identifikimin e autorit ose autorëve të saj. Veprimet dhe mosveprimet e prokurorisë u kanë shkaktuar familjarëve të viktimës një dëm të pallogaritshëm, ndërsa ata nuk kanë marrë asnjëherë përgjigje për rrethanat e vdekjes së tij dhe autorët e mundshëm. Për më tepër, Gjykata e Lartë e ka trajtuar rastin si çështje të interpretimit të ligjit dhe vlerësimit të provave, duke mos u dhënë përgjigje pretendimeve për mungesën e një hetimi efektiv.</w:t>
      </w:r>
    </w:p>
    <w:p w14:paraId="2897A251" w14:textId="1D48A2EE" w:rsidR="00470F0A" w:rsidRPr="002E3F2B" w:rsidRDefault="00470F0A" w:rsidP="00901941">
      <w:pPr>
        <w:pStyle w:val="BodyText"/>
        <w:tabs>
          <w:tab w:val="left" w:pos="1080"/>
        </w:tabs>
        <w:spacing w:after="0" w:line="240" w:lineRule="auto"/>
        <w:ind w:firstLine="284"/>
        <w:jc w:val="both"/>
        <w:rPr>
          <w:rFonts w:ascii="Garamond" w:hAnsi="Garamond" w:cs="Times New Roman"/>
          <w:b/>
          <w:bCs/>
          <w:sz w:val="24"/>
          <w:szCs w:val="24"/>
        </w:rPr>
      </w:pPr>
      <w:r w:rsidRPr="002E3F2B">
        <w:rPr>
          <w:rFonts w:ascii="Garamond" w:hAnsi="Garamond" w:cs="Times New Roman"/>
          <w:sz w:val="24"/>
          <w:szCs w:val="24"/>
        </w:rPr>
        <w:t xml:space="preserve">13. </w:t>
      </w:r>
      <w:r w:rsidRPr="002E3F2B">
        <w:rPr>
          <w:rFonts w:ascii="Garamond" w:hAnsi="Garamond" w:cs="Times New Roman"/>
          <w:b/>
          <w:bCs/>
          <w:i/>
          <w:iCs/>
          <w:sz w:val="24"/>
          <w:szCs w:val="24"/>
        </w:rPr>
        <w:t>Subjekti i interesuar, Prokuroria e Përgjithshme,</w:t>
      </w:r>
      <w:r w:rsidRPr="002E3F2B">
        <w:rPr>
          <w:rFonts w:ascii="Garamond" w:hAnsi="Garamond" w:cs="Times New Roman"/>
          <w:i/>
          <w:iCs/>
          <w:sz w:val="24"/>
          <w:szCs w:val="24"/>
        </w:rPr>
        <w:t xml:space="preserve"> </w:t>
      </w:r>
      <w:r w:rsidRPr="002E3F2B">
        <w:rPr>
          <w:rFonts w:ascii="Garamond" w:hAnsi="Garamond" w:cs="Times New Roman"/>
          <w:sz w:val="24"/>
          <w:szCs w:val="24"/>
        </w:rPr>
        <w:t>ka prapësuar:</w:t>
      </w:r>
    </w:p>
    <w:p w14:paraId="5C3AC907" w14:textId="300688EC" w:rsidR="00470F0A" w:rsidRPr="002E3F2B" w:rsidRDefault="002E3F2B" w:rsidP="00901941">
      <w:pPr>
        <w:pStyle w:val="BodyText"/>
        <w:tabs>
          <w:tab w:val="left" w:pos="1260"/>
        </w:tabs>
        <w:spacing w:after="0" w:line="240" w:lineRule="auto"/>
        <w:ind w:firstLine="284"/>
        <w:jc w:val="both"/>
        <w:rPr>
          <w:rFonts w:ascii="Garamond" w:hAnsi="Garamond" w:cs="Times New Roman"/>
          <w:sz w:val="24"/>
          <w:szCs w:val="24"/>
        </w:rPr>
      </w:pPr>
      <w:r>
        <w:rPr>
          <w:rFonts w:ascii="Garamond" w:hAnsi="Garamond" w:cs="Times New Roman"/>
          <w:sz w:val="24"/>
          <w:szCs w:val="24"/>
        </w:rPr>
        <w:t>13.1</w:t>
      </w:r>
      <w:r w:rsidR="00470F0A" w:rsidRPr="002E3F2B">
        <w:rPr>
          <w:rFonts w:ascii="Garamond" w:hAnsi="Garamond" w:cs="Times New Roman"/>
          <w:sz w:val="24"/>
          <w:szCs w:val="24"/>
        </w:rPr>
        <w:t xml:space="preserve"> Pretendimi për cenimin e</w:t>
      </w:r>
      <w:r w:rsidR="00470F0A" w:rsidRPr="002E3F2B">
        <w:rPr>
          <w:rFonts w:ascii="Garamond" w:hAnsi="Garamond" w:cs="Times New Roman"/>
          <w:i/>
          <w:iCs/>
          <w:sz w:val="24"/>
          <w:szCs w:val="24"/>
        </w:rPr>
        <w:t xml:space="preserve"> së drejtës për t’u njoftuar</w:t>
      </w:r>
      <w:r w:rsidR="00470F0A" w:rsidRPr="002E3F2B">
        <w:rPr>
          <w:rFonts w:ascii="Garamond" w:hAnsi="Garamond" w:cs="Times New Roman"/>
          <w:sz w:val="24"/>
          <w:szCs w:val="24"/>
        </w:rPr>
        <w:t xml:space="preserve"> nuk është i bazuar, pasi vendimi i prokurorit për pushimin e procedimit penal i është komunikuar babait të viktimës. Sipas shk</w:t>
      </w:r>
      <w:r>
        <w:rPr>
          <w:rFonts w:ascii="Garamond" w:hAnsi="Garamond" w:cs="Times New Roman"/>
          <w:sz w:val="24"/>
          <w:szCs w:val="24"/>
        </w:rPr>
        <w:t xml:space="preserve">resës nr. 258/1 </w:t>
      </w:r>
      <w:proofErr w:type="spellStart"/>
      <w:r>
        <w:rPr>
          <w:rFonts w:ascii="Garamond" w:hAnsi="Garamond" w:cs="Times New Roman"/>
          <w:sz w:val="24"/>
          <w:szCs w:val="24"/>
        </w:rPr>
        <w:t>prot</w:t>
      </w:r>
      <w:proofErr w:type="spellEnd"/>
      <w:r>
        <w:rPr>
          <w:rFonts w:ascii="Garamond" w:hAnsi="Garamond" w:cs="Times New Roman"/>
          <w:sz w:val="24"/>
          <w:szCs w:val="24"/>
        </w:rPr>
        <w:t>., datë 15.</w:t>
      </w:r>
      <w:r w:rsidR="00470F0A" w:rsidRPr="002E3F2B">
        <w:rPr>
          <w:rFonts w:ascii="Garamond" w:hAnsi="Garamond" w:cs="Times New Roman"/>
          <w:sz w:val="24"/>
          <w:szCs w:val="24"/>
        </w:rPr>
        <w:t>1.2021</w:t>
      </w:r>
      <w:r>
        <w:rPr>
          <w:rFonts w:ascii="Garamond" w:hAnsi="Garamond" w:cs="Times New Roman"/>
          <w:sz w:val="24"/>
          <w:szCs w:val="24"/>
        </w:rPr>
        <w:t>,</w:t>
      </w:r>
      <w:r w:rsidR="00470F0A" w:rsidRPr="002E3F2B">
        <w:rPr>
          <w:rFonts w:ascii="Garamond" w:hAnsi="Garamond" w:cs="Times New Roman"/>
          <w:sz w:val="24"/>
          <w:szCs w:val="24"/>
        </w:rPr>
        <w:t xml:space="preserve"> të Prok</w:t>
      </w:r>
      <w:r>
        <w:rPr>
          <w:rFonts w:ascii="Garamond" w:hAnsi="Garamond" w:cs="Times New Roman"/>
          <w:sz w:val="24"/>
          <w:szCs w:val="24"/>
        </w:rPr>
        <w:t>urorisë së Fierit, në datën 17.</w:t>
      </w:r>
      <w:r w:rsidR="00470F0A" w:rsidRPr="002E3F2B">
        <w:rPr>
          <w:rFonts w:ascii="Garamond" w:hAnsi="Garamond" w:cs="Times New Roman"/>
          <w:sz w:val="24"/>
          <w:szCs w:val="24"/>
        </w:rPr>
        <w:t>1.2020 avokati A.</w:t>
      </w:r>
      <w:r>
        <w:rPr>
          <w:rFonts w:ascii="Garamond" w:hAnsi="Garamond" w:cs="Times New Roman"/>
          <w:sz w:val="24"/>
          <w:szCs w:val="24"/>
        </w:rPr>
        <w:t xml:space="preserve"> </w:t>
      </w:r>
      <w:r w:rsidR="00470F0A" w:rsidRPr="002E3F2B">
        <w:rPr>
          <w:rFonts w:ascii="Garamond" w:hAnsi="Garamond" w:cs="Times New Roman"/>
          <w:sz w:val="24"/>
          <w:szCs w:val="24"/>
        </w:rPr>
        <w:t>K. ka marrë kopjet e akteve. Nga kjo shkresë rezulton edhe se Prokurorisë së Fierit i ishin drejtuar për informacion edhe avokatët B.</w:t>
      </w:r>
      <w:r>
        <w:rPr>
          <w:rFonts w:ascii="Garamond" w:hAnsi="Garamond" w:cs="Times New Roman"/>
          <w:sz w:val="24"/>
          <w:szCs w:val="24"/>
        </w:rPr>
        <w:t xml:space="preserve"> </w:t>
      </w:r>
      <w:r w:rsidR="00470F0A" w:rsidRPr="002E3F2B">
        <w:rPr>
          <w:rFonts w:ascii="Garamond" w:hAnsi="Garamond" w:cs="Times New Roman"/>
          <w:sz w:val="24"/>
          <w:szCs w:val="24"/>
        </w:rPr>
        <w:t>C. e A.</w:t>
      </w:r>
      <w:r>
        <w:rPr>
          <w:rFonts w:ascii="Garamond" w:hAnsi="Garamond" w:cs="Times New Roman"/>
          <w:sz w:val="24"/>
          <w:szCs w:val="24"/>
        </w:rPr>
        <w:t xml:space="preserve"> </w:t>
      </w:r>
      <w:r w:rsidR="00470F0A" w:rsidRPr="002E3F2B">
        <w:rPr>
          <w:rFonts w:ascii="Garamond" w:hAnsi="Garamond" w:cs="Times New Roman"/>
          <w:sz w:val="24"/>
          <w:szCs w:val="24"/>
        </w:rPr>
        <w:t>S. të studios ligjore “A.”, si dhe babai i viktimës. Ata ishin informuar për mënyrën e zgjidhjes së çështjes me shkresat n</w:t>
      </w:r>
      <w:r>
        <w:rPr>
          <w:rFonts w:ascii="Garamond" w:hAnsi="Garamond" w:cs="Times New Roman"/>
          <w:sz w:val="24"/>
          <w:szCs w:val="24"/>
        </w:rPr>
        <w:t xml:space="preserve">r. 181/1 </w:t>
      </w:r>
      <w:proofErr w:type="spellStart"/>
      <w:r>
        <w:rPr>
          <w:rFonts w:ascii="Garamond" w:hAnsi="Garamond" w:cs="Times New Roman"/>
          <w:sz w:val="24"/>
          <w:szCs w:val="24"/>
        </w:rPr>
        <w:t>prot</w:t>
      </w:r>
      <w:proofErr w:type="spellEnd"/>
      <w:r>
        <w:rPr>
          <w:rFonts w:ascii="Garamond" w:hAnsi="Garamond" w:cs="Times New Roman"/>
          <w:sz w:val="24"/>
          <w:szCs w:val="24"/>
        </w:rPr>
        <w:t>., datë 20.</w:t>
      </w:r>
      <w:r w:rsidR="00470F0A" w:rsidRPr="002E3F2B">
        <w:rPr>
          <w:rFonts w:ascii="Garamond" w:hAnsi="Garamond" w:cs="Times New Roman"/>
          <w:sz w:val="24"/>
          <w:szCs w:val="24"/>
        </w:rPr>
        <w:t>2.2020 dhe nr.</w:t>
      </w:r>
      <w:r w:rsidR="005B2EFA">
        <w:rPr>
          <w:rFonts w:ascii="Garamond" w:hAnsi="Garamond" w:cs="Times New Roman"/>
          <w:sz w:val="24"/>
          <w:szCs w:val="24"/>
        </w:rPr>
        <w:t xml:space="preserve"> </w:t>
      </w:r>
      <w:r w:rsidR="00470F0A" w:rsidRPr="002E3F2B">
        <w:rPr>
          <w:rFonts w:ascii="Garamond" w:hAnsi="Garamond" w:cs="Times New Roman"/>
          <w:sz w:val="24"/>
          <w:szCs w:val="24"/>
        </w:rPr>
        <w:t xml:space="preserve">130/1 </w:t>
      </w:r>
      <w:proofErr w:type="spellStart"/>
      <w:r w:rsidR="00470F0A" w:rsidRPr="002E3F2B">
        <w:rPr>
          <w:rFonts w:ascii="Garamond" w:hAnsi="Garamond" w:cs="Times New Roman"/>
          <w:sz w:val="24"/>
          <w:szCs w:val="24"/>
        </w:rPr>
        <w:t>prot</w:t>
      </w:r>
      <w:proofErr w:type="spellEnd"/>
      <w:r w:rsidR="00470F0A" w:rsidRPr="002E3F2B">
        <w:rPr>
          <w:rFonts w:ascii="Garamond" w:hAnsi="Garamond" w:cs="Times New Roman"/>
          <w:sz w:val="24"/>
          <w:szCs w:val="24"/>
        </w:rPr>
        <w:t>., datë 14.12.2020, të kësaj prokurorie. Për më tepër, ankimi ndaj vendimit të prokurorit është paraqitur jashtë afatit ligjor, sikurse kanë konstatuar edhe gjykatat e faktit. Pavarësisht këtij konstatimi, gjykatat kanë shqyrtuar dhe kanë arsyetuar në mënyrë shteruese për themelin e pretendimeve të kërkueseve.</w:t>
      </w:r>
    </w:p>
    <w:p w14:paraId="563EF5F2" w14:textId="377C0677" w:rsidR="00470F0A" w:rsidRPr="002E3F2B" w:rsidRDefault="002E3F2B" w:rsidP="00901941">
      <w:pPr>
        <w:pStyle w:val="BodyText"/>
        <w:tabs>
          <w:tab w:val="left" w:pos="1260"/>
        </w:tabs>
        <w:spacing w:after="0" w:line="240" w:lineRule="auto"/>
        <w:ind w:firstLine="284"/>
        <w:jc w:val="both"/>
        <w:rPr>
          <w:rFonts w:ascii="Garamond" w:hAnsi="Garamond" w:cs="Times New Roman"/>
          <w:sz w:val="24"/>
          <w:szCs w:val="24"/>
        </w:rPr>
      </w:pPr>
      <w:r>
        <w:rPr>
          <w:rFonts w:ascii="Garamond" w:hAnsi="Garamond" w:cs="Times New Roman"/>
          <w:sz w:val="24"/>
          <w:szCs w:val="24"/>
        </w:rPr>
        <w:t>13.2</w:t>
      </w:r>
      <w:r w:rsidR="00470F0A" w:rsidRPr="002E3F2B">
        <w:rPr>
          <w:rFonts w:ascii="Garamond" w:hAnsi="Garamond" w:cs="Times New Roman"/>
          <w:sz w:val="24"/>
          <w:szCs w:val="24"/>
        </w:rPr>
        <w:t xml:space="preserve"> Në lidhje me pretendimin për cenimin e </w:t>
      </w:r>
      <w:r w:rsidR="00470F0A" w:rsidRPr="002E3F2B">
        <w:rPr>
          <w:rFonts w:ascii="Garamond" w:hAnsi="Garamond" w:cs="Times New Roman"/>
          <w:i/>
          <w:iCs/>
          <w:sz w:val="24"/>
          <w:szCs w:val="24"/>
        </w:rPr>
        <w:t>së drejtës për jetën</w:t>
      </w:r>
      <w:r w:rsidR="00470F0A" w:rsidRPr="002E3F2B">
        <w:rPr>
          <w:rFonts w:ascii="Garamond" w:hAnsi="Garamond" w:cs="Times New Roman"/>
          <w:sz w:val="24"/>
          <w:szCs w:val="24"/>
        </w:rPr>
        <w:t xml:space="preserve"> në aspektin procedural, kërkueset nuk kanë parashtruar argumente në nivel kushtetues. Pretendimet e tyre kanë të bëjnë me vlerësimin e provave nga prokuroria dhe gjykatat e zakonshme, me cilësimin juridik të veprës penale dhe me ligjshmërinë e vendimit për pushimin e procedimit penal. Vendimet e gjykatave të zakonshme janë rezultat i një analize të plotë e të hollësishme të rrethanave të ngjarjes dhe provave të shqyrtuara. Për më tepër, ankimi ndaj vendimit të prokurorit është paraqitur jashtë afatit ligjor, ndaj kërkueset kanë humbur mundësinë për të ushtruar në mënyrë efektive mjetin juridik të parashikuar nga ligji për kundërshtimin e këtij vendimi.</w:t>
      </w:r>
    </w:p>
    <w:p w14:paraId="486E2E0A" w14:textId="77777777" w:rsidR="00470F0A" w:rsidRPr="002E3F2B" w:rsidRDefault="00470F0A" w:rsidP="00901941">
      <w:pPr>
        <w:pStyle w:val="BodyText"/>
        <w:tabs>
          <w:tab w:val="left" w:pos="1260"/>
        </w:tabs>
        <w:spacing w:after="0" w:line="240" w:lineRule="auto"/>
        <w:ind w:firstLine="284"/>
        <w:jc w:val="both"/>
        <w:rPr>
          <w:rFonts w:ascii="Garamond" w:hAnsi="Garamond" w:cs="Times New Roman"/>
          <w:b/>
          <w:bCs/>
          <w:sz w:val="24"/>
          <w:szCs w:val="24"/>
        </w:rPr>
      </w:pPr>
    </w:p>
    <w:p w14:paraId="45E90967" w14:textId="77777777" w:rsidR="00470F0A" w:rsidRPr="002E3F2B" w:rsidRDefault="00470F0A" w:rsidP="00901941">
      <w:pPr>
        <w:pStyle w:val="BodyText"/>
        <w:tabs>
          <w:tab w:val="left" w:pos="1080"/>
        </w:tabs>
        <w:spacing w:after="0" w:line="240" w:lineRule="auto"/>
        <w:ind w:firstLine="284"/>
        <w:jc w:val="center"/>
        <w:rPr>
          <w:rFonts w:ascii="Garamond" w:hAnsi="Garamond" w:cs="Times New Roman"/>
          <w:b/>
          <w:bCs/>
          <w:sz w:val="24"/>
          <w:szCs w:val="24"/>
        </w:rPr>
      </w:pPr>
      <w:r w:rsidRPr="002E3F2B">
        <w:rPr>
          <w:rFonts w:ascii="Garamond" w:hAnsi="Garamond" w:cs="Times New Roman"/>
          <w:b/>
          <w:bCs/>
          <w:sz w:val="24"/>
          <w:szCs w:val="24"/>
        </w:rPr>
        <w:t>III</w:t>
      </w:r>
    </w:p>
    <w:p w14:paraId="181A911B" w14:textId="77777777" w:rsidR="00470F0A" w:rsidRPr="002E3F2B" w:rsidRDefault="00470F0A" w:rsidP="00901941">
      <w:pPr>
        <w:tabs>
          <w:tab w:val="left" w:pos="0"/>
        </w:tabs>
        <w:spacing w:after="0" w:line="240" w:lineRule="auto"/>
        <w:ind w:firstLine="284"/>
        <w:jc w:val="center"/>
        <w:rPr>
          <w:rFonts w:ascii="Garamond" w:hAnsi="Garamond" w:cs="Times New Roman"/>
          <w:b/>
          <w:bCs/>
          <w:sz w:val="24"/>
          <w:szCs w:val="24"/>
        </w:rPr>
      </w:pPr>
      <w:r w:rsidRPr="002E3F2B">
        <w:rPr>
          <w:rFonts w:ascii="Garamond" w:hAnsi="Garamond" w:cs="Times New Roman"/>
          <w:b/>
          <w:bCs/>
          <w:sz w:val="24"/>
          <w:szCs w:val="24"/>
        </w:rPr>
        <w:t>Vlerësimi i Gjykatës Kushtetuese</w:t>
      </w:r>
    </w:p>
    <w:p w14:paraId="7CDD2B77" w14:textId="77777777" w:rsidR="00901941" w:rsidRPr="002E3F2B" w:rsidRDefault="00901941" w:rsidP="00901941">
      <w:pPr>
        <w:tabs>
          <w:tab w:val="left" w:pos="1080"/>
        </w:tabs>
        <w:spacing w:after="0" w:line="240" w:lineRule="auto"/>
        <w:ind w:firstLine="284"/>
        <w:jc w:val="both"/>
        <w:rPr>
          <w:rFonts w:ascii="Garamond" w:hAnsi="Garamond" w:cs="Times New Roman"/>
          <w:i/>
          <w:iCs/>
          <w:sz w:val="24"/>
          <w:szCs w:val="24"/>
        </w:rPr>
      </w:pPr>
    </w:p>
    <w:p w14:paraId="4E3D86BC" w14:textId="2682A413" w:rsidR="00470F0A" w:rsidRPr="002E3F2B" w:rsidRDefault="00470F0A" w:rsidP="00901941">
      <w:pPr>
        <w:tabs>
          <w:tab w:val="left" w:pos="1080"/>
        </w:tabs>
        <w:spacing w:after="0" w:line="240" w:lineRule="auto"/>
        <w:ind w:firstLine="284"/>
        <w:jc w:val="both"/>
        <w:rPr>
          <w:rFonts w:ascii="Garamond" w:hAnsi="Garamond" w:cs="Times New Roman"/>
          <w:i/>
          <w:iCs/>
          <w:sz w:val="24"/>
          <w:szCs w:val="24"/>
        </w:rPr>
      </w:pPr>
      <w:r w:rsidRPr="002E3F2B">
        <w:rPr>
          <w:rFonts w:ascii="Garamond" w:hAnsi="Garamond" w:cs="Times New Roman"/>
          <w:i/>
          <w:iCs/>
          <w:sz w:val="24"/>
          <w:szCs w:val="24"/>
        </w:rPr>
        <w:t>A. Për legjitimimin e kërkueseve</w:t>
      </w:r>
    </w:p>
    <w:p w14:paraId="2966B08B" w14:textId="19DFC7DE" w:rsidR="00470F0A" w:rsidRPr="002E3F2B" w:rsidRDefault="00470F0A" w:rsidP="00901941">
      <w:pPr>
        <w:pStyle w:val="BodyTextIndent2"/>
        <w:tabs>
          <w:tab w:val="left" w:pos="1080"/>
        </w:tabs>
        <w:spacing w:after="0" w:line="240" w:lineRule="auto"/>
        <w:ind w:left="0" w:firstLine="284"/>
        <w:jc w:val="both"/>
        <w:rPr>
          <w:rFonts w:ascii="Garamond" w:hAnsi="Garamond"/>
          <w:b/>
          <w:bCs/>
          <w:lang w:val="sq-AL"/>
        </w:rPr>
      </w:pPr>
      <w:r w:rsidRPr="002E3F2B">
        <w:rPr>
          <w:rFonts w:ascii="Garamond" w:hAnsi="Garamond"/>
          <w:lang w:val="sq-AL"/>
        </w:rPr>
        <w:t xml:space="preserve">14. Çështja e legjitimimit </w:t>
      </w:r>
      <w:r w:rsidRPr="002E3F2B">
        <w:rPr>
          <w:rFonts w:ascii="Garamond" w:hAnsi="Garamond"/>
          <w:i/>
          <w:iCs/>
          <w:lang w:val="sq-AL"/>
        </w:rPr>
        <w:t>(</w:t>
      </w:r>
      <w:proofErr w:type="spellStart"/>
      <w:r w:rsidRPr="002E3F2B">
        <w:rPr>
          <w:rFonts w:ascii="Garamond" w:hAnsi="Garamond"/>
          <w:i/>
          <w:iCs/>
          <w:lang w:val="sq-AL"/>
        </w:rPr>
        <w:t>locus</w:t>
      </w:r>
      <w:proofErr w:type="spellEnd"/>
      <w:r w:rsidRPr="002E3F2B">
        <w:rPr>
          <w:rFonts w:ascii="Garamond" w:hAnsi="Garamond"/>
          <w:i/>
          <w:iCs/>
          <w:lang w:val="sq-AL"/>
        </w:rPr>
        <w:t xml:space="preserve"> </w:t>
      </w:r>
      <w:proofErr w:type="spellStart"/>
      <w:r w:rsidRPr="002E3F2B">
        <w:rPr>
          <w:rFonts w:ascii="Garamond" w:hAnsi="Garamond"/>
          <w:i/>
          <w:iCs/>
          <w:lang w:val="sq-AL"/>
        </w:rPr>
        <w:t>standi</w:t>
      </w:r>
      <w:proofErr w:type="spellEnd"/>
      <w:r w:rsidRPr="002E3F2B">
        <w:rPr>
          <w:rFonts w:ascii="Garamond" w:hAnsi="Garamond"/>
          <w:i/>
          <w:iCs/>
          <w:lang w:val="sq-AL"/>
        </w:rPr>
        <w:t>)</w:t>
      </w:r>
      <w:r w:rsidRPr="002E3F2B">
        <w:rPr>
          <w:rFonts w:ascii="Garamond" w:hAnsi="Garamond"/>
          <w:lang w:val="sq-AL"/>
        </w:rPr>
        <w:t xml:space="preserve"> është një ndër aspektet kryesore që lidhen me nisjen e një procesi kushtetues. Sipas neneve 131, pika 1, shkronja “f” dhe 134, pikat 1, shkronja “i” dhe 2, të Kushtetutës, si dhe nenit 71 të Ligjit Organik të Gjykatës, çdo individ mund të vërë në lëvizje Gjykatën për gjykimin përfundimtar të ankesave kundër çdo vendimi gjyqësor që cenon të drejtat dhe liritë themelore të garantuara në Kushtetutë. Ankimi kushtetues individual, në çdo rast, duhet </w:t>
      </w:r>
      <w:r w:rsidRPr="002E3F2B">
        <w:rPr>
          <w:rFonts w:ascii="Garamond" w:hAnsi="Garamond"/>
          <w:lang w:val="sq-AL"/>
        </w:rPr>
        <w:lastRenderedPageBreak/>
        <w:t xml:space="preserve">të plotësojë edhe kriteret </w:t>
      </w:r>
      <w:proofErr w:type="spellStart"/>
      <w:r w:rsidRPr="002E3F2B">
        <w:rPr>
          <w:rFonts w:ascii="Garamond" w:hAnsi="Garamond"/>
          <w:lang w:val="sq-AL"/>
        </w:rPr>
        <w:t>kumulative</w:t>
      </w:r>
      <w:proofErr w:type="spellEnd"/>
      <w:r w:rsidRPr="002E3F2B">
        <w:rPr>
          <w:rFonts w:ascii="Garamond" w:hAnsi="Garamond"/>
          <w:lang w:val="sq-AL"/>
        </w:rPr>
        <w:t xml:space="preserve"> të nenit 71/a të Ligjit Organik të Gjykatës, që lidhen me shterimin e mjeteve juridike efektive, afatin e paraqitjes së kërkesës, pasojat negative të pësuara në mënyrë të drejtpërdrejtë e reale, mundësinë për rivendosjen e së drejtës së shkelur, si dhe rregullimet e veçanta ligjore të shqyrtimit paraprak të kërkesës. </w:t>
      </w:r>
    </w:p>
    <w:p w14:paraId="638F7A98" w14:textId="4D66B1F8" w:rsidR="00470F0A" w:rsidRPr="002E3F2B" w:rsidRDefault="00470F0A" w:rsidP="00901941">
      <w:pPr>
        <w:pStyle w:val="BodyTextIndent2"/>
        <w:tabs>
          <w:tab w:val="left" w:pos="1080"/>
        </w:tabs>
        <w:spacing w:after="0" w:line="240" w:lineRule="auto"/>
        <w:ind w:left="0" w:firstLine="284"/>
        <w:jc w:val="both"/>
        <w:rPr>
          <w:rFonts w:ascii="Garamond" w:hAnsi="Garamond"/>
          <w:bCs/>
          <w:lang w:val="sq-AL"/>
        </w:rPr>
      </w:pPr>
      <w:r w:rsidRPr="002E3F2B">
        <w:rPr>
          <w:rFonts w:ascii="Garamond" w:hAnsi="Garamond"/>
          <w:lang w:val="sq-AL"/>
        </w:rPr>
        <w:t xml:space="preserve">15. Në këtë këndvështrim, kërkueset legjitimohen </w:t>
      </w:r>
      <w:proofErr w:type="spellStart"/>
      <w:r w:rsidRPr="002E3F2B">
        <w:rPr>
          <w:rFonts w:ascii="Garamond" w:hAnsi="Garamond"/>
          <w:i/>
          <w:iCs/>
          <w:lang w:val="sq-AL"/>
        </w:rPr>
        <w:t>ratione</w:t>
      </w:r>
      <w:proofErr w:type="spellEnd"/>
      <w:r w:rsidRPr="002E3F2B">
        <w:rPr>
          <w:rFonts w:ascii="Garamond" w:hAnsi="Garamond"/>
          <w:i/>
          <w:iCs/>
          <w:lang w:val="sq-AL"/>
        </w:rPr>
        <w:t xml:space="preserve"> </w:t>
      </w:r>
      <w:proofErr w:type="spellStart"/>
      <w:r w:rsidRPr="002E3F2B">
        <w:rPr>
          <w:rFonts w:ascii="Garamond" w:hAnsi="Garamond"/>
          <w:i/>
          <w:iCs/>
          <w:lang w:val="sq-AL"/>
        </w:rPr>
        <w:t>personae</w:t>
      </w:r>
      <w:proofErr w:type="spellEnd"/>
      <w:r w:rsidRPr="002E3F2B">
        <w:rPr>
          <w:rFonts w:ascii="Garamond" w:hAnsi="Garamond"/>
          <w:i/>
          <w:iCs/>
          <w:lang w:val="sq-AL"/>
        </w:rPr>
        <w:t>,</w:t>
      </w:r>
      <w:r w:rsidRPr="002E3F2B">
        <w:rPr>
          <w:rFonts w:ascii="Garamond" w:hAnsi="Garamond"/>
          <w:lang w:val="sq-AL"/>
        </w:rPr>
        <w:t xml:space="preserve"> </w:t>
      </w:r>
      <w:r w:rsidRPr="002E3F2B">
        <w:rPr>
          <w:rFonts w:ascii="Garamond" w:hAnsi="Garamond"/>
          <w:bCs/>
          <w:lang w:val="sq-AL"/>
        </w:rPr>
        <w:t xml:space="preserve">në kuptim të neneve 131, pika 1, shkronja “f” dhe 134, pika 1, shkronja “i”, të Kushtetutës, </w:t>
      </w:r>
      <w:r w:rsidRPr="002E3F2B">
        <w:rPr>
          <w:rFonts w:ascii="Garamond" w:hAnsi="Garamond"/>
          <w:lang w:val="sq-AL"/>
        </w:rPr>
        <w:t xml:space="preserve">pasi, në cilësinë e familjareve të afërta të viktimës së veprës penale, përkatësisht nënës dhe motrës së tij, kanë qenë palë në procesin gjyqësor </w:t>
      </w:r>
      <w:r w:rsidRPr="002E3F2B">
        <w:rPr>
          <w:rFonts w:ascii="Garamond" w:hAnsi="Garamond"/>
          <w:bCs/>
          <w:lang w:val="sq-AL"/>
        </w:rPr>
        <w:t xml:space="preserve">të zhvilluar për kundërshtimin e vendimit të prokurorit për pushimin e procedimit penal. </w:t>
      </w:r>
      <w:r w:rsidRPr="002E3F2B">
        <w:rPr>
          <w:rFonts w:ascii="Garamond" w:hAnsi="Garamond"/>
          <w:lang w:val="sq-AL"/>
        </w:rPr>
        <w:t xml:space="preserve">Pretendimet e ngritura në ankimin kushtetues individual lidhen me këtë proces dhe me detyrimin procedural të autoriteteve shtetërore për hetimin e vdekjes së familjarit të tyre. Për rrjedhojë, ato provojnë interesin e drejtpërdrejtë në çështjen e parashtruar si viktima të tërthorta të shkeljeve kushtetuese të pretenduara. </w:t>
      </w:r>
    </w:p>
    <w:p w14:paraId="125EF89B" w14:textId="6D4FB67F" w:rsidR="00470F0A" w:rsidRPr="002E3F2B" w:rsidRDefault="00470F0A" w:rsidP="00901941">
      <w:pPr>
        <w:pStyle w:val="BodyTextIndent2"/>
        <w:tabs>
          <w:tab w:val="left" w:pos="1080"/>
        </w:tabs>
        <w:spacing w:after="0" w:line="240" w:lineRule="auto"/>
        <w:ind w:left="0" w:firstLine="284"/>
        <w:jc w:val="both"/>
        <w:rPr>
          <w:rFonts w:ascii="Garamond" w:hAnsi="Garamond"/>
          <w:bCs/>
          <w:lang w:val="sq-AL"/>
        </w:rPr>
      </w:pPr>
      <w:r w:rsidRPr="002E3F2B">
        <w:rPr>
          <w:rFonts w:ascii="Garamond" w:hAnsi="Garamond"/>
          <w:lang w:val="sq-AL"/>
        </w:rPr>
        <w:t xml:space="preserve">16. Për sa i përket kriterit të </w:t>
      </w:r>
      <w:r w:rsidRPr="002E3F2B">
        <w:rPr>
          <w:rFonts w:ascii="Garamond" w:hAnsi="Garamond"/>
          <w:i/>
          <w:iCs/>
          <w:lang w:val="sq-AL"/>
        </w:rPr>
        <w:t xml:space="preserve">shterimit të mjeteve juridike, </w:t>
      </w:r>
      <w:r w:rsidRPr="002E3F2B">
        <w:rPr>
          <w:rFonts w:ascii="Garamond" w:hAnsi="Garamond"/>
          <w:lang w:val="sq-AL"/>
        </w:rPr>
        <w:t>Gjykata ka pohuar se ai nënkupton jo vetëm që individi t’u jetë drejtuar të gjitha instancave të zakonshme, por edhe që të gjitha pretendimet që ngre në këtë Gjykatë t’i ketë paraqitur më parë në këto instanca, të paktën në substancë, duke respektuar kërkesat formale dhe afatet e parashikuara në ligjin procedural (</w:t>
      </w:r>
      <w:r w:rsidR="002E3F2B">
        <w:rPr>
          <w:rFonts w:ascii="Garamond" w:hAnsi="Garamond"/>
          <w:i/>
          <w:iCs/>
          <w:lang w:val="sq-AL"/>
        </w:rPr>
        <w:t xml:space="preserve">shih vendimet nr. 40, datë 14.5.2024; nr. 38, datë 12.7.2023; nr. 33, datë </w:t>
      </w:r>
      <w:r w:rsidRPr="002E3F2B">
        <w:rPr>
          <w:rFonts w:ascii="Garamond" w:hAnsi="Garamond"/>
          <w:i/>
          <w:iCs/>
          <w:lang w:val="sq-AL"/>
        </w:rPr>
        <w:t>1.11.2021</w:t>
      </w:r>
      <w:r w:rsidR="002E3F2B">
        <w:rPr>
          <w:rFonts w:ascii="Garamond" w:hAnsi="Garamond"/>
          <w:i/>
          <w:iCs/>
          <w:lang w:val="sq-AL"/>
        </w:rPr>
        <w:t>,</w:t>
      </w:r>
      <w:r w:rsidRPr="002E3F2B">
        <w:rPr>
          <w:rFonts w:ascii="Garamond" w:hAnsi="Garamond"/>
          <w:i/>
          <w:iCs/>
          <w:lang w:val="sq-AL"/>
        </w:rPr>
        <w:t xml:space="preserve"> të Gjykatës Kushtetuese</w:t>
      </w:r>
      <w:r w:rsidRPr="002E3F2B">
        <w:rPr>
          <w:rFonts w:ascii="Garamond" w:hAnsi="Garamond"/>
          <w:lang w:val="sq-AL"/>
        </w:rPr>
        <w:t>). Në këtë drejtim, Gjykata verifikon nëse kërkueset i kanë ngritur paraprakisht përpara gjykatave të zakonshme pretendimet e parashtruara në ankimin kushtetues individual dhe nëse kanë shteruar mjetet juridike në dispozicion.</w:t>
      </w:r>
      <w:r w:rsidR="002E3F2B">
        <w:rPr>
          <w:rFonts w:ascii="Garamond" w:hAnsi="Garamond"/>
          <w:lang w:val="sq-AL"/>
        </w:rPr>
        <w:t xml:space="preserve"> </w:t>
      </w:r>
    </w:p>
    <w:p w14:paraId="60740E8D" w14:textId="0E2867D3" w:rsidR="00470F0A" w:rsidRPr="002E3F2B" w:rsidRDefault="00470F0A" w:rsidP="00901941">
      <w:pPr>
        <w:pStyle w:val="BodyTextIndent2"/>
        <w:tabs>
          <w:tab w:val="left" w:pos="1080"/>
        </w:tabs>
        <w:spacing w:after="0" w:line="240" w:lineRule="auto"/>
        <w:ind w:left="0" w:firstLine="284"/>
        <w:jc w:val="both"/>
        <w:rPr>
          <w:rFonts w:ascii="Garamond" w:hAnsi="Garamond"/>
          <w:bCs/>
          <w:lang w:val="sq-AL"/>
        </w:rPr>
      </w:pPr>
      <w:r w:rsidRPr="002E3F2B">
        <w:rPr>
          <w:rFonts w:ascii="Garamond" w:hAnsi="Garamond"/>
          <w:lang w:val="sq-AL"/>
        </w:rPr>
        <w:t xml:space="preserve">17. Fillimisht, Gjykata vëren se, në parashtrimet e datës 26.11.2025, kërkueset kanë pretenduar cenimin e </w:t>
      </w:r>
      <w:r w:rsidRPr="002E3F2B">
        <w:rPr>
          <w:rFonts w:ascii="Garamond" w:hAnsi="Garamond"/>
          <w:i/>
          <w:iCs/>
          <w:lang w:val="sq-AL"/>
        </w:rPr>
        <w:t>së drejtës për t’u dëgjuar,</w:t>
      </w:r>
      <w:r w:rsidRPr="002E3F2B">
        <w:rPr>
          <w:rFonts w:ascii="Garamond" w:hAnsi="Garamond"/>
          <w:lang w:val="sq-AL"/>
        </w:rPr>
        <w:t xml:space="preserve"> pasi Gjykata e Apelit Vlorë ka shkelur nenin 426/a të KPP-së </w:t>
      </w:r>
      <w:r w:rsidRPr="002E3F2B">
        <w:rPr>
          <w:rFonts w:ascii="Garamond" w:hAnsi="Garamond"/>
          <w:bCs/>
          <w:lang w:val="sq-AL"/>
        </w:rPr>
        <w:t>për sa i përket shqyrtimit të çështjes në dhomën e këshillimit</w:t>
      </w:r>
      <w:r w:rsidRPr="002E3F2B">
        <w:rPr>
          <w:rFonts w:ascii="Garamond" w:hAnsi="Garamond"/>
          <w:lang w:val="sq-AL"/>
        </w:rPr>
        <w:t xml:space="preserve">. Gjykata konstaton se kërkueset nuk e kanë ngritur këtë pretendim në rekursin e ushtruar në Gjykatën e Lartë, por e kanë paraqitur atë për herë të parë në parashtrimet e sipërpërmendura. </w:t>
      </w:r>
      <w:r w:rsidRPr="002E3F2B">
        <w:rPr>
          <w:rFonts w:ascii="Garamond" w:hAnsi="Garamond"/>
          <w:bCs/>
          <w:lang w:val="sq-AL"/>
        </w:rPr>
        <w:t xml:space="preserve">Për rrjedhojë, për këtë pretendim nuk plotësohet kriteri i shterimit të mjeteve juridike. </w:t>
      </w:r>
      <w:r w:rsidRPr="002E3F2B">
        <w:rPr>
          <w:rFonts w:ascii="Garamond" w:hAnsi="Garamond"/>
          <w:lang w:val="sq-AL"/>
        </w:rPr>
        <w:t xml:space="preserve">Po kështu, Gjykata vëren se ky pretendim përbën një shkak të ri të ankimit kushtetues individual dhe është paraqitur pas vendimit të Kolegjit për kalimin e çështjes për shqyrtim në seancë plenare. Sipas jurisprudencës kushtetuese, pretendimet e reja që përbëjnë shtesë të shkaqeve të ankimit kushtetues individual nuk mund të merren në shqyrtim kur paraqiten pas këtij momenti, pasi ato duhet të plotësojnë kriteret e përgjithshme të formës dhe të afatit dhe t’i nënshtrohen procedurës së shqyrtimit paraprak </w:t>
      </w:r>
      <w:r w:rsidR="002E3F2B">
        <w:rPr>
          <w:rFonts w:ascii="Garamond" w:hAnsi="Garamond"/>
          <w:i/>
          <w:iCs/>
          <w:lang w:val="sq-AL"/>
        </w:rPr>
        <w:t>(shih vendimet nr. 40, datë 26.3.2026; nr. 21, datë 22.</w:t>
      </w:r>
      <w:r w:rsidRPr="002E3F2B">
        <w:rPr>
          <w:rFonts w:ascii="Garamond" w:hAnsi="Garamond"/>
          <w:i/>
          <w:iCs/>
          <w:lang w:val="sq-AL"/>
        </w:rPr>
        <w:t>4.2025</w:t>
      </w:r>
      <w:r w:rsidR="002E3F2B">
        <w:rPr>
          <w:rFonts w:ascii="Garamond" w:hAnsi="Garamond"/>
          <w:i/>
          <w:iCs/>
          <w:lang w:val="sq-AL"/>
        </w:rPr>
        <w:t>,</w:t>
      </w:r>
      <w:r w:rsidRPr="002E3F2B">
        <w:rPr>
          <w:rFonts w:ascii="Garamond" w:hAnsi="Garamond"/>
          <w:i/>
          <w:iCs/>
          <w:lang w:val="sq-AL"/>
        </w:rPr>
        <w:t xml:space="preserve"> të Gjykatës Kushtetuese).</w:t>
      </w:r>
      <w:r w:rsidRPr="002E3F2B">
        <w:rPr>
          <w:rFonts w:ascii="Garamond" w:hAnsi="Garamond"/>
          <w:lang w:val="sq-AL"/>
        </w:rPr>
        <w:t xml:space="preserve"> Në këto kushte, ky pretendim nuk mund të merret në shqyrtim edhe për këtë shkak.</w:t>
      </w:r>
    </w:p>
    <w:p w14:paraId="5F5F128F" w14:textId="069E580E" w:rsidR="00470F0A" w:rsidRPr="002E3F2B" w:rsidRDefault="00470F0A" w:rsidP="00901941">
      <w:pPr>
        <w:pStyle w:val="BodyTextIndent2"/>
        <w:tabs>
          <w:tab w:val="left" w:pos="1080"/>
        </w:tabs>
        <w:spacing w:after="0" w:line="240" w:lineRule="auto"/>
        <w:ind w:left="0" w:firstLine="284"/>
        <w:jc w:val="both"/>
        <w:rPr>
          <w:rFonts w:ascii="Garamond" w:hAnsi="Garamond"/>
          <w:b/>
          <w:bCs/>
          <w:lang w:val="sq-AL"/>
        </w:rPr>
      </w:pPr>
      <w:r w:rsidRPr="002E3F2B">
        <w:rPr>
          <w:rFonts w:ascii="Garamond" w:hAnsi="Garamond"/>
          <w:lang w:val="sq-AL"/>
        </w:rPr>
        <w:t xml:space="preserve">18. Për sa u përket pretendimeve të tjera, Gjykata vëren se kërkueset kanë ushtruar ankim dhe rekurs kundër vendimeve të gjykatave të zakonshme. Ndonëse gjykatat e faktit e kanë konsideruar ankimin ndaj vendimit të prokurorit të paraqitur jashtë afatit ligjor, ato </w:t>
      </w:r>
      <w:r w:rsidRPr="002E3F2B">
        <w:rPr>
          <w:rFonts w:ascii="Garamond" w:hAnsi="Garamond"/>
          <w:bCs/>
          <w:lang w:val="sq-AL"/>
        </w:rPr>
        <w:t>nuk janë kufizuar në këtë konstatim, por kanë shqyrtuar edhe pretendimet për ligjshmërinë e vendimit të pushimit të procedimit penal</w:t>
      </w:r>
      <w:r w:rsidRPr="002E3F2B">
        <w:rPr>
          <w:rFonts w:ascii="Garamond" w:hAnsi="Garamond"/>
          <w:lang w:val="sq-AL"/>
        </w:rPr>
        <w:t xml:space="preserve">. Kërkueset i kanë </w:t>
      </w:r>
      <w:r w:rsidRPr="002E3F2B">
        <w:rPr>
          <w:rFonts w:ascii="Garamond" w:hAnsi="Garamond"/>
          <w:bCs/>
          <w:lang w:val="sq-AL"/>
        </w:rPr>
        <w:t>parashtruar edhe në rekurs pretendimet për mungesën e njoftimit dhe mungesën e një hetimi të plotë e efektiv.</w:t>
      </w:r>
      <w:r w:rsidRPr="002E3F2B">
        <w:rPr>
          <w:rFonts w:ascii="Garamond" w:hAnsi="Garamond"/>
          <w:lang w:val="sq-AL"/>
        </w:rPr>
        <w:t xml:space="preserve"> Për rrjedhojë, për këto pretendime, kërkueset i kanë shteruar mjetet juridike në dispozicion. Ndërsa për sa u përket pretendimeve që lidhen me procesin e zhvilluar në Gjykatën e Lartë, i vetmi mjet juridik në dispozicion të tyre është ankimi kushtetues individual.</w:t>
      </w:r>
    </w:p>
    <w:p w14:paraId="5D57E1E5" w14:textId="7615081D" w:rsidR="00470F0A" w:rsidRPr="002E3F2B" w:rsidRDefault="00470F0A" w:rsidP="00901941">
      <w:pPr>
        <w:pStyle w:val="BodyTextIndent2"/>
        <w:tabs>
          <w:tab w:val="left" w:pos="1080"/>
        </w:tabs>
        <w:spacing w:after="0" w:line="240" w:lineRule="auto"/>
        <w:ind w:left="0" w:firstLine="284"/>
        <w:jc w:val="both"/>
        <w:rPr>
          <w:rFonts w:ascii="Garamond" w:hAnsi="Garamond"/>
          <w:b/>
          <w:bCs/>
          <w:lang w:val="sq-AL"/>
        </w:rPr>
      </w:pPr>
      <w:r w:rsidRPr="002E3F2B">
        <w:rPr>
          <w:rFonts w:ascii="Garamond" w:hAnsi="Garamond"/>
          <w:lang w:val="sq-AL"/>
        </w:rPr>
        <w:t xml:space="preserve">19. Lidhur me legjitimimin </w:t>
      </w:r>
      <w:proofErr w:type="spellStart"/>
      <w:r w:rsidRPr="002E3F2B">
        <w:rPr>
          <w:rFonts w:ascii="Garamond" w:hAnsi="Garamond"/>
          <w:i/>
          <w:iCs/>
          <w:lang w:val="sq-AL"/>
        </w:rPr>
        <w:t>ratione</w:t>
      </w:r>
      <w:proofErr w:type="spellEnd"/>
      <w:r w:rsidRPr="002E3F2B">
        <w:rPr>
          <w:rFonts w:ascii="Garamond" w:hAnsi="Garamond"/>
          <w:i/>
          <w:iCs/>
          <w:lang w:val="sq-AL"/>
        </w:rPr>
        <w:t xml:space="preserve"> </w:t>
      </w:r>
      <w:proofErr w:type="spellStart"/>
      <w:r w:rsidRPr="002E3F2B">
        <w:rPr>
          <w:rFonts w:ascii="Garamond" w:hAnsi="Garamond"/>
          <w:i/>
          <w:iCs/>
          <w:lang w:val="sq-AL"/>
        </w:rPr>
        <w:t>temporis</w:t>
      </w:r>
      <w:proofErr w:type="spellEnd"/>
      <w:r w:rsidRPr="002E3F2B">
        <w:rPr>
          <w:rFonts w:ascii="Garamond" w:hAnsi="Garamond"/>
          <w:lang w:val="sq-AL"/>
        </w:rPr>
        <w:t xml:space="preserve">, neni 71/a, pika 1, shkronja “b”, i Ligjit Organik të Gjykatës parashikon afatin ligjor prej 4 muajsh nga konstatimi i cenimit për paraqitjen e ankimit kushtetues individual. Në rastin konkret, vendimi i kundërshtuar </w:t>
      </w:r>
      <w:r w:rsidR="002E3F2B">
        <w:rPr>
          <w:rFonts w:ascii="Garamond" w:hAnsi="Garamond"/>
          <w:lang w:val="sq-AL"/>
        </w:rPr>
        <w:t>i Gjykatës së Lartë mban datën 2.</w:t>
      </w:r>
      <w:r w:rsidRPr="002E3F2B">
        <w:rPr>
          <w:rFonts w:ascii="Garamond" w:hAnsi="Garamond"/>
          <w:lang w:val="sq-AL"/>
        </w:rPr>
        <w:t>4.2025, ndërsa kërkesa është paraqitur në Gjykatë nëpërmje</w:t>
      </w:r>
      <w:r w:rsidR="002E3F2B">
        <w:rPr>
          <w:rFonts w:ascii="Garamond" w:hAnsi="Garamond"/>
          <w:lang w:val="sq-AL"/>
        </w:rPr>
        <w:t>t shërbimit postar në datën 1.</w:t>
      </w:r>
      <w:r w:rsidRPr="002E3F2B">
        <w:rPr>
          <w:rFonts w:ascii="Garamond" w:hAnsi="Garamond"/>
          <w:lang w:val="sq-AL"/>
        </w:rPr>
        <w:t xml:space="preserve">7.2025, pra brenda afatit ligjor. Për rrjedhojë, kërkueset legjitimohen </w:t>
      </w:r>
      <w:proofErr w:type="spellStart"/>
      <w:r w:rsidRPr="002E3F2B">
        <w:rPr>
          <w:rFonts w:ascii="Garamond" w:hAnsi="Garamond"/>
          <w:i/>
          <w:iCs/>
          <w:lang w:val="sq-AL"/>
        </w:rPr>
        <w:t>ratione</w:t>
      </w:r>
      <w:proofErr w:type="spellEnd"/>
      <w:r w:rsidRPr="002E3F2B">
        <w:rPr>
          <w:rFonts w:ascii="Garamond" w:hAnsi="Garamond"/>
          <w:i/>
          <w:iCs/>
          <w:lang w:val="sq-AL"/>
        </w:rPr>
        <w:t xml:space="preserve"> </w:t>
      </w:r>
      <w:proofErr w:type="spellStart"/>
      <w:r w:rsidRPr="002E3F2B">
        <w:rPr>
          <w:rFonts w:ascii="Garamond" w:hAnsi="Garamond"/>
          <w:i/>
          <w:iCs/>
          <w:lang w:val="sq-AL"/>
        </w:rPr>
        <w:t>temporis</w:t>
      </w:r>
      <w:proofErr w:type="spellEnd"/>
      <w:r w:rsidRPr="002E3F2B">
        <w:rPr>
          <w:rFonts w:ascii="Garamond" w:hAnsi="Garamond"/>
          <w:i/>
          <w:iCs/>
          <w:lang w:val="sq-AL"/>
        </w:rPr>
        <w:t xml:space="preserve"> </w:t>
      </w:r>
      <w:r w:rsidRPr="002E3F2B">
        <w:rPr>
          <w:rFonts w:ascii="Garamond" w:hAnsi="Garamond"/>
          <w:lang w:val="sq-AL"/>
        </w:rPr>
        <w:t xml:space="preserve">për paraqitjen e ankimit kushtetues individual. </w:t>
      </w:r>
    </w:p>
    <w:p w14:paraId="0F820841" w14:textId="00137ABE" w:rsidR="00470F0A" w:rsidRPr="002E3F2B" w:rsidRDefault="00470F0A" w:rsidP="00901941">
      <w:pPr>
        <w:pStyle w:val="BodyTextIndent2"/>
        <w:tabs>
          <w:tab w:val="left" w:pos="1080"/>
        </w:tabs>
        <w:spacing w:after="0" w:line="240" w:lineRule="auto"/>
        <w:ind w:left="0" w:firstLine="284"/>
        <w:jc w:val="both"/>
        <w:rPr>
          <w:rFonts w:ascii="Garamond" w:hAnsi="Garamond"/>
          <w:bCs/>
          <w:lang w:val="sq-AL"/>
        </w:rPr>
      </w:pPr>
      <w:r w:rsidRPr="002E3F2B">
        <w:rPr>
          <w:rFonts w:ascii="Garamond" w:hAnsi="Garamond"/>
          <w:lang w:val="sq-AL"/>
        </w:rPr>
        <w:t xml:space="preserve">20. Në drejtim të legjitimimit </w:t>
      </w:r>
      <w:proofErr w:type="spellStart"/>
      <w:r w:rsidRPr="002E3F2B">
        <w:rPr>
          <w:rFonts w:ascii="Garamond" w:hAnsi="Garamond"/>
          <w:i/>
          <w:iCs/>
          <w:lang w:val="sq-AL"/>
        </w:rPr>
        <w:t>ratione</w:t>
      </w:r>
      <w:proofErr w:type="spellEnd"/>
      <w:r w:rsidRPr="002E3F2B">
        <w:rPr>
          <w:rFonts w:ascii="Garamond" w:hAnsi="Garamond"/>
          <w:i/>
          <w:iCs/>
          <w:lang w:val="sq-AL"/>
        </w:rPr>
        <w:t xml:space="preserve"> </w:t>
      </w:r>
      <w:proofErr w:type="spellStart"/>
      <w:r w:rsidRPr="002E3F2B">
        <w:rPr>
          <w:rFonts w:ascii="Garamond" w:hAnsi="Garamond"/>
          <w:i/>
          <w:iCs/>
          <w:lang w:val="sq-AL"/>
        </w:rPr>
        <w:t>materiae</w:t>
      </w:r>
      <w:proofErr w:type="spellEnd"/>
      <w:r w:rsidRPr="002E3F2B">
        <w:rPr>
          <w:rFonts w:ascii="Garamond" w:hAnsi="Garamond"/>
          <w:lang w:val="sq-AL"/>
        </w:rPr>
        <w:t>, Gjykata vëren se kërkueset kanë parashtruar pretendime për: i</w:t>
      </w:r>
      <w:r w:rsidR="002E3F2B">
        <w:rPr>
          <w:rFonts w:ascii="Garamond" w:hAnsi="Garamond"/>
          <w:lang w:val="sq-AL"/>
        </w:rPr>
        <w:t>.</w:t>
      </w:r>
      <w:r w:rsidRPr="002E3F2B">
        <w:rPr>
          <w:rFonts w:ascii="Garamond" w:hAnsi="Garamond"/>
          <w:lang w:val="sq-AL"/>
        </w:rPr>
        <w:t xml:space="preserve"> </w:t>
      </w:r>
      <w:r w:rsidRPr="002E3F2B">
        <w:rPr>
          <w:rFonts w:ascii="Garamond" w:hAnsi="Garamond"/>
          <w:i/>
          <w:iCs/>
          <w:lang w:val="sq-AL"/>
        </w:rPr>
        <w:t xml:space="preserve">cenimin e së drejtës për t’u njoftuar </w:t>
      </w:r>
      <w:r w:rsidRPr="002E3F2B">
        <w:rPr>
          <w:rFonts w:ascii="Garamond" w:hAnsi="Garamond"/>
          <w:lang w:val="sq-AL"/>
        </w:rPr>
        <w:t>për vendimin e prokurorit për pushimin e procedimit penal, pretendim që lidhet, në thelb,</w:t>
      </w:r>
      <w:r w:rsidRPr="002E3F2B">
        <w:rPr>
          <w:rFonts w:ascii="Garamond" w:hAnsi="Garamond"/>
          <w:i/>
          <w:iCs/>
          <w:lang w:val="sq-AL"/>
        </w:rPr>
        <w:t xml:space="preserve"> </w:t>
      </w:r>
      <w:r w:rsidRPr="002E3F2B">
        <w:rPr>
          <w:rFonts w:ascii="Garamond" w:hAnsi="Garamond"/>
          <w:lang w:val="sq-AL"/>
        </w:rPr>
        <w:t>me</w:t>
      </w:r>
      <w:r w:rsidRPr="002E3F2B">
        <w:rPr>
          <w:rFonts w:ascii="Garamond" w:hAnsi="Garamond"/>
          <w:i/>
          <w:iCs/>
          <w:lang w:val="sq-AL"/>
        </w:rPr>
        <w:t xml:space="preserve"> të drejtën e </w:t>
      </w:r>
      <w:proofErr w:type="spellStart"/>
      <w:r w:rsidRPr="002E3F2B">
        <w:rPr>
          <w:rFonts w:ascii="Garamond" w:hAnsi="Garamond"/>
          <w:i/>
          <w:iCs/>
          <w:lang w:val="sq-AL"/>
        </w:rPr>
        <w:t>aksesit</w:t>
      </w:r>
      <w:proofErr w:type="spellEnd"/>
      <w:r w:rsidRPr="002E3F2B">
        <w:rPr>
          <w:rFonts w:ascii="Garamond" w:hAnsi="Garamond"/>
          <w:i/>
          <w:iCs/>
          <w:lang w:val="sq-AL"/>
        </w:rPr>
        <w:t xml:space="preserve"> në gjykatë; </w:t>
      </w:r>
      <w:proofErr w:type="spellStart"/>
      <w:r w:rsidRPr="002E3F2B">
        <w:rPr>
          <w:rFonts w:ascii="Garamond" w:hAnsi="Garamond"/>
          <w:lang w:val="sq-AL"/>
        </w:rPr>
        <w:t>ii</w:t>
      </w:r>
      <w:proofErr w:type="spellEnd"/>
      <w:r w:rsidR="002E3F2B">
        <w:rPr>
          <w:rFonts w:ascii="Garamond" w:hAnsi="Garamond"/>
          <w:lang w:val="sq-AL"/>
        </w:rPr>
        <w:t>.</w:t>
      </w:r>
      <w:r w:rsidRPr="002E3F2B">
        <w:rPr>
          <w:rFonts w:ascii="Garamond" w:hAnsi="Garamond"/>
          <w:lang w:val="sq-AL"/>
        </w:rPr>
        <w:t xml:space="preserve"> cenimin e së</w:t>
      </w:r>
      <w:r w:rsidRPr="002E3F2B">
        <w:rPr>
          <w:rFonts w:ascii="Garamond" w:hAnsi="Garamond"/>
          <w:i/>
          <w:iCs/>
          <w:lang w:val="sq-AL"/>
        </w:rPr>
        <w:t xml:space="preserve"> drejtës për jetën </w:t>
      </w:r>
      <w:r w:rsidRPr="002E3F2B">
        <w:rPr>
          <w:rFonts w:ascii="Garamond" w:hAnsi="Garamond"/>
          <w:lang w:val="sq-AL"/>
        </w:rPr>
        <w:t xml:space="preserve">në aspektin procedural, për shkak të </w:t>
      </w:r>
      <w:r w:rsidRPr="002E3F2B">
        <w:rPr>
          <w:rFonts w:ascii="Garamond" w:hAnsi="Garamond"/>
          <w:i/>
          <w:iCs/>
          <w:lang w:val="sq-AL"/>
        </w:rPr>
        <w:t xml:space="preserve">mungesës së një hetimi të plotë dhe efektiv </w:t>
      </w:r>
      <w:r w:rsidRPr="002E3F2B">
        <w:rPr>
          <w:rFonts w:ascii="Garamond" w:hAnsi="Garamond"/>
          <w:lang w:val="sq-AL"/>
        </w:rPr>
        <w:t xml:space="preserve">për vdekjen e familjarit të tyre. </w:t>
      </w:r>
      <w:r w:rsidRPr="002E3F2B">
        <w:rPr>
          <w:rFonts w:ascii="Garamond" w:hAnsi="Garamond"/>
          <w:bCs/>
          <w:lang w:val="sq-AL"/>
        </w:rPr>
        <w:t>Këto pretendime hyjnë në juridiksionin kushtetues dhe do të shqyrtohen në vijim.</w:t>
      </w:r>
    </w:p>
    <w:p w14:paraId="0A8354F9" w14:textId="1238D0BB" w:rsidR="00470F0A" w:rsidRPr="002E3F2B" w:rsidRDefault="00470F0A" w:rsidP="00901941">
      <w:pPr>
        <w:pStyle w:val="BodyTextIndent2"/>
        <w:tabs>
          <w:tab w:val="left" w:pos="1080"/>
        </w:tabs>
        <w:spacing w:after="0" w:line="240" w:lineRule="auto"/>
        <w:ind w:left="0" w:firstLine="284"/>
        <w:jc w:val="both"/>
        <w:rPr>
          <w:rFonts w:ascii="Garamond" w:hAnsi="Garamond"/>
          <w:bCs/>
          <w:lang w:val="sq-AL"/>
        </w:rPr>
      </w:pPr>
      <w:r w:rsidRPr="002E3F2B">
        <w:rPr>
          <w:rFonts w:ascii="Garamond" w:hAnsi="Garamond"/>
          <w:lang w:val="sq-AL"/>
        </w:rPr>
        <w:lastRenderedPageBreak/>
        <w:t xml:space="preserve">21. Gjykata, duke mbajtur parasysh se argumentet e kërkueseve janë të ndërlidhura dhe kanë të bëjnë me kontrollin gjyqësor të vendimit për pushimin e procedimit penal, veçanërisht me vendimmarrjen e Gjykatës së Lartë, çmon ta shqyrtojë pretendimin për mungesën e njoftimit në këndvështrim të </w:t>
      </w:r>
      <w:r w:rsidRPr="002E3F2B">
        <w:rPr>
          <w:rFonts w:ascii="Garamond" w:hAnsi="Garamond"/>
          <w:i/>
          <w:iCs/>
          <w:lang w:val="sq-AL"/>
        </w:rPr>
        <w:t xml:space="preserve">së drejtës së </w:t>
      </w:r>
      <w:proofErr w:type="spellStart"/>
      <w:r w:rsidRPr="002E3F2B">
        <w:rPr>
          <w:rFonts w:ascii="Garamond" w:hAnsi="Garamond"/>
          <w:i/>
          <w:iCs/>
          <w:lang w:val="sq-AL"/>
        </w:rPr>
        <w:t>aksesit</w:t>
      </w:r>
      <w:proofErr w:type="spellEnd"/>
      <w:r w:rsidRPr="002E3F2B">
        <w:rPr>
          <w:rFonts w:ascii="Garamond" w:hAnsi="Garamond"/>
          <w:i/>
          <w:iCs/>
          <w:lang w:val="sq-AL"/>
        </w:rPr>
        <w:t xml:space="preserve"> në gjykatë</w:t>
      </w:r>
      <w:r w:rsidRPr="002E3F2B">
        <w:rPr>
          <w:rFonts w:ascii="Garamond" w:hAnsi="Garamond"/>
          <w:lang w:val="sq-AL"/>
        </w:rPr>
        <w:t xml:space="preserve">, ndërsa pretendimin për mungesën e përgjigjes ndaj argumenteve për efektivitetin e hetimit në këndvështrim të </w:t>
      </w:r>
      <w:r w:rsidRPr="002E3F2B">
        <w:rPr>
          <w:rFonts w:ascii="Garamond" w:hAnsi="Garamond"/>
          <w:i/>
          <w:iCs/>
          <w:lang w:val="sq-AL"/>
        </w:rPr>
        <w:t>standardit të arsyetimit të vendimit gjyqësor</w:t>
      </w:r>
      <w:r w:rsidRPr="002E3F2B">
        <w:rPr>
          <w:rFonts w:ascii="Garamond" w:hAnsi="Garamond"/>
          <w:lang w:val="sq-AL"/>
        </w:rPr>
        <w:t xml:space="preserve"> të lidhur me </w:t>
      </w:r>
      <w:r w:rsidRPr="002E3F2B">
        <w:rPr>
          <w:rFonts w:ascii="Garamond" w:hAnsi="Garamond"/>
          <w:i/>
          <w:iCs/>
          <w:lang w:val="sq-AL"/>
        </w:rPr>
        <w:t>aspektin procedural të së drejtës për jetën</w:t>
      </w:r>
      <w:r w:rsidRPr="002E3F2B">
        <w:rPr>
          <w:rFonts w:ascii="Garamond" w:hAnsi="Garamond"/>
          <w:lang w:val="sq-AL"/>
        </w:rPr>
        <w:t xml:space="preserve">. </w:t>
      </w:r>
      <w:r w:rsidRPr="002E3F2B">
        <w:rPr>
          <w:rFonts w:ascii="Garamond" w:hAnsi="Garamond"/>
          <w:bCs/>
          <w:lang w:val="sq-AL"/>
        </w:rPr>
        <w:t xml:space="preserve">E drejta e </w:t>
      </w:r>
      <w:proofErr w:type="spellStart"/>
      <w:r w:rsidRPr="002E3F2B">
        <w:rPr>
          <w:rFonts w:ascii="Garamond" w:hAnsi="Garamond"/>
          <w:bCs/>
          <w:lang w:val="sq-AL"/>
        </w:rPr>
        <w:t>aksesit</w:t>
      </w:r>
      <w:proofErr w:type="spellEnd"/>
      <w:r w:rsidRPr="002E3F2B">
        <w:rPr>
          <w:rFonts w:ascii="Garamond" w:hAnsi="Garamond"/>
          <w:bCs/>
          <w:lang w:val="sq-AL"/>
        </w:rPr>
        <w:t xml:space="preserve"> dhe standardi i arsyetimit të vendimit gjyqësor janë aspekte të procesit të rregullt ligjor, </w:t>
      </w:r>
      <w:r w:rsidRPr="002E3F2B">
        <w:rPr>
          <w:rFonts w:ascii="Garamond" w:hAnsi="Garamond"/>
          <w:lang w:val="sq-AL"/>
        </w:rPr>
        <w:t xml:space="preserve">të garantuara nga nenet 42 dhe 142, pika 1, të Kushtetutës. Neni 42 i Kushtetutës parashikon, ndër të tjera, se të drejtat e njohura nga Kushtetuta, përfshirë të drejtën për jetën, nuk mund të cenohen pa një proces të rregullt ligjor dhe se kushdo, për mbrojtjen e të drejtave kushtetuese, ka të drejtën e një gjykimi të drejtë. </w:t>
      </w:r>
    </w:p>
    <w:p w14:paraId="6B5F8023" w14:textId="6D7060EF" w:rsidR="00470F0A" w:rsidRPr="002E3F2B" w:rsidRDefault="00470F0A" w:rsidP="00901941">
      <w:pPr>
        <w:pStyle w:val="BodyTextIndent2"/>
        <w:tabs>
          <w:tab w:val="left" w:pos="1080"/>
        </w:tabs>
        <w:spacing w:after="0" w:line="240" w:lineRule="auto"/>
        <w:ind w:left="0" w:firstLine="284"/>
        <w:jc w:val="both"/>
        <w:rPr>
          <w:rFonts w:ascii="Garamond" w:hAnsi="Garamond"/>
          <w:bCs/>
          <w:i/>
          <w:iCs/>
          <w:lang w:val="sq-AL"/>
        </w:rPr>
      </w:pPr>
      <w:r w:rsidRPr="002E3F2B">
        <w:rPr>
          <w:rFonts w:ascii="Garamond" w:hAnsi="Garamond"/>
          <w:lang w:val="sq-AL"/>
        </w:rPr>
        <w:t xml:space="preserve">22. Lidhur me të </w:t>
      </w:r>
      <w:r w:rsidRPr="002E3F2B">
        <w:rPr>
          <w:rFonts w:ascii="Garamond" w:hAnsi="Garamond"/>
          <w:i/>
          <w:iCs/>
          <w:lang w:val="sq-AL"/>
        </w:rPr>
        <w:t>drejtën për jetën</w:t>
      </w:r>
      <w:r w:rsidRPr="002E3F2B">
        <w:rPr>
          <w:rFonts w:ascii="Garamond" w:hAnsi="Garamond"/>
          <w:lang w:val="sq-AL"/>
        </w:rPr>
        <w:t xml:space="preserve">, Gjykata evidenton se neni 21 i Kushtetutës parashikon se jeta e personit mbrohet me ligj. Gjykata ka pohuar se njeriu dhe jeta e tij janë vlerat më superiore për shtetin dhe se kjo e drejtë qëndron në themel të </w:t>
      </w:r>
      <w:proofErr w:type="spellStart"/>
      <w:r w:rsidRPr="002E3F2B">
        <w:rPr>
          <w:rFonts w:ascii="Garamond" w:hAnsi="Garamond"/>
          <w:lang w:val="sq-AL"/>
        </w:rPr>
        <w:t>të</w:t>
      </w:r>
      <w:proofErr w:type="spellEnd"/>
      <w:r w:rsidRPr="002E3F2B">
        <w:rPr>
          <w:rFonts w:ascii="Garamond" w:hAnsi="Garamond"/>
          <w:lang w:val="sq-AL"/>
        </w:rPr>
        <w:t xml:space="preserve"> gjitha të drejtave, pasi mohimi i saj sjell edhe eliminimin e të drejtave të tjera njerëzore (</w:t>
      </w:r>
      <w:r w:rsidR="002E3F2B">
        <w:rPr>
          <w:rFonts w:ascii="Garamond" w:hAnsi="Garamond"/>
          <w:i/>
          <w:iCs/>
          <w:lang w:val="sq-AL"/>
        </w:rPr>
        <w:t>shih vendimet nr. 42, datë 29.</w:t>
      </w:r>
      <w:r w:rsidRPr="002E3F2B">
        <w:rPr>
          <w:rFonts w:ascii="Garamond" w:hAnsi="Garamond"/>
          <w:i/>
          <w:iCs/>
          <w:lang w:val="sq-AL"/>
        </w:rPr>
        <w:t>5.2024; nr. 65, datë 10.12.1999</w:t>
      </w:r>
      <w:r w:rsidR="002E3F2B">
        <w:rPr>
          <w:rFonts w:ascii="Garamond" w:hAnsi="Garamond"/>
          <w:i/>
          <w:iCs/>
          <w:lang w:val="sq-AL"/>
        </w:rPr>
        <w:t>,</w:t>
      </w:r>
      <w:r w:rsidRPr="002E3F2B">
        <w:rPr>
          <w:rFonts w:ascii="Garamond" w:hAnsi="Garamond"/>
          <w:i/>
          <w:iCs/>
          <w:lang w:val="sq-AL"/>
        </w:rPr>
        <w:t xml:space="preserve"> të Gjykatës Kushtetuese</w:t>
      </w:r>
      <w:r w:rsidRPr="002E3F2B">
        <w:rPr>
          <w:rFonts w:ascii="Garamond" w:hAnsi="Garamond"/>
          <w:lang w:val="sq-AL"/>
        </w:rPr>
        <w:t xml:space="preserve">). Në aspektin procedural, kjo e drejtë kërkon nga autoritetet shtetërore kompetente kryerjen e një hetimi efektiv. Ky nuk është një detyrim për arritjen e rezultatit, por për përdorimin e mjeteve, ndërsa hetimi duhet të jetë në gjendje të përcaktojë faktet dhe, sipas rastit, të çojë në identifikimin dhe ndëshkimin e personave përgjegjës </w:t>
      </w:r>
      <w:r w:rsidR="002E3F2B">
        <w:rPr>
          <w:rFonts w:ascii="Garamond" w:hAnsi="Garamond"/>
          <w:i/>
          <w:iCs/>
          <w:lang w:val="sq-AL"/>
        </w:rPr>
        <w:t>(shih vendimin nr. 42, datë 29.</w:t>
      </w:r>
      <w:r w:rsidRPr="002E3F2B">
        <w:rPr>
          <w:rFonts w:ascii="Garamond" w:hAnsi="Garamond"/>
          <w:i/>
          <w:iCs/>
          <w:lang w:val="sq-AL"/>
        </w:rPr>
        <w:t>5.2024</w:t>
      </w:r>
      <w:r w:rsidR="002E3F2B">
        <w:rPr>
          <w:rFonts w:ascii="Garamond" w:hAnsi="Garamond"/>
          <w:i/>
          <w:iCs/>
          <w:lang w:val="sq-AL"/>
        </w:rPr>
        <w:t>,</w:t>
      </w:r>
      <w:r w:rsidRPr="002E3F2B">
        <w:rPr>
          <w:rFonts w:ascii="Garamond" w:hAnsi="Garamond"/>
          <w:i/>
          <w:iCs/>
          <w:lang w:val="sq-AL"/>
        </w:rPr>
        <w:t xml:space="preserve"> të Gjykatës Kushtetuese).</w:t>
      </w:r>
      <w:r w:rsidRPr="002E3F2B">
        <w:rPr>
          <w:rFonts w:ascii="Garamond" w:hAnsi="Garamond"/>
          <w:bCs/>
          <w:i/>
          <w:iCs/>
          <w:lang w:val="sq-AL"/>
        </w:rPr>
        <w:t xml:space="preserve"> </w:t>
      </w:r>
      <w:r w:rsidRPr="002E3F2B">
        <w:rPr>
          <w:rFonts w:ascii="Garamond" w:hAnsi="Garamond"/>
          <w:bCs/>
          <w:lang w:val="sq-AL"/>
        </w:rPr>
        <w:t xml:space="preserve">Në këtë kuptim, Gjykata do të vlerësojë nëse pretendimet e kërkueseve për mungesën e një hetimi të plotë dhe efektiv kanë qenë objekt i një kontrolli gjyqësor efektiv dhe kanë marrë një përgjigje në përputhje me standardet kushtetuese </w:t>
      </w:r>
      <w:r w:rsidRPr="002E3F2B">
        <w:rPr>
          <w:rFonts w:ascii="Garamond" w:hAnsi="Garamond"/>
          <w:bCs/>
          <w:i/>
          <w:iCs/>
          <w:lang w:val="sq-AL"/>
        </w:rPr>
        <w:t xml:space="preserve">të </w:t>
      </w:r>
      <w:proofErr w:type="spellStart"/>
      <w:r w:rsidRPr="002E3F2B">
        <w:rPr>
          <w:rFonts w:ascii="Garamond" w:hAnsi="Garamond"/>
          <w:bCs/>
          <w:i/>
          <w:iCs/>
          <w:lang w:val="sq-AL"/>
        </w:rPr>
        <w:t>aksesit</w:t>
      </w:r>
      <w:proofErr w:type="spellEnd"/>
      <w:r w:rsidRPr="002E3F2B">
        <w:rPr>
          <w:rFonts w:ascii="Garamond" w:hAnsi="Garamond"/>
          <w:bCs/>
          <w:i/>
          <w:iCs/>
          <w:lang w:val="sq-AL"/>
        </w:rPr>
        <w:t xml:space="preserve"> në gjykatë dhe të arsyetimit të vendimit gjyqësor.</w:t>
      </w:r>
    </w:p>
    <w:p w14:paraId="74E7B60B" w14:textId="0DE1F872" w:rsidR="00470F0A" w:rsidRPr="002E3F2B" w:rsidRDefault="00470F0A" w:rsidP="00901941">
      <w:pPr>
        <w:pStyle w:val="ListParagraph"/>
        <w:tabs>
          <w:tab w:val="left" w:pos="1080"/>
        </w:tabs>
        <w:spacing w:after="0" w:line="240" w:lineRule="auto"/>
        <w:ind w:left="0" w:firstLine="284"/>
        <w:jc w:val="both"/>
        <w:rPr>
          <w:rFonts w:ascii="Garamond" w:hAnsi="Garamond" w:cs="Times New Roman"/>
          <w:i/>
          <w:iCs/>
          <w:sz w:val="24"/>
          <w:szCs w:val="24"/>
        </w:rPr>
      </w:pPr>
      <w:r w:rsidRPr="002E3F2B">
        <w:rPr>
          <w:rFonts w:ascii="Garamond" w:hAnsi="Garamond" w:cs="Times New Roman"/>
          <w:i/>
          <w:iCs/>
          <w:sz w:val="24"/>
          <w:szCs w:val="24"/>
        </w:rPr>
        <w:t>B. Për themelin e pretendimeve</w:t>
      </w:r>
    </w:p>
    <w:p w14:paraId="783FC5EB" w14:textId="77777777" w:rsidR="00470F0A" w:rsidRPr="002E3F2B" w:rsidRDefault="00470F0A" w:rsidP="00901941">
      <w:pPr>
        <w:tabs>
          <w:tab w:val="left" w:pos="1080"/>
        </w:tabs>
        <w:spacing w:after="0" w:line="240" w:lineRule="auto"/>
        <w:ind w:firstLine="284"/>
        <w:jc w:val="both"/>
        <w:rPr>
          <w:rFonts w:ascii="Garamond" w:hAnsi="Garamond" w:cs="Times New Roman"/>
          <w:i/>
          <w:iCs/>
          <w:sz w:val="24"/>
          <w:szCs w:val="24"/>
        </w:rPr>
      </w:pPr>
      <w:r w:rsidRPr="002E3F2B">
        <w:rPr>
          <w:rFonts w:ascii="Garamond" w:hAnsi="Garamond" w:cs="Times New Roman"/>
          <w:i/>
          <w:iCs/>
          <w:sz w:val="24"/>
          <w:szCs w:val="24"/>
        </w:rPr>
        <w:t xml:space="preserve">B.1. Për cenimin e së drejtës së </w:t>
      </w:r>
      <w:proofErr w:type="spellStart"/>
      <w:r w:rsidRPr="002E3F2B">
        <w:rPr>
          <w:rFonts w:ascii="Garamond" w:hAnsi="Garamond" w:cs="Times New Roman"/>
          <w:i/>
          <w:iCs/>
          <w:sz w:val="24"/>
          <w:szCs w:val="24"/>
        </w:rPr>
        <w:t>aksesit</w:t>
      </w:r>
      <w:proofErr w:type="spellEnd"/>
      <w:r w:rsidRPr="002E3F2B">
        <w:rPr>
          <w:rFonts w:ascii="Garamond" w:hAnsi="Garamond" w:cs="Times New Roman"/>
          <w:i/>
          <w:iCs/>
          <w:sz w:val="24"/>
          <w:szCs w:val="24"/>
        </w:rPr>
        <w:t xml:space="preserve"> në gjykatë dhe të standardit të arsyetimit të vendimit gjyqësor, të lidhura me aspektin procedural të së drejtës për jetën </w:t>
      </w:r>
    </w:p>
    <w:p w14:paraId="4198C760" w14:textId="60A627A4" w:rsidR="00470F0A" w:rsidRPr="002E3F2B" w:rsidRDefault="00470F0A" w:rsidP="00901941">
      <w:pPr>
        <w:pStyle w:val="ListParagraph"/>
        <w:tabs>
          <w:tab w:val="left" w:pos="1080"/>
        </w:tabs>
        <w:spacing w:after="0" w:line="240" w:lineRule="auto"/>
        <w:ind w:left="0" w:firstLine="284"/>
        <w:jc w:val="both"/>
        <w:rPr>
          <w:rFonts w:ascii="Garamond" w:hAnsi="Garamond" w:cs="Times New Roman"/>
          <w:sz w:val="24"/>
          <w:szCs w:val="24"/>
        </w:rPr>
      </w:pPr>
      <w:r w:rsidRPr="002E3F2B">
        <w:rPr>
          <w:rFonts w:ascii="Garamond" w:hAnsi="Garamond" w:cs="Times New Roman"/>
          <w:sz w:val="24"/>
          <w:szCs w:val="24"/>
        </w:rPr>
        <w:t>23. Kërkueset kanë pretenduar se vendimi i prokurorit për pushimin e procedimit penal nuk u është njoftuar dhe se ato ja</w:t>
      </w:r>
      <w:r w:rsidR="002E3F2B">
        <w:rPr>
          <w:rFonts w:ascii="Garamond" w:hAnsi="Garamond" w:cs="Times New Roman"/>
          <w:sz w:val="24"/>
          <w:szCs w:val="24"/>
        </w:rPr>
        <w:t>në njohur me të vetëm në datën 3.</w:t>
      </w:r>
      <w:r w:rsidRPr="002E3F2B">
        <w:rPr>
          <w:rFonts w:ascii="Garamond" w:hAnsi="Garamond" w:cs="Times New Roman"/>
          <w:sz w:val="24"/>
          <w:szCs w:val="24"/>
        </w:rPr>
        <w:t xml:space="preserve">6.2022, kur avokati ka tërhequr një kopje të akteve të dosjes. Sipas tyre, në dosje nuk ka prova që shkresat, përmes të cilave pretendohet se familjarët e viktimës janë informuar për përfundimin e procedimit penal, të jenë dërguar ose dorëzuar përmes shërbimit postar. </w:t>
      </w:r>
      <w:r w:rsidRPr="002E3F2B">
        <w:rPr>
          <w:rFonts w:ascii="Garamond" w:hAnsi="Garamond" w:cs="Times New Roman"/>
          <w:bCs/>
          <w:sz w:val="24"/>
          <w:szCs w:val="24"/>
        </w:rPr>
        <w:t xml:space="preserve">Për rrjedhojë, konstatimi i gjykatave se ankimi ishte paraqitur jashtë afatit ligjor u ka cenuar </w:t>
      </w:r>
      <w:proofErr w:type="spellStart"/>
      <w:r w:rsidRPr="002E3F2B">
        <w:rPr>
          <w:rFonts w:ascii="Garamond" w:hAnsi="Garamond" w:cs="Times New Roman"/>
          <w:bCs/>
          <w:sz w:val="24"/>
          <w:szCs w:val="24"/>
        </w:rPr>
        <w:t>aksesin</w:t>
      </w:r>
      <w:proofErr w:type="spellEnd"/>
      <w:r w:rsidRPr="002E3F2B">
        <w:rPr>
          <w:rFonts w:ascii="Garamond" w:hAnsi="Garamond" w:cs="Times New Roman"/>
          <w:bCs/>
          <w:sz w:val="24"/>
          <w:szCs w:val="24"/>
        </w:rPr>
        <w:t xml:space="preserve"> në gjykatë.</w:t>
      </w:r>
      <w:r w:rsidRPr="002E3F2B">
        <w:rPr>
          <w:rFonts w:ascii="Garamond" w:hAnsi="Garamond" w:cs="Times New Roman"/>
          <w:b/>
          <w:bCs/>
          <w:sz w:val="24"/>
          <w:szCs w:val="24"/>
        </w:rPr>
        <w:t xml:space="preserve"> </w:t>
      </w:r>
      <w:r w:rsidRPr="002E3F2B">
        <w:rPr>
          <w:rFonts w:ascii="Garamond" w:hAnsi="Garamond" w:cs="Times New Roman"/>
          <w:sz w:val="24"/>
          <w:szCs w:val="24"/>
        </w:rPr>
        <w:t>Kërkueset kanë pretenduar, gjithashtu, se nuk është kryer një hetim i plotë dhe efektiv për vdekjen e familjarit të tyre dhe se ato nuk kanë marrë përgjigje për rrethanat e ngjarjes dhe autorin ose autorët e mundshëm. Sipas tyre, prokuroria nuk u ka kërkuar autoriteteve greke vënien në dispozicion të provave materiale të administruara në vendin e ngjarjes dhe kryerjen e ekspertimeve të nevojshme, si dhe e ka lënë procedimin për periudha të gjata pa veprime hetimore, deri në plotësimin e afatit të parashkrimit, ndonëse familjarët e viktimës kishin treguar konkretisht tre persona si autorë të mundshëm të krimit. Po sipas kërkueseve, prokuroria i është referuar qëllimisht nenit 76 të KP-së për veprën penale “Vrasja me dashje”, me qëllim zbatimin e një afati më të shkurtër parashkrimi dhe favorizimin e autorëve të mundshëm, ndërsa rrethanat e pretenduara të ngjarjes dhe motivi pasuror tregonin se viktima ishte vrarë me paramendim. Për më tepër, Gjykata e Lartë e ka trajtuar rastin si çështje të interpretimit të ligjit dhe vlerësimit të provave, pa u dhënë, në vendimin e saj, përgjigje pretendimeve të ngritura në rekurs për mungesën e një hetimi të plotë dhe efektiv, të cilat, sipas tyre, kishin natyrë kushtetuese.</w:t>
      </w:r>
    </w:p>
    <w:p w14:paraId="1D258339" w14:textId="703E1515" w:rsidR="00470F0A" w:rsidRPr="002E3F2B" w:rsidRDefault="00470F0A" w:rsidP="00901941">
      <w:pPr>
        <w:pStyle w:val="ListParagraph"/>
        <w:tabs>
          <w:tab w:val="left" w:pos="1080"/>
        </w:tabs>
        <w:spacing w:after="0" w:line="240" w:lineRule="auto"/>
        <w:ind w:left="0" w:firstLine="284"/>
        <w:jc w:val="both"/>
        <w:rPr>
          <w:rFonts w:ascii="Garamond" w:hAnsi="Garamond" w:cs="Times New Roman"/>
          <w:sz w:val="24"/>
          <w:szCs w:val="24"/>
        </w:rPr>
      </w:pPr>
      <w:r w:rsidRPr="002E3F2B">
        <w:rPr>
          <w:rFonts w:ascii="Garamond" w:hAnsi="Garamond" w:cs="Times New Roman"/>
          <w:sz w:val="24"/>
          <w:szCs w:val="24"/>
        </w:rPr>
        <w:t xml:space="preserve">24. Subjekti i interesuar, Prokuroria e Përgjithshme, ka prapësuar se pretendimet e kërkueseve janë të pabazuara. Sipas tij, vendimi i prokurorit për pushimin e procedimit penal i është komunikuar babait të viktimës, ndërsa avokati i caktuar prej tij ka marrë edhe kopjet e akteve të dosjes. Për rrjedhojë, ankimi ndaj këtij vendimi është paraqitur jashtë afatit ligjor, sikurse kanë konstatuar gjykatat e faktit, të cilat, pavarësisht këtij konstatimi, kanë shqyrtuar edhe ligjshmërinë e vendimit të pushimit. Për sa i përket aspektit procedural të së drejtës për jetën, kërkueset nuk kanë parashtruar argumente në nivel kushtetues, pasi pretendimet e tyre kanë të bëjnë me vlerësimin e provave, cilësimin juridik të veprës penale dhe ligjshmërinë e vendimit të prokurorit, çështje që u përkasin autoriteteve të ndjekjes penale dhe gjykatave të zakonshme. Sipas subjektit të </w:t>
      </w:r>
      <w:r w:rsidRPr="002E3F2B">
        <w:rPr>
          <w:rFonts w:ascii="Garamond" w:hAnsi="Garamond" w:cs="Times New Roman"/>
          <w:sz w:val="24"/>
          <w:szCs w:val="24"/>
        </w:rPr>
        <w:lastRenderedPageBreak/>
        <w:t>interesuar, këto gjykata kanë analizuar në mënyrë të plotë rrethanat e ngjarjes dhe provat e marra në shqyrtim.</w:t>
      </w:r>
    </w:p>
    <w:p w14:paraId="4327D0E9" w14:textId="487631A1" w:rsidR="00470F0A" w:rsidRPr="002E3F2B" w:rsidRDefault="00470F0A" w:rsidP="00901941">
      <w:pPr>
        <w:pStyle w:val="ListParagraph"/>
        <w:tabs>
          <w:tab w:val="left" w:pos="1080"/>
        </w:tabs>
        <w:spacing w:after="0" w:line="240" w:lineRule="auto"/>
        <w:ind w:left="0" w:firstLine="284"/>
        <w:jc w:val="both"/>
        <w:rPr>
          <w:rFonts w:ascii="Garamond" w:hAnsi="Garamond" w:cs="Times New Roman"/>
          <w:sz w:val="24"/>
          <w:szCs w:val="24"/>
        </w:rPr>
      </w:pPr>
      <w:r w:rsidRPr="002E3F2B">
        <w:rPr>
          <w:rFonts w:ascii="Garamond" w:hAnsi="Garamond" w:cs="Times New Roman"/>
          <w:sz w:val="24"/>
          <w:szCs w:val="24"/>
        </w:rPr>
        <w:t xml:space="preserve">25. Gjykata ka theksuar se e drejta e </w:t>
      </w:r>
      <w:proofErr w:type="spellStart"/>
      <w:r w:rsidRPr="002E3F2B">
        <w:rPr>
          <w:rFonts w:ascii="Garamond" w:hAnsi="Garamond" w:cs="Times New Roman"/>
          <w:sz w:val="24"/>
          <w:szCs w:val="24"/>
        </w:rPr>
        <w:t>aksesit</w:t>
      </w:r>
      <w:proofErr w:type="spellEnd"/>
      <w:r w:rsidRPr="002E3F2B">
        <w:rPr>
          <w:rFonts w:ascii="Garamond" w:hAnsi="Garamond" w:cs="Times New Roman"/>
          <w:sz w:val="24"/>
          <w:szCs w:val="24"/>
        </w:rPr>
        <w:t xml:space="preserve"> në gjykatë, përfshirë të drejtën për ta vënë atë në lëvizje, përbën një aspekt të së drejtës për proces të rregullt ligjor. Ajo u garanton subjekteve të cenuara të drejtën t’i drejtohen një gjykate, e cila duhet të dëgjojë pretendimet e tyre dhe të shpallë një vendim pas një gjykimi të drejtë dhe publik (</w:t>
      </w:r>
      <w:r w:rsidRPr="002E3F2B">
        <w:rPr>
          <w:rFonts w:ascii="Garamond" w:hAnsi="Garamond" w:cs="Times New Roman"/>
          <w:i/>
          <w:iCs/>
          <w:sz w:val="24"/>
          <w:szCs w:val="24"/>
        </w:rPr>
        <w:t>shih vendimet nr. 62, datë 23.10.2025; nr. 12, da</w:t>
      </w:r>
      <w:r w:rsidR="002E3F2B">
        <w:rPr>
          <w:rFonts w:ascii="Garamond" w:hAnsi="Garamond" w:cs="Times New Roman"/>
          <w:i/>
          <w:iCs/>
          <w:sz w:val="24"/>
          <w:szCs w:val="24"/>
        </w:rPr>
        <w:t>të 28.2.2024; nr. 10, datë 12.</w:t>
      </w:r>
      <w:r w:rsidRPr="002E3F2B">
        <w:rPr>
          <w:rFonts w:ascii="Garamond" w:hAnsi="Garamond" w:cs="Times New Roman"/>
          <w:i/>
          <w:iCs/>
          <w:sz w:val="24"/>
          <w:szCs w:val="24"/>
        </w:rPr>
        <w:t>4.2022</w:t>
      </w:r>
      <w:r w:rsidR="002E3F2B">
        <w:rPr>
          <w:rFonts w:ascii="Garamond" w:hAnsi="Garamond" w:cs="Times New Roman"/>
          <w:i/>
          <w:iCs/>
          <w:sz w:val="24"/>
          <w:szCs w:val="24"/>
        </w:rPr>
        <w:t>,</w:t>
      </w:r>
      <w:r w:rsidRPr="002E3F2B">
        <w:rPr>
          <w:rFonts w:ascii="Garamond" w:hAnsi="Garamond" w:cs="Times New Roman"/>
          <w:i/>
          <w:iCs/>
          <w:sz w:val="24"/>
          <w:szCs w:val="24"/>
        </w:rPr>
        <w:t xml:space="preserve"> të Gjykatës Kushtetuese).</w:t>
      </w:r>
      <w:r w:rsidRPr="002E3F2B">
        <w:rPr>
          <w:rFonts w:ascii="Garamond" w:hAnsi="Garamond" w:cs="Times New Roman"/>
          <w:sz w:val="24"/>
          <w:szCs w:val="24"/>
        </w:rPr>
        <w:t xml:space="preserve"> Administrimi i mirë i drejtësisë fillon me garancinë që një individ të ketë </w:t>
      </w:r>
      <w:proofErr w:type="spellStart"/>
      <w:r w:rsidRPr="002E3F2B">
        <w:rPr>
          <w:rFonts w:ascii="Garamond" w:hAnsi="Garamond" w:cs="Times New Roman"/>
          <w:sz w:val="24"/>
          <w:szCs w:val="24"/>
        </w:rPr>
        <w:t>akses</w:t>
      </w:r>
      <w:proofErr w:type="spellEnd"/>
      <w:r w:rsidRPr="002E3F2B">
        <w:rPr>
          <w:rFonts w:ascii="Garamond" w:hAnsi="Garamond" w:cs="Times New Roman"/>
          <w:sz w:val="24"/>
          <w:szCs w:val="24"/>
        </w:rPr>
        <w:t xml:space="preserve"> në gjykatë për t’i siguruar atij të gjitha aspektet e një forme gjyqësore të shqyrtimit të çështjes. Kjo e drejtë nuk përfshin vetëm të drejtën për të filluar një proces, por edhe të drejtën për të marrë nga gjykata një zgjidhje përfundimtare për çështjen, pasi </w:t>
      </w:r>
      <w:proofErr w:type="spellStart"/>
      <w:r w:rsidRPr="002E3F2B">
        <w:rPr>
          <w:rFonts w:ascii="Garamond" w:hAnsi="Garamond" w:cs="Times New Roman"/>
          <w:sz w:val="24"/>
          <w:szCs w:val="24"/>
        </w:rPr>
        <w:t>aksesi</w:t>
      </w:r>
      <w:proofErr w:type="spellEnd"/>
      <w:r w:rsidRPr="002E3F2B">
        <w:rPr>
          <w:rFonts w:ascii="Garamond" w:hAnsi="Garamond" w:cs="Times New Roman"/>
          <w:sz w:val="24"/>
          <w:szCs w:val="24"/>
        </w:rPr>
        <w:t xml:space="preserve"> në gjykatë duhet të jetë substancial dhe jo thjesht formal </w:t>
      </w:r>
      <w:r w:rsidR="002E3F2B">
        <w:rPr>
          <w:rFonts w:ascii="Garamond" w:hAnsi="Garamond" w:cs="Times New Roman"/>
          <w:i/>
          <w:iCs/>
          <w:sz w:val="24"/>
          <w:szCs w:val="24"/>
        </w:rPr>
        <w:t>(shih vendimet nr. 11, datë 11.</w:t>
      </w:r>
      <w:r w:rsidRPr="002E3F2B">
        <w:rPr>
          <w:rFonts w:ascii="Garamond" w:hAnsi="Garamond" w:cs="Times New Roman"/>
          <w:i/>
          <w:iCs/>
          <w:sz w:val="24"/>
          <w:szCs w:val="24"/>
        </w:rPr>
        <w:t>2.2026; nr. 5, d</w:t>
      </w:r>
      <w:r w:rsidR="002E3F2B">
        <w:rPr>
          <w:rFonts w:ascii="Garamond" w:hAnsi="Garamond" w:cs="Times New Roman"/>
          <w:i/>
          <w:iCs/>
          <w:sz w:val="24"/>
          <w:szCs w:val="24"/>
        </w:rPr>
        <w:t>atë 22.2.2022; nr. 3, datë 23.</w:t>
      </w:r>
      <w:r w:rsidRPr="002E3F2B">
        <w:rPr>
          <w:rFonts w:ascii="Garamond" w:hAnsi="Garamond" w:cs="Times New Roman"/>
          <w:i/>
          <w:iCs/>
          <w:sz w:val="24"/>
          <w:szCs w:val="24"/>
        </w:rPr>
        <w:t>2.2016</w:t>
      </w:r>
      <w:r w:rsidR="002E3F2B">
        <w:rPr>
          <w:rFonts w:ascii="Garamond" w:hAnsi="Garamond" w:cs="Times New Roman"/>
          <w:i/>
          <w:iCs/>
          <w:sz w:val="24"/>
          <w:szCs w:val="24"/>
        </w:rPr>
        <w:t>,</w:t>
      </w:r>
      <w:r w:rsidRPr="002E3F2B">
        <w:rPr>
          <w:rFonts w:ascii="Garamond" w:hAnsi="Garamond" w:cs="Times New Roman"/>
          <w:i/>
          <w:iCs/>
          <w:sz w:val="24"/>
          <w:szCs w:val="24"/>
        </w:rPr>
        <w:t xml:space="preserve"> të Gjykatës Kushtetuese)</w:t>
      </w:r>
      <w:r w:rsidRPr="002E3F2B">
        <w:rPr>
          <w:rFonts w:ascii="Garamond" w:hAnsi="Garamond" w:cs="Times New Roman"/>
          <w:sz w:val="24"/>
          <w:szCs w:val="24"/>
        </w:rPr>
        <w:t>.</w:t>
      </w:r>
    </w:p>
    <w:p w14:paraId="6986651E" w14:textId="15820F0A" w:rsidR="00470F0A" w:rsidRPr="002E3F2B" w:rsidRDefault="00470F0A" w:rsidP="00901941">
      <w:pPr>
        <w:pStyle w:val="ListParagraph"/>
        <w:tabs>
          <w:tab w:val="left" w:pos="1080"/>
        </w:tabs>
        <w:spacing w:after="0" w:line="240" w:lineRule="auto"/>
        <w:ind w:left="0" w:firstLine="284"/>
        <w:jc w:val="both"/>
        <w:rPr>
          <w:rFonts w:ascii="Garamond" w:hAnsi="Garamond" w:cs="Times New Roman"/>
          <w:i/>
          <w:iCs/>
          <w:sz w:val="24"/>
          <w:szCs w:val="24"/>
        </w:rPr>
      </w:pPr>
      <w:r w:rsidRPr="002E3F2B">
        <w:rPr>
          <w:rFonts w:ascii="Garamond" w:hAnsi="Garamond" w:cs="Times New Roman"/>
          <w:sz w:val="24"/>
          <w:szCs w:val="24"/>
        </w:rPr>
        <w:t>26. E drejta për një proces të rregullt ligjor përfshin edhe të drejtën për të pasur një vendim gjyqësor të arsyetuar, të garantuar nga nenet 42 dhe 142, pika 1, të Kushtetutës. Arsyetimi i vendimeve është element thelbësor i një vendimi të drejtë</w:t>
      </w:r>
      <w:r w:rsidR="002E3F2B">
        <w:rPr>
          <w:rFonts w:ascii="Garamond" w:hAnsi="Garamond" w:cs="Times New Roman"/>
          <w:sz w:val="24"/>
          <w:szCs w:val="24"/>
        </w:rPr>
        <w:t xml:space="preserve"> </w:t>
      </w:r>
      <w:r w:rsidRPr="002E3F2B">
        <w:rPr>
          <w:rFonts w:ascii="Garamond" w:hAnsi="Garamond" w:cs="Times New Roman"/>
          <w:sz w:val="24"/>
          <w:szCs w:val="24"/>
        </w:rPr>
        <w:t xml:space="preserve">dhe funksioni i tij është t’u tregojë palëve që ato janë dëgjuar, si dhe u jep mundësinë atyre ta kundërshtojnë atë </w:t>
      </w:r>
      <w:r w:rsidRPr="002E3F2B">
        <w:rPr>
          <w:rFonts w:ascii="Garamond" w:hAnsi="Garamond" w:cs="Times New Roman"/>
          <w:i/>
          <w:iCs/>
          <w:sz w:val="24"/>
          <w:szCs w:val="24"/>
        </w:rPr>
        <w:t>(s</w:t>
      </w:r>
      <w:r w:rsidR="002E3F2B">
        <w:rPr>
          <w:rFonts w:ascii="Garamond" w:hAnsi="Garamond" w:cs="Times New Roman"/>
          <w:i/>
          <w:iCs/>
          <w:sz w:val="24"/>
          <w:szCs w:val="24"/>
        </w:rPr>
        <w:t>hih vendimet nr. 19, datë 10.4.2025; nr. 19, datë 7.7.2022; nr. 2, datë 11.</w:t>
      </w:r>
      <w:r w:rsidRPr="002E3F2B">
        <w:rPr>
          <w:rFonts w:ascii="Garamond" w:hAnsi="Garamond" w:cs="Times New Roman"/>
          <w:i/>
          <w:iCs/>
          <w:sz w:val="24"/>
          <w:szCs w:val="24"/>
        </w:rPr>
        <w:t>2.2021</w:t>
      </w:r>
      <w:r w:rsidR="002E3F2B">
        <w:rPr>
          <w:rFonts w:ascii="Garamond" w:hAnsi="Garamond" w:cs="Times New Roman"/>
          <w:i/>
          <w:iCs/>
          <w:sz w:val="24"/>
          <w:szCs w:val="24"/>
        </w:rPr>
        <w:t>,</w:t>
      </w:r>
      <w:r w:rsidRPr="002E3F2B">
        <w:rPr>
          <w:rFonts w:ascii="Garamond" w:hAnsi="Garamond" w:cs="Times New Roman"/>
          <w:i/>
          <w:iCs/>
          <w:sz w:val="24"/>
          <w:szCs w:val="24"/>
        </w:rPr>
        <w:t xml:space="preserve"> të Gjykatës Kushtetuese)</w:t>
      </w:r>
      <w:r w:rsidRPr="002E3F2B">
        <w:rPr>
          <w:rFonts w:ascii="Garamond" w:hAnsi="Garamond" w:cs="Times New Roman"/>
          <w:sz w:val="24"/>
          <w:szCs w:val="24"/>
        </w:rPr>
        <w:t xml:space="preserve">. Gjykata ka pohuar se </w:t>
      </w:r>
      <w:r w:rsidRPr="002E3F2B">
        <w:rPr>
          <w:rFonts w:ascii="Garamond" w:hAnsi="Garamond" w:cs="Times New Roman"/>
          <w:bCs/>
          <w:sz w:val="24"/>
          <w:szCs w:val="24"/>
        </w:rPr>
        <w:t>detyrimi për arsyetimin e vendimit gjyqësor nuk nënkupton se gjykatat duhet t’i japin përgjigje të hollësishme çdo argumenti të palëve</w:t>
      </w:r>
      <w:r w:rsidRPr="002E3F2B">
        <w:rPr>
          <w:rFonts w:ascii="Garamond" w:hAnsi="Garamond" w:cs="Times New Roman"/>
          <w:sz w:val="24"/>
          <w:szCs w:val="24"/>
        </w:rPr>
        <w:t xml:space="preserve"> dhe se arsyetimi i kufizuar i Gjykatës së Lartë në vendimet e mospranimit të rekursit, në parim, nuk cenon standardin kushtetues. Megjithatë, kur në rekurs janë ngritur pretendime me natyrë kushtetuese, Gjykata e Lartë, në përputhje me parimin e </w:t>
      </w:r>
      <w:proofErr w:type="spellStart"/>
      <w:r w:rsidRPr="002E3F2B">
        <w:rPr>
          <w:rFonts w:ascii="Garamond" w:hAnsi="Garamond" w:cs="Times New Roman"/>
          <w:sz w:val="24"/>
          <w:szCs w:val="24"/>
        </w:rPr>
        <w:t>subsidiaritetit</w:t>
      </w:r>
      <w:proofErr w:type="spellEnd"/>
      <w:r w:rsidRPr="002E3F2B">
        <w:rPr>
          <w:rFonts w:ascii="Garamond" w:hAnsi="Garamond" w:cs="Times New Roman"/>
          <w:sz w:val="24"/>
          <w:szCs w:val="24"/>
        </w:rPr>
        <w:t xml:space="preserve">, duhet t’i shqyrtojë ato dhe të mbajë një qëndrim të shprehur në lidhje me to </w:t>
      </w:r>
      <w:r w:rsidR="002E3F2B">
        <w:rPr>
          <w:rFonts w:ascii="Garamond" w:hAnsi="Garamond" w:cs="Times New Roman"/>
          <w:i/>
          <w:iCs/>
          <w:sz w:val="24"/>
          <w:szCs w:val="24"/>
        </w:rPr>
        <w:t>(shih vendimet nr. 27, datë 29.</w:t>
      </w:r>
      <w:r w:rsidRPr="002E3F2B">
        <w:rPr>
          <w:rFonts w:ascii="Garamond" w:hAnsi="Garamond" w:cs="Times New Roman"/>
          <w:i/>
          <w:iCs/>
          <w:sz w:val="24"/>
          <w:szCs w:val="24"/>
        </w:rPr>
        <w:t>4.2025; nr. 58, da</w:t>
      </w:r>
      <w:r w:rsidR="002E3F2B">
        <w:rPr>
          <w:rFonts w:ascii="Garamond" w:hAnsi="Garamond" w:cs="Times New Roman"/>
          <w:i/>
          <w:iCs/>
          <w:sz w:val="24"/>
          <w:szCs w:val="24"/>
        </w:rPr>
        <w:t>të 13.11.2023; nr. 45, datë 3.</w:t>
      </w:r>
      <w:r w:rsidRPr="002E3F2B">
        <w:rPr>
          <w:rFonts w:ascii="Garamond" w:hAnsi="Garamond" w:cs="Times New Roman"/>
          <w:i/>
          <w:iCs/>
          <w:sz w:val="24"/>
          <w:szCs w:val="24"/>
        </w:rPr>
        <w:t>7.2017</w:t>
      </w:r>
      <w:r w:rsidR="002E3F2B">
        <w:rPr>
          <w:rFonts w:ascii="Garamond" w:hAnsi="Garamond" w:cs="Times New Roman"/>
          <w:i/>
          <w:iCs/>
          <w:sz w:val="24"/>
          <w:szCs w:val="24"/>
        </w:rPr>
        <w:t>,</w:t>
      </w:r>
      <w:r w:rsidRPr="002E3F2B">
        <w:rPr>
          <w:rFonts w:ascii="Garamond" w:hAnsi="Garamond" w:cs="Times New Roman"/>
          <w:i/>
          <w:iCs/>
          <w:sz w:val="24"/>
          <w:szCs w:val="24"/>
        </w:rPr>
        <w:t xml:space="preserve"> të Gjykatës Kushtetuese).</w:t>
      </w:r>
    </w:p>
    <w:p w14:paraId="63E20E02" w14:textId="15E9B8A8" w:rsidR="00470F0A" w:rsidRPr="002E3F2B" w:rsidRDefault="00470F0A" w:rsidP="00901941">
      <w:pPr>
        <w:pStyle w:val="ListParagraph"/>
        <w:tabs>
          <w:tab w:val="left" w:pos="1080"/>
        </w:tabs>
        <w:spacing w:after="0" w:line="240" w:lineRule="auto"/>
        <w:ind w:left="0" w:firstLine="284"/>
        <w:jc w:val="both"/>
        <w:rPr>
          <w:rFonts w:ascii="Garamond" w:hAnsi="Garamond" w:cs="Times New Roman"/>
          <w:i/>
          <w:iCs/>
          <w:sz w:val="24"/>
          <w:szCs w:val="24"/>
        </w:rPr>
      </w:pPr>
      <w:r w:rsidRPr="002E3F2B">
        <w:rPr>
          <w:rFonts w:ascii="Garamond" w:hAnsi="Garamond" w:cs="Times New Roman"/>
          <w:sz w:val="24"/>
          <w:szCs w:val="24"/>
        </w:rPr>
        <w:t xml:space="preserve">27. Gjykata ripohon se u përket gjykatave të juridiksionit të zakonshëm të vlerësojnë faktet dhe provat e administruara, si dhe të interpretojnë ligjin për qëllime të procesit gjyqësor që ato zhvillojnë, ndërsa detyra e Gjykatës është të kontrollojë nëse gjatë procesit gjyqësor ka pasur shkelje të </w:t>
      </w:r>
      <w:proofErr w:type="spellStart"/>
      <w:r w:rsidRPr="002E3F2B">
        <w:rPr>
          <w:rFonts w:ascii="Garamond" w:hAnsi="Garamond" w:cs="Times New Roman"/>
          <w:sz w:val="24"/>
          <w:szCs w:val="24"/>
        </w:rPr>
        <w:t>të</w:t>
      </w:r>
      <w:proofErr w:type="spellEnd"/>
      <w:r w:rsidRPr="002E3F2B">
        <w:rPr>
          <w:rFonts w:ascii="Garamond" w:hAnsi="Garamond" w:cs="Times New Roman"/>
          <w:sz w:val="24"/>
          <w:szCs w:val="24"/>
        </w:rPr>
        <w:t xml:space="preserve"> drejtave kushtetuese dhe nëse zbatimi i ligjit ka qenë eventualisht arbitrar, në kuptimin që të bjerë haptazi ndesh me konceptin e gjykimit të drejtë të përcaktuar në nenin 42 të Kushtetutës </w:t>
      </w:r>
      <w:r w:rsidR="002E3F2B">
        <w:rPr>
          <w:rFonts w:ascii="Garamond" w:hAnsi="Garamond" w:cs="Times New Roman"/>
          <w:i/>
          <w:iCs/>
          <w:sz w:val="24"/>
          <w:szCs w:val="24"/>
        </w:rPr>
        <w:t>(shih vendimet nr. 10, datë 13.3.2025; nr. 30, datë 29.</w:t>
      </w:r>
      <w:r w:rsidRPr="002E3F2B">
        <w:rPr>
          <w:rFonts w:ascii="Garamond" w:hAnsi="Garamond" w:cs="Times New Roman"/>
          <w:i/>
          <w:iCs/>
          <w:sz w:val="24"/>
          <w:szCs w:val="24"/>
        </w:rPr>
        <w:t>5.2023;</w:t>
      </w:r>
      <w:r w:rsidR="002E3F2B">
        <w:rPr>
          <w:rFonts w:ascii="Garamond" w:hAnsi="Garamond" w:cs="Times New Roman"/>
          <w:i/>
          <w:iCs/>
          <w:sz w:val="24"/>
          <w:szCs w:val="24"/>
        </w:rPr>
        <w:t xml:space="preserve"> nr. 20, datë 21.</w:t>
      </w:r>
      <w:r w:rsidRPr="002E3F2B">
        <w:rPr>
          <w:rFonts w:ascii="Garamond" w:hAnsi="Garamond" w:cs="Times New Roman"/>
          <w:i/>
          <w:iCs/>
          <w:sz w:val="24"/>
          <w:szCs w:val="24"/>
        </w:rPr>
        <w:t>6.2022</w:t>
      </w:r>
      <w:r w:rsidR="002E3F2B">
        <w:rPr>
          <w:rFonts w:ascii="Garamond" w:hAnsi="Garamond" w:cs="Times New Roman"/>
          <w:i/>
          <w:iCs/>
          <w:sz w:val="24"/>
          <w:szCs w:val="24"/>
        </w:rPr>
        <w:t>,</w:t>
      </w:r>
      <w:r w:rsidRPr="002E3F2B">
        <w:rPr>
          <w:rFonts w:ascii="Garamond" w:hAnsi="Garamond" w:cs="Times New Roman"/>
          <w:i/>
          <w:iCs/>
          <w:sz w:val="24"/>
          <w:szCs w:val="24"/>
        </w:rPr>
        <w:t xml:space="preserve"> të Gjykatës Kushtetuese).</w:t>
      </w:r>
      <w:r w:rsidRPr="002E3F2B">
        <w:rPr>
          <w:rFonts w:ascii="Garamond" w:hAnsi="Garamond" w:cs="Times New Roman"/>
          <w:sz w:val="24"/>
          <w:szCs w:val="24"/>
        </w:rPr>
        <w:t xml:space="preserve"> Gjykata nuk vepron si shkallë e katërt gjykimi, por ndërhyn kur gabimi ligjor ose faktik i gjykatave të juridiksionit të zakonshëm është aq i dukshëm sa një gjykatë e kujdesshme nuk mund ta kishte bërë ose është i tillë që e bën gjykimin të padrejtë </w:t>
      </w:r>
      <w:r w:rsidR="002E3F2B">
        <w:rPr>
          <w:rFonts w:ascii="Garamond" w:hAnsi="Garamond" w:cs="Times New Roman"/>
          <w:i/>
          <w:iCs/>
          <w:sz w:val="24"/>
          <w:szCs w:val="24"/>
        </w:rPr>
        <w:t>(shih vendimet nr. 36, datë 19.3.2026; nr. 4, datë 31.1.2024; nr. 30, datë 29.</w:t>
      </w:r>
      <w:r w:rsidRPr="002E3F2B">
        <w:rPr>
          <w:rFonts w:ascii="Garamond" w:hAnsi="Garamond" w:cs="Times New Roman"/>
          <w:i/>
          <w:iCs/>
          <w:sz w:val="24"/>
          <w:szCs w:val="24"/>
        </w:rPr>
        <w:t>5.2023</w:t>
      </w:r>
      <w:r w:rsidR="002E3F2B">
        <w:rPr>
          <w:rFonts w:ascii="Garamond" w:hAnsi="Garamond" w:cs="Times New Roman"/>
          <w:i/>
          <w:iCs/>
          <w:sz w:val="24"/>
          <w:szCs w:val="24"/>
        </w:rPr>
        <w:t>,</w:t>
      </w:r>
      <w:r w:rsidRPr="002E3F2B">
        <w:rPr>
          <w:rFonts w:ascii="Garamond" w:hAnsi="Garamond" w:cs="Times New Roman"/>
          <w:i/>
          <w:iCs/>
          <w:sz w:val="24"/>
          <w:szCs w:val="24"/>
        </w:rPr>
        <w:t xml:space="preserve"> të Gjykatës Kushtetuese).</w:t>
      </w:r>
    </w:p>
    <w:p w14:paraId="724041F5" w14:textId="3DE12E55" w:rsidR="00470F0A" w:rsidRPr="002E3F2B" w:rsidRDefault="00470F0A" w:rsidP="00901941">
      <w:pPr>
        <w:pStyle w:val="ListParagraph"/>
        <w:tabs>
          <w:tab w:val="left" w:pos="1080"/>
        </w:tabs>
        <w:spacing w:after="0" w:line="240" w:lineRule="auto"/>
        <w:ind w:left="0" w:firstLine="284"/>
        <w:jc w:val="both"/>
        <w:rPr>
          <w:rFonts w:ascii="Garamond" w:hAnsi="Garamond" w:cs="Times New Roman"/>
          <w:sz w:val="24"/>
          <w:szCs w:val="24"/>
        </w:rPr>
      </w:pPr>
      <w:r w:rsidRPr="002E3F2B">
        <w:rPr>
          <w:rFonts w:ascii="Garamond" w:hAnsi="Garamond" w:cs="Times New Roman"/>
          <w:sz w:val="24"/>
          <w:szCs w:val="24"/>
        </w:rPr>
        <w:t xml:space="preserve">28. Në këndvështrim të këtyre standardeve kushtetuese dhe të pretendimeve të parashtruara nga kërkueset, Gjykata çmon se kontrolli kushtetues në rastin konkret duhet të zhvillohet në dy drejtime. </w:t>
      </w:r>
      <w:r w:rsidRPr="002E3F2B">
        <w:rPr>
          <w:rFonts w:ascii="Garamond" w:hAnsi="Garamond" w:cs="Times New Roman"/>
          <w:i/>
          <w:iCs/>
          <w:sz w:val="24"/>
          <w:szCs w:val="24"/>
        </w:rPr>
        <w:t>Së pari,</w:t>
      </w:r>
      <w:r w:rsidRPr="002E3F2B">
        <w:rPr>
          <w:rFonts w:ascii="Garamond" w:hAnsi="Garamond" w:cs="Times New Roman"/>
          <w:sz w:val="24"/>
          <w:szCs w:val="24"/>
        </w:rPr>
        <w:t xml:space="preserve"> ajo do të vlerësojë nëse mungesa e pretenduar e njoftimit të vendimit të prokurorit për pushimin e procedimit penal i ka penguar kërkueset të kenë </w:t>
      </w:r>
      <w:proofErr w:type="spellStart"/>
      <w:r w:rsidRPr="002E3F2B">
        <w:rPr>
          <w:rFonts w:ascii="Garamond" w:hAnsi="Garamond" w:cs="Times New Roman"/>
          <w:sz w:val="24"/>
          <w:szCs w:val="24"/>
        </w:rPr>
        <w:t>akses</w:t>
      </w:r>
      <w:proofErr w:type="spellEnd"/>
      <w:r w:rsidRPr="002E3F2B">
        <w:rPr>
          <w:rFonts w:ascii="Garamond" w:hAnsi="Garamond" w:cs="Times New Roman"/>
          <w:sz w:val="24"/>
          <w:szCs w:val="24"/>
        </w:rPr>
        <w:t xml:space="preserve"> efektiv në gjykatë. </w:t>
      </w:r>
      <w:r w:rsidRPr="002E3F2B">
        <w:rPr>
          <w:rFonts w:ascii="Garamond" w:hAnsi="Garamond" w:cs="Times New Roman"/>
          <w:i/>
          <w:iCs/>
          <w:sz w:val="24"/>
          <w:szCs w:val="24"/>
        </w:rPr>
        <w:t>Së dyti,</w:t>
      </w:r>
      <w:r w:rsidRPr="002E3F2B">
        <w:rPr>
          <w:rFonts w:ascii="Garamond" w:hAnsi="Garamond" w:cs="Times New Roman"/>
          <w:sz w:val="24"/>
          <w:szCs w:val="24"/>
        </w:rPr>
        <w:t xml:space="preserve"> do të verifikojë nëse pretendimet e ngritura në rekurs për mungesën e një hetimi të plotë dhe efektiv kishin natyrë kushtetuese dhe, nëse po, nëse Gjykata e Lartë u ka dhënë një përgjigje në përputhje me standardin kushtetues të arsyetimit. Ky kontroll nuk nënkupton që Gjykata të përcaktojë cilësimin juridik të veprës penale, veprimet konkrete hetimore që duhej të kryheshin ose nëse hetimi ka qenë efektiv. Këto çështje u përkasin autoriteteve të ndjekjes penale dhe gjykatave të zakonshme, </w:t>
      </w:r>
      <w:r w:rsidRPr="002E3F2B">
        <w:rPr>
          <w:rFonts w:ascii="Garamond" w:hAnsi="Garamond" w:cs="Times New Roman"/>
          <w:bCs/>
          <w:sz w:val="24"/>
          <w:szCs w:val="24"/>
        </w:rPr>
        <w:t xml:space="preserve">sipas kompetencave të tyre, ndërsa </w:t>
      </w:r>
      <w:r w:rsidRPr="002E3F2B">
        <w:rPr>
          <w:rFonts w:ascii="Garamond" w:hAnsi="Garamond" w:cs="Times New Roman"/>
          <w:sz w:val="24"/>
          <w:szCs w:val="24"/>
        </w:rPr>
        <w:t xml:space="preserve">Gjykata e Lartë duhet të verifikojë nëse pretendimet me natyrë kushtetuese të ngritura në lidhje me to kanë marrë përgjigje në përputhje me standardet kushtetuese, në respektim të parimit të </w:t>
      </w:r>
      <w:proofErr w:type="spellStart"/>
      <w:r w:rsidRPr="002E3F2B">
        <w:rPr>
          <w:rFonts w:ascii="Garamond" w:hAnsi="Garamond" w:cs="Times New Roman"/>
          <w:sz w:val="24"/>
          <w:szCs w:val="24"/>
        </w:rPr>
        <w:t>subsidiaritetit</w:t>
      </w:r>
      <w:proofErr w:type="spellEnd"/>
      <w:r w:rsidRPr="002E3F2B">
        <w:rPr>
          <w:rFonts w:ascii="Garamond" w:hAnsi="Garamond" w:cs="Times New Roman"/>
          <w:sz w:val="24"/>
          <w:szCs w:val="24"/>
        </w:rPr>
        <w:t>.</w:t>
      </w:r>
    </w:p>
    <w:p w14:paraId="262F4F0A" w14:textId="68696A45" w:rsidR="00470F0A" w:rsidRPr="002E3F2B" w:rsidRDefault="00470F0A" w:rsidP="00901941">
      <w:pPr>
        <w:pStyle w:val="ListParagraph"/>
        <w:tabs>
          <w:tab w:val="left" w:pos="1080"/>
        </w:tabs>
        <w:spacing w:after="0" w:line="240" w:lineRule="auto"/>
        <w:ind w:left="0" w:firstLine="284"/>
        <w:jc w:val="both"/>
        <w:rPr>
          <w:rFonts w:ascii="Garamond" w:hAnsi="Garamond" w:cs="Times New Roman"/>
          <w:bCs/>
          <w:sz w:val="24"/>
          <w:szCs w:val="24"/>
        </w:rPr>
      </w:pPr>
      <w:r w:rsidRPr="002E3F2B">
        <w:rPr>
          <w:rFonts w:ascii="Garamond" w:hAnsi="Garamond" w:cs="Times New Roman"/>
          <w:bCs/>
          <w:sz w:val="24"/>
          <w:szCs w:val="24"/>
        </w:rPr>
        <w:t xml:space="preserve">29. </w:t>
      </w:r>
      <w:r w:rsidRPr="002E3F2B">
        <w:rPr>
          <w:rFonts w:ascii="Garamond" w:hAnsi="Garamond" w:cs="Times New Roman"/>
          <w:bCs/>
          <w:i/>
          <w:iCs/>
          <w:sz w:val="24"/>
          <w:szCs w:val="24"/>
        </w:rPr>
        <w:t>Për sa i përket pretendimit për mungesën e njoftimit të vendimit për pushimin e procedimit penal</w:t>
      </w:r>
      <w:r w:rsidRPr="002E3F2B">
        <w:rPr>
          <w:rFonts w:ascii="Garamond" w:hAnsi="Garamond" w:cs="Times New Roman"/>
          <w:bCs/>
          <w:sz w:val="24"/>
          <w:szCs w:val="24"/>
        </w:rPr>
        <w:t xml:space="preserve">, Gjykata vëren se në fashikullin e hetimit nuk rezulton ndonjë akt që të provojë dërgimin dhe marrjen e këtij vendimi nga kallëzuesi ose familjarët e viktimës. Gjykatat e faktit e kanë lidhur marrjen dijeni të këtij vendimi me shkresat e Prokurorisë së Fierit dhe me faktin se avokatëve të caktuar nga babai i viktimës u ishin vënë në dispozicion akte të dosjes. Mbi këtë bazë, ato e kanë konsideruar ankimin e kërkueseve të paraqitur jashtë afatit ligjor. Megjithatë, Gjykata konstaton se gjykatat e faktit nuk janë kufizuar në konstatimin e paraqitjes së ankimit jashtë afatit, por kanë shqyrtuar edhe ligjshmërinë e vendimit për pushimin e procedimit penal. Gjykata e shkallës së parë dhe gjykata e apelit kanë analizuar zbatimin e nenit 66 të KP-së dhe kanë arritur në përfundimin se ndjekja penale </w:t>
      </w:r>
      <w:r w:rsidRPr="002E3F2B">
        <w:rPr>
          <w:rFonts w:ascii="Garamond" w:hAnsi="Garamond" w:cs="Times New Roman"/>
          <w:bCs/>
          <w:sz w:val="24"/>
          <w:szCs w:val="24"/>
        </w:rPr>
        <w:lastRenderedPageBreak/>
        <w:t xml:space="preserve">ishte parashkruar. Kërkueset kanë ushtruar më pas edhe rekurs, për të cilin Gjykata e Lartë ka vendosur mospranimin e tij. Për rrjedhojë, pavarësisht paqartësive për mënyrën e njoftimit dhe momentin e marrjes dijeni për vendimin e pushimit të procedimit penal, nuk rezulton se konstatimi për paraqitjen me vonesë të ankimit i ka penguar kërkueset ta kundërshtojnë vendimin e prokurorit ose se gjykatat kanë refuzuar shqyrtimin gjyqësor të ligjshmërisë së tij vetëm për shkak të paraqitjes së ankimit jashtë afatit. Në këto kushte, pretendimi për cenimin e së drejtës së </w:t>
      </w:r>
      <w:proofErr w:type="spellStart"/>
      <w:r w:rsidRPr="002E3F2B">
        <w:rPr>
          <w:rFonts w:ascii="Garamond" w:hAnsi="Garamond" w:cs="Times New Roman"/>
          <w:bCs/>
          <w:sz w:val="24"/>
          <w:szCs w:val="24"/>
        </w:rPr>
        <w:t>aksesit</w:t>
      </w:r>
      <w:proofErr w:type="spellEnd"/>
      <w:r w:rsidRPr="002E3F2B">
        <w:rPr>
          <w:rFonts w:ascii="Garamond" w:hAnsi="Garamond" w:cs="Times New Roman"/>
          <w:bCs/>
          <w:sz w:val="24"/>
          <w:szCs w:val="24"/>
        </w:rPr>
        <w:t xml:space="preserve"> në gjykatë për shkak të mungesës së njoftimit të vendimit për pushimin e procedimit penal nuk është i bazuar.</w:t>
      </w:r>
    </w:p>
    <w:p w14:paraId="7FF7EFFF" w14:textId="4AB37513" w:rsidR="00470F0A" w:rsidRPr="002E3F2B" w:rsidRDefault="00470F0A" w:rsidP="00901941">
      <w:pPr>
        <w:pStyle w:val="ListParagraph"/>
        <w:tabs>
          <w:tab w:val="left" w:pos="1080"/>
        </w:tabs>
        <w:spacing w:after="0" w:line="240" w:lineRule="auto"/>
        <w:ind w:left="0" w:firstLine="284"/>
        <w:jc w:val="both"/>
        <w:rPr>
          <w:rFonts w:ascii="Garamond" w:hAnsi="Garamond" w:cs="Times New Roman"/>
          <w:sz w:val="24"/>
          <w:szCs w:val="24"/>
        </w:rPr>
      </w:pPr>
      <w:r w:rsidRPr="002E3F2B">
        <w:rPr>
          <w:rFonts w:ascii="Garamond" w:hAnsi="Garamond" w:cs="Times New Roman"/>
          <w:sz w:val="24"/>
          <w:szCs w:val="24"/>
        </w:rPr>
        <w:t xml:space="preserve">30. Nga ana tjetër, Gjykata vëren se pretendimet e parashtruara nga kërkueset në rekurs nuk kufizoheshin në kundërshtimin e vlerësimit të provave ose të cilësimit juridik të veprës penale. Ato kishin ngritur edhe çështjen e mungesës së një hetimi të plotë dhe efektiv për vdekjen e familjarit të tyre, duke iu referuar konkretisht periudhave të gjata pa veprime hetimore, </w:t>
      </w:r>
      <w:r w:rsidRPr="002E3F2B">
        <w:rPr>
          <w:rFonts w:ascii="Garamond" w:hAnsi="Garamond" w:cs="Times New Roman"/>
          <w:bCs/>
          <w:sz w:val="24"/>
          <w:szCs w:val="24"/>
        </w:rPr>
        <w:t>faktit se prokuroria nuk u kishte kërkuar autoriteteve greke as vënien në dispozicion të provave materiale të administruara prej tyre, as kryerjen e ekspertimeve përkatëse</w:t>
      </w:r>
      <w:r w:rsidRPr="002E3F2B">
        <w:rPr>
          <w:rFonts w:ascii="Garamond" w:hAnsi="Garamond" w:cs="Times New Roman"/>
          <w:sz w:val="24"/>
          <w:szCs w:val="24"/>
        </w:rPr>
        <w:t xml:space="preserve">, si dhe </w:t>
      </w:r>
      <w:proofErr w:type="spellStart"/>
      <w:r w:rsidRPr="002E3F2B">
        <w:rPr>
          <w:rFonts w:ascii="Garamond" w:hAnsi="Garamond" w:cs="Times New Roman"/>
          <w:sz w:val="24"/>
          <w:szCs w:val="24"/>
        </w:rPr>
        <w:t>mosndjekjes</w:t>
      </w:r>
      <w:proofErr w:type="spellEnd"/>
      <w:r w:rsidRPr="002E3F2B">
        <w:rPr>
          <w:rFonts w:ascii="Garamond" w:hAnsi="Garamond" w:cs="Times New Roman"/>
          <w:sz w:val="24"/>
          <w:szCs w:val="24"/>
        </w:rPr>
        <w:t xml:space="preserve"> së linjave konkrete të hetimit që lidheshin me personat e treguar si autorë të mundshëm. Po kështu, ato kishin pretenduar se mënyra e cilësimit juridik të veprës kishte ndikuar drejtpërdrejt në afatin e parashkrimit të ndjekjes penale. Për nga përmbajtja, këto argumente vinin në diskutim përmbushjen e detyrimit procedural që buron nga e drejta për jetën dhe, për rrjedhojë, kishin natyrë kushtetuese.</w:t>
      </w:r>
    </w:p>
    <w:p w14:paraId="65BF00C5" w14:textId="0ED9299E" w:rsidR="00470F0A" w:rsidRPr="002E3F2B" w:rsidRDefault="00470F0A" w:rsidP="00901941">
      <w:pPr>
        <w:pStyle w:val="ListParagraph"/>
        <w:tabs>
          <w:tab w:val="left" w:pos="1080"/>
        </w:tabs>
        <w:spacing w:after="0" w:line="240" w:lineRule="auto"/>
        <w:ind w:left="0" w:firstLine="284"/>
        <w:jc w:val="both"/>
        <w:rPr>
          <w:rFonts w:ascii="Garamond" w:hAnsi="Garamond" w:cs="Times New Roman"/>
          <w:sz w:val="24"/>
          <w:szCs w:val="24"/>
        </w:rPr>
      </w:pPr>
      <w:r w:rsidRPr="002E3F2B">
        <w:rPr>
          <w:rFonts w:ascii="Garamond" w:hAnsi="Garamond" w:cs="Times New Roman"/>
          <w:sz w:val="24"/>
          <w:szCs w:val="24"/>
        </w:rPr>
        <w:t xml:space="preserve">31. Në këtë drejtim, Gjykata vëren se gjykatat e faktit, ndonëse kanë shqyrtuar ligjshmërinë e vendimit të pushimit të procedimit penal, ato e kanë përqendruar analizën e tyre në zbatimin e nenit 66 të KP-së dhe në qëllimet e institutit të parashkrimit. </w:t>
      </w:r>
      <w:r w:rsidRPr="002E3F2B">
        <w:rPr>
          <w:rFonts w:ascii="Garamond" w:hAnsi="Garamond" w:cs="Times New Roman"/>
          <w:bCs/>
          <w:sz w:val="24"/>
          <w:szCs w:val="24"/>
        </w:rPr>
        <w:t>Nga përmbajtja e vendimeve të tyre rezulton se analiza nuk është shtrirë në mënyrë të veçantë te pretendimet e kërkueseve për zhvillimin e hetimit në raport me aspektin procedural të së drejtës për jetën. Në veçanti, nuk rezulton të jetë vlerësuar nëse, përpara plotësimit të afatit të parashkrimit, autoritetet e ndjekjes penale kishin vepruar me kujdesin e duhur dhe pa vonesa të pajustifikuara, nëse ishin ndjekur linjat konkrete të hetimit që mund të ndikonin në zbardhjen e ngjarjes dhe nëse periudhat e mosveprimit ose moskryerja e veprimeve hetimore të pretenduara kishin ndikuar në mundësinë e zbardhjes së saj.</w:t>
      </w:r>
      <w:r w:rsidRPr="002E3F2B">
        <w:rPr>
          <w:rFonts w:ascii="Garamond" w:hAnsi="Garamond" w:cs="Times New Roman"/>
          <w:sz w:val="24"/>
          <w:szCs w:val="24"/>
        </w:rPr>
        <w:t xml:space="preserve"> Gjykata ka theksuar se kur ngrihet një pretendim për efektivitetin e hetimit në lidhje me të drejtën për jetën, vetëm konstatimi i parashkrimit të ndjekjes penale nuk përbën përgjigje të mjaftueshme ndaj tij </w:t>
      </w:r>
      <w:r w:rsidR="002E3F2B">
        <w:rPr>
          <w:rFonts w:ascii="Garamond" w:hAnsi="Garamond" w:cs="Times New Roman"/>
          <w:i/>
          <w:iCs/>
          <w:sz w:val="24"/>
          <w:szCs w:val="24"/>
        </w:rPr>
        <w:t>(shih vendimin nr. 42, datë 29.</w:t>
      </w:r>
      <w:r w:rsidRPr="002E3F2B">
        <w:rPr>
          <w:rFonts w:ascii="Garamond" w:hAnsi="Garamond" w:cs="Times New Roman"/>
          <w:i/>
          <w:iCs/>
          <w:sz w:val="24"/>
          <w:szCs w:val="24"/>
        </w:rPr>
        <w:t>5.2024</w:t>
      </w:r>
      <w:r w:rsidR="002E3F2B">
        <w:rPr>
          <w:rFonts w:ascii="Garamond" w:hAnsi="Garamond" w:cs="Times New Roman"/>
          <w:i/>
          <w:iCs/>
          <w:sz w:val="24"/>
          <w:szCs w:val="24"/>
        </w:rPr>
        <w:t>,</w:t>
      </w:r>
      <w:r w:rsidRPr="002E3F2B">
        <w:rPr>
          <w:rFonts w:ascii="Garamond" w:hAnsi="Garamond" w:cs="Times New Roman"/>
          <w:i/>
          <w:iCs/>
          <w:sz w:val="24"/>
          <w:szCs w:val="24"/>
        </w:rPr>
        <w:t xml:space="preserve"> të Gjykatës Kushtetuese).</w:t>
      </w:r>
      <w:r w:rsidRPr="002E3F2B">
        <w:rPr>
          <w:rFonts w:ascii="Garamond" w:hAnsi="Garamond" w:cs="Times New Roman"/>
          <w:sz w:val="24"/>
          <w:szCs w:val="24"/>
        </w:rPr>
        <w:t xml:space="preserve"> </w:t>
      </w:r>
      <w:r w:rsidRPr="002E3F2B">
        <w:rPr>
          <w:rFonts w:ascii="Garamond" w:hAnsi="Garamond" w:cs="Times New Roman"/>
          <w:bCs/>
          <w:sz w:val="24"/>
          <w:szCs w:val="24"/>
        </w:rPr>
        <w:t>Në këto rrethana, pretendimet me natyrë kushtetuese të ngritura në rekurs kërkonin që Gjykata e Lartë të verifikonte nëse ato kishin marrë përgjigjen e nevojshme nga gjykatat më të ulëta.</w:t>
      </w:r>
    </w:p>
    <w:p w14:paraId="6B8D7E93" w14:textId="1564B58F" w:rsidR="00470F0A" w:rsidRPr="002E3F2B" w:rsidRDefault="00470F0A" w:rsidP="00901941">
      <w:pPr>
        <w:pStyle w:val="ListParagraph"/>
        <w:tabs>
          <w:tab w:val="left" w:pos="1080"/>
        </w:tabs>
        <w:spacing w:after="0" w:line="240" w:lineRule="auto"/>
        <w:ind w:left="0" w:firstLine="284"/>
        <w:jc w:val="both"/>
        <w:rPr>
          <w:rFonts w:ascii="Garamond" w:hAnsi="Garamond" w:cs="Times New Roman"/>
          <w:sz w:val="24"/>
          <w:szCs w:val="24"/>
        </w:rPr>
      </w:pPr>
      <w:r w:rsidRPr="002E3F2B">
        <w:rPr>
          <w:rFonts w:ascii="Garamond" w:hAnsi="Garamond" w:cs="Times New Roman"/>
          <w:sz w:val="24"/>
          <w:szCs w:val="24"/>
        </w:rPr>
        <w:t xml:space="preserve">32. Nga përmbajtja e vendimit të kundërshtuar, Gjykata vëren se Kolegji Penal i Gjykatës së Lartë ka vlerësuar se shkaqet e rekursit nuk përfshiheshin në ato të parashikuara nga neni 432 i KPP-së. Në arsyetimin e tij ai është përqendruar në zbatimin e nenit 66 të KP-së dhe në pretendimin për mungesën e njoftimit të vendimit të prokurorit. Megjithatë, ndonëse në rekurs ishin parashtruar argumente konkrete për kohëzgjatjen dhe mangësitë e pretenduara të hetimit, Gjykata e Lartë nuk ka vlerësuar natyrën e tyre kushtetuese dhe as nuk ka analizuar nëse gjykatat më të ulëta u kishin dhënë përgjigje në raport me aspektin procedural të së drejtës për jetën. Në veçanti, ajo nuk ka shpjeguar </w:t>
      </w:r>
      <w:r w:rsidRPr="002E3F2B">
        <w:rPr>
          <w:rFonts w:ascii="Garamond" w:hAnsi="Garamond" w:cs="Times New Roman"/>
          <w:bCs/>
          <w:sz w:val="24"/>
          <w:szCs w:val="24"/>
        </w:rPr>
        <w:t xml:space="preserve">përse argumentet që vinin në diskutim përmbushjen e detyrimit procedural që buron nga e drejta për jetën nuk kërkonin një përgjigje të shprehur në kuadër të shqyrtimit të rekursit. </w:t>
      </w:r>
      <w:r w:rsidRPr="002E3F2B">
        <w:rPr>
          <w:rFonts w:ascii="Garamond" w:hAnsi="Garamond" w:cs="Times New Roman"/>
          <w:sz w:val="24"/>
          <w:szCs w:val="24"/>
        </w:rPr>
        <w:t xml:space="preserve">Në këto kushte, Gjykata vlerëson se Gjykata e Lartë nuk ka siguruar një kontroll gjyqësor efektiv të pretendimit me natyrë kushtetuese të ngritur nga kërkueset dhe nuk ka përmbushur standardin e arsyetimit të vendimit gjyqësor. Fakti se procedimi penal ishte pushuar për shkak të parashkrimit nuk e përjashtonte detyrimin e saj për të verifikuar nëse pretendimet për mënyrën e zhvillimit të hetimit kishin marrë një përgjigje në përputhje me standardet kushtetuese. Për rrjedhojë, për këtë pretendim, </w:t>
      </w:r>
      <w:proofErr w:type="spellStart"/>
      <w:r w:rsidRPr="002E3F2B">
        <w:rPr>
          <w:rFonts w:ascii="Garamond" w:hAnsi="Garamond" w:cs="Times New Roman"/>
          <w:sz w:val="24"/>
          <w:szCs w:val="24"/>
        </w:rPr>
        <w:t>aksesi</w:t>
      </w:r>
      <w:proofErr w:type="spellEnd"/>
      <w:r w:rsidRPr="002E3F2B">
        <w:rPr>
          <w:rFonts w:ascii="Garamond" w:hAnsi="Garamond" w:cs="Times New Roman"/>
          <w:sz w:val="24"/>
          <w:szCs w:val="24"/>
        </w:rPr>
        <w:t xml:space="preserve"> i kërkueseve në Gjykatën e Lartë ka mbetur formal, duke cenuar të drejtën e tyre për proces të rregullt ligjor në drejtim të </w:t>
      </w:r>
      <w:proofErr w:type="spellStart"/>
      <w:r w:rsidRPr="002E3F2B">
        <w:rPr>
          <w:rFonts w:ascii="Garamond" w:hAnsi="Garamond" w:cs="Times New Roman"/>
          <w:sz w:val="24"/>
          <w:szCs w:val="24"/>
        </w:rPr>
        <w:t>aksesit</w:t>
      </w:r>
      <w:proofErr w:type="spellEnd"/>
      <w:r w:rsidRPr="002E3F2B">
        <w:rPr>
          <w:rFonts w:ascii="Garamond" w:hAnsi="Garamond" w:cs="Times New Roman"/>
          <w:sz w:val="24"/>
          <w:szCs w:val="24"/>
        </w:rPr>
        <w:t xml:space="preserve"> substancial dhe të standardit të arsyetimit të vendimit gjyqësor, të lidhura me aspektin procedural të së drejtës për jetën.</w:t>
      </w:r>
    </w:p>
    <w:p w14:paraId="2E3DB4A8" w14:textId="3897DBB6" w:rsidR="00470F0A" w:rsidRPr="002E3F2B" w:rsidRDefault="00470F0A" w:rsidP="00901941">
      <w:pPr>
        <w:pStyle w:val="ListParagraph"/>
        <w:tabs>
          <w:tab w:val="left" w:pos="1080"/>
        </w:tabs>
        <w:spacing w:after="0" w:line="240" w:lineRule="auto"/>
        <w:ind w:left="0" w:firstLine="284"/>
        <w:jc w:val="both"/>
        <w:rPr>
          <w:rFonts w:ascii="Garamond" w:hAnsi="Garamond" w:cs="Times New Roman"/>
          <w:sz w:val="24"/>
          <w:szCs w:val="24"/>
        </w:rPr>
      </w:pPr>
      <w:r w:rsidRPr="002E3F2B">
        <w:rPr>
          <w:rFonts w:ascii="Garamond" w:hAnsi="Garamond" w:cs="Times New Roman"/>
          <w:sz w:val="24"/>
          <w:szCs w:val="24"/>
        </w:rPr>
        <w:t xml:space="preserve">33. Në këtë pikë, Gjykata çmon të theksojë se ky përfundim nuk nënkupton vlerësimin prej saj nëse hetimi ka qenë efektiv, se vepra penale duhej të kishte një cilësim juridik të ndryshëm ose se ndjekja penale nuk ishte parashkruar. Shqyrtimi i këtyre çështjeve u përket autoriteteve të ndjekjes penale dhe gjykatave të juridiksionit të zakonshëm, sipas kompetencave të tyre. Në këtë fazë, i takon Gjykatës së Lartë, në përputhje me parimin e </w:t>
      </w:r>
      <w:proofErr w:type="spellStart"/>
      <w:r w:rsidRPr="002E3F2B">
        <w:rPr>
          <w:rFonts w:ascii="Garamond" w:hAnsi="Garamond" w:cs="Times New Roman"/>
          <w:sz w:val="24"/>
          <w:szCs w:val="24"/>
        </w:rPr>
        <w:t>subsidiaritetit</w:t>
      </w:r>
      <w:proofErr w:type="spellEnd"/>
      <w:r w:rsidRPr="002E3F2B">
        <w:rPr>
          <w:rFonts w:ascii="Garamond" w:hAnsi="Garamond" w:cs="Times New Roman"/>
          <w:sz w:val="24"/>
          <w:szCs w:val="24"/>
        </w:rPr>
        <w:t xml:space="preserve">, t’u japë përgjigje të arsyetuar </w:t>
      </w:r>
      <w:r w:rsidRPr="002E3F2B">
        <w:rPr>
          <w:rFonts w:ascii="Garamond" w:hAnsi="Garamond" w:cs="Times New Roman"/>
          <w:sz w:val="24"/>
          <w:szCs w:val="24"/>
        </w:rPr>
        <w:lastRenderedPageBreak/>
        <w:t xml:space="preserve">pretendimeve me natyrë kushtetuese të ngritura në rekurs. Për këtë arsye, pasojat e cenimit të konstatuar mund të riparohen përmes shfuqizimit të vendimit të kundërshtuar të Gjykatës së Lartë dhe dërgimit të çështjes për shqyrtim në atë gjykatë. </w:t>
      </w:r>
    </w:p>
    <w:p w14:paraId="10485033" w14:textId="5AA84872" w:rsidR="00470F0A" w:rsidRPr="002E3F2B" w:rsidRDefault="00470F0A" w:rsidP="00901941">
      <w:pPr>
        <w:pStyle w:val="ListParagraph"/>
        <w:tabs>
          <w:tab w:val="left" w:pos="1080"/>
        </w:tabs>
        <w:spacing w:after="0" w:line="240" w:lineRule="auto"/>
        <w:ind w:left="0" w:firstLine="284"/>
        <w:jc w:val="both"/>
        <w:rPr>
          <w:rFonts w:ascii="Garamond" w:hAnsi="Garamond" w:cs="Times New Roman"/>
          <w:sz w:val="24"/>
          <w:szCs w:val="24"/>
        </w:rPr>
      </w:pPr>
      <w:r w:rsidRPr="002E3F2B">
        <w:rPr>
          <w:rFonts w:ascii="Garamond" w:hAnsi="Garamond" w:cs="Times New Roman"/>
          <w:sz w:val="24"/>
          <w:szCs w:val="24"/>
        </w:rPr>
        <w:t xml:space="preserve">34. Në përfundim, Gjykata çmon se pretendimi i kërkueseve për cenimin e </w:t>
      </w:r>
      <w:r w:rsidRPr="002E3F2B">
        <w:rPr>
          <w:rFonts w:ascii="Garamond" w:hAnsi="Garamond" w:cs="Times New Roman"/>
          <w:i/>
          <w:iCs/>
          <w:sz w:val="24"/>
          <w:szCs w:val="24"/>
        </w:rPr>
        <w:t xml:space="preserve">së drejtës së </w:t>
      </w:r>
      <w:proofErr w:type="spellStart"/>
      <w:r w:rsidRPr="002E3F2B">
        <w:rPr>
          <w:rFonts w:ascii="Garamond" w:hAnsi="Garamond" w:cs="Times New Roman"/>
          <w:i/>
          <w:iCs/>
          <w:sz w:val="24"/>
          <w:szCs w:val="24"/>
        </w:rPr>
        <w:t>aksesit</w:t>
      </w:r>
      <w:proofErr w:type="spellEnd"/>
      <w:r w:rsidRPr="002E3F2B">
        <w:rPr>
          <w:rFonts w:ascii="Garamond" w:hAnsi="Garamond" w:cs="Times New Roman"/>
          <w:i/>
          <w:iCs/>
          <w:sz w:val="24"/>
          <w:szCs w:val="24"/>
        </w:rPr>
        <w:t xml:space="preserve"> në gjykatë,</w:t>
      </w:r>
      <w:r w:rsidRPr="002E3F2B">
        <w:rPr>
          <w:rFonts w:ascii="Garamond" w:hAnsi="Garamond" w:cs="Times New Roman"/>
          <w:sz w:val="24"/>
          <w:szCs w:val="24"/>
        </w:rPr>
        <w:t xml:space="preserve"> në aspektin substancial, dhe </w:t>
      </w:r>
      <w:r w:rsidRPr="002E3F2B">
        <w:rPr>
          <w:rFonts w:ascii="Garamond" w:hAnsi="Garamond" w:cs="Times New Roman"/>
          <w:i/>
          <w:iCs/>
          <w:sz w:val="24"/>
          <w:szCs w:val="24"/>
        </w:rPr>
        <w:t>të standardit të arsyetimit të vendimit gjyqësor,</w:t>
      </w:r>
      <w:r w:rsidRPr="002E3F2B">
        <w:rPr>
          <w:rFonts w:ascii="Garamond" w:hAnsi="Garamond" w:cs="Times New Roman"/>
          <w:sz w:val="24"/>
          <w:szCs w:val="24"/>
        </w:rPr>
        <w:t xml:space="preserve"> të lidhura </w:t>
      </w:r>
      <w:r w:rsidRPr="002E3F2B">
        <w:rPr>
          <w:rFonts w:ascii="Garamond" w:hAnsi="Garamond" w:cs="Times New Roman"/>
          <w:i/>
          <w:iCs/>
          <w:sz w:val="24"/>
          <w:szCs w:val="24"/>
        </w:rPr>
        <w:t>me aspektin procedural të së drejtës për jetën,</w:t>
      </w:r>
      <w:r w:rsidRPr="002E3F2B">
        <w:rPr>
          <w:rFonts w:ascii="Garamond" w:hAnsi="Garamond" w:cs="Times New Roman"/>
          <w:sz w:val="24"/>
          <w:szCs w:val="24"/>
        </w:rPr>
        <w:t xml:space="preserve"> është i bazuar, sipas arsyetimit të mësipërm të këtij vendimi, ndaj kërkesa pranohet pjesërisht.</w:t>
      </w:r>
    </w:p>
    <w:p w14:paraId="41396CB9" w14:textId="77777777" w:rsidR="00470F0A" w:rsidRPr="002E3F2B" w:rsidRDefault="00470F0A" w:rsidP="00901941">
      <w:pPr>
        <w:pStyle w:val="ListParagraph"/>
        <w:tabs>
          <w:tab w:val="left" w:pos="1080"/>
        </w:tabs>
        <w:spacing w:after="0" w:line="240" w:lineRule="auto"/>
        <w:ind w:left="0" w:firstLine="284"/>
        <w:jc w:val="both"/>
        <w:rPr>
          <w:rFonts w:ascii="Garamond" w:hAnsi="Garamond" w:cs="Times New Roman"/>
          <w:sz w:val="24"/>
          <w:szCs w:val="24"/>
        </w:rPr>
      </w:pPr>
    </w:p>
    <w:p w14:paraId="530CD7E3" w14:textId="77777777" w:rsidR="00470F0A" w:rsidRPr="002E3F2B" w:rsidRDefault="00470F0A" w:rsidP="00901941">
      <w:pPr>
        <w:spacing w:after="0" w:line="240" w:lineRule="auto"/>
        <w:ind w:firstLine="284"/>
        <w:jc w:val="center"/>
        <w:rPr>
          <w:rFonts w:ascii="Garamond" w:hAnsi="Garamond"/>
          <w:sz w:val="24"/>
          <w:szCs w:val="24"/>
        </w:rPr>
      </w:pPr>
      <w:r w:rsidRPr="002E3F2B">
        <w:rPr>
          <w:rFonts w:ascii="Garamond" w:hAnsi="Garamond" w:cs="Times New Roman"/>
          <w:bCs/>
          <w:sz w:val="24"/>
          <w:szCs w:val="24"/>
        </w:rPr>
        <w:t>PËR KËTO ARSYE,</w:t>
      </w:r>
    </w:p>
    <w:p w14:paraId="2EC301C6" w14:textId="6C7BE397" w:rsidR="00470F0A" w:rsidRPr="002E3F2B" w:rsidRDefault="00470F0A" w:rsidP="00901941">
      <w:pPr>
        <w:pStyle w:val="JuPara"/>
        <w:rPr>
          <w:rFonts w:ascii="Garamond" w:hAnsi="Garamond"/>
          <w:szCs w:val="24"/>
          <w:lang w:val="sq-AL"/>
        </w:rPr>
      </w:pPr>
      <w:r w:rsidRPr="002E3F2B">
        <w:rPr>
          <w:rFonts w:ascii="Garamond" w:hAnsi="Garamond"/>
          <w:szCs w:val="24"/>
          <w:lang w:val="sq-AL"/>
        </w:rPr>
        <w:t>Gjykata Kushtetuese, në mbështetje të neneve 131, pika 1, shkronja “f” dhe 134, pika 1, shkronja “i”, të Kushtetutës, si dhe neneve 72 e vijues</w:t>
      </w:r>
      <w:r w:rsidR="002E3F2B">
        <w:rPr>
          <w:rFonts w:ascii="Garamond" w:hAnsi="Garamond"/>
          <w:szCs w:val="24"/>
          <w:lang w:val="sq-AL"/>
        </w:rPr>
        <w:t>,</w:t>
      </w:r>
      <w:r w:rsidRPr="002E3F2B">
        <w:rPr>
          <w:rFonts w:ascii="Garamond" w:hAnsi="Garamond"/>
          <w:szCs w:val="24"/>
          <w:lang w:val="sq-AL"/>
        </w:rPr>
        <w:t xml:space="preserve"> të ligjit nr. 8577, dat</w:t>
      </w:r>
      <w:r w:rsidR="002E3F2B">
        <w:rPr>
          <w:rFonts w:ascii="Garamond" w:hAnsi="Garamond"/>
          <w:szCs w:val="24"/>
          <w:lang w:val="sq-AL"/>
        </w:rPr>
        <w:t>ë 10.</w:t>
      </w:r>
      <w:r w:rsidRPr="002E3F2B">
        <w:rPr>
          <w:rFonts w:ascii="Garamond" w:hAnsi="Garamond"/>
          <w:szCs w:val="24"/>
          <w:lang w:val="sq-AL"/>
        </w:rPr>
        <w:t>2.2000</w:t>
      </w:r>
      <w:r w:rsidR="002E3F2B">
        <w:rPr>
          <w:rFonts w:ascii="Garamond" w:hAnsi="Garamond"/>
          <w:szCs w:val="24"/>
          <w:lang w:val="sq-AL"/>
        </w:rPr>
        <w:t>,</w:t>
      </w:r>
      <w:r w:rsidRPr="002E3F2B">
        <w:rPr>
          <w:rFonts w:ascii="Garamond" w:hAnsi="Garamond"/>
          <w:szCs w:val="24"/>
          <w:lang w:val="sq-AL"/>
        </w:rPr>
        <w:t xml:space="preserve"> “Për organizimin dhe funksionimin e Gjykatës Kushtetuese të Republikës së Shqipërisë”, të ndryshuar, me shumicë votash,</w:t>
      </w:r>
    </w:p>
    <w:p w14:paraId="0A27C866" w14:textId="77777777" w:rsidR="00470F0A" w:rsidRPr="002E3F2B" w:rsidRDefault="00470F0A" w:rsidP="00901941">
      <w:pPr>
        <w:spacing w:after="0" w:line="240" w:lineRule="auto"/>
        <w:ind w:firstLine="284"/>
        <w:rPr>
          <w:rFonts w:ascii="Garamond" w:hAnsi="Garamond"/>
          <w:b/>
          <w:bCs/>
          <w:sz w:val="24"/>
          <w:szCs w:val="24"/>
        </w:rPr>
      </w:pPr>
    </w:p>
    <w:p w14:paraId="333F9EC3" w14:textId="37EC9B19" w:rsidR="00470F0A" w:rsidRPr="002E3F2B" w:rsidRDefault="00470F0A" w:rsidP="00901941">
      <w:pPr>
        <w:spacing w:after="0" w:line="240" w:lineRule="auto"/>
        <w:ind w:firstLine="284"/>
        <w:jc w:val="center"/>
        <w:rPr>
          <w:rFonts w:ascii="Garamond" w:hAnsi="Garamond" w:cs="Times New Roman"/>
          <w:bCs/>
          <w:sz w:val="24"/>
          <w:szCs w:val="24"/>
        </w:rPr>
      </w:pPr>
      <w:r w:rsidRPr="002E3F2B">
        <w:rPr>
          <w:rFonts w:ascii="Garamond" w:hAnsi="Garamond" w:cs="Times New Roman"/>
          <w:bCs/>
          <w:sz w:val="24"/>
          <w:szCs w:val="24"/>
        </w:rPr>
        <w:t>VENDOSI:</w:t>
      </w:r>
    </w:p>
    <w:p w14:paraId="2247028E" w14:textId="77777777" w:rsidR="00901941" w:rsidRPr="002E3F2B" w:rsidRDefault="00901941" w:rsidP="00901941">
      <w:pPr>
        <w:pStyle w:val="FootnoteText"/>
        <w:tabs>
          <w:tab w:val="left" w:pos="1080"/>
        </w:tabs>
        <w:ind w:firstLine="284"/>
        <w:jc w:val="both"/>
        <w:rPr>
          <w:rFonts w:ascii="Garamond" w:hAnsi="Garamond" w:cs="Times New Roman"/>
          <w:sz w:val="24"/>
          <w:szCs w:val="24"/>
        </w:rPr>
      </w:pPr>
    </w:p>
    <w:p w14:paraId="2ABA710A" w14:textId="0B06E334" w:rsidR="00470F0A" w:rsidRPr="002E3F2B" w:rsidRDefault="00470F0A" w:rsidP="00901941">
      <w:pPr>
        <w:pStyle w:val="FootnoteText"/>
        <w:tabs>
          <w:tab w:val="left" w:pos="1080"/>
        </w:tabs>
        <w:ind w:firstLine="284"/>
        <w:jc w:val="both"/>
        <w:rPr>
          <w:rFonts w:ascii="Garamond" w:hAnsi="Garamond" w:cs="Times New Roman"/>
          <w:sz w:val="24"/>
          <w:szCs w:val="24"/>
        </w:rPr>
      </w:pPr>
      <w:r w:rsidRPr="002E3F2B">
        <w:rPr>
          <w:rFonts w:ascii="Garamond" w:hAnsi="Garamond" w:cs="Times New Roman"/>
          <w:sz w:val="24"/>
          <w:szCs w:val="24"/>
        </w:rPr>
        <w:t>1. Pranimin e pjesshëm të kërkesës.</w:t>
      </w:r>
    </w:p>
    <w:p w14:paraId="4D8F4A13" w14:textId="6E2EA6C4" w:rsidR="00470F0A" w:rsidRPr="002E3F2B" w:rsidRDefault="00470F0A" w:rsidP="00901941">
      <w:pPr>
        <w:pStyle w:val="ListParagraph"/>
        <w:spacing w:after="0" w:line="240" w:lineRule="auto"/>
        <w:ind w:left="0" w:firstLine="284"/>
        <w:jc w:val="both"/>
        <w:rPr>
          <w:rFonts w:ascii="Garamond" w:hAnsi="Garamond" w:cs="Times New Roman"/>
          <w:sz w:val="24"/>
          <w:szCs w:val="24"/>
        </w:rPr>
      </w:pPr>
      <w:r w:rsidRPr="002E3F2B">
        <w:rPr>
          <w:rFonts w:ascii="Garamond" w:hAnsi="Garamond" w:cs="Times New Roman"/>
          <w:sz w:val="24"/>
          <w:szCs w:val="24"/>
        </w:rPr>
        <w:t xml:space="preserve">2. Shfuqizimin e </w:t>
      </w:r>
      <w:r w:rsidR="002E3F2B">
        <w:rPr>
          <w:rFonts w:ascii="Garamond" w:hAnsi="Garamond" w:cs="Times New Roman"/>
          <w:sz w:val="24"/>
          <w:szCs w:val="24"/>
        </w:rPr>
        <w:t>vendimit nr. 00-2025-553, datë 2.</w:t>
      </w:r>
      <w:r w:rsidRPr="002E3F2B">
        <w:rPr>
          <w:rFonts w:ascii="Garamond" w:hAnsi="Garamond" w:cs="Times New Roman"/>
          <w:sz w:val="24"/>
          <w:szCs w:val="24"/>
        </w:rPr>
        <w:t>4.2025</w:t>
      </w:r>
      <w:r w:rsidR="002E3F2B">
        <w:rPr>
          <w:rFonts w:ascii="Garamond" w:hAnsi="Garamond" w:cs="Times New Roman"/>
          <w:sz w:val="24"/>
          <w:szCs w:val="24"/>
        </w:rPr>
        <w:t>,</w:t>
      </w:r>
      <w:r w:rsidRPr="002E3F2B">
        <w:rPr>
          <w:rFonts w:ascii="Garamond" w:hAnsi="Garamond" w:cs="Times New Roman"/>
          <w:sz w:val="24"/>
          <w:szCs w:val="24"/>
        </w:rPr>
        <w:t xml:space="preserve"> të Kolegjit Penal të Gjykatës së Lartë, si të papajtueshëm me Kushtetutën e Republikës së Shqipërisë.</w:t>
      </w:r>
    </w:p>
    <w:p w14:paraId="0D1992A6" w14:textId="5418F457" w:rsidR="00470F0A" w:rsidRPr="002E3F2B" w:rsidRDefault="00470F0A" w:rsidP="00901941">
      <w:pPr>
        <w:pStyle w:val="ListParagraph"/>
        <w:spacing w:after="0" w:line="240" w:lineRule="auto"/>
        <w:ind w:left="0" w:firstLine="284"/>
        <w:jc w:val="both"/>
        <w:rPr>
          <w:rFonts w:ascii="Garamond" w:hAnsi="Garamond" w:cs="Times New Roman"/>
          <w:sz w:val="24"/>
          <w:szCs w:val="24"/>
        </w:rPr>
      </w:pPr>
      <w:r w:rsidRPr="002E3F2B">
        <w:rPr>
          <w:rFonts w:ascii="Garamond" w:hAnsi="Garamond" w:cs="Times New Roman"/>
          <w:sz w:val="24"/>
          <w:szCs w:val="24"/>
        </w:rPr>
        <w:t>3. Dërgimin e çështjes për shqyrtim në Gjykatën e Lartë.</w:t>
      </w:r>
    </w:p>
    <w:p w14:paraId="291B9251" w14:textId="23C8942C" w:rsidR="00470F0A" w:rsidRPr="002E3F2B" w:rsidRDefault="002E3F2B" w:rsidP="00901941">
      <w:pPr>
        <w:tabs>
          <w:tab w:val="left" w:pos="80"/>
          <w:tab w:val="left" w:pos="720"/>
        </w:tabs>
        <w:spacing w:after="0" w:line="240" w:lineRule="auto"/>
        <w:ind w:firstLine="284"/>
        <w:jc w:val="both"/>
        <w:rPr>
          <w:rFonts w:ascii="Garamond" w:hAnsi="Garamond" w:cs="Times New Roman"/>
          <w:sz w:val="24"/>
          <w:szCs w:val="24"/>
        </w:rPr>
      </w:pPr>
      <w:r>
        <w:rPr>
          <w:rFonts w:ascii="Garamond" w:hAnsi="Garamond" w:cs="Times New Roman"/>
          <w:sz w:val="24"/>
          <w:szCs w:val="24"/>
        </w:rPr>
        <w:t xml:space="preserve"> </w:t>
      </w:r>
      <w:r w:rsidR="00470F0A" w:rsidRPr="002E3F2B">
        <w:rPr>
          <w:rFonts w:ascii="Garamond" w:hAnsi="Garamond" w:cs="Times New Roman"/>
          <w:sz w:val="24"/>
          <w:szCs w:val="24"/>
        </w:rPr>
        <w:t>Ky vendim është përfundimtar dhe hyn në fuqi ditën e botimit në Fletoren</w:t>
      </w:r>
      <w:r w:rsidR="00470F0A" w:rsidRPr="002E3F2B">
        <w:rPr>
          <w:rFonts w:ascii="Garamond" w:hAnsi="Garamond" w:cs="Times New Roman"/>
          <w:b/>
          <w:bCs/>
          <w:sz w:val="24"/>
          <w:szCs w:val="24"/>
        </w:rPr>
        <w:t xml:space="preserve"> </w:t>
      </w:r>
      <w:r w:rsidR="00470F0A" w:rsidRPr="002E3F2B">
        <w:rPr>
          <w:rFonts w:ascii="Garamond" w:hAnsi="Garamond" w:cs="Times New Roman"/>
          <w:sz w:val="24"/>
          <w:szCs w:val="24"/>
        </w:rPr>
        <w:t>Zyrtare.</w:t>
      </w:r>
    </w:p>
    <w:p w14:paraId="21C9071E" w14:textId="59174739" w:rsidR="00470F0A" w:rsidRPr="002E3F2B" w:rsidRDefault="002E3F2B" w:rsidP="00901941">
      <w:pPr>
        <w:spacing w:after="0" w:line="240" w:lineRule="auto"/>
        <w:ind w:firstLine="284"/>
        <w:rPr>
          <w:rFonts w:ascii="Garamond" w:hAnsi="Garamond" w:cs="Times New Roman"/>
          <w:b/>
          <w:bCs/>
          <w:sz w:val="24"/>
          <w:szCs w:val="24"/>
        </w:rPr>
      </w:pPr>
      <w:r>
        <w:rPr>
          <w:rFonts w:ascii="Garamond" w:hAnsi="Garamond" w:cs="Times New Roman"/>
          <w:b/>
          <w:bCs/>
          <w:sz w:val="24"/>
          <w:szCs w:val="24"/>
        </w:rPr>
        <w:t>Marrë më 28.</w:t>
      </w:r>
      <w:r w:rsidR="00470F0A" w:rsidRPr="002E3F2B">
        <w:rPr>
          <w:rFonts w:ascii="Garamond" w:hAnsi="Garamond" w:cs="Times New Roman"/>
          <w:b/>
          <w:bCs/>
          <w:sz w:val="24"/>
          <w:szCs w:val="24"/>
        </w:rPr>
        <w:t>5.2026</w:t>
      </w:r>
      <w:r>
        <w:rPr>
          <w:rFonts w:ascii="Garamond" w:hAnsi="Garamond" w:cs="Times New Roman"/>
          <w:b/>
          <w:bCs/>
          <w:sz w:val="24"/>
          <w:szCs w:val="24"/>
        </w:rPr>
        <w:t>.</w:t>
      </w:r>
    </w:p>
    <w:p w14:paraId="3822CDA2" w14:textId="53E57345" w:rsidR="00470F0A" w:rsidRPr="002E3F2B" w:rsidRDefault="00470F0A" w:rsidP="00901941">
      <w:pPr>
        <w:spacing w:after="0" w:line="240" w:lineRule="auto"/>
        <w:ind w:firstLine="284"/>
        <w:rPr>
          <w:rFonts w:ascii="Garamond" w:hAnsi="Garamond" w:cs="Times New Roman"/>
          <w:b/>
          <w:bCs/>
          <w:sz w:val="24"/>
          <w:szCs w:val="24"/>
        </w:rPr>
      </w:pPr>
      <w:r w:rsidRPr="002E3F2B">
        <w:rPr>
          <w:rFonts w:ascii="Garamond" w:hAnsi="Garamond" w:cs="Times New Roman"/>
          <w:b/>
          <w:bCs/>
          <w:sz w:val="24"/>
          <w:szCs w:val="24"/>
        </w:rPr>
        <w:t>Shpallur m</w:t>
      </w:r>
      <w:r w:rsidR="002E3F2B">
        <w:rPr>
          <w:rFonts w:ascii="Garamond" w:hAnsi="Garamond" w:cs="Times New Roman"/>
          <w:b/>
          <w:bCs/>
          <w:sz w:val="24"/>
          <w:szCs w:val="24"/>
        </w:rPr>
        <w:t>ë 20.</w:t>
      </w:r>
      <w:r w:rsidRPr="002E3F2B">
        <w:rPr>
          <w:rFonts w:ascii="Garamond" w:hAnsi="Garamond" w:cs="Times New Roman"/>
          <w:b/>
          <w:bCs/>
          <w:sz w:val="24"/>
          <w:szCs w:val="24"/>
        </w:rPr>
        <w:t>7.2026</w:t>
      </w:r>
      <w:r w:rsidR="002E3F2B">
        <w:rPr>
          <w:rFonts w:ascii="Garamond" w:hAnsi="Garamond" w:cs="Times New Roman"/>
          <w:b/>
          <w:bCs/>
          <w:sz w:val="24"/>
          <w:szCs w:val="24"/>
        </w:rPr>
        <w:t>.</w:t>
      </w:r>
    </w:p>
    <w:p w14:paraId="2A37A17C" w14:textId="1BC3597A" w:rsidR="00470F0A" w:rsidRPr="002E3F2B" w:rsidRDefault="00470F0A" w:rsidP="00901941">
      <w:pPr>
        <w:spacing w:after="0" w:line="240" w:lineRule="auto"/>
        <w:ind w:firstLine="284"/>
        <w:jc w:val="both"/>
        <w:rPr>
          <w:rFonts w:ascii="Garamond" w:hAnsi="Garamond" w:cs="Times New Roman"/>
          <w:b/>
          <w:bCs/>
          <w:sz w:val="24"/>
          <w:szCs w:val="24"/>
        </w:rPr>
      </w:pPr>
    </w:p>
    <w:p w14:paraId="304C4BC7" w14:textId="6FFE9AD3" w:rsidR="00404B3D" w:rsidRPr="002E3F2B" w:rsidRDefault="00404B3D" w:rsidP="00901941">
      <w:pPr>
        <w:spacing w:after="0" w:line="240" w:lineRule="auto"/>
        <w:ind w:firstLine="284"/>
        <w:jc w:val="both"/>
        <w:rPr>
          <w:rFonts w:ascii="Garamond" w:hAnsi="Garamond" w:cs="Times New Roman"/>
          <w:bCs/>
          <w:sz w:val="24"/>
          <w:szCs w:val="24"/>
        </w:rPr>
      </w:pPr>
      <w:r w:rsidRPr="002E3F2B">
        <w:rPr>
          <w:rFonts w:ascii="Garamond" w:hAnsi="Garamond" w:cs="Times New Roman"/>
          <w:b/>
          <w:bCs/>
          <w:sz w:val="24"/>
          <w:szCs w:val="24"/>
        </w:rPr>
        <w:t>Kryetare</w:t>
      </w:r>
      <w:r w:rsidR="003638C7">
        <w:rPr>
          <w:rFonts w:ascii="Garamond" w:hAnsi="Garamond" w:cs="Times New Roman"/>
          <w:b/>
          <w:bCs/>
          <w:sz w:val="24"/>
          <w:szCs w:val="24"/>
        </w:rPr>
        <w:t>:</w:t>
      </w:r>
      <w:r w:rsidR="004E6C6F">
        <w:rPr>
          <w:rFonts w:ascii="Garamond" w:hAnsi="Garamond" w:cs="Times New Roman"/>
          <w:b/>
          <w:bCs/>
          <w:sz w:val="24"/>
          <w:szCs w:val="24"/>
        </w:rPr>
        <w:t xml:space="preserve"> </w:t>
      </w:r>
      <w:proofErr w:type="spellStart"/>
      <w:r w:rsidRPr="002E3F2B">
        <w:rPr>
          <w:rFonts w:ascii="Garamond" w:hAnsi="Garamond" w:cs="Times New Roman"/>
          <w:bCs/>
          <w:sz w:val="24"/>
          <w:szCs w:val="24"/>
        </w:rPr>
        <w:t>Fiona</w:t>
      </w:r>
      <w:proofErr w:type="spellEnd"/>
      <w:r w:rsidRPr="002E3F2B">
        <w:rPr>
          <w:rFonts w:ascii="Garamond" w:hAnsi="Garamond" w:cs="Times New Roman"/>
          <w:bCs/>
          <w:sz w:val="24"/>
          <w:szCs w:val="24"/>
        </w:rPr>
        <w:t xml:space="preserve"> </w:t>
      </w:r>
      <w:proofErr w:type="spellStart"/>
      <w:r w:rsidRPr="002E3F2B">
        <w:rPr>
          <w:rFonts w:ascii="Garamond" w:hAnsi="Garamond" w:cs="Times New Roman"/>
          <w:bCs/>
          <w:sz w:val="24"/>
          <w:szCs w:val="24"/>
        </w:rPr>
        <w:t>Papajorgji</w:t>
      </w:r>
      <w:proofErr w:type="spellEnd"/>
      <w:r w:rsidRPr="002E3F2B">
        <w:rPr>
          <w:rFonts w:ascii="Garamond" w:hAnsi="Garamond" w:cs="Times New Roman"/>
          <w:bCs/>
          <w:sz w:val="24"/>
          <w:szCs w:val="24"/>
        </w:rPr>
        <w:t xml:space="preserve"> </w:t>
      </w:r>
      <w:r w:rsidR="003638C7" w:rsidRPr="003638C7">
        <w:rPr>
          <w:rFonts w:ascii="Garamond" w:hAnsi="Garamond" w:cs="Times New Roman"/>
          <w:bCs/>
          <w:sz w:val="24"/>
          <w:szCs w:val="24"/>
        </w:rPr>
        <w:t>(kundër)</w:t>
      </w:r>
    </w:p>
    <w:p w14:paraId="3D4D77EC" w14:textId="22DB3717" w:rsidR="00404B3D" w:rsidRPr="002E3F2B" w:rsidRDefault="00404B3D" w:rsidP="00901941">
      <w:pPr>
        <w:spacing w:after="0" w:line="240" w:lineRule="auto"/>
        <w:ind w:firstLine="284"/>
        <w:jc w:val="both"/>
        <w:rPr>
          <w:rFonts w:ascii="Garamond" w:hAnsi="Garamond" w:cs="Times New Roman"/>
          <w:b/>
          <w:bCs/>
          <w:sz w:val="24"/>
          <w:szCs w:val="24"/>
        </w:rPr>
      </w:pPr>
      <w:r w:rsidRPr="002E3F2B">
        <w:rPr>
          <w:rFonts w:ascii="Garamond" w:hAnsi="Garamond" w:cs="Times New Roman"/>
          <w:b/>
          <w:bCs/>
          <w:sz w:val="24"/>
          <w:szCs w:val="24"/>
        </w:rPr>
        <w:t xml:space="preserve">Anëtarë: </w:t>
      </w:r>
      <w:proofErr w:type="spellStart"/>
      <w:r w:rsidRPr="002E3F2B">
        <w:rPr>
          <w:rFonts w:ascii="Garamond" w:hAnsi="Garamond" w:cs="Times New Roman"/>
          <w:bCs/>
          <w:sz w:val="24"/>
          <w:szCs w:val="24"/>
        </w:rPr>
        <w:t>Sonila</w:t>
      </w:r>
      <w:proofErr w:type="spellEnd"/>
      <w:r w:rsidRPr="002E3F2B">
        <w:rPr>
          <w:rFonts w:ascii="Garamond" w:hAnsi="Garamond" w:cs="Times New Roman"/>
          <w:bCs/>
          <w:sz w:val="24"/>
          <w:szCs w:val="24"/>
        </w:rPr>
        <w:t xml:space="preserve"> Bejtja, </w:t>
      </w:r>
      <w:proofErr w:type="spellStart"/>
      <w:r w:rsidRPr="002E3F2B">
        <w:rPr>
          <w:rFonts w:ascii="Garamond" w:hAnsi="Garamond" w:cs="Times New Roman"/>
          <w:bCs/>
          <w:sz w:val="24"/>
          <w:szCs w:val="24"/>
        </w:rPr>
        <w:t>Marsida</w:t>
      </w:r>
      <w:proofErr w:type="spellEnd"/>
      <w:r w:rsidRPr="002E3F2B">
        <w:rPr>
          <w:rFonts w:ascii="Garamond" w:hAnsi="Garamond" w:cs="Times New Roman"/>
          <w:bCs/>
          <w:sz w:val="24"/>
          <w:szCs w:val="24"/>
        </w:rPr>
        <w:t xml:space="preserve"> </w:t>
      </w:r>
      <w:proofErr w:type="spellStart"/>
      <w:r w:rsidRPr="002E3F2B">
        <w:rPr>
          <w:rFonts w:ascii="Garamond" w:hAnsi="Garamond" w:cs="Times New Roman"/>
          <w:bCs/>
          <w:sz w:val="24"/>
          <w:szCs w:val="24"/>
        </w:rPr>
        <w:t>Xhaferllari</w:t>
      </w:r>
      <w:proofErr w:type="spellEnd"/>
      <w:r w:rsidRPr="002E3F2B">
        <w:rPr>
          <w:rFonts w:ascii="Garamond" w:hAnsi="Garamond" w:cs="Times New Roman"/>
          <w:bCs/>
          <w:sz w:val="24"/>
          <w:szCs w:val="24"/>
        </w:rPr>
        <w:t xml:space="preserve">, Ilir Toska, </w:t>
      </w:r>
      <w:proofErr w:type="spellStart"/>
      <w:r w:rsidRPr="002E3F2B">
        <w:rPr>
          <w:rFonts w:ascii="Garamond" w:hAnsi="Garamond" w:cs="Times New Roman"/>
          <w:bCs/>
          <w:sz w:val="24"/>
          <w:szCs w:val="24"/>
        </w:rPr>
        <w:t>Sandër</w:t>
      </w:r>
      <w:proofErr w:type="spellEnd"/>
      <w:r w:rsidRPr="002E3F2B">
        <w:rPr>
          <w:rFonts w:ascii="Garamond" w:hAnsi="Garamond" w:cs="Times New Roman"/>
          <w:bCs/>
          <w:sz w:val="24"/>
          <w:szCs w:val="24"/>
        </w:rPr>
        <w:t xml:space="preserve"> Beci, </w:t>
      </w:r>
      <w:proofErr w:type="spellStart"/>
      <w:r w:rsidRPr="002E3F2B">
        <w:rPr>
          <w:rFonts w:ascii="Garamond" w:hAnsi="Garamond" w:cs="Times New Roman"/>
          <w:bCs/>
          <w:sz w:val="24"/>
          <w:szCs w:val="24"/>
        </w:rPr>
        <w:t>Marjana</w:t>
      </w:r>
      <w:proofErr w:type="spellEnd"/>
      <w:r w:rsidRPr="002E3F2B">
        <w:rPr>
          <w:rFonts w:ascii="Garamond" w:hAnsi="Garamond" w:cs="Times New Roman"/>
          <w:bCs/>
          <w:sz w:val="24"/>
          <w:szCs w:val="24"/>
        </w:rPr>
        <w:t xml:space="preserve"> </w:t>
      </w:r>
      <w:proofErr w:type="spellStart"/>
      <w:r w:rsidRPr="002E3F2B">
        <w:rPr>
          <w:rFonts w:ascii="Garamond" w:hAnsi="Garamond" w:cs="Times New Roman"/>
          <w:bCs/>
          <w:sz w:val="24"/>
          <w:szCs w:val="24"/>
        </w:rPr>
        <w:t>Semini</w:t>
      </w:r>
      <w:proofErr w:type="spellEnd"/>
    </w:p>
    <w:p w14:paraId="012CE260" w14:textId="186CD0A8" w:rsidR="00404B3D" w:rsidRPr="002E3F2B" w:rsidRDefault="00404B3D" w:rsidP="00901941">
      <w:pPr>
        <w:spacing w:after="0" w:line="240" w:lineRule="auto"/>
        <w:ind w:firstLine="284"/>
        <w:jc w:val="both"/>
        <w:rPr>
          <w:rFonts w:ascii="Garamond" w:hAnsi="Garamond" w:cs="Times New Roman"/>
          <w:b/>
          <w:bCs/>
          <w:sz w:val="24"/>
          <w:szCs w:val="24"/>
        </w:rPr>
      </w:pPr>
      <w:r w:rsidRPr="002E3F2B">
        <w:rPr>
          <w:rFonts w:ascii="Garamond" w:hAnsi="Garamond" w:cs="Times New Roman"/>
          <w:b/>
          <w:bCs/>
          <w:sz w:val="24"/>
          <w:szCs w:val="24"/>
        </w:rPr>
        <w:t>Anëtarë kundër:</w:t>
      </w:r>
      <w:bookmarkStart w:id="0" w:name="_GoBack"/>
      <w:bookmarkEnd w:id="0"/>
      <w:r w:rsidRPr="002E3F2B">
        <w:rPr>
          <w:rFonts w:ascii="Garamond" w:hAnsi="Garamond" w:cs="Times New Roman"/>
          <w:bCs/>
          <w:sz w:val="24"/>
          <w:szCs w:val="24"/>
        </w:rPr>
        <w:t xml:space="preserve"> Genti Ibrahimi, </w:t>
      </w:r>
      <w:proofErr w:type="spellStart"/>
      <w:r w:rsidRPr="002E3F2B">
        <w:rPr>
          <w:rFonts w:ascii="Garamond" w:hAnsi="Garamond" w:cs="Times New Roman"/>
          <w:bCs/>
          <w:sz w:val="24"/>
          <w:szCs w:val="24"/>
        </w:rPr>
        <w:t>Asim</w:t>
      </w:r>
      <w:proofErr w:type="spellEnd"/>
      <w:r w:rsidRPr="002E3F2B">
        <w:rPr>
          <w:rFonts w:ascii="Garamond" w:hAnsi="Garamond" w:cs="Times New Roman"/>
          <w:bCs/>
          <w:sz w:val="24"/>
          <w:szCs w:val="24"/>
        </w:rPr>
        <w:t xml:space="preserve"> </w:t>
      </w:r>
      <w:proofErr w:type="spellStart"/>
      <w:r w:rsidRPr="002E3F2B">
        <w:rPr>
          <w:rFonts w:ascii="Garamond" w:hAnsi="Garamond" w:cs="Times New Roman"/>
          <w:bCs/>
          <w:sz w:val="24"/>
          <w:szCs w:val="24"/>
        </w:rPr>
        <w:t>Vokshi</w:t>
      </w:r>
      <w:proofErr w:type="spellEnd"/>
    </w:p>
    <w:p w14:paraId="1432FDB3" w14:textId="77777777" w:rsidR="00404B3D" w:rsidRPr="002E3F2B" w:rsidRDefault="00404B3D" w:rsidP="00901941">
      <w:pPr>
        <w:spacing w:after="0" w:line="240" w:lineRule="auto"/>
        <w:ind w:firstLine="284"/>
        <w:jc w:val="both"/>
        <w:rPr>
          <w:rFonts w:ascii="Garamond" w:hAnsi="Garamond" w:cs="Times New Roman"/>
          <w:b/>
          <w:bCs/>
          <w:sz w:val="24"/>
          <w:szCs w:val="24"/>
        </w:rPr>
      </w:pPr>
    </w:p>
    <w:p w14:paraId="187E51B8" w14:textId="77777777" w:rsidR="00470F0A" w:rsidRPr="002E3F2B" w:rsidRDefault="00470F0A" w:rsidP="00901941">
      <w:pPr>
        <w:tabs>
          <w:tab w:val="left" w:pos="1080"/>
        </w:tabs>
        <w:spacing w:after="0" w:line="240" w:lineRule="auto"/>
        <w:ind w:firstLine="284"/>
        <w:jc w:val="center"/>
        <w:rPr>
          <w:rFonts w:ascii="Garamond" w:hAnsi="Garamond" w:cs="Times New Roman"/>
          <w:bCs/>
          <w:sz w:val="24"/>
          <w:szCs w:val="24"/>
        </w:rPr>
      </w:pPr>
      <w:r w:rsidRPr="002E3F2B">
        <w:rPr>
          <w:rFonts w:ascii="Garamond" w:hAnsi="Garamond" w:cs="Times New Roman"/>
          <w:bCs/>
          <w:sz w:val="24"/>
          <w:szCs w:val="24"/>
        </w:rPr>
        <w:t>MENDIM PAKICE</w:t>
      </w:r>
    </w:p>
    <w:p w14:paraId="4111C5E7" w14:textId="77777777" w:rsidR="00470F0A" w:rsidRPr="002E3F2B" w:rsidRDefault="00470F0A" w:rsidP="00901941">
      <w:pPr>
        <w:tabs>
          <w:tab w:val="left" w:pos="1080"/>
        </w:tabs>
        <w:spacing w:after="0" w:line="240" w:lineRule="auto"/>
        <w:ind w:firstLine="284"/>
        <w:rPr>
          <w:rFonts w:ascii="Garamond" w:hAnsi="Garamond" w:cs="Times New Roman"/>
          <w:b/>
          <w:bCs/>
          <w:sz w:val="24"/>
          <w:szCs w:val="24"/>
        </w:rPr>
      </w:pPr>
    </w:p>
    <w:p w14:paraId="61E20263" w14:textId="3AA46639" w:rsidR="00470F0A" w:rsidRPr="002E3F2B" w:rsidRDefault="00470F0A" w:rsidP="00901941">
      <w:pPr>
        <w:pStyle w:val="ListParagraph"/>
        <w:tabs>
          <w:tab w:val="left" w:pos="620"/>
          <w:tab w:val="left" w:pos="980"/>
          <w:tab w:val="left" w:pos="1080"/>
        </w:tabs>
        <w:spacing w:after="0" w:line="240" w:lineRule="auto"/>
        <w:ind w:left="0" w:firstLine="284"/>
        <w:jc w:val="both"/>
        <w:rPr>
          <w:rFonts w:ascii="Garamond" w:hAnsi="Garamond" w:cs="Times New Roman"/>
          <w:b/>
          <w:bCs/>
          <w:sz w:val="24"/>
          <w:szCs w:val="24"/>
        </w:rPr>
      </w:pPr>
      <w:r w:rsidRPr="002E3F2B">
        <w:rPr>
          <w:rFonts w:ascii="Garamond" w:hAnsi="Garamond" w:cs="Times New Roman"/>
          <w:sz w:val="24"/>
          <w:szCs w:val="24"/>
        </w:rPr>
        <w:t xml:space="preserve">1. Në shqyrtimin e çështjes që i përket kërkesës së kërkueseve </w:t>
      </w:r>
      <w:proofErr w:type="spellStart"/>
      <w:r w:rsidRPr="002E3F2B">
        <w:rPr>
          <w:rFonts w:ascii="Garamond" w:hAnsi="Garamond" w:cs="Times New Roman"/>
          <w:sz w:val="24"/>
          <w:szCs w:val="24"/>
        </w:rPr>
        <w:t>Sanie</w:t>
      </w:r>
      <w:proofErr w:type="spellEnd"/>
      <w:r w:rsidRPr="002E3F2B">
        <w:rPr>
          <w:rFonts w:ascii="Garamond" w:hAnsi="Garamond" w:cs="Times New Roman"/>
          <w:sz w:val="24"/>
          <w:szCs w:val="24"/>
        </w:rPr>
        <w:t xml:space="preserve"> </w:t>
      </w:r>
      <w:proofErr w:type="spellStart"/>
      <w:r w:rsidRPr="002E3F2B">
        <w:rPr>
          <w:rFonts w:ascii="Garamond" w:hAnsi="Garamond" w:cs="Times New Roman"/>
          <w:sz w:val="24"/>
          <w:szCs w:val="24"/>
        </w:rPr>
        <w:t>Metushi</w:t>
      </w:r>
      <w:proofErr w:type="spellEnd"/>
      <w:r w:rsidRPr="002E3F2B">
        <w:rPr>
          <w:rFonts w:ascii="Garamond" w:hAnsi="Garamond" w:cs="Times New Roman"/>
          <w:sz w:val="24"/>
          <w:szCs w:val="24"/>
        </w:rPr>
        <w:t>, Dudi Shabani (</w:t>
      </w:r>
      <w:proofErr w:type="spellStart"/>
      <w:r w:rsidRPr="002E3F2B">
        <w:rPr>
          <w:rFonts w:ascii="Garamond" w:hAnsi="Garamond" w:cs="Times New Roman"/>
          <w:sz w:val="24"/>
          <w:szCs w:val="24"/>
        </w:rPr>
        <w:t>Metushi</w:t>
      </w:r>
      <w:proofErr w:type="spellEnd"/>
      <w:r w:rsidRPr="002E3F2B">
        <w:rPr>
          <w:rFonts w:ascii="Garamond" w:hAnsi="Garamond" w:cs="Times New Roman"/>
          <w:sz w:val="24"/>
          <w:szCs w:val="24"/>
        </w:rPr>
        <w:t xml:space="preserve">), me objekt shfuqizimin e vendimeve nr. </w:t>
      </w:r>
      <w:r w:rsidR="002E3F2B">
        <w:rPr>
          <w:rFonts w:ascii="Garamond" w:hAnsi="Garamond" w:cs="Times New Roman"/>
          <w:sz w:val="24"/>
          <w:szCs w:val="24"/>
        </w:rPr>
        <w:t>62-2022-2874 (789), datë 8.</w:t>
      </w:r>
      <w:r w:rsidRPr="002E3F2B">
        <w:rPr>
          <w:rFonts w:ascii="Garamond" w:hAnsi="Garamond" w:cs="Times New Roman"/>
          <w:sz w:val="24"/>
          <w:szCs w:val="24"/>
        </w:rPr>
        <w:t>7.2022</w:t>
      </w:r>
      <w:r w:rsidR="002E3F2B">
        <w:rPr>
          <w:rFonts w:ascii="Garamond" w:hAnsi="Garamond" w:cs="Times New Roman"/>
          <w:sz w:val="24"/>
          <w:szCs w:val="24"/>
        </w:rPr>
        <w:t>,</w:t>
      </w:r>
      <w:r w:rsidRPr="002E3F2B">
        <w:rPr>
          <w:rFonts w:ascii="Garamond" w:hAnsi="Garamond" w:cs="Times New Roman"/>
          <w:sz w:val="24"/>
          <w:szCs w:val="24"/>
        </w:rPr>
        <w:t xml:space="preserve"> të Gjykatës së Rrethit Gjyqësor Fier; nr. 97, datë 11.10.2022</w:t>
      </w:r>
      <w:r w:rsidR="002E3F2B">
        <w:rPr>
          <w:rFonts w:ascii="Garamond" w:hAnsi="Garamond" w:cs="Times New Roman"/>
          <w:sz w:val="24"/>
          <w:szCs w:val="24"/>
        </w:rPr>
        <w:t>,</w:t>
      </w:r>
      <w:r w:rsidRPr="002E3F2B">
        <w:rPr>
          <w:rFonts w:ascii="Garamond" w:hAnsi="Garamond" w:cs="Times New Roman"/>
          <w:sz w:val="24"/>
          <w:szCs w:val="24"/>
        </w:rPr>
        <w:t xml:space="preserve"> të Gjykatës së Apel</w:t>
      </w:r>
      <w:r w:rsidR="002E3F2B">
        <w:rPr>
          <w:rFonts w:ascii="Garamond" w:hAnsi="Garamond" w:cs="Times New Roman"/>
          <w:sz w:val="24"/>
          <w:szCs w:val="24"/>
        </w:rPr>
        <w:t>it Vlorë; 00-2025-553, datë 2.</w:t>
      </w:r>
      <w:r w:rsidRPr="002E3F2B">
        <w:rPr>
          <w:rFonts w:ascii="Garamond" w:hAnsi="Garamond" w:cs="Times New Roman"/>
          <w:sz w:val="24"/>
          <w:szCs w:val="24"/>
        </w:rPr>
        <w:t>4.2025</w:t>
      </w:r>
      <w:r w:rsidR="002E3F2B">
        <w:rPr>
          <w:rFonts w:ascii="Garamond" w:hAnsi="Garamond" w:cs="Times New Roman"/>
          <w:sz w:val="24"/>
          <w:szCs w:val="24"/>
        </w:rPr>
        <w:t>,</w:t>
      </w:r>
      <w:r w:rsidRPr="002E3F2B">
        <w:rPr>
          <w:rFonts w:ascii="Garamond" w:hAnsi="Garamond" w:cs="Times New Roman"/>
          <w:sz w:val="24"/>
          <w:szCs w:val="24"/>
        </w:rPr>
        <w:t xml:space="preserve"> të Kolegjit Penal të Gjykatës së Lartë, si të papajtueshme me Kushtetutën, ne, gjyqtarët </w:t>
      </w:r>
      <w:proofErr w:type="spellStart"/>
      <w:r w:rsidRPr="002E3F2B">
        <w:rPr>
          <w:rFonts w:ascii="Garamond" w:hAnsi="Garamond" w:cs="Times New Roman"/>
          <w:sz w:val="24"/>
          <w:szCs w:val="24"/>
        </w:rPr>
        <w:t>Fiona</w:t>
      </w:r>
      <w:proofErr w:type="spellEnd"/>
      <w:r w:rsidRPr="002E3F2B">
        <w:rPr>
          <w:rFonts w:ascii="Garamond" w:hAnsi="Garamond" w:cs="Times New Roman"/>
          <w:sz w:val="24"/>
          <w:szCs w:val="24"/>
        </w:rPr>
        <w:t xml:space="preserve"> </w:t>
      </w:r>
      <w:proofErr w:type="spellStart"/>
      <w:r w:rsidRPr="002E3F2B">
        <w:rPr>
          <w:rFonts w:ascii="Garamond" w:hAnsi="Garamond" w:cs="Times New Roman"/>
          <w:sz w:val="24"/>
          <w:szCs w:val="24"/>
        </w:rPr>
        <w:t>Papajorgji</w:t>
      </w:r>
      <w:proofErr w:type="spellEnd"/>
      <w:r w:rsidRPr="002E3F2B">
        <w:rPr>
          <w:rFonts w:ascii="Garamond" w:hAnsi="Garamond" w:cs="Times New Roman"/>
          <w:sz w:val="24"/>
          <w:szCs w:val="24"/>
        </w:rPr>
        <w:t xml:space="preserve">, Genti Ibrahimi dhe </w:t>
      </w:r>
      <w:proofErr w:type="spellStart"/>
      <w:r w:rsidRPr="002E3F2B">
        <w:rPr>
          <w:rFonts w:ascii="Garamond" w:hAnsi="Garamond" w:cs="Times New Roman"/>
          <w:sz w:val="24"/>
          <w:szCs w:val="24"/>
        </w:rPr>
        <w:t>Asim</w:t>
      </w:r>
      <w:proofErr w:type="spellEnd"/>
      <w:r w:rsidRPr="002E3F2B">
        <w:rPr>
          <w:rFonts w:ascii="Garamond" w:hAnsi="Garamond" w:cs="Times New Roman"/>
          <w:sz w:val="24"/>
          <w:szCs w:val="24"/>
        </w:rPr>
        <w:t xml:space="preserve"> </w:t>
      </w:r>
      <w:proofErr w:type="spellStart"/>
      <w:r w:rsidRPr="002E3F2B">
        <w:rPr>
          <w:rFonts w:ascii="Garamond" w:hAnsi="Garamond" w:cs="Times New Roman"/>
          <w:sz w:val="24"/>
          <w:szCs w:val="24"/>
        </w:rPr>
        <w:t>Vokshi</w:t>
      </w:r>
      <w:proofErr w:type="spellEnd"/>
      <w:r w:rsidRPr="002E3F2B">
        <w:rPr>
          <w:rFonts w:ascii="Garamond" w:hAnsi="Garamond" w:cs="Times New Roman"/>
          <w:sz w:val="24"/>
          <w:szCs w:val="24"/>
        </w:rPr>
        <w:t>, jemi kundër vendimit të shumicës për pranimin e kërkesës, për arsyet e mëposhtme.</w:t>
      </w:r>
    </w:p>
    <w:p w14:paraId="36827724" w14:textId="786A0A21" w:rsidR="00470F0A" w:rsidRPr="002E3F2B" w:rsidRDefault="00470F0A" w:rsidP="00901941">
      <w:pPr>
        <w:pStyle w:val="ListParagraph"/>
        <w:tabs>
          <w:tab w:val="left" w:pos="620"/>
          <w:tab w:val="left" w:pos="980"/>
          <w:tab w:val="left" w:pos="1080"/>
        </w:tabs>
        <w:spacing w:after="0" w:line="240" w:lineRule="auto"/>
        <w:ind w:left="0" w:firstLine="284"/>
        <w:jc w:val="both"/>
        <w:rPr>
          <w:rFonts w:ascii="Garamond" w:hAnsi="Garamond" w:cs="Times New Roman"/>
          <w:sz w:val="24"/>
          <w:szCs w:val="24"/>
        </w:rPr>
      </w:pPr>
      <w:r w:rsidRPr="002E3F2B">
        <w:rPr>
          <w:rFonts w:ascii="Garamond" w:hAnsi="Garamond" w:cs="Times New Roman"/>
          <w:sz w:val="24"/>
          <w:szCs w:val="24"/>
        </w:rPr>
        <w:t>2. Shumica vendosi shfuqizimin e vendimit të Gjykatës së Lartë dhe kthimin e çështjes për rishqyrtim në atë gjykatë, pasi konstatoi se “</w:t>
      </w:r>
      <w:r w:rsidRPr="002E3F2B">
        <w:rPr>
          <w:rFonts w:ascii="Garamond" w:hAnsi="Garamond" w:cs="Times New Roman"/>
          <w:i/>
          <w:iCs/>
          <w:sz w:val="24"/>
          <w:szCs w:val="24"/>
        </w:rPr>
        <w:t xml:space="preserve">[...] ndonëse në rekurs ishin parashtruar argumente konkrete për kohëzgjatjen dhe mangësitë e pretenduara të hetimit, Gjykata e Lartë nuk ka vlerësuar natyrën e tyre kushtetuese dhe as nuk ka analizuar nëse gjykatat më të ulëta u kishin dhënë përgjigje në raport me aspektin procedural të së drejtës për jetën. Në veçanti, ajo nuk ka shpjeguar se </w:t>
      </w:r>
      <w:r w:rsidRPr="002E3F2B">
        <w:rPr>
          <w:rFonts w:ascii="Garamond" w:hAnsi="Garamond" w:cs="Times New Roman"/>
          <w:bCs/>
          <w:i/>
          <w:iCs/>
          <w:sz w:val="24"/>
          <w:szCs w:val="24"/>
        </w:rPr>
        <w:t>përse argumentet që vinin në diskutim përmbushjen e detyrimit procedural që buron nga e drejta për jetën nuk kërkonin një përgjigje të shprehur në kuadër të shqyrtimit të rekursit.</w:t>
      </w:r>
      <w:r w:rsidRPr="002E3F2B">
        <w:rPr>
          <w:rFonts w:ascii="Garamond" w:hAnsi="Garamond" w:cs="Times New Roman"/>
          <w:b/>
          <w:bCs/>
          <w:i/>
          <w:iCs/>
          <w:sz w:val="24"/>
          <w:szCs w:val="24"/>
        </w:rPr>
        <w:t xml:space="preserve"> </w:t>
      </w:r>
      <w:r w:rsidRPr="002E3F2B">
        <w:rPr>
          <w:rFonts w:ascii="Garamond" w:hAnsi="Garamond" w:cs="Times New Roman"/>
          <w:i/>
          <w:iCs/>
          <w:sz w:val="24"/>
          <w:szCs w:val="24"/>
        </w:rPr>
        <w:t xml:space="preserve">Në këto kushte, Gjykata vlerëson se Gjykata e Lartë nuk ka siguruar një kontroll gjyqësor efektiv të pretendimit me natyrë kushtetuese të ngritur nga kërkueset dhe nuk ka përmbushur standardin e arsyetimit të vendimit gjyqësor. Fakti se procedimi penal ishte pushuar për shkak të parashkrimit nuk e përjashtonte detyrimin e saj për të verifikuar nëse pretendimet për mënyrën e zhvillimit të hetimit kishin marrë një përgjigje në përputhje me standardet kushtetuese. Për rrjedhojë, për këtë pretendim, </w:t>
      </w:r>
      <w:proofErr w:type="spellStart"/>
      <w:r w:rsidRPr="002E3F2B">
        <w:rPr>
          <w:rFonts w:ascii="Garamond" w:hAnsi="Garamond" w:cs="Times New Roman"/>
          <w:i/>
          <w:iCs/>
          <w:sz w:val="24"/>
          <w:szCs w:val="24"/>
        </w:rPr>
        <w:t>aksesi</w:t>
      </w:r>
      <w:proofErr w:type="spellEnd"/>
      <w:r w:rsidRPr="002E3F2B">
        <w:rPr>
          <w:rFonts w:ascii="Garamond" w:hAnsi="Garamond" w:cs="Times New Roman"/>
          <w:i/>
          <w:iCs/>
          <w:sz w:val="24"/>
          <w:szCs w:val="24"/>
        </w:rPr>
        <w:t xml:space="preserve"> i kërkueseve në Gjykatën e Lartë ka mbetur formal, duke cenuar të drejtën e tyre për proces të rregullt ligjor në drejtim të </w:t>
      </w:r>
      <w:proofErr w:type="spellStart"/>
      <w:r w:rsidRPr="002E3F2B">
        <w:rPr>
          <w:rFonts w:ascii="Garamond" w:hAnsi="Garamond" w:cs="Times New Roman"/>
          <w:i/>
          <w:iCs/>
          <w:sz w:val="24"/>
          <w:szCs w:val="24"/>
        </w:rPr>
        <w:t>aksesit</w:t>
      </w:r>
      <w:proofErr w:type="spellEnd"/>
      <w:r w:rsidRPr="002E3F2B">
        <w:rPr>
          <w:rFonts w:ascii="Garamond" w:hAnsi="Garamond" w:cs="Times New Roman"/>
          <w:i/>
          <w:iCs/>
          <w:sz w:val="24"/>
          <w:szCs w:val="24"/>
        </w:rPr>
        <w:t xml:space="preserve"> substancial dhe të standardit të arsyetimit të vendimit gjyqësor, të lidhura me aspektin procedural të së drejtës për jetën</w:t>
      </w:r>
      <w:r w:rsidRPr="002E3F2B">
        <w:rPr>
          <w:rFonts w:ascii="Garamond" w:hAnsi="Garamond" w:cs="Times New Roman"/>
          <w:sz w:val="24"/>
          <w:szCs w:val="24"/>
        </w:rPr>
        <w:t>”.</w:t>
      </w:r>
    </w:p>
    <w:p w14:paraId="46217E7D" w14:textId="625A4DE1" w:rsidR="00470F0A" w:rsidRPr="002E3F2B" w:rsidRDefault="00470F0A" w:rsidP="00901941">
      <w:pPr>
        <w:pStyle w:val="ListParagraph"/>
        <w:tabs>
          <w:tab w:val="left" w:pos="620"/>
          <w:tab w:val="left" w:pos="980"/>
          <w:tab w:val="left" w:pos="1080"/>
        </w:tabs>
        <w:spacing w:after="0" w:line="240" w:lineRule="auto"/>
        <w:ind w:left="0" w:firstLine="284"/>
        <w:jc w:val="both"/>
        <w:rPr>
          <w:rFonts w:ascii="Garamond" w:hAnsi="Garamond" w:cs="Times New Roman"/>
          <w:sz w:val="24"/>
          <w:szCs w:val="24"/>
        </w:rPr>
      </w:pPr>
      <w:r w:rsidRPr="002E3F2B">
        <w:rPr>
          <w:rFonts w:ascii="Garamond" w:hAnsi="Garamond" w:cs="Times New Roman"/>
          <w:sz w:val="24"/>
          <w:szCs w:val="24"/>
        </w:rPr>
        <w:t xml:space="preserve">3. Pakica, ndonëse ndan të njëjtin vlerësim me shumicën për sa i përket rëndësisë të së drejtës për jetën në planin kushtetues dhe faktit se ajo përbën bazën e ekzistencës të </w:t>
      </w:r>
      <w:proofErr w:type="spellStart"/>
      <w:r w:rsidRPr="002E3F2B">
        <w:rPr>
          <w:rFonts w:ascii="Garamond" w:hAnsi="Garamond" w:cs="Times New Roman"/>
          <w:sz w:val="24"/>
          <w:szCs w:val="24"/>
        </w:rPr>
        <w:t>të</w:t>
      </w:r>
      <w:proofErr w:type="spellEnd"/>
      <w:r w:rsidRPr="002E3F2B">
        <w:rPr>
          <w:rFonts w:ascii="Garamond" w:hAnsi="Garamond" w:cs="Times New Roman"/>
          <w:sz w:val="24"/>
          <w:szCs w:val="24"/>
        </w:rPr>
        <w:t xml:space="preserve"> gjitha të drejtave të tjera të njeriut, lidhur me çështjen konkrete dhe objektin e gjykimit në gjykatat e juridiksionit të zakonshëm, vlerëson se jo çdo “gabim” procedural justifikon cenimin e vendimmarrjes së gjykatave të zakonshme. Vetëm gabimet procedurale që </w:t>
      </w:r>
      <w:proofErr w:type="spellStart"/>
      <w:r w:rsidRPr="002E3F2B">
        <w:rPr>
          <w:rFonts w:ascii="Garamond" w:hAnsi="Garamond" w:cs="Times New Roman"/>
          <w:sz w:val="24"/>
          <w:szCs w:val="24"/>
        </w:rPr>
        <w:t>passjellin</w:t>
      </w:r>
      <w:proofErr w:type="spellEnd"/>
      <w:r w:rsidRPr="002E3F2B">
        <w:rPr>
          <w:rFonts w:ascii="Garamond" w:hAnsi="Garamond" w:cs="Times New Roman"/>
          <w:sz w:val="24"/>
          <w:szCs w:val="24"/>
        </w:rPr>
        <w:t xml:space="preserve"> njëkohësisht dëmtimin serioz </w:t>
      </w:r>
      <w:r w:rsidRPr="002E3F2B">
        <w:rPr>
          <w:rFonts w:ascii="Garamond" w:hAnsi="Garamond" w:cs="Times New Roman"/>
          <w:sz w:val="24"/>
          <w:szCs w:val="24"/>
        </w:rPr>
        <w:lastRenderedPageBreak/>
        <w:t xml:space="preserve">edhe të një të drejte substanciale kushtetuese mund të </w:t>
      </w:r>
      <w:proofErr w:type="spellStart"/>
      <w:r w:rsidRPr="002E3F2B">
        <w:rPr>
          <w:rFonts w:ascii="Garamond" w:hAnsi="Garamond" w:cs="Times New Roman"/>
          <w:sz w:val="24"/>
          <w:szCs w:val="24"/>
        </w:rPr>
        <w:t>passjellin</w:t>
      </w:r>
      <w:proofErr w:type="spellEnd"/>
      <w:r w:rsidRPr="002E3F2B">
        <w:rPr>
          <w:rFonts w:ascii="Garamond" w:hAnsi="Garamond" w:cs="Times New Roman"/>
          <w:sz w:val="24"/>
          <w:szCs w:val="24"/>
        </w:rPr>
        <w:t xml:space="preserve"> cenimin e vendimmarrjes së atyre gjykatave. </w:t>
      </w:r>
    </w:p>
    <w:p w14:paraId="0DFE5628" w14:textId="5D577BAE" w:rsidR="00470F0A" w:rsidRPr="002E3F2B" w:rsidRDefault="00470F0A" w:rsidP="00901941">
      <w:pPr>
        <w:pStyle w:val="ListParagraph"/>
        <w:tabs>
          <w:tab w:val="left" w:pos="620"/>
          <w:tab w:val="left" w:pos="980"/>
          <w:tab w:val="left" w:pos="1080"/>
        </w:tabs>
        <w:spacing w:after="0" w:line="240" w:lineRule="auto"/>
        <w:ind w:left="0" w:firstLine="284"/>
        <w:jc w:val="both"/>
        <w:rPr>
          <w:rFonts w:ascii="Garamond" w:hAnsi="Garamond" w:cs="Times New Roman"/>
          <w:sz w:val="24"/>
          <w:szCs w:val="24"/>
        </w:rPr>
      </w:pPr>
      <w:r w:rsidRPr="002E3F2B">
        <w:rPr>
          <w:rFonts w:ascii="Garamond" w:hAnsi="Garamond" w:cs="Times New Roman"/>
          <w:sz w:val="24"/>
          <w:szCs w:val="24"/>
        </w:rPr>
        <w:t>4. Rasti penal i trajtuar nga gjykatat e zakonshme kishte për objekt: “</w:t>
      </w:r>
      <w:r w:rsidRPr="002E3F2B">
        <w:rPr>
          <w:rFonts w:ascii="Garamond" w:hAnsi="Garamond" w:cs="Times New Roman"/>
          <w:i/>
          <w:iCs/>
          <w:sz w:val="24"/>
          <w:szCs w:val="24"/>
        </w:rPr>
        <w:t>Kundërshtimin e vendimit të pushimit të pr</w:t>
      </w:r>
      <w:r w:rsidR="002E3F2B">
        <w:rPr>
          <w:rFonts w:ascii="Garamond" w:hAnsi="Garamond" w:cs="Times New Roman"/>
          <w:i/>
          <w:iCs/>
          <w:sz w:val="24"/>
          <w:szCs w:val="24"/>
        </w:rPr>
        <w:t>ocedimit penal nr.502, datë 27.</w:t>
      </w:r>
      <w:r w:rsidRPr="002E3F2B">
        <w:rPr>
          <w:rFonts w:ascii="Garamond" w:hAnsi="Garamond" w:cs="Times New Roman"/>
          <w:i/>
          <w:iCs/>
          <w:sz w:val="24"/>
          <w:szCs w:val="24"/>
        </w:rPr>
        <w:t>1.2017</w:t>
      </w:r>
      <w:r w:rsidR="002E3F2B">
        <w:rPr>
          <w:rFonts w:ascii="Garamond" w:hAnsi="Garamond" w:cs="Times New Roman"/>
          <w:i/>
          <w:iCs/>
          <w:sz w:val="24"/>
          <w:szCs w:val="24"/>
        </w:rPr>
        <w:t>,</w:t>
      </w:r>
      <w:r w:rsidRPr="002E3F2B">
        <w:rPr>
          <w:rFonts w:ascii="Garamond" w:hAnsi="Garamond" w:cs="Times New Roman"/>
          <w:i/>
          <w:iCs/>
          <w:sz w:val="24"/>
          <w:szCs w:val="24"/>
        </w:rPr>
        <w:t xml:space="preserve"> të Prokurorisë pranë Gjykatës së Rrethit Gjyqësor Fier</w:t>
      </w:r>
      <w:r w:rsidRPr="002E3F2B">
        <w:rPr>
          <w:rFonts w:ascii="Garamond" w:hAnsi="Garamond" w:cs="Times New Roman"/>
          <w:sz w:val="24"/>
          <w:szCs w:val="24"/>
        </w:rPr>
        <w:t>” dhe jo edhe konstatimin e cenimit të së drejtës së jetës për shkak të moskryerjes së hetimeve efektive nga ana e organit të prokurorisë. Rrjedhimisht, gjykatat e zakonshme penale dhe veçanërisht Gjykata e Lartë mund të merrte në shqyrtim vetëm objektin e kërkimit të lidhur me procesin penal dhe eventualisht të vendoste prishjen e vendimeve të gjykatave më të ulëta, nëse do të mund të urdhërohej njëkohësisht edhe vazhdimi i hetimeve, ose mospranimin e rekurseve të paraqitura kundër tyre, nëse mundësia e vazhdimit të hetimeve do të ishte e pamundur. Në fakt, çështja e paraqitur për zgjidhje përpara gjykatave të zakonshme nuk lidhej me pushimin e hetimeve ose pezullimin e tyre për shkak të pamundësisë së zbulimit të autorëve të vra</w:t>
      </w:r>
      <w:r w:rsidR="002E3F2B">
        <w:rPr>
          <w:rFonts w:ascii="Garamond" w:hAnsi="Garamond" w:cs="Times New Roman"/>
          <w:sz w:val="24"/>
          <w:szCs w:val="24"/>
        </w:rPr>
        <w:t>sjes së ndodhur në Greqi më 21.</w:t>
      </w:r>
      <w:r w:rsidRPr="002E3F2B">
        <w:rPr>
          <w:rFonts w:ascii="Garamond" w:hAnsi="Garamond" w:cs="Times New Roman"/>
          <w:sz w:val="24"/>
          <w:szCs w:val="24"/>
        </w:rPr>
        <w:t>9.1996, por me pushimin e procedimit penal për shkak të veprimit të institutit të parashkrimit të ndjekjes penale, i cili pamundëson objektivisht vijimin e hetimeve, sido që të jenë zhvilluar më parë ato (efektive ose joefektive). Konkretisht, neni 66 i KP-së, a</w:t>
      </w:r>
      <w:r w:rsidR="002E3F2B">
        <w:rPr>
          <w:rFonts w:ascii="Garamond" w:hAnsi="Garamond" w:cs="Times New Roman"/>
          <w:sz w:val="24"/>
          <w:szCs w:val="24"/>
        </w:rPr>
        <w:t>shtu siç ka qenë në fuqi më 21.</w:t>
      </w:r>
      <w:r w:rsidRPr="002E3F2B">
        <w:rPr>
          <w:rFonts w:ascii="Garamond" w:hAnsi="Garamond" w:cs="Times New Roman"/>
          <w:sz w:val="24"/>
          <w:szCs w:val="24"/>
        </w:rPr>
        <w:t>9.1996, parashikonte shprehimisht se: “</w:t>
      </w:r>
      <w:r w:rsidRPr="002E3F2B">
        <w:rPr>
          <w:rFonts w:ascii="Garamond" w:hAnsi="Garamond" w:cs="Times New Roman"/>
          <w:i/>
          <w:iCs/>
          <w:sz w:val="24"/>
          <w:szCs w:val="24"/>
        </w:rPr>
        <w:t>Nuk mund të bëhen ndjekje penale kur nga kryerja e veprës deri në çastin e marrjes së personit si të pandehur kanë kaluar: a) njëzet vjet për krimet që parashikojnë dënim jo më të ulët se dhjetë vjet burgim ose dënim tjetër më të rëndë.</w:t>
      </w:r>
      <w:r w:rsidRPr="002E3F2B">
        <w:rPr>
          <w:rFonts w:ascii="Garamond" w:hAnsi="Garamond" w:cs="Times New Roman"/>
          <w:sz w:val="24"/>
          <w:szCs w:val="24"/>
        </w:rPr>
        <w:t>”. Nga ana tjetër, paragrafi i fundit i nenit 3 të KP-së parashikonte se “</w:t>
      </w:r>
      <w:r w:rsidRPr="002E3F2B">
        <w:rPr>
          <w:rFonts w:ascii="Garamond" w:hAnsi="Garamond" w:cs="Times New Roman"/>
          <w:i/>
          <w:iCs/>
          <w:sz w:val="24"/>
          <w:szCs w:val="24"/>
        </w:rPr>
        <w:t>Kur ligji i kohës kur është kryer vepra penale dhe ligji i mëvonshëm janë të ndryshëm, zbatohet ai ligj, dispozitat e të cilit janë më të favorshme për personin që ka kryer veprën penale</w:t>
      </w:r>
      <w:r w:rsidRPr="002E3F2B">
        <w:rPr>
          <w:rFonts w:ascii="Garamond" w:hAnsi="Garamond" w:cs="Times New Roman"/>
          <w:sz w:val="24"/>
          <w:szCs w:val="24"/>
        </w:rPr>
        <w:t xml:space="preserve">”. </w:t>
      </w:r>
    </w:p>
    <w:p w14:paraId="713C00B7" w14:textId="1B27ACDC" w:rsidR="00470F0A" w:rsidRPr="002E3F2B" w:rsidRDefault="00470F0A" w:rsidP="00901941">
      <w:pPr>
        <w:pStyle w:val="ListParagraph"/>
        <w:tabs>
          <w:tab w:val="left" w:pos="620"/>
          <w:tab w:val="left" w:pos="980"/>
          <w:tab w:val="left" w:pos="1080"/>
        </w:tabs>
        <w:spacing w:after="0" w:line="240" w:lineRule="auto"/>
        <w:ind w:left="0" w:firstLine="284"/>
        <w:jc w:val="both"/>
        <w:rPr>
          <w:rFonts w:ascii="Garamond" w:hAnsi="Garamond" w:cs="Times New Roman"/>
          <w:sz w:val="24"/>
          <w:szCs w:val="24"/>
        </w:rPr>
      </w:pPr>
      <w:r w:rsidRPr="002E3F2B">
        <w:rPr>
          <w:rFonts w:ascii="Garamond" w:hAnsi="Garamond" w:cs="Times New Roman"/>
          <w:sz w:val="24"/>
          <w:szCs w:val="24"/>
        </w:rPr>
        <w:t>5. Argumentet e kërkueseve në lidhje me kualifikimin e qëllimshëm të veprës penale nga prokuroria, si e parashikuar nga neni 76</w:t>
      </w:r>
      <w:r w:rsidR="002E3F2B">
        <w:rPr>
          <w:rFonts w:ascii="Garamond" w:hAnsi="Garamond" w:cs="Times New Roman"/>
          <w:sz w:val="24"/>
          <w:szCs w:val="24"/>
        </w:rPr>
        <w:t xml:space="preserve"> </w:t>
      </w:r>
      <w:r w:rsidRPr="002E3F2B">
        <w:rPr>
          <w:rFonts w:ascii="Garamond" w:hAnsi="Garamond" w:cs="Times New Roman"/>
          <w:sz w:val="24"/>
          <w:szCs w:val="24"/>
        </w:rPr>
        <w:t>i KP-së (</w:t>
      </w:r>
      <w:r w:rsidRPr="002E3F2B">
        <w:rPr>
          <w:rFonts w:ascii="Garamond" w:hAnsi="Garamond" w:cs="Times New Roman"/>
          <w:i/>
          <w:iCs/>
          <w:sz w:val="24"/>
          <w:szCs w:val="24"/>
        </w:rPr>
        <w:t>dhe jo një kualifikim më i rëndë, për shkak se vrasja është kryer me paramendim</w:t>
      </w:r>
      <w:r w:rsidRPr="002E3F2B">
        <w:rPr>
          <w:rFonts w:ascii="Garamond" w:hAnsi="Garamond" w:cs="Times New Roman"/>
          <w:sz w:val="24"/>
          <w:szCs w:val="24"/>
        </w:rPr>
        <w:t xml:space="preserve">), nuk ndikojnë aspak te detyrimi i organit procedues për zbatimin e nenit 66 të KP-së, për sa kohë që, sipas ligjit të zbatueshëm, nuk bëhet fjalë dhe as nuk pretendohet për ekzistencën e krimeve të luftës ose të atyre kundër njerëzimit, për të cilat vepron përjashtimi nga zbatimi i institutit të parashkrimit të ndjekjes penale sipas nenit 67 të këtij kodi. Rrjedhimisht, vrasja e të ndjerit në vitin 1996, sido që të kualifikohej (sipas neneve 76, 78 ose 79 të KP-së), nuk mund të ndikonte në veprimin e afatit ligjor 20-vjeçar të parashkrimit të ndjekjes penale. Kjo në çdo rrethanë do të duhej të </w:t>
      </w:r>
      <w:proofErr w:type="spellStart"/>
      <w:r w:rsidRPr="002E3F2B">
        <w:rPr>
          <w:rFonts w:ascii="Garamond" w:hAnsi="Garamond" w:cs="Times New Roman"/>
          <w:sz w:val="24"/>
          <w:szCs w:val="24"/>
        </w:rPr>
        <w:t>passillte</w:t>
      </w:r>
      <w:proofErr w:type="spellEnd"/>
      <w:r w:rsidRPr="002E3F2B">
        <w:rPr>
          <w:rFonts w:ascii="Garamond" w:hAnsi="Garamond" w:cs="Times New Roman"/>
          <w:sz w:val="24"/>
          <w:szCs w:val="24"/>
        </w:rPr>
        <w:t xml:space="preserve"> pushimin e procedimit penal sipas nenit 328 të KPP-së, duke mos pasur mundësi prokuroria për të vijuar hetimin e çështjes.</w:t>
      </w:r>
    </w:p>
    <w:p w14:paraId="25F45190" w14:textId="688C55CD" w:rsidR="00470F0A" w:rsidRPr="002E3F2B" w:rsidRDefault="00470F0A" w:rsidP="00901941">
      <w:pPr>
        <w:pStyle w:val="ListParagraph"/>
        <w:tabs>
          <w:tab w:val="left" w:pos="620"/>
          <w:tab w:val="left" w:pos="980"/>
          <w:tab w:val="left" w:pos="1080"/>
        </w:tabs>
        <w:spacing w:after="0" w:line="240" w:lineRule="auto"/>
        <w:ind w:left="0" w:firstLine="284"/>
        <w:jc w:val="both"/>
        <w:rPr>
          <w:rFonts w:ascii="Garamond" w:hAnsi="Garamond" w:cs="Times New Roman"/>
          <w:sz w:val="24"/>
          <w:szCs w:val="24"/>
        </w:rPr>
      </w:pPr>
      <w:r w:rsidRPr="002E3F2B">
        <w:rPr>
          <w:rFonts w:ascii="Garamond" w:hAnsi="Garamond" w:cs="Times New Roman"/>
          <w:sz w:val="24"/>
          <w:szCs w:val="24"/>
        </w:rPr>
        <w:t xml:space="preserve">6. Për sa i përket pretendimit të cenimit të së drejtës për jetën (në aspektin procedural) për shkak të </w:t>
      </w:r>
      <w:proofErr w:type="spellStart"/>
      <w:r w:rsidRPr="002E3F2B">
        <w:rPr>
          <w:rFonts w:ascii="Garamond" w:hAnsi="Garamond" w:cs="Times New Roman"/>
          <w:sz w:val="24"/>
          <w:szCs w:val="24"/>
        </w:rPr>
        <w:t>moshetimit</w:t>
      </w:r>
      <w:proofErr w:type="spellEnd"/>
      <w:r w:rsidRPr="002E3F2B">
        <w:rPr>
          <w:rFonts w:ascii="Garamond" w:hAnsi="Garamond" w:cs="Times New Roman"/>
          <w:sz w:val="24"/>
          <w:szCs w:val="24"/>
        </w:rPr>
        <w:t xml:space="preserve"> efektiv nga prokuroria, pakica vëren se ky kërkim, për sa kohë që në mënyrë të padyshimtë gjente zbatim neni 66 i KP-së (parashkrimi i ndjekjes penale), nuk mund të zgjidhej më në këtë proces penal dhe se çdo konstatim në këtë drejtim, në pjesën arsyetuese të vendimeve të gjykatave, nuk do të përbënte ndonjë vendim në favor të kërkueseve (përfshirë dhe në kuptim të nenit 70 të KPP-së). </w:t>
      </w:r>
      <w:r w:rsidRPr="002E3F2B">
        <w:rPr>
          <w:rFonts w:ascii="Garamond" w:hAnsi="Garamond" w:cs="Times New Roman"/>
          <w:bCs/>
          <w:sz w:val="24"/>
          <w:szCs w:val="24"/>
        </w:rPr>
        <w:t>Pretendimet e kërkueseve për zhvillimin e hetimit në raport me aspektin procedural të së drejtës për jetën do të duhej të trajtoheshin nga gjykatat nëse do të ekzistonte mundësia e urdhërimit të zhvillimit të hetimeve efektive për mbrojtjen e së drejtës për jetën, por jo në rastin kur kryerja e mëtejshme e hetimeve është e ndaluar me një normë publike me karakter absolut, si ajo e parashikuar nga neni 66 i KP-së.</w:t>
      </w:r>
      <w:r w:rsidRPr="002E3F2B">
        <w:rPr>
          <w:rFonts w:ascii="Garamond" w:hAnsi="Garamond" w:cs="Times New Roman"/>
          <w:sz w:val="24"/>
          <w:szCs w:val="24"/>
        </w:rPr>
        <w:t xml:space="preserve"> Ndaj, në kushtet e çështjes objekt gjykimi, prishja e vendimit penal të Gjykatës së Lartë dhe kthimi i çështjes për rigjykim nuk duket se rivendos në vend ndonjë të drejtë kushtetuese të kërkueseve, për shkak edhe të pamundësisë procedurale të </w:t>
      </w:r>
      <w:proofErr w:type="spellStart"/>
      <w:r w:rsidRPr="002E3F2B">
        <w:rPr>
          <w:rFonts w:ascii="Garamond" w:hAnsi="Garamond" w:cs="Times New Roman"/>
          <w:sz w:val="24"/>
          <w:szCs w:val="24"/>
        </w:rPr>
        <w:t>disponimit</w:t>
      </w:r>
      <w:proofErr w:type="spellEnd"/>
      <w:r w:rsidRPr="002E3F2B">
        <w:rPr>
          <w:rFonts w:ascii="Garamond" w:hAnsi="Garamond" w:cs="Times New Roman"/>
          <w:sz w:val="24"/>
          <w:szCs w:val="24"/>
        </w:rPr>
        <w:t xml:space="preserve"> me vendim nga ajo gjykatë për ndonjë zgjidhje efektive për garantimin e së drejtës për jetën, që pretendohet se është cenuar ose nxitjen e hetimit efektiv të rastit.</w:t>
      </w:r>
    </w:p>
    <w:p w14:paraId="20F96068" w14:textId="77777777" w:rsidR="00470F0A" w:rsidRPr="002E3F2B" w:rsidRDefault="00470F0A" w:rsidP="00901941">
      <w:pPr>
        <w:tabs>
          <w:tab w:val="left" w:pos="0"/>
          <w:tab w:val="left" w:pos="1080"/>
        </w:tabs>
        <w:spacing w:after="0" w:line="240" w:lineRule="auto"/>
        <w:ind w:firstLine="284"/>
        <w:rPr>
          <w:rFonts w:ascii="Garamond" w:hAnsi="Garamond" w:cs="Times New Roman"/>
          <w:b/>
          <w:bCs/>
          <w:sz w:val="24"/>
          <w:szCs w:val="24"/>
        </w:rPr>
      </w:pPr>
    </w:p>
    <w:p w14:paraId="7AA43190" w14:textId="67994A7E" w:rsidR="008D500E" w:rsidRDefault="008D500E" w:rsidP="003D3DFB">
      <w:pPr>
        <w:spacing w:after="0" w:line="240" w:lineRule="auto"/>
        <w:ind w:firstLine="284"/>
        <w:jc w:val="both"/>
        <w:rPr>
          <w:rFonts w:ascii="Garamond" w:hAnsi="Garamond" w:cs="Times New Roman"/>
          <w:b/>
          <w:bCs/>
          <w:sz w:val="24"/>
          <w:szCs w:val="24"/>
        </w:rPr>
      </w:pPr>
      <w:r>
        <w:rPr>
          <w:rFonts w:ascii="Garamond" w:hAnsi="Garamond" w:cs="Times New Roman"/>
          <w:b/>
          <w:bCs/>
          <w:sz w:val="24"/>
          <w:szCs w:val="24"/>
        </w:rPr>
        <w:t xml:space="preserve">Kryetare: </w:t>
      </w:r>
      <w:proofErr w:type="spellStart"/>
      <w:r w:rsidRPr="002E3F2B">
        <w:rPr>
          <w:rFonts w:ascii="Garamond" w:hAnsi="Garamond" w:cs="Times New Roman"/>
          <w:bCs/>
          <w:sz w:val="24"/>
          <w:szCs w:val="24"/>
        </w:rPr>
        <w:t>Fiona</w:t>
      </w:r>
      <w:proofErr w:type="spellEnd"/>
      <w:r w:rsidRPr="002E3F2B">
        <w:rPr>
          <w:rFonts w:ascii="Garamond" w:hAnsi="Garamond" w:cs="Times New Roman"/>
          <w:bCs/>
          <w:sz w:val="24"/>
          <w:szCs w:val="24"/>
        </w:rPr>
        <w:t xml:space="preserve"> </w:t>
      </w:r>
      <w:proofErr w:type="spellStart"/>
      <w:r w:rsidRPr="002E3F2B">
        <w:rPr>
          <w:rFonts w:ascii="Garamond" w:hAnsi="Garamond" w:cs="Times New Roman"/>
          <w:bCs/>
          <w:sz w:val="24"/>
          <w:szCs w:val="24"/>
        </w:rPr>
        <w:t>Papajorgji</w:t>
      </w:r>
      <w:proofErr w:type="spellEnd"/>
    </w:p>
    <w:p w14:paraId="18E0F3FF" w14:textId="661C6E2D" w:rsidR="003D3DFB" w:rsidRPr="002E3F2B" w:rsidRDefault="003D3DFB" w:rsidP="003D3DFB">
      <w:pPr>
        <w:spacing w:after="0" w:line="240" w:lineRule="auto"/>
        <w:ind w:firstLine="284"/>
        <w:jc w:val="both"/>
        <w:rPr>
          <w:rFonts w:ascii="Garamond" w:hAnsi="Garamond" w:cs="Times New Roman"/>
          <w:b/>
          <w:bCs/>
          <w:sz w:val="24"/>
          <w:szCs w:val="24"/>
        </w:rPr>
      </w:pPr>
      <w:r w:rsidRPr="002E3F2B">
        <w:rPr>
          <w:rFonts w:ascii="Garamond" w:hAnsi="Garamond" w:cs="Times New Roman"/>
          <w:b/>
          <w:bCs/>
          <w:sz w:val="24"/>
          <w:szCs w:val="24"/>
        </w:rPr>
        <w:t>Anëtarë:</w:t>
      </w:r>
      <w:r w:rsidRPr="002E3F2B">
        <w:rPr>
          <w:rFonts w:ascii="Garamond" w:hAnsi="Garamond" w:cs="Times New Roman"/>
          <w:bCs/>
          <w:sz w:val="24"/>
          <w:szCs w:val="24"/>
        </w:rPr>
        <w:t xml:space="preserve"> Genti Ibrahimi, </w:t>
      </w:r>
      <w:proofErr w:type="spellStart"/>
      <w:r w:rsidRPr="002E3F2B">
        <w:rPr>
          <w:rFonts w:ascii="Garamond" w:hAnsi="Garamond" w:cs="Times New Roman"/>
          <w:bCs/>
          <w:sz w:val="24"/>
          <w:szCs w:val="24"/>
        </w:rPr>
        <w:t>Asim</w:t>
      </w:r>
      <w:proofErr w:type="spellEnd"/>
      <w:r w:rsidRPr="002E3F2B">
        <w:rPr>
          <w:rFonts w:ascii="Garamond" w:hAnsi="Garamond" w:cs="Times New Roman"/>
          <w:bCs/>
          <w:sz w:val="24"/>
          <w:szCs w:val="24"/>
        </w:rPr>
        <w:t xml:space="preserve"> </w:t>
      </w:r>
      <w:proofErr w:type="spellStart"/>
      <w:r w:rsidRPr="002E3F2B">
        <w:rPr>
          <w:rFonts w:ascii="Garamond" w:hAnsi="Garamond" w:cs="Times New Roman"/>
          <w:bCs/>
          <w:sz w:val="24"/>
          <w:szCs w:val="24"/>
        </w:rPr>
        <w:t>Vokshi</w:t>
      </w:r>
      <w:proofErr w:type="spellEnd"/>
    </w:p>
    <w:p w14:paraId="19F432B3" w14:textId="77777777" w:rsidR="00470F0A" w:rsidRPr="002E3F2B" w:rsidRDefault="00470F0A" w:rsidP="00901941">
      <w:pPr>
        <w:tabs>
          <w:tab w:val="left" w:pos="1080"/>
        </w:tabs>
        <w:spacing w:after="0" w:line="240" w:lineRule="auto"/>
        <w:ind w:firstLine="284"/>
        <w:jc w:val="both"/>
        <w:rPr>
          <w:rFonts w:ascii="Garamond" w:hAnsi="Garamond" w:cs="Times New Roman"/>
          <w:sz w:val="24"/>
          <w:szCs w:val="24"/>
        </w:rPr>
      </w:pPr>
    </w:p>
    <w:p w14:paraId="1F08EE8D" w14:textId="77777777" w:rsidR="00470F0A" w:rsidRPr="002E3F2B" w:rsidRDefault="00470F0A" w:rsidP="00901941">
      <w:pPr>
        <w:spacing w:after="0" w:line="240" w:lineRule="auto"/>
        <w:ind w:firstLine="284"/>
        <w:rPr>
          <w:rFonts w:ascii="Garamond" w:hAnsi="Garamond"/>
          <w:sz w:val="24"/>
          <w:szCs w:val="24"/>
        </w:rPr>
      </w:pPr>
    </w:p>
    <w:sectPr w:rsidR="00470F0A" w:rsidRPr="002E3F2B" w:rsidSect="00B3440E">
      <w:pgSz w:w="11909" w:h="16834" w:code="9"/>
      <w:pgMar w:top="720" w:right="1440" w:bottom="144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FCA2FF" w14:textId="77777777" w:rsidR="004E6C6F" w:rsidRDefault="004E6C6F" w:rsidP="00AC14B2">
      <w:pPr>
        <w:spacing w:after="0" w:line="240" w:lineRule="auto"/>
      </w:pPr>
      <w:r>
        <w:separator/>
      </w:r>
    </w:p>
  </w:endnote>
  <w:endnote w:type="continuationSeparator" w:id="0">
    <w:p w14:paraId="525A37FB" w14:textId="77777777" w:rsidR="004E6C6F" w:rsidRDefault="004E6C6F" w:rsidP="00AC14B2">
      <w:pPr>
        <w:spacing w:after="0" w:line="240" w:lineRule="auto"/>
      </w:pPr>
      <w:r>
        <w:continuationSeparator/>
      </w:r>
    </w:p>
  </w:endnote>
  <w:endnote w:type="continuationNotice" w:id="1">
    <w:p w14:paraId="4A45D645" w14:textId="77777777" w:rsidR="004E6C6F" w:rsidRDefault="004E6C6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21002A87" w:usb1="090F0000" w:usb2="00000010" w:usb3="00000000" w:csb0="003F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77EECD" w14:textId="77777777" w:rsidR="004E6C6F" w:rsidRDefault="004E6C6F" w:rsidP="00AC14B2">
      <w:pPr>
        <w:spacing w:after="0" w:line="240" w:lineRule="auto"/>
      </w:pPr>
      <w:r>
        <w:separator/>
      </w:r>
    </w:p>
  </w:footnote>
  <w:footnote w:type="continuationSeparator" w:id="0">
    <w:p w14:paraId="193594CD" w14:textId="77777777" w:rsidR="004E6C6F" w:rsidRDefault="004E6C6F" w:rsidP="00AC14B2">
      <w:pPr>
        <w:spacing w:after="0" w:line="240" w:lineRule="auto"/>
      </w:pPr>
      <w:r>
        <w:continuationSeparator/>
      </w:r>
    </w:p>
  </w:footnote>
  <w:footnote w:type="continuationNotice" w:id="1">
    <w:p w14:paraId="33D1D08F" w14:textId="77777777" w:rsidR="004E6C6F" w:rsidRDefault="004E6C6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02403"/>
    <w:multiLevelType w:val="hybridMultilevel"/>
    <w:tmpl w:val="D3C261C8"/>
    <w:lvl w:ilvl="0" w:tplc="E1D400D4">
      <w:start w:val="14"/>
      <w:numFmt w:val="decimal"/>
      <w:lvlText w:val="%1."/>
      <w:lvlJc w:val="left"/>
      <w:pPr>
        <w:ind w:left="1288"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242FC6"/>
    <w:multiLevelType w:val="hybridMultilevel"/>
    <w:tmpl w:val="301AD88E"/>
    <w:lvl w:ilvl="0" w:tplc="8D80CBF0">
      <w:start w:val="1"/>
      <w:numFmt w:val="decimal"/>
      <w:lvlText w:val="%1."/>
      <w:lvlJc w:val="left"/>
      <w:pPr>
        <w:ind w:left="1004" w:hanging="720"/>
      </w:pPr>
      <w:rPr>
        <w:rFonts w:hint="default"/>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2" w15:restartNumberingAfterBreak="0">
    <w:nsid w:val="0E451808"/>
    <w:multiLevelType w:val="hybridMultilevel"/>
    <w:tmpl w:val="3380156E"/>
    <w:lvl w:ilvl="0" w:tplc="26AE3B10">
      <w:start w:val="22"/>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15:restartNumberingAfterBreak="0">
    <w:nsid w:val="10483CAC"/>
    <w:multiLevelType w:val="hybridMultilevel"/>
    <w:tmpl w:val="DFD6D11C"/>
    <w:lvl w:ilvl="0" w:tplc="C9D6D5D0">
      <w:start w:val="12"/>
      <w:numFmt w:val="decimal"/>
      <w:lvlText w:val="%1."/>
      <w:lvlJc w:val="left"/>
      <w:pPr>
        <w:ind w:left="720" w:hanging="360"/>
      </w:pPr>
      <w:rPr>
        <w:rFonts w:hint="default"/>
        <w:i w:val="0"/>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15:restartNumberingAfterBreak="0">
    <w:nsid w:val="119657A3"/>
    <w:multiLevelType w:val="multilevel"/>
    <w:tmpl w:val="BD260318"/>
    <w:lvl w:ilvl="0">
      <w:start w:val="1"/>
      <w:numFmt w:val="decimal"/>
      <w:lvlText w:val="%1."/>
      <w:lvlJc w:val="left"/>
      <w:pPr>
        <w:ind w:left="900" w:hanging="360"/>
      </w:pPr>
      <w:rPr>
        <w:rFonts w:ascii="Times New Roman" w:eastAsia="MS Mincho" w:hAnsi="Times New Roman" w:cs="Times New Roman"/>
        <w:b w:val="0"/>
        <w:bCs/>
        <w:i w:val="0"/>
        <w:iCs/>
        <w:color w:val="auto"/>
      </w:rPr>
    </w:lvl>
    <w:lvl w:ilvl="1">
      <w:start w:val="1"/>
      <w:numFmt w:val="decimal"/>
      <w:isLgl/>
      <w:lvlText w:val="%1.%2."/>
      <w:lvlJc w:val="left"/>
      <w:pPr>
        <w:ind w:left="960" w:hanging="600"/>
      </w:pPr>
      <w:rPr>
        <w:rFonts w:ascii="Times New Roman" w:hAnsi="Times New Roman" w:cs="Times New Roman" w:hint="default"/>
        <w:b w:val="0"/>
        <w:bCs w:val="0"/>
        <w:i w:val="0"/>
        <w:iCs w:val="0"/>
        <w:color w:val="auto"/>
      </w:rPr>
    </w:lvl>
    <w:lvl w:ilvl="2">
      <w:start w:val="1"/>
      <w:numFmt w:val="decimal"/>
      <w:isLgl/>
      <w:lvlText w:val="%1.%2.%3."/>
      <w:lvlJc w:val="left"/>
      <w:pPr>
        <w:ind w:left="2010" w:hanging="720"/>
      </w:pPr>
      <w:rPr>
        <w:rFonts w:ascii="Bookman Old Style" w:hAnsi="Bookman Old Style" w:hint="default"/>
      </w:rPr>
    </w:lvl>
    <w:lvl w:ilvl="3">
      <w:start w:val="1"/>
      <w:numFmt w:val="decimal"/>
      <w:isLgl/>
      <w:lvlText w:val="%1.%2.%3.%4."/>
      <w:lvlJc w:val="left"/>
      <w:pPr>
        <w:ind w:left="2385" w:hanging="720"/>
      </w:pPr>
      <w:rPr>
        <w:rFonts w:ascii="Bookman Old Style" w:hAnsi="Bookman Old Style" w:hint="default"/>
      </w:rPr>
    </w:lvl>
    <w:lvl w:ilvl="4">
      <w:start w:val="1"/>
      <w:numFmt w:val="decimal"/>
      <w:isLgl/>
      <w:lvlText w:val="%1.%2.%3.%4.%5."/>
      <w:lvlJc w:val="left"/>
      <w:pPr>
        <w:ind w:left="3120" w:hanging="1080"/>
      </w:pPr>
      <w:rPr>
        <w:rFonts w:ascii="Bookman Old Style" w:hAnsi="Bookman Old Style" w:hint="default"/>
      </w:rPr>
    </w:lvl>
    <w:lvl w:ilvl="5">
      <w:start w:val="1"/>
      <w:numFmt w:val="decimal"/>
      <w:isLgl/>
      <w:lvlText w:val="%1.%2.%3.%4.%5.%6."/>
      <w:lvlJc w:val="left"/>
      <w:pPr>
        <w:ind w:left="3495" w:hanging="1080"/>
      </w:pPr>
      <w:rPr>
        <w:rFonts w:ascii="Bookman Old Style" w:hAnsi="Bookman Old Style" w:hint="default"/>
      </w:rPr>
    </w:lvl>
    <w:lvl w:ilvl="6">
      <w:start w:val="1"/>
      <w:numFmt w:val="decimal"/>
      <w:isLgl/>
      <w:lvlText w:val="%1.%2.%3.%4.%5.%6.%7."/>
      <w:lvlJc w:val="left"/>
      <w:pPr>
        <w:ind w:left="4230" w:hanging="1440"/>
      </w:pPr>
      <w:rPr>
        <w:rFonts w:ascii="Bookman Old Style" w:hAnsi="Bookman Old Style" w:hint="default"/>
      </w:rPr>
    </w:lvl>
    <w:lvl w:ilvl="7">
      <w:start w:val="1"/>
      <w:numFmt w:val="decimal"/>
      <w:isLgl/>
      <w:lvlText w:val="%1.%2.%3.%4.%5.%6.%7.%8."/>
      <w:lvlJc w:val="left"/>
      <w:pPr>
        <w:ind w:left="4605" w:hanging="1440"/>
      </w:pPr>
      <w:rPr>
        <w:rFonts w:ascii="Bookman Old Style" w:hAnsi="Bookman Old Style" w:hint="default"/>
      </w:rPr>
    </w:lvl>
    <w:lvl w:ilvl="8">
      <w:start w:val="1"/>
      <w:numFmt w:val="decimal"/>
      <w:isLgl/>
      <w:lvlText w:val="%1.%2.%3.%4.%5.%6.%7.%8.%9."/>
      <w:lvlJc w:val="left"/>
      <w:pPr>
        <w:ind w:left="5340" w:hanging="1800"/>
      </w:pPr>
      <w:rPr>
        <w:rFonts w:ascii="Bookman Old Style" w:hAnsi="Bookman Old Style" w:hint="default"/>
      </w:rPr>
    </w:lvl>
  </w:abstractNum>
  <w:abstractNum w:abstractNumId="5" w15:restartNumberingAfterBreak="0">
    <w:nsid w:val="11F465EA"/>
    <w:multiLevelType w:val="multilevel"/>
    <w:tmpl w:val="296A21E6"/>
    <w:lvl w:ilvl="0">
      <w:start w:val="9"/>
      <w:numFmt w:val="decimal"/>
      <w:lvlText w:val="%1."/>
      <w:lvlJc w:val="left"/>
      <w:pPr>
        <w:ind w:left="2250" w:hanging="360"/>
      </w:pPr>
      <w:rPr>
        <w:rFonts w:eastAsia="Calibri" w:hint="default"/>
        <w:i w:val="0"/>
        <w:color w:val="auto"/>
      </w:rPr>
    </w:lvl>
    <w:lvl w:ilvl="1">
      <w:start w:val="1"/>
      <w:numFmt w:val="decimal"/>
      <w:lvlText w:val="%1.%2."/>
      <w:lvlJc w:val="left"/>
      <w:pPr>
        <w:ind w:left="1080" w:hanging="360"/>
      </w:pPr>
      <w:rPr>
        <w:rFonts w:eastAsia="Calibri" w:hint="default"/>
        <w:i w:val="0"/>
      </w:rPr>
    </w:lvl>
    <w:lvl w:ilvl="2">
      <w:start w:val="1"/>
      <w:numFmt w:val="decimal"/>
      <w:lvlText w:val="%1.%2.%3."/>
      <w:lvlJc w:val="left"/>
      <w:pPr>
        <w:ind w:left="2160" w:hanging="720"/>
      </w:pPr>
      <w:rPr>
        <w:rFonts w:eastAsia="Calibri" w:hint="default"/>
        <w:i w:val="0"/>
      </w:rPr>
    </w:lvl>
    <w:lvl w:ilvl="3">
      <w:start w:val="1"/>
      <w:numFmt w:val="decimal"/>
      <w:lvlText w:val="%1.%2.%3.%4."/>
      <w:lvlJc w:val="left"/>
      <w:pPr>
        <w:ind w:left="2880" w:hanging="720"/>
      </w:pPr>
      <w:rPr>
        <w:rFonts w:eastAsia="Calibri" w:hint="default"/>
        <w:i/>
      </w:rPr>
    </w:lvl>
    <w:lvl w:ilvl="4">
      <w:start w:val="1"/>
      <w:numFmt w:val="decimal"/>
      <w:lvlText w:val="%1.%2.%3.%4.%5."/>
      <w:lvlJc w:val="left"/>
      <w:pPr>
        <w:ind w:left="3960" w:hanging="1080"/>
      </w:pPr>
      <w:rPr>
        <w:rFonts w:eastAsia="Calibri" w:hint="default"/>
        <w:i/>
      </w:rPr>
    </w:lvl>
    <w:lvl w:ilvl="5">
      <w:start w:val="1"/>
      <w:numFmt w:val="decimal"/>
      <w:lvlText w:val="%1.%2.%3.%4.%5.%6."/>
      <w:lvlJc w:val="left"/>
      <w:pPr>
        <w:ind w:left="4680" w:hanging="1080"/>
      </w:pPr>
      <w:rPr>
        <w:rFonts w:eastAsia="Calibri" w:hint="default"/>
        <w:i/>
      </w:rPr>
    </w:lvl>
    <w:lvl w:ilvl="6">
      <w:start w:val="1"/>
      <w:numFmt w:val="decimal"/>
      <w:lvlText w:val="%1.%2.%3.%4.%5.%6.%7."/>
      <w:lvlJc w:val="left"/>
      <w:pPr>
        <w:ind w:left="5760" w:hanging="1440"/>
      </w:pPr>
      <w:rPr>
        <w:rFonts w:eastAsia="Calibri" w:hint="default"/>
        <w:i/>
      </w:rPr>
    </w:lvl>
    <w:lvl w:ilvl="7">
      <w:start w:val="1"/>
      <w:numFmt w:val="decimal"/>
      <w:lvlText w:val="%1.%2.%3.%4.%5.%6.%7.%8."/>
      <w:lvlJc w:val="left"/>
      <w:pPr>
        <w:ind w:left="6480" w:hanging="1440"/>
      </w:pPr>
      <w:rPr>
        <w:rFonts w:eastAsia="Calibri" w:hint="default"/>
        <w:i/>
      </w:rPr>
    </w:lvl>
    <w:lvl w:ilvl="8">
      <w:start w:val="1"/>
      <w:numFmt w:val="decimal"/>
      <w:lvlText w:val="%1.%2.%3.%4.%5.%6.%7.%8.%9."/>
      <w:lvlJc w:val="left"/>
      <w:pPr>
        <w:ind w:left="7560" w:hanging="1800"/>
      </w:pPr>
      <w:rPr>
        <w:rFonts w:eastAsia="Calibri" w:hint="default"/>
        <w:i/>
      </w:rPr>
    </w:lvl>
  </w:abstractNum>
  <w:abstractNum w:abstractNumId="6" w15:restartNumberingAfterBreak="0">
    <w:nsid w:val="123654A8"/>
    <w:multiLevelType w:val="hybridMultilevel"/>
    <w:tmpl w:val="FC283B12"/>
    <w:lvl w:ilvl="0" w:tplc="8646CC38">
      <w:start w:val="1"/>
      <w:numFmt w:val="decimal"/>
      <w:lvlText w:val="%1."/>
      <w:lvlJc w:val="left"/>
      <w:pPr>
        <w:ind w:left="990" w:hanging="360"/>
      </w:pPr>
      <w:rPr>
        <w:rFonts w:ascii="Times New Roman" w:hAnsi="Times New Roman" w:cs="Times New Roman" w:hint="default"/>
        <w:b w:val="0"/>
        <w:i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D40037"/>
    <w:multiLevelType w:val="hybridMultilevel"/>
    <w:tmpl w:val="EC307CAA"/>
    <w:lvl w:ilvl="0" w:tplc="604E24FC">
      <w:start w:val="24"/>
      <w:numFmt w:val="decimal"/>
      <w:lvlText w:val="%1."/>
      <w:lvlJc w:val="left"/>
      <w:pPr>
        <w:ind w:left="1288"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 w15:restartNumberingAfterBreak="0">
    <w:nsid w:val="147A3718"/>
    <w:multiLevelType w:val="hybridMultilevel"/>
    <w:tmpl w:val="A0BCDAA8"/>
    <w:lvl w:ilvl="0" w:tplc="B9848B68">
      <w:start w:val="7"/>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5C55D8B"/>
    <w:multiLevelType w:val="hybridMultilevel"/>
    <w:tmpl w:val="E4B0E2C8"/>
    <w:lvl w:ilvl="0" w:tplc="CAEE8C38">
      <w:start w:val="29"/>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15:restartNumberingAfterBreak="0">
    <w:nsid w:val="1B75102B"/>
    <w:multiLevelType w:val="hybridMultilevel"/>
    <w:tmpl w:val="CC4C18C0"/>
    <w:lvl w:ilvl="0" w:tplc="CB5E8022">
      <w:start w:val="32"/>
      <w:numFmt w:val="decimal"/>
      <w:lvlText w:val="%1."/>
      <w:lvlJc w:val="left"/>
      <w:pPr>
        <w:ind w:left="1288"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 w15:restartNumberingAfterBreak="0">
    <w:nsid w:val="1BA3010B"/>
    <w:multiLevelType w:val="hybridMultilevel"/>
    <w:tmpl w:val="73784704"/>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088425D"/>
    <w:multiLevelType w:val="hybridMultilevel"/>
    <w:tmpl w:val="62EEB7A6"/>
    <w:lvl w:ilvl="0" w:tplc="1766EAAA">
      <w:start w:val="46"/>
      <w:numFmt w:val="decimal"/>
      <w:lvlText w:val="%1."/>
      <w:lvlJc w:val="left"/>
      <w:pPr>
        <w:ind w:left="1288"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15:restartNumberingAfterBreak="0">
    <w:nsid w:val="272734B9"/>
    <w:multiLevelType w:val="hybridMultilevel"/>
    <w:tmpl w:val="E634F982"/>
    <w:lvl w:ilvl="0" w:tplc="FEF219D2">
      <w:start w:val="2"/>
      <w:numFmt w:val="upp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4" w15:restartNumberingAfterBreak="0">
    <w:nsid w:val="27BC09EE"/>
    <w:multiLevelType w:val="hybridMultilevel"/>
    <w:tmpl w:val="01C07D74"/>
    <w:lvl w:ilvl="0" w:tplc="5966F6D6">
      <w:start w:val="1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8624C5"/>
    <w:multiLevelType w:val="hybridMultilevel"/>
    <w:tmpl w:val="F7F4E1EC"/>
    <w:lvl w:ilvl="0" w:tplc="8B501C58">
      <w:start w:val="1"/>
      <w:numFmt w:val="upperLetter"/>
      <w:lvlText w:val="%1."/>
      <w:lvlJc w:val="left"/>
      <w:pPr>
        <w:ind w:left="1288" w:hanging="360"/>
      </w:pPr>
      <w:rPr>
        <w:rFonts w:hint="default"/>
        <w:b w:val="0"/>
        <w:i/>
      </w:rPr>
    </w:lvl>
    <w:lvl w:ilvl="1" w:tplc="04090019" w:tentative="1">
      <w:start w:val="1"/>
      <w:numFmt w:val="lowerLetter"/>
      <w:lvlText w:val="%2."/>
      <w:lvlJc w:val="left"/>
      <w:pPr>
        <w:ind w:left="2008" w:hanging="360"/>
      </w:pPr>
    </w:lvl>
    <w:lvl w:ilvl="2" w:tplc="0409001B" w:tentative="1">
      <w:start w:val="1"/>
      <w:numFmt w:val="lowerRoman"/>
      <w:lvlText w:val="%3."/>
      <w:lvlJc w:val="right"/>
      <w:pPr>
        <w:ind w:left="2728" w:hanging="180"/>
      </w:pPr>
    </w:lvl>
    <w:lvl w:ilvl="3" w:tplc="0409000F" w:tentative="1">
      <w:start w:val="1"/>
      <w:numFmt w:val="decimal"/>
      <w:lvlText w:val="%4."/>
      <w:lvlJc w:val="left"/>
      <w:pPr>
        <w:ind w:left="3448" w:hanging="360"/>
      </w:pPr>
    </w:lvl>
    <w:lvl w:ilvl="4" w:tplc="04090019" w:tentative="1">
      <w:start w:val="1"/>
      <w:numFmt w:val="lowerLetter"/>
      <w:lvlText w:val="%5."/>
      <w:lvlJc w:val="left"/>
      <w:pPr>
        <w:ind w:left="4168" w:hanging="360"/>
      </w:pPr>
    </w:lvl>
    <w:lvl w:ilvl="5" w:tplc="0409001B" w:tentative="1">
      <w:start w:val="1"/>
      <w:numFmt w:val="lowerRoman"/>
      <w:lvlText w:val="%6."/>
      <w:lvlJc w:val="right"/>
      <w:pPr>
        <w:ind w:left="4888" w:hanging="180"/>
      </w:pPr>
    </w:lvl>
    <w:lvl w:ilvl="6" w:tplc="0409000F" w:tentative="1">
      <w:start w:val="1"/>
      <w:numFmt w:val="decimal"/>
      <w:lvlText w:val="%7."/>
      <w:lvlJc w:val="left"/>
      <w:pPr>
        <w:ind w:left="5608" w:hanging="360"/>
      </w:pPr>
    </w:lvl>
    <w:lvl w:ilvl="7" w:tplc="04090019" w:tentative="1">
      <w:start w:val="1"/>
      <w:numFmt w:val="lowerLetter"/>
      <w:lvlText w:val="%8."/>
      <w:lvlJc w:val="left"/>
      <w:pPr>
        <w:ind w:left="6328" w:hanging="360"/>
      </w:pPr>
    </w:lvl>
    <w:lvl w:ilvl="8" w:tplc="0409001B" w:tentative="1">
      <w:start w:val="1"/>
      <w:numFmt w:val="lowerRoman"/>
      <w:lvlText w:val="%9."/>
      <w:lvlJc w:val="right"/>
      <w:pPr>
        <w:ind w:left="7048" w:hanging="180"/>
      </w:pPr>
    </w:lvl>
  </w:abstractNum>
  <w:abstractNum w:abstractNumId="16" w15:restartNumberingAfterBreak="0">
    <w:nsid w:val="2D11207E"/>
    <w:multiLevelType w:val="multilevel"/>
    <w:tmpl w:val="BB006DDC"/>
    <w:lvl w:ilvl="0">
      <w:start w:val="48"/>
      <w:numFmt w:val="decimal"/>
      <w:lvlText w:val="%1."/>
      <w:lvlJc w:val="left"/>
      <w:pPr>
        <w:ind w:left="540" w:hanging="540"/>
      </w:pPr>
      <w:rPr>
        <w:rFonts w:eastAsia="MS Mincho" w:hint="default"/>
        <w:b w:val="0"/>
        <w:i w:val="0"/>
        <w:color w:val="auto"/>
      </w:rPr>
    </w:lvl>
    <w:lvl w:ilvl="1">
      <w:start w:val="1"/>
      <w:numFmt w:val="decimal"/>
      <w:lvlText w:val="%1.%2."/>
      <w:lvlJc w:val="left"/>
      <w:pPr>
        <w:ind w:left="1440" w:hanging="540"/>
      </w:pPr>
      <w:rPr>
        <w:rFonts w:eastAsia="MS Mincho" w:hint="default"/>
        <w:i/>
        <w:color w:val="auto"/>
      </w:rPr>
    </w:lvl>
    <w:lvl w:ilvl="2">
      <w:start w:val="1"/>
      <w:numFmt w:val="decimal"/>
      <w:lvlText w:val="%1.%2.%3."/>
      <w:lvlJc w:val="left"/>
      <w:pPr>
        <w:ind w:left="2520" w:hanging="720"/>
      </w:pPr>
      <w:rPr>
        <w:rFonts w:eastAsia="MS Mincho" w:hint="default"/>
        <w:i/>
        <w:color w:val="auto"/>
      </w:rPr>
    </w:lvl>
    <w:lvl w:ilvl="3">
      <w:start w:val="1"/>
      <w:numFmt w:val="decimal"/>
      <w:lvlText w:val="%1.%2.%3.%4."/>
      <w:lvlJc w:val="left"/>
      <w:pPr>
        <w:ind w:left="3420" w:hanging="720"/>
      </w:pPr>
      <w:rPr>
        <w:rFonts w:eastAsia="MS Mincho" w:hint="default"/>
        <w:i/>
        <w:color w:val="auto"/>
      </w:rPr>
    </w:lvl>
    <w:lvl w:ilvl="4">
      <w:start w:val="1"/>
      <w:numFmt w:val="decimal"/>
      <w:lvlText w:val="%1.%2.%3.%4.%5."/>
      <w:lvlJc w:val="left"/>
      <w:pPr>
        <w:ind w:left="4680" w:hanging="1080"/>
      </w:pPr>
      <w:rPr>
        <w:rFonts w:eastAsia="MS Mincho" w:hint="default"/>
        <w:i/>
        <w:color w:val="auto"/>
      </w:rPr>
    </w:lvl>
    <w:lvl w:ilvl="5">
      <w:start w:val="1"/>
      <w:numFmt w:val="decimal"/>
      <w:lvlText w:val="%1.%2.%3.%4.%5.%6."/>
      <w:lvlJc w:val="left"/>
      <w:pPr>
        <w:ind w:left="5580" w:hanging="1080"/>
      </w:pPr>
      <w:rPr>
        <w:rFonts w:eastAsia="MS Mincho" w:hint="default"/>
        <w:i/>
        <w:color w:val="auto"/>
      </w:rPr>
    </w:lvl>
    <w:lvl w:ilvl="6">
      <w:start w:val="1"/>
      <w:numFmt w:val="decimal"/>
      <w:lvlText w:val="%1.%2.%3.%4.%5.%6.%7."/>
      <w:lvlJc w:val="left"/>
      <w:pPr>
        <w:ind w:left="6840" w:hanging="1440"/>
      </w:pPr>
      <w:rPr>
        <w:rFonts w:eastAsia="MS Mincho" w:hint="default"/>
        <w:i/>
        <w:color w:val="auto"/>
      </w:rPr>
    </w:lvl>
    <w:lvl w:ilvl="7">
      <w:start w:val="1"/>
      <w:numFmt w:val="decimal"/>
      <w:lvlText w:val="%1.%2.%3.%4.%5.%6.%7.%8."/>
      <w:lvlJc w:val="left"/>
      <w:pPr>
        <w:ind w:left="7740" w:hanging="1440"/>
      </w:pPr>
      <w:rPr>
        <w:rFonts w:eastAsia="MS Mincho" w:hint="default"/>
        <w:i/>
        <w:color w:val="auto"/>
      </w:rPr>
    </w:lvl>
    <w:lvl w:ilvl="8">
      <w:start w:val="1"/>
      <w:numFmt w:val="decimal"/>
      <w:lvlText w:val="%1.%2.%3.%4.%5.%6.%7.%8.%9."/>
      <w:lvlJc w:val="left"/>
      <w:pPr>
        <w:ind w:left="9000" w:hanging="1800"/>
      </w:pPr>
      <w:rPr>
        <w:rFonts w:eastAsia="MS Mincho" w:hint="default"/>
        <w:i/>
        <w:color w:val="auto"/>
      </w:rPr>
    </w:lvl>
  </w:abstractNum>
  <w:abstractNum w:abstractNumId="17" w15:restartNumberingAfterBreak="0">
    <w:nsid w:val="30D51134"/>
    <w:multiLevelType w:val="hybridMultilevel"/>
    <w:tmpl w:val="4A9EDDA0"/>
    <w:lvl w:ilvl="0" w:tplc="37A299F2">
      <w:start w:val="51"/>
      <w:numFmt w:val="decimal"/>
      <w:lvlText w:val="%1."/>
      <w:lvlJc w:val="left"/>
      <w:pPr>
        <w:ind w:left="1288"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8" w15:restartNumberingAfterBreak="0">
    <w:nsid w:val="310D0298"/>
    <w:multiLevelType w:val="multilevel"/>
    <w:tmpl w:val="D22C91F6"/>
    <w:lvl w:ilvl="0">
      <w:start w:val="15"/>
      <w:numFmt w:val="decimal"/>
      <w:lvlText w:val="%1."/>
      <w:lvlJc w:val="left"/>
      <w:pPr>
        <w:ind w:left="720" w:hanging="360"/>
      </w:pPr>
      <w:rPr>
        <w:rFonts w:hint="default"/>
        <w:b w:val="0"/>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9" w15:restartNumberingAfterBreak="0">
    <w:nsid w:val="41504FB8"/>
    <w:multiLevelType w:val="multilevel"/>
    <w:tmpl w:val="BD307954"/>
    <w:lvl w:ilvl="0">
      <w:start w:val="19"/>
      <w:numFmt w:val="decimal"/>
      <w:lvlText w:val="%1."/>
      <w:lvlJc w:val="left"/>
      <w:pPr>
        <w:ind w:left="1080" w:hanging="360"/>
      </w:pPr>
      <w:rPr>
        <w:rFonts w:hint="default"/>
        <w:b w:val="0"/>
        <w:i w:val="0"/>
        <w:color w:val="auto"/>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3554F6A"/>
    <w:multiLevelType w:val="multilevel"/>
    <w:tmpl w:val="2C40F26C"/>
    <w:lvl w:ilvl="0">
      <w:start w:val="1"/>
      <w:numFmt w:val="decimal"/>
      <w:lvlText w:val="%1."/>
      <w:lvlJc w:val="left"/>
      <w:pPr>
        <w:ind w:left="630" w:hanging="360"/>
      </w:pPr>
      <w:rPr>
        <w:rFonts w:ascii="Times New Roman" w:hAnsi="Times New Roman" w:cs="Times New Roman" w:hint="default"/>
        <w:i w:val="0"/>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445A733D"/>
    <w:multiLevelType w:val="multilevel"/>
    <w:tmpl w:val="9716CADC"/>
    <w:lvl w:ilvl="0">
      <w:start w:val="6"/>
      <w:numFmt w:val="decimal"/>
      <w:lvlText w:val="%1"/>
      <w:lvlJc w:val="left"/>
      <w:pPr>
        <w:ind w:left="660" w:hanging="660"/>
      </w:pPr>
      <w:rPr>
        <w:rFonts w:hint="default"/>
      </w:rPr>
    </w:lvl>
    <w:lvl w:ilvl="1">
      <w:start w:val="1"/>
      <w:numFmt w:val="decimal"/>
      <w:lvlText w:val="%1.%2"/>
      <w:lvlJc w:val="left"/>
      <w:pPr>
        <w:ind w:left="1020" w:hanging="660"/>
      </w:pPr>
      <w:rPr>
        <w:rFonts w:hint="default"/>
      </w:rPr>
    </w:lvl>
    <w:lvl w:ilvl="2">
      <w:start w:val="1"/>
      <w:numFmt w:val="decimal"/>
      <w:lvlText w:val="%1.%2.%3.0"/>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44E558D8"/>
    <w:multiLevelType w:val="multilevel"/>
    <w:tmpl w:val="76169702"/>
    <w:lvl w:ilvl="0">
      <w:start w:val="57"/>
      <w:numFmt w:val="decimal"/>
      <w:lvlText w:val="%1."/>
      <w:lvlJc w:val="left"/>
      <w:pPr>
        <w:ind w:left="900" w:hanging="360"/>
      </w:pPr>
      <w:rPr>
        <w:rFonts w:ascii="Times New Roman" w:eastAsia="MS Mincho" w:hAnsi="Times New Roman" w:cs="Times New Roman" w:hint="default"/>
        <w:b w:val="0"/>
        <w:bCs/>
        <w:i w:val="0"/>
        <w:iCs/>
        <w:color w:val="auto"/>
      </w:rPr>
    </w:lvl>
    <w:lvl w:ilvl="1">
      <w:start w:val="1"/>
      <w:numFmt w:val="decimal"/>
      <w:isLgl/>
      <w:lvlText w:val="%1.%2."/>
      <w:lvlJc w:val="left"/>
      <w:pPr>
        <w:ind w:left="960" w:hanging="600"/>
      </w:pPr>
      <w:rPr>
        <w:rFonts w:ascii="Times New Roman" w:hAnsi="Times New Roman" w:cs="Times New Roman" w:hint="default"/>
        <w:b w:val="0"/>
        <w:bCs w:val="0"/>
        <w:i w:val="0"/>
        <w:iCs w:val="0"/>
        <w:color w:val="auto"/>
      </w:rPr>
    </w:lvl>
    <w:lvl w:ilvl="2">
      <w:start w:val="1"/>
      <w:numFmt w:val="decimal"/>
      <w:isLgl/>
      <w:lvlText w:val="%1.%2.%3."/>
      <w:lvlJc w:val="left"/>
      <w:pPr>
        <w:ind w:left="2010" w:hanging="720"/>
      </w:pPr>
      <w:rPr>
        <w:rFonts w:ascii="Bookman Old Style" w:hAnsi="Bookman Old Style" w:hint="default"/>
      </w:rPr>
    </w:lvl>
    <w:lvl w:ilvl="3">
      <w:start w:val="1"/>
      <w:numFmt w:val="decimal"/>
      <w:isLgl/>
      <w:lvlText w:val="%1.%2.%3.%4."/>
      <w:lvlJc w:val="left"/>
      <w:pPr>
        <w:ind w:left="2385" w:hanging="720"/>
      </w:pPr>
      <w:rPr>
        <w:rFonts w:ascii="Bookman Old Style" w:hAnsi="Bookman Old Style" w:hint="default"/>
      </w:rPr>
    </w:lvl>
    <w:lvl w:ilvl="4">
      <w:start w:val="1"/>
      <w:numFmt w:val="decimal"/>
      <w:isLgl/>
      <w:lvlText w:val="%1.%2.%3.%4.%5."/>
      <w:lvlJc w:val="left"/>
      <w:pPr>
        <w:ind w:left="3120" w:hanging="1080"/>
      </w:pPr>
      <w:rPr>
        <w:rFonts w:ascii="Bookman Old Style" w:hAnsi="Bookman Old Style" w:hint="default"/>
      </w:rPr>
    </w:lvl>
    <w:lvl w:ilvl="5">
      <w:start w:val="1"/>
      <w:numFmt w:val="decimal"/>
      <w:isLgl/>
      <w:lvlText w:val="%1.%2.%3.%4.%5.%6."/>
      <w:lvlJc w:val="left"/>
      <w:pPr>
        <w:ind w:left="3495" w:hanging="1080"/>
      </w:pPr>
      <w:rPr>
        <w:rFonts w:ascii="Bookman Old Style" w:hAnsi="Bookman Old Style" w:hint="default"/>
      </w:rPr>
    </w:lvl>
    <w:lvl w:ilvl="6">
      <w:start w:val="1"/>
      <w:numFmt w:val="decimal"/>
      <w:isLgl/>
      <w:lvlText w:val="%1.%2.%3.%4.%5.%6.%7."/>
      <w:lvlJc w:val="left"/>
      <w:pPr>
        <w:ind w:left="4230" w:hanging="1440"/>
      </w:pPr>
      <w:rPr>
        <w:rFonts w:ascii="Bookman Old Style" w:hAnsi="Bookman Old Style" w:hint="default"/>
      </w:rPr>
    </w:lvl>
    <w:lvl w:ilvl="7">
      <w:start w:val="1"/>
      <w:numFmt w:val="decimal"/>
      <w:isLgl/>
      <w:lvlText w:val="%1.%2.%3.%4.%5.%6.%7.%8."/>
      <w:lvlJc w:val="left"/>
      <w:pPr>
        <w:ind w:left="4605" w:hanging="1440"/>
      </w:pPr>
      <w:rPr>
        <w:rFonts w:ascii="Bookman Old Style" w:hAnsi="Bookman Old Style" w:hint="default"/>
      </w:rPr>
    </w:lvl>
    <w:lvl w:ilvl="8">
      <w:start w:val="1"/>
      <w:numFmt w:val="decimal"/>
      <w:isLgl/>
      <w:lvlText w:val="%1.%2.%3.%4.%5.%6.%7.%8.%9."/>
      <w:lvlJc w:val="left"/>
      <w:pPr>
        <w:ind w:left="5340" w:hanging="1800"/>
      </w:pPr>
      <w:rPr>
        <w:rFonts w:ascii="Bookman Old Style" w:hAnsi="Bookman Old Style" w:hint="default"/>
      </w:rPr>
    </w:lvl>
  </w:abstractNum>
  <w:abstractNum w:abstractNumId="23" w15:restartNumberingAfterBreak="0">
    <w:nsid w:val="4E961CFD"/>
    <w:multiLevelType w:val="hybridMultilevel"/>
    <w:tmpl w:val="E58E287A"/>
    <w:lvl w:ilvl="0" w:tplc="6666D79A">
      <w:start w:val="1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22B1287"/>
    <w:multiLevelType w:val="hybridMultilevel"/>
    <w:tmpl w:val="BD1E9FB6"/>
    <w:lvl w:ilvl="0" w:tplc="4944219C">
      <w:start w:val="31"/>
      <w:numFmt w:val="decimal"/>
      <w:lvlText w:val="%1."/>
      <w:lvlJc w:val="left"/>
      <w:pPr>
        <w:ind w:left="144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5" w15:restartNumberingAfterBreak="0">
    <w:nsid w:val="560D03B0"/>
    <w:multiLevelType w:val="hybridMultilevel"/>
    <w:tmpl w:val="6F4C15E8"/>
    <w:lvl w:ilvl="0" w:tplc="C8CCE8A6">
      <w:start w:val="4"/>
      <w:numFmt w:val="bullet"/>
      <w:lvlText w:val="-"/>
      <w:lvlJc w:val="left"/>
      <w:pPr>
        <w:ind w:left="720" w:hanging="360"/>
      </w:pPr>
      <w:rPr>
        <w:rFonts w:ascii="Times New Roman" w:eastAsia="Arial Unicode MS" w:hAnsi="Times New Roman" w:cs="Times New Roman"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6524B4F"/>
    <w:multiLevelType w:val="multilevel"/>
    <w:tmpl w:val="E3BA075A"/>
    <w:lvl w:ilvl="0">
      <w:start w:val="17"/>
      <w:numFmt w:val="decimal"/>
      <w:lvlText w:val="%1."/>
      <w:lvlJc w:val="left"/>
      <w:pPr>
        <w:ind w:left="1080" w:hanging="360"/>
      </w:pPr>
      <w:rPr>
        <w:rFonts w:hint="default"/>
        <w:b w:val="0"/>
        <w:i w:val="0"/>
        <w:color w:val="auto"/>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90847A5"/>
    <w:multiLevelType w:val="hybridMultilevel"/>
    <w:tmpl w:val="69FA0B80"/>
    <w:lvl w:ilvl="0" w:tplc="DFAEB64E">
      <w:start w:val="15"/>
      <w:numFmt w:val="decimal"/>
      <w:lvlText w:val="%1."/>
      <w:lvlJc w:val="left"/>
      <w:pPr>
        <w:ind w:left="1440" w:hanging="360"/>
      </w:pPr>
      <w:rPr>
        <w:rFonts w:hint="default"/>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28" w15:restartNumberingAfterBreak="0">
    <w:nsid w:val="594E5F46"/>
    <w:multiLevelType w:val="multilevel"/>
    <w:tmpl w:val="84F4F15A"/>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B0C3115"/>
    <w:multiLevelType w:val="hybridMultilevel"/>
    <w:tmpl w:val="601A5138"/>
    <w:lvl w:ilvl="0" w:tplc="23DAEFA8">
      <w:start w:val="1"/>
      <w:numFmt w:val="decimal"/>
      <w:lvlText w:val="%1."/>
      <w:lvlJc w:val="left"/>
      <w:pPr>
        <w:ind w:left="108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0" w15:restartNumberingAfterBreak="0">
    <w:nsid w:val="5B1E635E"/>
    <w:multiLevelType w:val="multilevel"/>
    <w:tmpl w:val="8C1C7814"/>
    <w:lvl w:ilvl="0">
      <w:start w:val="1"/>
      <w:numFmt w:val="decimal"/>
      <w:lvlText w:val="%1."/>
      <w:lvlJc w:val="left"/>
      <w:pPr>
        <w:ind w:left="1530" w:hanging="360"/>
      </w:pPr>
      <w:rPr>
        <w:rFonts w:ascii="Times New Roman" w:hAnsi="Times New Roman" w:cs="Times New Roman" w:hint="default"/>
        <w:b w:val="0"/>
        <w:i w:val="0"/>
        <w:iCs/>
        <w:sz w:val="24"/>
        <w:szCs w:val="24"/>
      </w:rPr>
    </w:lvl>
    <w:lvl w:ilvl="1">
      <w:start w:val="1"/>
      <w:numFmt w:val="decimal"/>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E5A7C32"/>
    <w:multiLevelType w:val="hybridMultilevel"/>
    <w:tmpl w:val="CBFE7F0C"/>
    <w:lvl w:ilvl="0" w:tplc="214E3048">
      <w:start w:val="28"/>
      <w:numFmt w:val="decimal"/>
      <w:lvlText w:val="%1."/>
      <w:lvlJc w:val="left"/>
      <w:pPr>
        <w:ind w:left="144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2" w15:restartNumberingAfterBreak="0">
    <w:nsid w:val="5F8E0E2A"/>
    <w:multiLevelType w:val="hybridMultilevel"/>
    <w:tmpl w:val="1C9CD83E"/>
    <w:lvl w:ilvl="0" w:tplc="43EAE1EC">
      <w:start w:val="26"/>
      <w:numFmt w:val="decimal"/>
      <w:lvlText w:val="%1."/>
      <w:lvlJc w:val="left"/>
      <w:pPr>
        <w:ind w:left="1288" w:hanging="360"/>
      </w:pPr>
      <w:rPr>
        <w:rFonts w:hint="default"/>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3" w15:restartNumberingAfterBreak="0">
    <w:nsid w:val="5FFE4D87"/>
    <w:multiLevelType w:val="hybridMultilevel"/>
    <w:tmpl w:val="16AAF30E"/>
    <w:lvl w:ilvl="0" w:tplc="80663490">
      <w:start w:val="30"/>
      <w:numFmt w:val="decimal"/>
      <w:lvlText w:val="%1."/>
      <w:lvlJc w:val="left"/>
      <w:pPr>
        <w:ind w:left="1288"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4" w15:restartNumberingAfterBreak="0">
    <w:nsid w:val="60C70F4E"/>
    <w:multiLevelType w:val="hybridMultilevel"/>
    <w:tmpl w:val="B4C21E2E"/>
    <w:lvl w:ilvl="0" w:tplc="2682A328">
      <w:start w:val="34"/>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5" w15:restartNumberingAfterBreak="0">
    <w:nsid w:val="621F7EED"/>
    <w:multiLevelType w:val="hybridMultilevel"/>
    <w:tmpl w:val="7E88B02E"/>
    <w:lvl w:ilvl="0" w:tplc="467C4E76">
      <w:start w:val="1"/>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36" w15:restartNumberingAfterBreak="0">
    <w:nsid w:val="624B33AE"/>
    <w:multiLevelType w:val="hybridMultilevel"/>
    <w:tmpl w:val="D3FE6C62"/>
    <w:lvl w:ilvl="0" w:tplc="CB78434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62E245DF"/>
    <w:multiLevelType w:val="hybridMultilevel"/>
    <w:tmpl w:val="7D4C3CE8"/>
    <w:lvl w:ilvl="0" w:tplc="0409000F">
      <w:start w:val="1"/>
      <w:numFmt w:val="decimal"/>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38" w15:restartNumberingAfterBreak="0">
    <w:nsid w:val="63E87B19"/>
    <w:multiLevelType w:val="hybridMultilevel"/>
    <w:tmpl w:val="4A18CEC4"/>
    <w:lvl w:ilvl="0" w:tplc="F684CE2E">
      <w:start w:val="49"/>
      <w:numFmt w:val="decimal"/>
      <w:lvlText w:val="%1."/>
      <w:lvlJc w:val="left"/>
      <w:pPr>
        <w:ind w:left="1440" w:hanging="360"/>
      </w:pPr>
      <w:rPr>
        <w:rFonts w:hint="default"/>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39" w15:restartNumberingAfterBreak="0">
    <w:nsid w:val="64A56CB4"/>
    <w:multiLevelType w:val="hybridMultilevel"/>
    <w:tmpl w:val="7C8A2BE4"/>
    <w:lvl w:ilvl="0" w:tplc="CB78434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65BF2DD1"/>
    <w:multiLevelType w:val="hybridMultilevel"/>
    <w:tmpl w:val="A7D04B66"/>
    <w:lvl w:ilvl="0" w:tplc="43E065C0">
      <w:start w:val="23"/>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1" w15:restartNumberingAfterBreak="0">
    <w:nsid w:val="67AB5827"/>
    <w:multiLevelType w:val="multilevel"/>
    <w:tmpl w:val="2668CFDE"/>
    <w:lvl w:ilvl="0">
      <w:start w:val="5"/>
      <w:numFmt w:val="decimal"/>
      <w:lvlText w:val="%1"/>
      <w:lvlJc w:val="left"/>
      <w:pPr>
        <w:ind w:left="480" w:hanging="480"/>
      </w:pPr>
      <w:rPr>
        <w:rFonts w:eastAsia="Times New Roman" w:hint="default"/>
        <w:b/>
        <w:i/>
        <w:color w:val="222222"/>
      </w:rPr>
    </w:lvl>
    <w:lvl w:ilvl="1">
      <w:start w:val="1"/>
      <w:numFmt w:val="decimal"/>
      <w:lvlText w:val="%1.%2.0"/>
      <w:lvlJc w:val="left"/>
      <w:pPr>
        <w:ind w:left="1440" w:hanging="720"/>
      </w:pPr>
      <w:rPr>
        <w:rFonts w:eastAsia="Times New Roman" w:hint="default"/>
        <w:b/>
        <w:i/>
        <w:color w:val="222222"/>
      </w:rPr>
    </w:lvl>
    <w:lvl w:ilvl="2">
      <w:start w:val="1"/>
      <w:numFmt w:val="decimal"/>
      <w:lvlText w:val="%1.%2.%3"/>
      <w:lvlJc w:val="left"/>
      <w:pPr>
        <w:ind w:left="2160" w:hanging="720"/>
      </w:pPr>
      <w:rPr>
        <w:rFonts w:eastAsia="Times New Roman" w:hint="default"/>
        <w:b/>
        <w:i/>
        <w:color w:val="222222"/>
      </w:rPr>
    </w:lvl>
    <w:lvl w:ilvl="3">
      <w:start w:val="1"/>
      <w:numFmt w:val="decimal"/>
      <w:lvlText w:val="%1.%2.%3.%4"/>
      <w:lvlJc w:val="left"/>
      <w:pPr>
        <w:ind w:left="2880" w:hanging="720"/>
      </w:pPr>
      <w:rPr>
        <w:rFonts w:eastAsia="Times New Roman" w:hint="default"/>
        <w:b/>
        <w:i/>
        <w:color w:val="222222"/>
      </w:rPr>
    </w:lvl>
    <w:lvl w:ilvl="4">
      <w:start w:val="1"/>
      <w:numFmt w:val="decimal"/>
      <w:lvlText w:val="%1.%2.%3.%4.%5"/>
      <w:lvlJc w:val="left"/>
      <w:pPr>
        <w:ind w:left="3960" w:hanging="1080"/>
      </w:pPr>
      <w:rPr>
        <w:rFonts w:eastAsia="Times New Roman" w:hint="default"/>
        <w:b/>
        <w:i/>
        <w:color w:val="222222"/>
      </w:rPr>
    </w:lvl>
    <w:lvl w:ilvl="5">
      <w:start w:val="1"/>
      <w:numFmt w:val="decimal"/>
      <w:lvlText w:val="%1.%2.%3.%4.%5.%6"/>
      <w:lvlJc w:val="left"/>
      <w:pPr>
        <w:ind w:left="4680" w:hanging="1080"/>
      </w:pPr>
      <w:rPr>
        <w:rFonts w:eastAsia="Times New Roman" w:hint="default"/>
        <w:b/>
        <w:i/>
        <w:color w:val="222222"/>
      </w:rPr>
    </w:lvl>
    <w:lvl w:ilvl="6">
      <w:start w:val="1"/>
      <w:numFmt w:val="decimal"/>
      <w:lvlText w:val="%1.%2.%3.%4.%5.%6.%7"/>
      <w:lvlJc w:val="left"/>
      <w:pPr>
        <w:ind w:left="5760" w:hanging="1440"/>
      </w:pPr>
      <w:rPr>
        <w:rFonts w:eastAsia="Times New Roman" w:hint="default"/>
        <w:b/>
        <w:i/>
        <w:color w:val="222222"/>
      </w:rPr>
    </w:lvl>
    <w:lvl w:ilvl="7">
      <w:start w:val="1"/>
      <w:numFmt w:val="decimal"/>
      <w:lvlText w:val="%1.%2.%3.%4.%5.%6.%7.%8"/>
      <w:lvlJc w:val="left"/>
      <w:pPr>
        <w:ind w:left="6480" w:hanging="1440"/>
      </w:pPr>
      <w:rPr>
        <w:rFonts w:eastAsia="Times New Roman" w:hint="default"/>
        <w:b/>
        <w:i/>
        <w:color w:val="222222"/>
      </w:rPr>
    </w:lvl>
    <w:lvl w:ilvl="8">
      <w:start w:val="1"/>
      <w:numFmt w:val="decimal"/>
      <w:lvlText w:val="%1.%2.%3.%4.%5.%6.%7.%8.%9"/>
      <w:lvlJc w:val="left"/>
      <w:pPr>
        <w:ind w:left="7560" w:hanging="1800"/>
      </w:pPr>
      <w:rPr>
        <w:rFonts w:eastAsia="Times New Roman" w:hint="default"/>
        <w:b/>
        <w:i/>
        <w:color w:val="222222"/>
      </w:rPr>
    </w:lvl>
  </w:abstractNum>
  <w:abstractNum w:abstractNumId="42" w15:restartNumberingAfterBreak="0">
    <w:nsid w:val="73AE25C1"/>
    <w:multiLevelType w:val="multilevel"/>
    <w:tmpl w:val="BD260318"/>
    <w:lvl w:ilvl="0">
      <w:start w:val="1"/>
      <w:numFmt w:val="decimal"/>
      <w:lvlText w:val="%1."/>
      <w:lvlJc w:val="left"/>
      <w:pPr>
        <w:ind w:left="900" w:hanging="360"/>
      </w:pPr>
      <w:rPr>
        <w:rFonts w:ascii="Times New Roman" w:eastAsia="MS Mincho" w:hAnsi="Times New Roman" w:cs="Times New Roman"/>
        <w:b w:val="0"/>
        <w:bCs/>
        <w:i w:val="0"/>
        <w:iCs/>
        <w:color w:val="auto"/>
      </w:rPr>
    </w:lvl>
    <w:lvl w:ilvl="1">
      <w:start w:val="1"/>
      <w:numFmt w:val="decimal"/>
      <w:isLgl/>
      <w:lvlText w:val="%1.%2."/>
      <w:lvlJc w:val="left"/>
      <w:pPr>
        <w:ind w:left="960" w:hanging="600"/>
      </w:pPr>
      <w:rPr>
        <w:rFonts w:ascii="Times New Roman" w:hAnsi="Times New Roman" w:cs="Times New Roman" w:hint="default"/>
        <w:b w:val="0"/>
        <w:bCs w:val="0"/>
        <w:i w:val="0"/>
        <w:iCs w:val="0"/>
        <w:color w:val="auto"/>
      </w:rPr>
    </w:lvl>
    <w:lvl w:ilvl="2">
      <w:start w:val="1"/>
      <w:numFmt w:val="decimal"/>
      <w:isLgl/>
      <w:lvlText w:val="%1.%2.%3."/>
      <w:lvlJc w:val="left"/>
      <w:pPr>
        <w:ind w:left="2010" w:hanging="720"/>
      </w:pPr>
      <w:rPr>
        <w:rFonts w:ascii="Bookman Old Style" w:hAnsi="Bookman Old Style" w:hint="default"/>
      </w:rPr>
    </w:lvl>
    <w:lvl w:ilvl="3">
      <w:start w:val="1"/>
      <w:numFmt w:val="decimal"/>
      <w:isLgl/>
      <w:lvlText w:val="%1.%2.%3.%4."/>
      <w:lvlJc w:val="left"/>
      <w:pPr>
        <w:ind w:left="2385" w:hanging="720"/>
      </w:pPr>
      <w:rPr>
        <w:rFonts w:ascii="Bookman Old Style" w:hAnsi="Bookman Old Style" w:hint="default"/>
      </w:rPr>
    </w:lvl>
    <w:lvl w:ilvl="4">
      <w:start w:val="1"/>
      <w:numFmt w:val="decimal"/>
      <w:isLgl/>
      <w:lvlText w:val="%1.%2.%3.%4.%5."/>
      <w:lvlJc w:val="left"/>
      <w:pPr>
        <w:ind w:left="3120" w:hanging="1080"/>
      </w:pPr>
      <w:rPr>
        <w:rFonts w:ascii="Bookman Old Style" w:hAnsi="Bookman Old Style" w:hint="default"/>
      </w:rPr>
    </w:lvl>
    <w:lvl w:ilvl="5">
      <w:start w:val="1"/>
      <w:numFmt w:val="decimal"/>
      <w:isLgl/>
      <w:lvlText w:val="%1.%2.%3.%4.%5.%6."/>
      <w:lvlJc w:val="left"/>
      <w:pPr>
        <w:ind w:left="3495" w:hanging="1080"/>
      </w:pPr>
      <w:rPr>
        <w:rFonts w:ascii="Bookman Old Style" w:hAnsi="Bookman Old Style" w:hint="default"/>
      </w:rPr>
    </w:lvl>
    <w:lvl w:ilvl="6">
      <w:start w:val="1"/>
      <w:numFmt w:val="decimal"/>
      <w:isLgl/>
      <w:lvlText w:val="%1.%2.%3.%4.%5.%6.%7."/>
      <w:lvlJc w:val="left"/>
      <w:pPr>
        <w:ind w:left="4230" w:hanging="1440"/>
      </w:pPr>
      <w:rPr>
        <w:rFonts w:ascii="Bookman Old Style" w:hAnsi="Bookman Old Style" w:hint="default"/>
      </w:rPr>
    </w:lvl>
    <w:lvl w:ilvl="7">
      <w:start w:val="1"/>
      <w:numFmt w:val="decimal"/>
      <w:isLgl/>
      <w:lvlText w:val="%1.%2.%3.%4.%5.%6.%7.%8."/>
      <w:lvlJc w:val="left"/>
      <w:pPr>
        <w:ind w:left="4605" w:hanging="1440"/>
      </w:pPr>
      <w:rPr>
        <w:rFonts w:ascii="Bookman Old Style" w:hAnsi="Bookman Old Style" w:hint="default"/>
      </w:rPr>
    </w:lvl>
    <w:lvl w:ilvl="8">
      <w:start w:val="1"/>
      <w:numFmt w:val="decimal"/>
      <w:isLgl/>
      <w:lvlText w:val="%1.%2.%3.%4.%5.%6.%7.%8.%9."/>
      <w:lvlJc w:val="left"/>
      <w:pPr>
        <w:ind w:left="5340" w:hanging="1800"/>
      </w:pPr>
      <w:rPr>
        <w:rFonts w:ascii="Bookman Old Style" w:hAnsi="Bookman Old Style" w:hint="default"/>
      </w:rPr>
    </w:lvl>
  </w:abstractNum>
  <w:abstractNum w:abstractNumId="43" w15:restartNumberingAfterBreak="0">
    <w:nsid w:val="75842464"/>
    <w:multiLevelType w:val="multilevel"/>
    <w:tmpl w:val="4864A47A"/>
    <w:lvl w:ilvl="0">
      <w:start w:val="11"/>
      <w:numFmt w:val="decimal"/>
      <w:lvlText w:val="%1."/>
      <w:lvlJc w:val="left"/>
      <w:pPr>
        <w:ind w:left="1757"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44" w15:restartNumberingAfterBreak="0">
    <w:nsid w:val="7C703A3B"/>
    <w:multiLevelType w:val="hybridMultilevel"/>
    <w:tmpl w:val="69987570"/>
    <w:lvl w:ilvl="0" w:tplc="ACD4AF84">
      <w:start w:val="36"/>
      <w:numFmt w:val="decimal"/>
      <w:lvlText w:val="%1."/>
      <w:lvlJc w:val="left"/>
      <w:pPr>
        <w:ind w:left="1288"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15"/>
  </w:num>
  <w:num w:numId="2">
    <w:abstractNumId w:val="0"/>
  </w:num>
  <w:num w:numId="3">
    <w:abstractNumId w:val="1"/>
  </w:num>
  <w:num w:numId="4">
    <w:abstractNumId w:val="18"/>
  </w:num>
  <w:num w:numId="5">
    <w:abstractNumId w:val="39"/>
  </w:num>
  <w:num w:numId="6">
    <w:abstractNumId w:val="8"/>
  </w:num>
  <w:num w:numId="7">
    <w:abstractNumId w:val="3"/>
  </w:num>
  <w:num w:numId="8">
    <w:abstractNumId w:val="23"/>
  </w:num>
  <w:num w:numId="9">
    <w:abstractNumId w:val="14"/>
  </w:num>
  <w:num w:numId="10">
    <w:abstractNumId w:val="36"/>
  </w:num>
  <w:num w:numId="11">
    <w:abstractNumId w:val="26"/>
  </w:num>
  <w:num w:numId="12">
    <w:abstractNumId w:val="30"/>
  </w:num>
  <w:num w:numId="13">
    <w:abstractNumId w:val="7"/>
  </w:num>
  <w:num w:numId="14">
    <w:abstractNumId w:val="31"/>
  </w:num>
  <w:num w:numId="15">
    <w:abstractNumId w:val="37"/>
  </w:num>
  <w:num w:numId="16">
    <w:abstractNumId w:val="16"/>
  </w:num>
  <w:num w:numId="17">
    <w:abstractNumId w:val="25"/>
  </w:num>
  <w:num w:numId="18">
    <w:abstractNumId w:val="42"/>
  </w:num>
  <w:num w:numId="19">
    <w:abstractNumId w:val="40"/>
  </w:num>
  <w:num w:numId="20">
    <w:abstractNumId w:val="28"/>
  </w:num>
  <w:num w:numId="21">
    <w:abstractNumId w:val="41"/>
  </w:num>
  <w:num w:numId="22">
    <w:abstractNumId w:val="21"/>
  </w:num>
  <w:num w:numId="23">
    <w:abstractNumId w:val="43"/>
  </w:num>
  <w:num w:numId="24">
    <w:abstractNumId w:val="13"/>
  </w:num>
  <w:num w:numId="25">
    <w:abstractNumId w:val="27"/>
  </w:num>
  <w:num w:numId="26">
    <w:abstractNumId w:val="2"/>
  </w:num>
  <w:num w:numId="27">
    <w:abstractNumId w:val="11"/>
  </w:num>
  <w:num w:numId="28">
    <w:abstractNumId w:val="9"/>
  </w:num>
  <w:num w:numId="29">
    <w:abstractNumId w:val="22"/>
  </w:num>
  <w:num w:numId="30">
    <w:abstractNumId w:val="43"/>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3"/>
  </w:num>
  <w:num w:numId="32">
    <w:abstractNumId w:val="44"/>
  </w:num>
  <w:num w:numId="33">
    <w:abstractNumId w:val="4"/>
  </w:num>
  <w:num w:numId="34">
    <w:abstractNumId w:val="12"/>
  </w:num>
  <w:num w:numId="35">
    <w:abstractNumId w:val="19"/>
  </w:num>
  <w:num w:numId="3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9"/>
  </w:num>
  <w:num w:numId="38">
    <w:abstractNumId w:val="20"/>
  </w:num>
  <w:num w:numId="39">
    <w:abstractNumId w:val="5"/>
  </w:num>
  <w:num w:numId="40">
    <w:abstractNumId w:val="38"/>
  </w:num>
  <w:num w:numId="41">
    <w:abstractNumId w:val="17"/>
  </w:num>
  <w:num w:numId="42">
    <w:abstractNumId w:val="34"/>
  </w:num>
  <w:num w:numId="43">
    <w:abstractNumId w:val="10"/>
  </w:num>
  <w:num w:numId="44">
    <w:abstractNumId w:val="24"/>
  </w:num>
  <w:num w:numId="45">
    <w:abstractNumId w:val="32"/>
  </w:num>
  <w:num w:numId="4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hyphenationZone w:val="425"/>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43C3"/>
    <w:rsid w:val="000015B9"/>
    <w:rsid w:val="00001753"/>
    <w:rsid w:val="00001863"/>
    <w:rsid w:val="00006110"/>
    <w:rsid w:val="0000798C"/>
    <w:rsid w:val="000117D0"/>
    <w:rsid w:val="0001394B"/>
    <w:rsid w:val="00014B78"/>
    <w:rsid w:val="0001657E"/>
    <w:rsid w:val="0002037F"/>
    <w:rsid w:val="00020992"/>
    <w:rsid w:val="00023A87"/>
    <w:rsid w:val="00023F88"/>
    <w:rsid w:val="00025686"/>
    <w:rsid w:val="00030501"/>
    <w:rsid w:val="0003060A"/>
    <w:rsid w:val="00030B15"/>
    <w:rsid w:val="00031426"/>
    <w:rsid w:val="00031487"/>
    <w:rsid w:val="00035B2D"/>
    <w:rsid w:val="0003615F"/>
    <w:rsid w:val="00040234"/>
    <w:rsid w:val="00041362"/>
    <w:rsid w:val="000422A7"/>
    <w:rsid w:val="00043B02"/>
    <w:rsid w:val="00046C96"/>
    <w:rsid w:val="00050273"/>
    <w:rsid w:val="000513E9"/>
    <w:rsid w:val="00051576"/>
    <w:rsid w:val="0005323A"/>
    <w:rsid w:val="00055CD2"/>
    <w:rsid w:val="00055F40"/>
    <w:rsid w:val="0005619E"/>
    <w:rsid w:val="00056A79"/>
    <w:rsid w:val="000616C7"/>
    <w:rsid w:val="00062F21"/>
    <w:rsid w:val="0006356A"/>
    <w:rsid w:val="00064B62"/>
    <w:rsid w:val="0006553E"/>
    <w:rsid w:val="00065884"/>
    <w:rsid w:val="00066605"/>
    <w:rsid w:val="00067892"/>
    <w:rsid w:val="00070421"/>
    <w:rsid w:val="000728F3"/>
    <w:rsid w:val="00073ECA"/>
    <w:rsid w:val="00074730"/>
    <w:rsid w:val="00074AB6"/>
    <w:rsid w:val="0007667B"/>
    <w:rsid w:val="00080DDB"/>
    <w:rsid w:val="000814FB"/>
    <w:rsid w:val="000832DD"/>
    <w:rsid w:val="00083671"/>
    <w:rsid w:val="000863BC"/>
    <w:rsid w:val="000869ED"/>
    <w:rsid w:val="000915B6"/>
    <w:rsid w:val="000918E2"/>
    <w:rsid w:val="000922E8"/>
    <w:rsid w:val="00094652"/>
    <w:rsid w:val="00095630"/>
    <w:rsid w:val="00096380"/>
    <w:rsid w:val="00096A07"/>
    <w:rsid w:val="000A0DB4"/>
    <w:rsid w:val="000A2062"/>
    <w:rsid w:val="000A2938"/>
    <w:rsid w:val="000A3377"/>
    <w:rsid w:val="000A43CD"/>
    <w:rsid w:val="000B1363"/>
    <w:rsid w:val="000B4F62"/>
    <w:rsid w:val="000C0589"/>
    <w:rsid w:val="000C115E"/>
    <w:rsid w:val="000C2487"/>
    <w:rsid w:val="000C2FEF"/>
    <w:rsid w:val="000C4C8A"/>
    <w:rsid w:val="000C539B"/>
    <w:rsid w:val="000C6645"/>
    <w:rsid w:val="000D11C7"/>
    <w:rsid w:val="000D281C"/>
    <w:rsid w:val="000D397B"/>
    <w:rsid w:val="000D627D"/>
    <w:rsid w:val="000E0CBB"/>
    <w:rsid w:val="000E12C2"/>
    <w:rsid w:val="000E357F"/>
    <w:rsid w:val="000E4405"/>
    <w:rsid w:val="000E4E98"/>
    <w:rsid w:val="000E4FD9"/>
    <w:rsid w:val="000E564F"/>
    <w:rsid w:val="000E694F"/>
    <w:rsid w:val="000E6E75"/>
    <w:rsid w:val="000F027C"/>
    <w:rsid w:val="000F04BF"/>
    <w:rsid w:val="000F075D"/>
    <w:rsid w:val="000F15B0"/>
    <w:rsid w:val="000F255B"/>
    <w:rsid w:val="000F3DF6"/>
    <w:rsid w:val="000F5F68"/>
    <w:rsid w:val="000F6A0F"/>
    <w:rsid w:val="000F6D48"/>
    <w:rsid w:val="000F71FC"/>
    <w:rsid w:val="00101941"/>
    <w:rsid w:val="001023F3"/>
    <w:rsid w:val="00102400"/>
    <w:rsid w:val="00103F18"/>
    <w:rsid w:val="001054C9"/>
    <w:rsid w:val="00105974"/>
    <w:rsid w:val="00105FF8"/>
    <w:rsid w:val="00110E0C"/>
    <w:rsid w:val="0011234E"/>
    <w:rsid w:val="00112896"/>
    <w:rsid w:val="00113596"/>
    <w:rsid w:val="00116546"/>
    <w:rsid w:val="00116C66"/>
    <w:rsid w:val="0012044E"/>
    <w:rsid w:val="0012212B"/>
    <w:rsid w:val="00123D29"/>
    <w:rsid w:val="00125A91"/>
    <w:rsid w:val="00126DBF"/>
    <w:rsid w:val="00127347"/>
    <w:rsid w:val="0012774E"/>
    <w:rsid w:val="00130E50"/>
    <w:rsid w:val="00131989"/>
    <w:rsid w:val="001319A8"/>
    <w:rsid w:val="00132824"/>
    <w:rsid w:val="001341B2"/>
    <w:rsid w:val="001342B1"/>
    <w:rsid w:val="00140FCA"/>
    <w:rsid w:val="00141335"/>
    <w:rsid w:val="00141C77"/>
    <w:rsid w:val="0014227C"/>
    <w:rsid w:val="00142C9A"/>
    <w:rsid w:val="00146F6D"/>
    <w:rsid w:val="00147CF3"/>
    <w:rsid w:val="00151093"/>
    <w:rsid w:val="00151ACF"/>
    <w:rsid w:val="00156784"/>
    <w:rsid w:val="00156BB6"/>
    <w:rsid w:val="00163077"/>
    <w:rsid w:val="001637FC"/>
    <w:rsid w:val="0016382F"/>
    <w:rsid w:val="00164227"/>
    <w:rsid w:val="00164414"/>
    <w:rsid w:val="001656A2"/>
    <w:rsid w:val="00165C1C"/>
    <w:rsid w:val="00166DCF"/>
    <w:rsid w:val="00171467"/>
    <w:rsid w:val="00171E63"/>
    <w:rsid w:val="001724F7"/>
    <w:rsid w:val="001748D5"/>
    <w:rsid w:val="00177B40"/>
    <w:rsid w:val="00181185"/>
    <w:rsid w:val="00181C5D"/>
    <w:rsid w:val="00183F31"/>
    <w:rsid w:val="00185160"/>
    <w:rsid w:val="0018786B"/>
    <w:rsid w:val="0018796D"/>
    <w:rsid w:val="001910A5"/>
    <w:rsid w:val="001911FA"/>
    <w:rsid w:val="00192ABC"/>
    <w:rsid w:val="0019314C"/>
    <w:rsid w:val="00194A60"/>
    <w:rsid w:val="00194C36"/>
    <w:rsid w:val="00196FB1"/>
    <w:rsid w:val="00197F9A"/>
    <w:rsid w:val="001A1763"/>
    <w:rsid w:val="001A1914"/>
    <w:rsid w:val="001A34C3"/>
    <w:rsid w:val="001A385E"/>
    <w:rsid w:val="001A4245"/>
    <w:rsid w:val="001A55E6"/>
    <w:rsid w:val="001B13AD"/>
    <w:rsid w:val="001B28E3"/>
    <w:rsid w:val="001B4B99"/>
    <w:rsid w:val="001B574B"/>
    <w:rsid w:val="001B68F8"/>
    <w:rsid w:val="001C0FE5"/>
    <w:rsid w:val="001C3737"/>
    <w:rsid w:val="001C3A13"/>
    <w:rsid w:val="001C4460"/>
    <w:rsid w:val="001D18F6"/>
    <w:rsid w:val="001D327C"/>
    <w:rsid w:val="001D37D7"/>
    <w:rsid w:val="001D5C74"/>
    <w:rsid w:val="001D6D0F"/>
    <w:rsid w:val="001E1391"/>
    <w:rsid w:val="001E1427"/>
    <w:rsid w:val="001E1611"/>
    <w:rsid w:val="001E20DD"/>
    <w:rsid w:val="001E33A4"/>
    <w:rsid w:val="001E62CD"/>
    <w:rsid w:val="001E65B9"/>
    <w:rsid w:val="001E735F"/>
    <w:rsid w:val="001E7CDD"/>
    <w:rsid w:val="001F16A6"/>
    <w:rsid w:val="001F3199"/>
    <w:rsid w:val="00200291"/>
    <w:rsid w:val="00201D4A"/>
    <w:rsid w:val="00202916"/>
    <w:rsid w:val="00202D85"/>
    <w:rsid w:val="002040C1"/>
    <w:rsid w:val="00204B4A"/>
    <w:rsid w:val="0020658E"/>
    <w:rsid w:val="00207FDB"/>
    <w:rsid w:val="00210386"/>
    <w:rsid w:val="00210B71"/>
    <w:rsid w:val="002116A3"/>
    <w:rsid w:val="00212975"/>
    <w:rsid w:val="0021411E"/>
    <w:rsid w:val="0021433F"/>
    <w:rsid w:val="00216C90"/>
    <w:rsid w:val="00216F82"/>
    <w:rsid w:val="00221707"/>
    <w:rsid w:val="0022225F"/>
    <w:rsid w:val="00223FAA"/>
    <w:rsid w:val="0022523A"/>
    <w:rsid w:val="00225E6B"/>
    <w:rsid w:val="00230657"/>
    <w:rsid w:val="00230D20"/>
    <w:rsid w:val="002314F3"/>
    <w:rsid w:val="00231C25"/>
    <w:rsid w:val="00235420"/>
    <w:rsid w:val="002359A4"/>
    <w:rsid w:val="002366A9"/>
    <w:rsid w:val="00236A2C"/>
    <w:rsid w:val="00236CE7"/>
    <w:rsid w:val="00237DEE"/>
    <w:rsid w:val="00241A00"/>
    <w:rsid w:val="00242B3A"/>
    <w:rsid w:val="002467CD"/>
    <w:rsid w:val="00247E69"/>
    <w:rsid w:val="00247FC2"/>
    <w:rsid w:val="0025237D"/>
    <w:rsid w:val="00252B44"/>
    <w:rsid w:val="002530FD"/>
    <w:rsid w:val="00254BEF"/>
    <w:rsid w:val="002552A7"/>
    <w:rsid w:val="00257585"/>
    <w:rsid w:val="00257BBD"/>
    <w:rsid w:val="00257EC6"/>
    <w:rsid w:val="002606C2"/>
    <w:rsid w:val="00262A9A"/>
    <w:rsid w:val="00263DF1"/>
    <w:rsid w:val="0026642E"/>
    <w:rsid w:val="00266457"/>
    <w:rsid w:val="00266E2D"/>
    <w:rsid w:val="00270F99"/>
    <w:rsid w:val="0027476B"/>
    <w:rsid w:val="00274DA9"/>
    <w:rsid w:val="00275029"/>
    <w:rsid w:val="0027503D"/>
    <w:rsid w:val="00275894"/>
    <w:rsid w:val="002761DA"/>
    <w:rsid w:val="00276548"/>
    <w:rsid w:val="00276B9F"/>
    <w:rsid w:val="002772EE"/>
    <w:rsid w:val="0028015A"/>
    <w:rsid w:val="00280290"/>
    <w:rsid w:val="00280D70"/>
    <w:rsid w:val="002811ED"/>
    <w:rsid w:val="00283438"/>
    <w:rsid w:val="002842A9"/>
    <w:rsid w:val="00284310"/>
    <w:rsid w:val="0028491C"/>
    <w:rsid w:val="002852FA"/>
    <w:rsid w:val="00286D94"/>
    <w:rsid w:val="002958DA"/>
    <w:rsid w:val="002967A4"/>
    <w:rsid w:val="002968D6"/>
    <w:rsid w:val="002969A9"/>
    <w:rsid w:val="002A0479"/>
    <w:rsid w:val="002A04B8"/>
    <w:rsid w:val="002A1394"/>
    <w:rsid w:val="002A1709"/>
    <w:rsid w:val="002A2593"/>
    <w:rsid w:val="002A333F"/>
    <w:rsid w:val="002A5099"/>
    <w:rsid w:val="002A7C31"/>
    <w:rsid w:val="002B3A70"/>
    <w:rsid w:val="002B4FD0"/>
    <w:rsid w:val="002B50C1"/>
    <w:rsid w:val="002B56D4"/>
    <w:rsid w:val="002B6090"/>
    <w:rsid w:val="002B6198"/>
    <w:rsid w:val="002C022F"/>
    <w:rsid w:val="002C07A9"/>
    <w:rsid w:val="002C143C"/>
    <w:rsid w:val="002C1C71"/>
    <w:rsid w:val="002C2AD5"/>
    <w:rsid w:val="002C4805"/>
    <w:rsid w:val="002C592E"/>
    <w:rsid w:val="002C5F2C"/>
    <w:rsid w:val="002C6DA4"/>
    <w:rsid w:val="002C7247"/>
    <w:rsid w:val="002C7449"/>
    <w:rsid w:val="002D03E3"/>
    <w:rsid w:val="002D2065"/>
    <w:rsid w:val="002D232D"/>
    <w:rsid w:val="002D2BE5"/>
    <w:rsid w:val="002D2CA6"/>
    <w:rsid w:val="002D2FBB"/>
    <w:rsid w:val="002D4E18"/>
    <w:rsid w:val="002D6161"/>
    <w:rsid w:val="002D64BC"/>
    <w:rsid w:val="002E0E6A"/>
    <w:rsid w:val="002E10AD"/>
    <w:rsid w:val="002E1296"/>
    <w:rsid w:val="002E2B82"/>
    <w:rsid w:val="002E2FA6"/>
    <w:rsid w:val="002E33A2"/>
    <w:rsid w:val="002E3F2B"/>
    <w:rsid w:val="002E4A3A"/>
    <w:rsid w:val="002E5998"/>
    <w:rsid w:val="002E7BE8"/>
    <w:rsid w:val="002F1856"/>
    <w:rsid w:val="002F29E9"/>
    <w:rsid w:val="002F5081"/>
    <w:rsid w:val="002F5AE5"/>
    <w:rsid w:val="002F707A"/>
    <w:rsid w:val="0030077E"/>
    <w:rsid w:val="00300DD7"/>
    <w:rsid w:val="003017D8"/>
    <w:rsid w:val="003044B4"/>
    <w:rsid w:val="0030540B"/>
    <w:rsid w:val="0030620E"/>
    <w:rsid w:val="00310172"/>
    <w:rsid w:val="003115AD"/>
    <w:rsid w:val="00311E90"/>
    <w:rsid w:val="00311EFF"/>
    <w:rsid w:val="00312C87"/>
    <w:rsid w:val="003142A8"/>
    <w:rsid w:val="0031441A"/>
    <w:rsid w:val="0031624E"/>
    <w:rsid w:val="0031663A"/>
    <w:rsid w:val="00316879"/>
    <w:rsid w:val="00316C30"/>
    <w:rsid w:val="00317C66"/>
    <w:rsid w:val="00320B5A"/>
    <w:rsid w:val="003231F4"/>
    <w:rsid w:val="00326BBC"/>
    <w:rsid w:val="00327335"/>
    <w:rsid w:val="00327993"/>
    <w:rsid w:val="00327B39"/>
    <w:rsid w:val="00327B59"/>
    <w:rsid w:val="003304E4"/>
    <w:rsid w:val="00335331"/>
    <w:rsid w:val="00336605"/>
    <w:rsid w:val="003404C6"/>
    <w:rsid w:val="003416FD"/>
    <w:rsid w:val="0034276B"/>
    <w:rsid w:val="00344565"/>
    <w:rsid w:val="00344CE0"/>
    <w:rsid w:val="003452E0"/>
    <w:rsid w:val="0034601E"/>
    <w:rsid w:val="0034698A"/>
    <w:rsid w:val="003503C0"/>
    <w:rsid w:val="00353218"/>
    <w:rsid w:val="00353976"/>
    <w:rsid w:val="0035410B"/>
    <w:rsid w:val="0035453D"/>
    <w:rsid w:val="0035509D"/>
    <w:rsid w:val="00355ACA"/>
    <w:rsid w:val="00355E3D"/>
    <w:rsid w:val="003568F3"/>
    <w:rsid w:val="00356C70"/>
    <w:rsid w:val="00360F0D"/>
    <w:rsid w:val="00361019"/>
    <w:rsid w:val="00361D78"/>
    <w:rsid w:val="00362344"/>
    <w:rsid w:val="0036365B"/>
    <w:rsid w:val="0036367A"/>
    <w:rsid w:val="003638C7"/>
    <w:rsid w:val="00364280"/>
    <w:rsid w:val="0036503E"/>
    <w:rsid w:val="00371DCE"/>
    <w:rsid w:val="00372418"/>
    <w:rsid w:val="00373B04"/>
    <w:rsid w:val="003745DD"/>
    <w:rsid w:val="0037570E"/>
    <w:rsid w:val="0037654F"/>
    <w:rsid w:val="00377469"/>
    <w:rsid w:val="00377D38"/>
    <w:rsid w:val="003803C3"/>
    <w:rsid w:val="00380F93"/>
    <w:rsid w:val="0038128B"/>
    <w:rsid w:val="003814BA"/>
    <w:rsid w:val="00381854"/>
    <w:rsid w:val="003827D2"/>
    <w:rsid w:val="00385A0C"/>
    <w:rsid w:val="00385EE0"/>
    <w:rsid w:val="00386C54"/>
    <w:rsid w:val="0038735C"/>
    <w:rsid w:val="00390C0A"/>
    <w:rsid w:val="003914E4"/>
    <w:rsid w:val="00391A21"/>
    <w:rsid w:val="003920EF"/>
    <w:rsid w:val="00394292"/>
    <w:rsid w:val="00395D4F"/>
    <w:rsid w:val="003A0D3A"/>
    <w:rsid w:val="003A21E4"/>
    <w:rsid w:val="003A2D4B"/>
    <w:rsid w:val="003A5F34"/>
    <w:rsid w:val="003A7B9B"/>
    <w:rsid w:val="003B07B2"/>
    <w:rsid w:val="003B17E3"/>
    <w:rsid w:val="003B2E45"/>
    <w:rsid w:val="003B46B2"/>
    <w:rsid w:val="003B6CB0"/>
    <w:rsid w:val="003B6E1C"/>
    <w:rsid w:val="003B7E0B"/>
    <w:rsid w:val="003C04A9"/>
    <w:rsid w:val="003C21A1"/>
    <w:rsid w:val="003C3177"/>
    <w:rsid w:val="003C4BE3"/>
    <w:rsid w:val="003C53D0"/>
    <w:rsid w:val="003C779E"/>
    <w:rsid w:val="003D031C"/>
    <w:rsid w:val="003D14AC"/>
    <w:rsid w:val="003D1F98"/>
    <w:rsid w:val="003D2C8A"/>
    <w:rsid w:val="003D3DFB"/>
    <w:rsid w:val="003D70DB"/>
    <w:rsid w:val="003E088C"/>
    <w:rsid w:val="003E0B74"/>
    <w:rsid w:val="003E0FA4"/>
    <w:rsid w:val="003E1E27"/>
    <w:rsid w:val="003E200D"/>
    <w:rsid w:val="003E46A9"/>
    <w:rsid w:val="003F1C9D"/>
    <w:rsid w:val="003F1E02"/>
    <w:rsid w:val="003F317B"/>
    <w:rsid w:val="003F5319"/>
    <w:rsid w:val="003F55A1"/>
    <w:rsid w:val="003F6A2C"/>
    <w:rsid w:val="003F7CEE"/>
    <w:rsid w:val="003F7DDA"/>
    <w:rsid w:val="004006A9"/>
    <w:rsid w:val="00400B9F"/>
    <w:rsid w:val="0040201A"/>
    <w:rsid w:val="00404710"/>
    <w:rsid w:val="00404B3D"/>
    <w:rsid w:val="00406458"/>
    <w:rsid w:val="00406BAE"/>
    <w:rsid w:val="00406C54"/>
    <w:rsid w:val="00407F86"/>
    <w:rsid w:val="00411371"/>
    <w:rsid w:val="00411FDE"/>
    <w:rsid w:val="00412580"/>
    <w:rsid w:val="004128A7"/>
    <w:rsid w:val="00413EE9"/>
    <w:rsid w:val="00414998"/>
    <w:rsid w:val="0041564B"/>
    <w:rsid w:val="0042072E"/>
    <w:rsid w:val="0042086E"/>
    <w:rsid w:val="00421FB1"/>
    <w:rsid w:val="0042396B"/>
    <w:rsid w:val="00423EFA"/>
    <w:rsid w:val="00424AC8"/>
    <w:rsid w:val="00427CB2"/>
    <w:rsid w:val="004302DF"/>
    <w:rsid w:val="0043340E"/>
    <w:rsid w:val="00434667"/>
    <w:rsid w:val="00436576"/>
    <w:rsid w:val="004429C7"/>
    <w:rsid w:val="0044373C"/>
    <w:rsid w:val="00443802"/>
    <w:rsid w:val="0044461E"/>
    <w:rsid w:val="00445551"/>
    <w:rsid w:val="00445B28"/>
    <w:rsid w:val="00446857"/>
    <w:rsid w:val="004507A7"/>
    <w:rsid w:val="00451D97"/>
    <w:rsid w:val="004524A9"/>
    <w:rsid w:val="004533EA"/>
    <w:rsid w:val="00453CA7"/>
    <w:rsid w:val="00456249"/>
    <w:rsid w:val="00456652"/>
    <w:rsid w:val="00460744"/>
    <w:rsid w:val="00461191"/>
    <w:rsid w:val="00461586"/>
    <w:rsid w:val="00462C1A"/>
    <w:rsid w:val="004644BD"/>
    <w:rsid w:val="00464AB1"/>
    <w:rsid w:val="00470F0A"/>
    <w:rsid w:val="00471DB6"/>
    <w:rsid w:val="004728BA"/>
    <w:rsid w:val="00473C11"/>
    <w:rsid w:val="00475351"/>
    <w:rsid w:val="004753F2"/>
    <w:rsid w:val="004756CD"/>
    <w:rsid w:val="00475DBC"/>
    <w:rsid w:val="00477ECC"/>
    <w:rsid w:val="0048010A"/>
    <w:rsid w:val="00485E82"/>
    <w:rsid w:val="00486775"/>
    <w:rsid w:val="00486E65"/>
    <w:rsid w:val="00486E6D"/>
    <w:rsid w:val="0048737A"/>
    <w:rsid w:val="00490612"/>
    <w:rsid w:val="0049105B"/>
    <w:rsid w:val="0049183C"/>
    <w:rsid w:val="00491B86"/>
    <w:rsid w:val="00492877"/>
    <w:rsid w:val="00495B30"/>
    <w:rsid w:val="0049730B"/>
    <w:rsid w:val="00497BFD"/>
    <w:rsid w:val="004A0514"/>
    <w:rsid w:val="004A1867"/>
    <w:rsid w:val="004A4CF7"/>
    <w:rsid w:val="004A5455"/>
    <w:rsid w:val="004B0DC4"/>
    <w:rsid w:val="004B29F4"/>
    <w:rsid w:val="004B5253"/>
    <w:rsid w:val="004B7152"/>
    <w:rsid w:val="004B7EA6"/>
    <w:rsid w:val="004C11B1"/>
    <w:rsid w:val="004C710A"/>
    <w:rsid w:val="004C7B54"/>
    <w:rsid w:val="004D0944"/>
    <w:rsid w:val="004D0ACF"/>
    <w:rsid w:val="004D266D"/>
    <w:rsid w:val="004D26D4"/>
    <w:rsid w:val="004D2F16"/>
    <w:rsid w:val="004D4486"/>
    <w:rsid w:val="004D4BDF"/>
    <w:rsid w:val="004D7766"/>
    <w:rsid w:val="004E267D"/>
    <w:rsid w:val="004E34D0"/>
    <w:rsid w:val="004E39E8"/>
    <w:rsid w:val="004E4349"/>
    <w:rsid w:val="004E4414"/>
    <w:rsid w:val="004E5F35"/>
    <w:rsid w:val="004E6399"/>
    <w:rsid w:val="004E6C6F"/>
    <w:rsid w:val="004F088D"/>
    <w:rsid w:val="004F0B26"/>
    <w:rsid w:val="004F1334"/>
    <w:rsid w:val="004F1F9F"/>
    <w:rsid w:val="004F30F4"/>
    <w:rsid w:val="004F737B"/>
    <w:rsid w:val="00500031"/>
    <w:rsid w:val="0050044C"/>
    <w:rsid w:val="0050581F"/>
    <w:rsid w:val="00505BA4"/>
    <w:rsid w:val="00507487"/>
    <w:rsid w:val="00511DBE"/>
    <w:rsid w:val="00511EDF"/>
    <w:rsid w:val="0051245D"/>
    <w:rsid w:val="00512A75"/>
    <w:rsid w:val="00515480"/>
    <w:rsid w:val="00515CA7"/>
    <w:rsid w:val="00515E92"/>
    <w:rsid w:val="0052045E"/>
    <w:rsid w:val="005243DE"/>
    <w:rsid w:val="0052603B"/>
    <w:rsid w:val="005260AD"/>
    <w:rsid w:val="00526813"/>
    <w:rsid w:val="00526AEA"/>
    <w:rsid w:val="005272D5"/>
    <w:rsid w:val="0053156F"/>
    <w:rsid w:val="00532F17"/>
    <w:rsid w:val="0053322E"/>
    <w:rsid w:val="00534F9D"/>
    <w:rsid w:val="00536CD6"/>
    <w:rsid w:val="005377F1"/>
    <w:rsid w:val="00537F62"/>
    <w:rsid w:val="00541D5A"/>
    <w:rsid w:val="00541FEE"/>
    <w:rsid w:val="005427A3"/>
    <w:rsid w:val="00546A17"/>
    <w:rsid w:val="005477DA"/>
    <w:rsid w:val="00547915"/>
    <w:rsid w:val="00550569"/>
    <w:rsid w:val="00550690"/>
    <w:rsid w:val="00550777"/>
    <w:rsid w:val="00552E11"/>
    <w:rsid w:val="00554694"/>
    <w:rsid w:val="00554EBF"/>
    <w:rsid w:val="00556D34"/>
    <w:rsid w:val="0056045C"/>
    <w:rsid w:val="005616C4"/>
    <w:rsid w:val="005659C3"/>
    <w:rsid w:val="0056641E"/>
    <w:rsid w:val="00571319"/>
    <w:rsid w:val="00571739"/>
    <w:rsid w:val="00571F82"/>
    <w:rsid w:val="00572209"/>
    <w:rsid w:val="00572710"/>
    <w:rsid w:val="00574B85"/>
    <w:rsid w:val="005809E5"/>
    <w:rsid w:val="00581AC5"/>
    <w:rsid w:val="00586097"/>
    <w:rsid w:val="005876B0"/>
    <w:rsid w:val="00593214"/>
    <w:rsid w:val="005938C8"/>
    <w:rsid w:val="00594559"/>
    <w:rsid w:val="00595C51"/>
    <w:rsid w:val="0059657B"/>
    <w:rsid w:val="0059752E"/>
    <w:rsid w:val="00597750"/>
    <w:rsid w:val="005A3096"/>
    <w:rsid w:val="005A354F"/>
    <w:rsid w:val="005A40FB"/>
    <w:rsid w:val="005A5437"/>
    <w:rsid w:val="005A5C1C"/>
    <w:rsid w:val="005A62AE"/>
    <w:rsid w:val="005A646E"/>
    <w:rsid w:val="005B14C9"/>
    <w:rsid w:val="005B2A14"/>
    <w:rsid w:val="005B2EFA"/>
    <w:rsid w:val="005B33E3"/>
    <w:rsid w:val="005B38C5"/>
    <w:rsid w:val="005B6632"/>
    <w:rsid w:val="005B6C83"/>
    <w:rsid w:val="005C165C"/>
    <w:rsid w:val="005C3553"/>
    <w:rsid w:val="005C3638"/>
    <w:rsid w:val="005C3876"/>
    <w:rsid w:val="005C46B0"/>
    <w:rsid w:val="005C4749"/>
    <w:rsid w:val="005C547A"/>
    <w:rsid w:val="005D26B2"/>
    <w:rsid w:val="005D3FE8"/>
    <w:rsid w:val="005D4204"/>
    <w:rsid w:val="005D54E9"/>
    <w:rsid w:val="005D6474"/>
    <w:rsid w:val="005E03C2"/>
    <w:rsid w:val="005E114C"/>
    <w:rsid w:val="005E2ED9"/>
    <w:rsid w:val="005E45A5"/>
    <w:rsid w:val="005E5653"/>
    <w:rsid w:val="005E6EA6"/>
    <w:rsid w:val="005F3A94"/>
    <w:rsid w:val="005F4FA0"/>
    <w:rsid w:val="005F7426"/>
    <w:rsid w:val="0060063B"/>
    <w:rsid w:val="00601F6B"/>
    <w:rsid w:val="00604964"/>
    <w:rsid w:val="00604ABB"/>
    <w:rsid w:val="00605C1F"/>
    <w:rsid w:val="00610078"/>
    <w:rsid w:val="00610C79"/>
    <w:rsid w:val="006118CF"/>
    <w:rsid w:val="00611BC0"/>
    <w:rsid w:val="00611FF1"/>
    <w:rsid w:val="006129CE"/>
    <w:rsid w:val="00612F66"/>
    <w:rsid w:val="006130BA"/>
    <w:rsid w:val="0061408F"/>
    <w:rsid w:val="0061749B"/>
    <w:rsid w:val="00617AD8"/>
    <w:rsid w:val="00624DA6"/>
    <w:rsid w:val="00625F18"/>
    <w:rsid w:val="00626544"/>
    <w:rsid w:val="00626F60"/>
    <w:rsid w:val="00630231"/>
    <w:rsid w:val="00630AF0"/>
    <w:rsid w:val="00632F90"/>
    <w:rsid w:val="0063321C"/>
    <w:rsid w:val="00634802"/>
    <w:rsid w:val="0063576A"/>
    <w:rsid w:val="006369DD"/>
    <w:rsid w:val="0063730B"/>
    <w:rsid w:val="00643185"/>
    <w:rsid w:val="0064476D"/>
    <w:rsid w:val="00644DB8"/>
    <w:rsid w:val="00647E0A"/>
    <w:rsid w:val="00650AFD"/>
    <w:rsid w:val="00650CDC"/>
    <w:rsid w:val="0065140D"/>
    <w:rsid w:val="00653051"/>
    <w:rsid w:val="0065397C"/>
    <w:rsid w:val="00655067"/>
    <w:rsid w:val="0065571F"/>
    <w:rsid w:val="00655E9D"/>
    <w:rsid w:val="00656F1E"/>
    <w:rsid w:val="00657313"/>
    <w:rsid w:val="006608C5"/>
    <w:rsid w:val="006610E5"/>
    <w:rsid w:val="0066237D"/>
    <w:rsid w:val="00663733"/>
    <w:rsid w:val="00664214"/>
    <w:rsid w:val="006647A1"/>
    <w:rsid w:val="00664A71"/>
    <w:rsid w:val="00664E08"/>
    <w:rsid w:val="00665E24"/>
    <w:rsid w:val="006666B5"/>
    <w:rsid w:val="006671FE"/>
    <w:rsid w:val="006674B9"/>
    <w:rsid w:val="00667C91"/>
    <w:rsid w:val="00670837"/>
    <w:rsid w:val="0067249C"/>
    <w:rsid w:val="00673592"/>
    <w:rsid w:val="006737CC"/>
    <w:rsid w:val="00680C47"/>
    <w:rsid w:val="00680D46"/>
    <w:rsid w:val="006815E1"/>
    <w:rsid w:val="00682230"/>
    <w:rsid w:val="0068240C"/>
    <w:rsid w:val="00683690"/>
    <w:rsid w:val="00684894"/>
    <w:rsid w:val="00685D54"/>
    <w:rsid w:val="00686951"/>
    <w:rsid w:val="006902BF"/>
    <w:rsid w:val="006904D3"/>
    <w:rsid w:val="0069181A"/>
    <w:rsid w:val="0069285F"/>
    <w:rsid w:val="00692C16"/>
    <w:rsid w:val="00694278"/>
    <w:rsid w:val="0069514A"/>
    <w:rsid w:val="00695150"/>
    <w:rsid w:val="0069581B"/>
    <w:rsid w:val="00695D01"/>
    <w:rsid w:val="006A2B5A"/>
    <w:rsid w:val="006A2EF9"/>
    <w:rsid w:val="006A4809"/>
    <w:rsid w:val="006A50FE"/>
    <w:rsid w:val="006A6F54"/>
    <w:rsid w:val="006B0839"/>
    <w:rsid w:val="006B1FC3"/>
    <w:rsid w:val="006B253E"/>
    <w:rsid w:val="006B546A"/>
    <w:rsid w:val="006B7791"/>
    <w:rsid w:val="006C0564"/>
    <w:rsid w:val="006C23AF"/>
    <w:rsid w:val="006C30A7"/>
    <w:rsid w:val="006C35EE"/>
    <w:rsid w:val="006C4436"/>
    <w:rsid w:val="006C517F"/>
    <w:rsid w:val="006D1E21"/>
    <w:rsid w:val="006D2120"/>
    <w:rsid w:val="006D28BF"/>
    <w:rsid w:val="006D2D1C"/>
    <w:rsid w:val="006D4254"/>
    <w:rsid w:val="006D54A1"/>
    <w:rsid w:val="006D5C60"/>
    <w:rsid w:val="006D7C5B"/>
    <w:rsid w:val="006E03CE"/>
    <w:rsid w:val="006E06E5"/>
    <w:rsid w:val="006E132C"/>
    <w:rsid w:val="006E16B5"/>
    <w:rsid w:val="006E194F"/>
    <w:rsid w:val="006E28C8"/>
    <w:rsid w:val="006E5574"/>
    <w:rsid w:val="006E643D"/>
    <w:rsid w:val="006E6857"/>
    <w:rsid w:val="006E7295"/>
    <w:rsid w:val="006E7890"/>
    <w:rsid w:val="006F3F67"/>
    <w:rsid w:val="006F5203"/>
    <w:rsid w:val="006F60B5"/>
    <w:rsid w:val="006F613F"/>
    <w:rsid w:val="006F6718"/>
    <w:rsid w:val="006F6E84"/>
    <w:rsid w:val="006F6F07"/>
    <w:rsid w:val="007009C2"/>
    <w:rsid w:val="00700AF1"/>
    <w:rsid w:val="0070134A"/>
    <w:rsid w:val="0070172D"/>
    <w:rsid w:val="0070424E"/>
    <w:rsid w:val="00705380"/>
    <w:rsid w:val="0070699A"/>
    <w:rsid w:val="00711EB9"/>
    <w:rsid w:val="007124D3"/>
    <w:rsid w:val="00715955"/>
    <w:rsid w:val="007209B7"/>
    <w:rsid w:val="007210B5"/>
    <w:rsid w:val="0072295C"/>
    <w:rsid w:val="00724394"/>
    <w:rsid w:val="00724441"/>
    <w:rsid w:val="00724CAB"/>
    <w:rsid w:val="007263E0"/>
    <w:rsid w:val="00726B8C"/>
    <w:rsid w:val="00727F95"/>
    <w:rsid w:val="00730570"/>
    <w:rsid w:val="00733C92"/>
    <w:rsid w:val="00737288"/>
    <w:rsid w:val="00744059"/>
    <w:rsid w:val="007452C4"/>
    <w:rsid w:val="00745509"/>
    <w:rsid w:val="007501A5"/>
    <w:rsid w:val="00751295"/>
    <w:rsid w:val="00752075"/>
    <w:rsid w:val="007541FA"/>
    <w:rsid w:val="00754DFB"/>
    <w:rsid w:val="00755D1A"/>
    <w:rsid w:val="007573B8"/>
    <w:rsid w:val="00761399"/>
    <w:rsid w:val="0076157C"/>
    <w:rsid w:val="00762E91"/>
    <w:rsid w:val="00763DAB"/>
    <w:rsid w:val="00764772"/>
    <w:rsid w:val="007650E7"/>
    <w:rsid w:val="00766607"/>
    <w:rsid w:val="00766BC4"/>
    <w:rsid w:val="00770CD8"/>
    <w:rsid w:val="00771228"/>
    <w:rsid w:val="00772928"/>
    <w:rsid w:val="00773A67"/>
    <w:rsid w:val="00774D0E"/>
    <w:rsid w:val="00775420"/>
    <w:rsid w:val="00776359"/>
    <w:rsid w:val="0077793F"/>
    <w:rsid w:val="00777DBC"/>
    <w:rsid w:val="007801CE"/>
    <w:rsid w:val="007811A1"/>
    <w:rsid w:val="00782D29"/>
    <w:rsid w:val="00783360"/>
    <w:rsid w:val="007867AC"/>
    <w:rsid w:val="007902E5"/>
    <w:rsid w:val="007929AD"/>
    <w:rsid w:val="007933E0"/>
    <w:rsid w:val="007937BE"/>
    <w:rsid w:val="007947A3"/>
    <w:rsid w:val="00795B66"/>
    <w:rsid w:val="00796284"/>
    <w:rsid w:val="007962D1"/>
    <w:rsid w:val="00797510"/>
    <w:rsid w:val="00797B98"/>
    <w:rsid w:val="00797CB5"/>
    <w:rsid w:val="007A0794"/>
    <w:rsid w:val="007A0B0F"/>
    <w:rsid w:val="007A1790"/>
    <w:rsid w:val="007A1BA5"/>
    <w:rsid w:val="007A1C62"/>
    <w:rsid w:val="007A2406"/>
    <w:rsid w:val="007A2C71"/>
    <w:rsid w:val="007A3935"/>
    <w:rsid w:val="007A3AD3"/>
    <w:rsid w:val="007A5FB9"/>
    <w:rsid w:val="007A6E3D"/>
    <w:rsid w:val="007A7088"/>
    <w:rsid w:val="007A7878"/>
    <w:rsid w:val="007A7ADA"/>
    <w:rsid w:val="007B1070"/>
    <w:rsid w:val="007B118E"/>
    <w:rsid w:val="007B3076"/>
    <w:rsid w:val="007B318D"/>
    <w:rsid w:val="007B5663"/>
    <w:rsid w:val="007C037A"/>
    <w:rsid w:val="007C2025"/>
    <w:rsid w:val="007C3906"/>
    <w:rsid w:val="007C3A8D"/>
    <w:rsid w:val="007C460E"/>
    <w:rsid w:val="007C5CFF"/>
    <w:rsid w:val="007D0C09"/>
    <w:rsid w:val="007D5142"/>
    <w:rsid w:val="007D55EB"/>
    <w:rsid w:val="007D56F8"/>
    <w:rsid w:val="007D73D5"/>
    <w:rsid w:val="007D7A7F"/>
    <w:rsid w:val="007E200B"/>
    <w:rsid w:val="007E2F96"/>
    <w:rsid w:val="007E44D0"/>
    <w:rsid w:val="007E65E7"/>
    <w:rsid w:val="007E685C"/>
    <w:rsid w:val="007F0D0F"/>
    <w:rsid w:val="007F0F27"/>
    <w:rsid w:val="007F1E30"/>
    <w:rsid w:val="007F3300"/>
    <w:rsid w:val="007F4579"/>
    <w:rsid w:val="007F4A36"/>
    <w:rsid w:val="007F51CF"/>
    <w:rsid w:val="007F5A52"/>
    <w:rsid w:val="007F5C79"/>
    <w:rsid w:val="007F6436"/>
    <w:rsid w:val="0080011A"/>
    <w:rsid w:val="00800E02"/>
    <w:rsid w:val="008014FE"/>
    <w:rsid w:val="00802309"/>
    <w:rsid w:val="00802BDB"/>
    <w:rsid w:val="008054A5"/>
    <w:rsid w:val="00806D37"/>
    <w:rsid w:val="00810268"/>
    <w:rsid w:val="00811614"/>
    <w:rsid w:val="0081296C"/>
    <w:rsid w:val="00813B38"/>
    <w:rsid w:val="00813B40"/>
    <w:rsid w:val="00813F06"/>
    <w:rsid w:val="00814C84"/>
    <w:rsid w:val="00815E07"/>
    <w:rsid w:val="00817099"/>
    <w:rsid w:val="008214FC"/>
    <w:rsid w:val="0082215F"/>
    <w:rsid w:val="00823625"/>
    <w:rsid w:val="00824DF9"/>
    <w:rsid w:val="0082595B"/>
    <w:rsid w:val="008259F5"/>
    <w:rsid w:val="00825FC8"/>
    <w:rsid w:val="008306C3"/>
    <w:rsid w:val="0083080E"/>
    <w:rsid w:val="00833477"/>
    <w:rsid w:val="008337DC"/>
    <w:rsid w:val="008341A0"/>
    <w:rsid w:val="00836851"/>
    <w:rsid w:val="0084034A"/>
    <w:rsid w:val="00842490"/>
    <w:rsid w:val="00844A23"/>
    <w:rsid w:val="00845C19"/>
    <w:rsid w:val="0085013A"/>
    <w:rsid w:val="00851969"/>
    <w:rsid w:val="00852E4B"/>
    <w:rsid w:val="00853ECA"/>
    <w:rsid w:val="00853F9B"/>
    <w:rsid w:val="00854C7C"/>
    <w:rsid w:val="0085538F"/>
    <w:rsid w:val="0085578F"/>
    <w:rsid w:val="00856FB2"/>
    <w:rsid w:val="008576F2"/>
    <w:rsid w:val="00857F76"/>
    <w:rsid w:val="00861231"/>
    <w:rsid w:val="008613BE"/>
    <w:rsid w:val="0086163D"/>
    <w:rsid w:val="0086255E"/>
    <w:rsid w:val="00862578"/>
    <w:rsid w:val="00862784"/>
    <w:rsid w:val="00862DA3"/>
    <w:rsid w:val="008647CE"/>
    <w:rsid w:val="00866A78"/>
    <w:rsid w:val="00867A31"/>
    <w:rsid w:val="0087309D"/>
    <w:rsid w:val="00874FA5"/>
    <w:rsid w:val="0087622A"/>
    <w:rsid w:val="00877C37"/>
    <w:rsid w:val="00877EF7"/>
    <w:rsid w:val="00880701"/>
    <w:rsid w:val="008808CB"/>
    <w:rsid w:val="0088338F"/>
    <w:rsid w:val="00883BE0"/>
    <w:rsid w:val="008859C5"/>
    <w:rsid w:val="00887CB2"/>
    <w:rsid w:val="0089175E"/>
    <w:rsid w:val="0089192B"/>
    <w:rsid w:val="00891BDF"/>
    <w:rsid w:val="0089281C"/>
    <w:rsid w:val="0089293A"/>
    <w:rsid w:val="00892A8D"/>
    <w:rsid w:val="00893C35"/>
    <w:rsid w:val="0089454F"/>
    <w:rsid w:val="008956CB"/>
    <w:rsid w:val="00897143"/>
    <w:rsid w:val="008A0E2E"/>
    <w:rsid w:val="008A202F"/>
    <w:rsid w:val="008A2C5F"/>
    <w:rsid w:val="008A302E"/>
    <w:rsid w:val="008A30E3"/>
    <w:rsid w:val="008A333F"/>
    <w:rsid w:val="008A4A5B"/>
    <w:rsid w:val="008A4ADC"/>
    <w:rsid w:val="008A4B41"/>
    <w:rsid w:val="008B116D"/>
    <w:rsid w:val="008B29C0"/>
    <w:rsid w:val="008B2D31"/>
    <w:rsid w:val="008B3B07"/>
    <w:rsid w:val="008B4C40"/>
    <w:rsid w:val="008B5CCE"/>
    <w:rsid w:val="008B7BFA"/>
    <w:rsid w:val="008C33CF"/>
    <w:rsid w:val="008C4690"/>
    <w:rsid w:val="008C50C1"/>
    <w:rsid w:val="008C575D"/>
    <w:rsid w:val="008D0B8E"/>
    <w:rsid w:val="008D1F62"/>
    <w:rsid w:val="008D2A2B"/>
    <w:rsid w:val="008D4535"/>
    <w:rsid w:val="008D500E"/>
    <w:rsid w:val="008D6DDE"/>
    <w:rsid w:val="008D7DB7"/>
    <w:rsid w:val="008E2925"/>
    <w:rsid w:val="008E4E29"/>
    <w:rsid w:val="008E5008"/>
    <w:rsid w:val="008E7942"/>
    <w:rsid w:val="008F024F"/>
    <w:rsid w:val="008F135C"/>
    <w:rsid w:val="008F2E24"/>
    <w:rsid w:val="008F36BA"/>
    <w:rsid w:val="008F5F57"/>
    <w:rsid w:val="008F650D"/>
    <w:rsid w:val="008F7BC7"/>
    <w:rsid w:val="00901261"/>
    <w:rsid w:val="00901941"/>
    <w:rsid w:val="00902E3C"/>
    <w:rsid w:val="00903208"/>
    <w:rsid w:val="00903D14"/>
    <w:rsid w:val="00904AE2"/>
    <w:rsid w:val="00905334"/>
    <w:rsid w:val="00905EF7"/>
    <w:rsid w:val="0091045C"/>
    <w:rsid w:val="009106E7"/>
    <w:rsid w:val="00911B7A"/>
    <w:rsid w:val="00911CDD"/>
    <w:rsid w:val="00913530"/>
    <w:rsid w:val="0091699F"/>
    <w:rsid w:val="00922707"/>
    <w:rsid w:val="009228B9"/>
    <w:rsid w:val="00922F64"/>
    <w:rsid w:val="009246B2"/>
    <w:rsid w:val="009247D9"/>
    <w:rsid w:val="0092545F"/>
    <w:rsid w:val="00927E47"/>
    <w:rsid w:val="0093070A"/>
    <w:rsid w:val="00930AEE"/>
    <w:rsid w:val="00931D2F"/>
    <w:rsid w:val="00931FCB"/>
    <w:rsid w:val="00934E6E"/>
    <w:rsid w:val="00935665"/>
    <w:rsid w:val="00935CDD"/>
    <w:rsid w:val="00935CEC"/>
    <w:rsid w:val="0093614D"/>
    <w:rsid w:val="00937F10"/>
    <w:rsid w:val="0094012E"/>
    <w:rsid w:val="00940D06"/>
    <w:rsid w:val="00941030"/>
    <w:rsid w:val="00941652"/>
    <w:rsid w:val="0094562E"/>
    <w:rsid w:val="009465C5"/>
    <w:rsid w:val="0094699C"/>
    <w:rsid w:val="00951EBF"/>
    <w:rsid w:val="00951F4E"/>
    <w:rsid w:val="0095239D"/>
    <w:rsid w:val="00952F6A"/>
    <w:rsid w:val="00953D2B"/>
    <w:rsid w:val="0095716E"/>
    <w:rsid w:val="00963049"/>
    <w:rsid w:val="009648EA"/>
    <w:rsid w:val="00965ED9"/>
    <w:rsid w:val="00967848"/>
    <w:rsid w:val="009709F2"/>
    <w:rsid w:val="00970ADE"/>
    <w:rsid w:val="0097160C"/>
    <w:rsid w:val="00971956"/>
    <w:rsid w:val="00972793"/>
    <w:rsid w:val="00974800"/>
    <w:rsid w:val="00974A61"/>
    <w:rsid w:val="00976B35"/>
    <w:rsid w:val="00977F68"/>
    <w:rsid w:val="00982857"/>
    <w:rsid w:val="00983BC5"/>
    <w:rsid w:val="00984B99"/>
    <w:rsid w:val="009853E0"/>
    <w:rsid w:val="0098608C"/>
    <w:rsid w:val="00987378"/>
    <w:rsid w:val="00992CAE"/>
    <w:rsid w:val="00993707"/>
    <w:rsid w:val="009938AE"/>
    <w:rsid w:val="00995C9D"/>
    <w:rsid w:val="009960AC"/>
    <w:rsid w:val="00997ACC"/>
    <w:rsid w:val="009A14DD"/>
    <w:rsid w:val="009A45EA"/>
    <w:rsid w:val="009A593C"/>
    <w:rsid w:val="009A671F"/>
    <w:rsid w:val="009A6F56"/>
    <w:rsid w:val="009A7467"/>
    <w:rsid w:val="009B0856"/>
    <w:rsid w:val="009B2C30"/>
    <w:rsid w:val="009B2D4A"/>
    <w:rsid w:val="009B3EAD"/>
    <w:rsid w:val="009B4E87"/>
    <w:rsid w:val="009B4FDB"/>
    <w:rsid w:val="009B5422"/>
    <w:rsid w:val="009B54C5"/>
    <w:rsid w:val="009B697E"/>
    <w:rsid w:val="009C3156"/>
    <w:rsid w:val="009C316D"/>
    <w:rsid w:val="009C4063"/>
    <w:rsid w:val="009C4F65"/>
    <w:rsid w:val="009C66C6"/>
    <w:rsid w:val="009D02D7"/>
    <w:rsid w:val="009D0B8F"/>
    <w:rsid w:val="009D0E52"/>
    <w:rsid w:val="009D2B78"/>
    <w:rsid w:val="009D2C15"/>
    <w:rsid w:val="009D2D07"/>
    <w:rsid w:val="009D2F10"/>
    <w:rsid w:val="009D3341"/>
    <w:rsid w:val="009D3463"/>
    <w:rsid w:val="009D4FD3"/>
    <w:rsid w:val="009D5D75"/>
    <w:rsid w:val="009D6108"/>
    <w:rsid w:val="009E036C"/>
    <w:rsid w:val="009E13CF"/>
    <w:rsid w:val="009E2471"/>
    <w:rsid w:val="009E2E04"/>
    <w:rsid w:val="009E596E"/>
    <w:rsid w:val="009F0096"/>
    <w:rsid w:val="009F2018"/>
    <w:rsid w:val="009F3ACE"/>
    <w:rsid w:val="009F606E"/>
    <w:rsid w:val="009F7782"/>
    <w:rsid w:val="00A02E5A"/>
    <w:rsid w:val="00A036A0"/>
    <w:rsid w:val="00A04561"/>
    <w:rsid w:val="00A05820"/>
    <w:rsid w:val="00A0618C"/>
    <w:rsid w:val="00A06B23"/>
    <w:rsid w:val="00A06B60"/>
    <w:rsid w:val="00A07090"/>
    <w:rsid w:val="00A07C1D"/>
    <w:rsid w:val="00A11A7C"/>
    <w:rsid w:val="00A120DB"/>
    <w:rsid w:val="00A13FC8"/>
    <w:rsid w:val="00A1485C"/>
    <w:rsid w:val="00A159EA"/>
    <w:rsid w:val="00A16E5E"/>
    <w:rsid w:val="00A2083A"/>
    <w:rsid w:val="00A2157A"/>
    <w:rsid w:val="00A23D1E"/>
    <w:rsid w:val="00A23F9E"/>
    <w:rsid w:val="00A25CA4"/>
    <w:rsid w:val="00A31675"/>
    <w:rsid w:val="00A3389A"/>
    <w:rsid w:val="00A40774"/>
    <w:rsid w:val="00A40DBE"/>
    <w:rsid w:val="00A42ED6"/>
    <w:rsid w:val="00A44747"/>
    <w:rsid w:val="00A454DC"/>
    <w:rsid w:val="00A46360"/>
    <w:rsid w:val="00A46736"/>
    <w:rsid w:val="00A505D8"/>
    <w:rsid w:val="00A52896"/>
    <w:rsid w:val="00A53D9E"/>
    <w:rsid w:val="00A53F30"/>
    <w:rsid w:val="00A57001"/>
    <w:rsid w:val="00A573FC"/>
    <w:rsid w:val="00A6118A"/>
    <w:rsid w:val="00A63A5C"/>
    <w:rsid w:val="00A63AD7"/>
    <w:rsid w:val="00A63FCE"/>
    <w:rsid w:val="00A642F5"/>
    <w:rsid w:val="00A656CD"/>
    <w:rsid w:val="00A66523"/>
    <w:rsid w:val="00A67E3F"/>
    <w:rsid w:val="00A701E8"/>
    <w:rsid w:val="00A706AA"/>
    <w:rsid w:val="00A7159D"/>
    <w:rsid w:val="00A73122"/>
    <w:rsid w:val="00A77A0B"/>
    <w:rsid w:val="00A77C62"/>
    <w:rsid w:val="00A806A4"/>
    <w:rsid w:val="00A81A27"/>
    <w:rsid w:val="00A82380"/>
    <w:rsid w:val="00A82523"/>
    <w:rsid w:val="00A83A7D"/>
    <w:rsid w:val="00A9045C"/>
    <w:rsid w:val="00A90CE1"/>
    <w:rsid w:val="00A9101F"/>
    <w:rsid w:val="00A9148F"/>
    <w:rsid w:val="00A91D8B"/>
    <w:rsid w:val="00A92A81"/>
    <w:rsid w:val="00A92CCD"/>
    <w:rsid w:val="00A95148"/>
    <w:rsid w:val="00A96029"/>
    <w:rsid w:val="00A96855"/>
    <w:rsid w:val="00A96BBE"/>
    <w:rsid w:val="00A9711D"/>
    <w:rsid w:val="00AA0F17"/>
    <w:rsid w:val="00AA1C5A"/>
    <w:rsid w:val="00AA28B9"/>
    <w:rsid w:val="00AA3476"/>
    <w:rsid w:val="00AA48EC"/>
    <w:rsid w:val="00AA5373"/>
    <w:rsid w:val="00AA6B57"/>
    <w:rsid w:val="00AA7310"/>
    <w:rsid w:val="00AB0447"/>
    <w:rsid w:val="00AB3288"/>
    <w:rsid w:val="00AB501B"/>
    <w:rsid w:val="00AB605D"/>
    <w:rsid w:val="00AC1154"/>
    <w:rsid w:val="00AC14B2"/>
    <w:rsid w:val="00AC2662"/>
    <w:rsid w:val="00AC30C6"/>
    <w:rsid w:val="00AC3D6E"/>
    <w:rsid w:val="00AC463B"/>
    <w:rsid w:val="00AC4E40"/>
    <w:rsid w:val="00AC5C19"/>
    <w:rsid w:val="00AC7150"/>
    <w:rsid w:val="00AC7215"/>
    <w:rsid w:val="00AC78FE"/>
    <w:rsid w:val="00AD4715"/>
    <w:rsid w:val="00AD6656"/>
    <w:rsid w:val="00AD7466"/>
    <w:rsid w:val="00AD7FDB"/>
    <w:rsid w:val="00AE2B6E"/>
    <w:rsid w:val="00AE36D9"/>
    <w:rsid w:val="00AE3BCF"/>
    <w:rsid w:val="00AE52C6"/>
    <w:rsid w:val="00AE5F71"/>
    <w:rsid w:val="00AF14D8"/>
    <w:rsid w:val="00AF2196"/>
    <w:rsid w:val="00AF2ED2"/>
    <w:rsid w:val="00AF3CC0"/>
    <w:rsid w:val="00AF4017"/>
    <w:rsid w:val="00AF437E"/>
    <w:rsid w:val="00AF4691"/>
    <w:rsid w:val="00AF4CE3"/>
    <w:rsid w:val="00AF4FAF"/>
    <w:rsid w:val="00AF5525"/>
    <w:rsid w:val="00AF5708"/>
    <w:rsid w:val="00AF6C6C"/>
    <w:rsid w:val="00AF7E30"/>
    <w:rsid w:val="00B00247"/>
    <w:rsid w:val="00B0025E"/>
    <w:rsid w:val="00B003DB"/>
    <w:rsid w:val="00B00E4D"/>
    <w:rsid w:val="00B02425"/>
    <w:rsid w:val="00B037C1"/>
    <w:rsid w:val="00B07BD7"/>
    <w:rsid w:val="00B111EA"/>
    <w:rsid w:val="00B12151"/>
    <w:rsid w:val="00B14045"/>
    <w:rsid w:val="00B14E64"/>
    <w:rsid w:val="00B152DC"/>
    <w:rsid w:val="00B16130"/>
    <w:rsid w:val="00B206B5"/>
    <w:rsid w:val="00B209BE"/>
    <w:rsid w:val="00B211A7"/>
    <w:rsid w:val="00B21F42"/>
    <w:rsid w:val="00B225C0"/>
    <w:rsid w:val="00B22867"/>
    <w:rsid w:val="00B247BA"/>
    <w:rsid w:val="00B2543B"/>
    <w:rsid w:val="00B31CE8"/>
    <w:rsid w:val="00B323AB"/>
    <w:rsid w:val="00B32A11"/>
    <w:rsid w:val="00B33DB4"/>
    <w:rsid w:val="00B3440E"/>
    <w:rsid w:val="00B374DE"/>
    <w:rsid w:val="00B412DB"/>
    <w:rsid w:val="00B441A5"/>
    <w:rsid w:val="00B45520"/>
    <w:rsid w:val="00B47807"/>
    <w:rsid w:val="00B51677"/>
    <w:rsid w:val="00B519A4"/>
    <w:rsid w:val="00B52155"/>
    <w:rsid w:val="00B53D3E"/>
    <w:rsid w:val="00B550A4"/>
    <w:rsid w:val="00B55239"/>
    <w:rsid w:val="00B553E8"/>
    <w:rsid w:val="00B55E84"/>
    <w:rsid w:val="00B573F7"/>
    <w:rsid w:val="00B57793"/>
    <w:rsid w:val="00B6014B"/>
    <w:rsid w:val="00B6071E"/>
    <w:rsid w:val="00B657A3"/>
    <w:rsid w:val="00B6606D"/>
    <w:rsid w:val="00B72354"/>
    <w:rsid w:val="00B72799"/>
    <w:rsid w:val="00B72E61"/>
    <w:rsid w:val="00B7315D"/>
    <w:rsid w:val="00B73655"/>
    <w:rsid w:val="00B75C85"/>
    <w:rsid w:val="00B760C8"/>
    <w:rsid w:val="00B76B4E"/>
    <w:rsid w:val="00B80CB3"/>
    <w:rsid w:val="00B80EEA"/>
    <w:rsid w:val="00B81CBE"/>
    <w:rsid w:val="00B8380B"/>
    <w:rsid w:val="00B83855"/>
    <w:rsid w:val="00B84A03"/>
    <w:rsid w:val="00B85E7C"/>
    <w:rsid w:val="00B8671D"/>
    <w:rsid w:val="00B8796A"/>
    <w:rsid w:val="00B9086E"/>
    <w:rsid w:val="00B92392"/>
    <w:rsid w:val="00B9358B"/>
    <w:rsid w:val="00B941E8"/>
    <w:rsid w:val="00B9741D"/>
    <w:rsid w:val="00B978CA"/>
    <w:rsid w:val="00B97A9D"/>
    <w:rsid w:val="00BA2249"/>
    <w:rsid w:val="00BA23A4"/>
    <w:rsid w:val="00BA27B1"/>
    <w:rsid w:val="00BA2829"/>
    <w:rsid w:val="00BA2F18"/>
    <w:rsid w:val="00BA30F8"/>
    <w:rsid w:val="00BA403B"/>
    <w:rsid w:val="00BB03C5"/>
    <w:rsid w:val="00BB211A"/>
    <w:rsid w:val="00BB2F8E"/>
    <w:rsid w:val="00BB30EA"/>
    <w:rsid w:val="00BB68A1"/>
    <w:rsid w:val="00BB7392"/>
    <w:rsid w:val="00BC01D8"/>
    <w:rsid w:val="00BC0AF9"/>
    <w:rsid w:val="00BC18D5"/>
    <w:rsid w:val="00BC3043"/>
    <w:rsid w:val="00BC42F7"/>
    <w:rsid w:val="00BC4D6A"/>
    <w:rsid w:val="00BC5741"/>
    <w:rsid w:val="00BC64AA"/>
    <w:rsid w:val="00BD0F5E"/>
    <w:rsid w:val="00BD2971"/>
    <w:rsid w:val="00BD4A88"/>
    <w:rsid w:val="00BD50E3"/>
    <w:rsid w:val="00BD7B1B"/>
    <w:rsid w:val="00BD7DF6"/>
    <w:rsid w:val="00BE022F"/>
    <w:rsid w:val="00BE0344"/>
    <w:rsid w:val="00BE1B6A"/>
    <w:rsid w:val="00BE1BB5"/>
    <w:rsid w:val="00BE5A13"/>
    <w:rsid w:val="00BE6B3F"/>
    <w:rsid w:val="00BE6B80"/>
    <w:rsid w:val="00BE7F3C"/>
    <w:rsid w:val="00BF0735"/>
    <w:rsid w:val="00BF34A6"/>
    <w:rsid w:val="00BF4087"/>
    <w:rsid w:val="00BF537F"/>
    <w:rsid w:val="00BF6242"/>
    <w:rsid w:val="00BF6C4F"/>
    <w:rsid w:val="00BF71E2"/>
    <w:rsid w:val="00BF72F5"/>
    <w:rsid w:val="00BF73F2"/>
    <w:rsid w:val="00C033A9"/>
    <w:rsid w:val="00C03FC7"/>
    <w:rsid w:val="00C058B3"/>
    <w:rsid w:val="00C05C29"/>
    <w:rsid w:val="00C140E9"/>
    <w:rsid w:val="00C14726"/>
    <w:rsid w:val="00C154BD"/>
    <w:rsid w:val="00C15C28"/>
    <w:rsid w:val="00C15CCE"/>
    <w:rsid w:val="00C15E28"/>
    <w:rsid w:val="00C16369"/>
    <w:rsid w:val="00C179FA"/>
    <w:rsid w:val="00C2082A"/>
    <w:rsid w:val="00C23835"/>
    <w:rsid w:val="00C25879"/>
    <w:rsid w:val="00C26BBE"/>
    <w:rsid w:val="00C26E0F"/>
    <w:rsid w:val="00C27109"/>
    <w:rsid w:val="00C31BB0"/>
    <w:rsid w:val="00C32A90"/>
    <w:rsid w:val="00C334E4"/>
    <w:rsid w:val="00C35918"/>
    <w:rsid w:val="00C35F62"/>
    <w:rsid w:val="00C360F2"/>
    <w:rsid w:val="00C4147A"/>
    <w:rsid w:val="00C41790"/>
    <w:rsid w:val="00C436AD"/>
    <w:rsid w:val="00C44CAB"/>
    <w:rsid w:val="00C46389"/>
    <w:rsid w:val="00C469BF"/>
    <w:rsid w:val="00C47585"/>
    <w:rsid w:val="00C47643"/>
    <w:rsid w:val="00C51255"/>
    <w:rsid w:val="00C528A3"/>
    <w:rsid w:val="00C52B94"/>
    <w:rsid w:val="00C555B5"/>
    <w:rsid w:val="00C6088A"/>
    <w:rsid w:val="00C63A12"/>
    <w:rsid w:val="00C66C3F"/>
    <w:rsid w:val="00C70385"/>
    <w:rsid w:val="00C75D2F"/>
    <w:rsid w:val="00C7615A"/>
    <w:rsid w:val="00C767D9"/>
    <w:rsid w:val="00C76E54"/>
    <w:rsid w:val="00C77875"/>
    <w:rsid w:val="00C77AAB"/>
    <w:rsid w:val="00C80FCB"/>
    <w:rsid w:val="00C82BA0"/>
    <w:rsid w:val="00C8330D"/>
    <w:rsid w:val="00C844B4"/>
    <w:rsid w:val="00C86500"/>
    <w:rsid w:val="00C86755"/>
    <w:rsid w:val="00C87AD3"/>
    <w:rsid w:val="00C90A0F"/>
    <w:rsid w:val="00C93641"/>
    <w:rsid w:val="00C938C8"/>
    <w:rsid w:val="00C958C2"/>
    <w:rsid w:val="00C97227"/>
    <w:rsid w:val="00C9750A"/>
    <w:rsid w:val="00C97B84"/>
    <w:rsid w:val="00CA4074"/>
    <w:rsid w:val="00CA45C6"/>
    <w:rsid w:val="00CA4F7A"/>
    <w:rsid w:val="00CA5765"/>
    <w:rsid w:val="00CA5DCD"/>
    <w:rsid w:val="00CB0805"/>
    <w:rsid w:val="00CB2095"/>
    <w:rsid w:val="00CB376D"/>
    <w:rsid w:val="00CB3933"/>
    <w:rsid w:val="00CB428C"/>
    <w:rsid w:val="00CB438A"/>
    <w:rsid w:val="00CB5BB6"/>
    <w:rsid w:val="00CB6B34"/>
    <w:rsid w:val="00CB6B97"/>
    <w:rsid w:val="00CC0533"/>
    <w:rsid w:val="00CC21CC"/>
    <w:rsid w:val="00CC29E7"/>
    <w:rsid w:val="00CC2E2B"/>
    <w:rsid w:val="00CC343D"/>
    <w:rsid w:val="00CC4B71"/>
    <w:rsid w:val="00CC5947"/>
    <w:rsid w:val="00CC6791"/>
    <w:rsid w:val="00CD0BAE"/>
    <w:rsid w:val="00CD1AD1"/>
    <w:rsid w:val="00CD25C6"/>
    <w:rsid w:val="00CD49AE"/>
    <w:rsid w:val="00CD78C3"/>
    <w:rsid w:val="00CE04FE"/>
    <w:rsid w:val="00CE0C3C"/>
    <w:rsid w:val="00CE19B2"/>
    <w:rsid w:val="00CE2F06"/>
    <w:rsid w:val="00CE334D"/>
    <w:rsid w:val="00CE3399"/>
    <w:rsid w:val="00CE4A9B"/>
    <w:rsid w:val="00CE5CC3"/>
    <w:rsid w:val="00CE6B25"/>
    <w:rsid w:val="00CF0055"/>
    <w:rsid w:val="00CF0515"/>
    <w:rsid w:val="00CF09AE"/>
    <w:rsid w:val="00CF1F74"/>
    <w:rsid w:val="00CF1FAC"/>
    <w:rsid w:val="00CF3158"/>
    <w:rsid w:val="00CF3DBE"/>
    <w:rsid w:val="00CF5D0F"/>
    <w:rsid w:val="00CF5D8C"/>
    <w:rsid w:val="00CF741B"/>
    <w:rsid w:val="00D00206"/>
    <w:rsid w:val="00D00349"/>
    <w:rsid w:val="00D01AA2"/>
    <w:rsid w:val="00D01EB2"/>
    <w:rsid w:val="00D02F29"/>
    <w:rsid w:val="00D02FCD"/>
    <w:rsid w:val="00D04EB9"/>
    <w:rsid w:val="00D065A9"/>
    <w:rsid w:val="00D10346"/>
    <w:rsid w:val="00D10914"/>
    <w:rsid w:val="00D13292"/>
    <w:rsid w:val="00D13429"/>
    <w:rsid w:val="00D157D6"/>
    <w:rsid w:val="00D16E40"/>
    <w:rsid w:val="00D17091"/>
    <w:rsid w:val="00D20F10"/>
    <w:rsid w:val="00D22B93"/>
    <w:rsid w:val="00D23C87"/>
    <w:rsid w:val="00D2567C"/>
    <w:rsid w:val="00D2625D"/>
    <w:rsid w:val="00D270A5"/>
    <w:rsid w:val="00D30015"/>
    <w:rsid w:val="00D300DE"/>
    <w:rsid w:val="00D30A1D"/>
    <w:rsid w:val="00D30BA3"/>
    <w:rsid w:val="00D30E58"/>
    <w:rsid w:val="00D31733"/>
    <w:rsid w:val="00D32EF6"/>
    <w:rsid w:val="00D33051"/>
    <w:rsid w:val="00D3509D"/>
    <w:rsid w:val="00D37062"/>
    <w:rsid w:val="00D37A45"/>
    <w:rsid w:val="00D37CED"/>
    <w:rsid w:val="00D402EF"/>
    <w:rsid w:val="00D45518"/>
    <w:rsid w:val="00D457C8"/>
    <w:rsid w:val="00D45FB0"/>
    <w:rsid w:val="00D522A6"/>
    <w:rsid w:val="00D53074"/>
    <w:rsid w:val="00D53DD8"/>
    <w:rsid w:val="00D555E5"/>
    <w:rsid w:val="00D55D32"/>
    <w:rsid w:val="00D602EF"/>
    <w:rsid w:val="00D611AA"/>
    <w:rsid w:val="00D61C1E"/>
    <w:rsid w:val="00D63B11"/>
    <w:rsid w:val="00D65251"/>
    <w:rsid w:val="00D65BCB"/>
    <w:rsid w:val="00D65FF7"/>
    <w:rsid w:val="00D70E97"/>
    <w:rsid w:val="00D7170E"/>
    <w:rsid w:val="00D71754"/>
    <w:rsid w:val="00D72703"/>
    <w:rsid w:val="00D72DE3"/>
    <w:rsid w:val="00D74A47"/>
    <w:rsid w:val="00D75CBE"/>
    <w:rsid w:val="00D777EF"/>
    <w:rsid w:val="00D801C5"/>
    <w:rsid w:val="00D81977"/>
    <w:rsid w:val="00D85260"/>
    <w:rsid w:val="00D878A8"/>
    <w:rsid w:val="00D879F2"/>
    <w:rsid w:val="00D9146D"/>
    <w:rsid w:val="00D947D7"/>
    <w:rsid w:val="00D9705B"/>
    <w:rsid w:val="00D9719E"/>
    <w:rsid w:val="00D97A51"/>
    <w:rsid w:val="00D97D5B"/>
    <w:rsid w:val="00DA256D"/>
    <w:rsid w:val="00DA58E6"/>
    <w:rsid w:val="00DA58F2"/>
    <w:rsid w:val="00DB0050"/>
    <w:rsid w:val="00DB080A"/>
    <w:rsid w:val="00DB2630"/>
    <w:rsid w:val="00DB2AF8"/>
    <w:rsid w:val="00DB35EE"/>
    <w:rsid w:val="00DB3881"/>
    <w:rsid w:val="00DB7279"/>
    <w:rsid w:val="00DB7A9D"/>
    <w:rsid w:val="00DC08AC"/>
    <w:rsid w:val="00DC094D"/>
    <w:rsid w:val="00DC106B"/>
    <w:rsid w:val="00DC3348"/>
    <w:rsid w:val="00DC41F3"/>
    <w:rsid w:val="00DC46A6"/>
    <w:rsid w:val="00DC4DCB"/>
    <w:rsid w:val="00DC52D3"/>
    <w:rsid w:val="00DC6552"/>
    <w:rsid w:val="00DC6F2E"/>
    <w:rsid w:val="00DD0C79"/>
    <w:rsid w:val="00DD311E"/>
    <w:rsid w:val="00DD3899"/>
    <w:rsid w:val="00DD38B9"/>
    <w:rsid w:val="00DD7126"/>
    <w:rsid w:val="00DE1B33"/>
    <w:rsid w:val="00DE4C78"/>
    <w:rsid w:val="00DE6265"/>
    <w:rsid w:val="00DE6645"/>
    <w:rsid w:val="00DF144B"/>
    <w:rsid w:val="00DF1DB7"/>
    <w:rsid w:val="00DF2046"/>
    <w:rsid w:val="00DF2AB6"/>
    <w:rsid w:val="00DF3727"/>
    <w:rsid w:val="00DF4F85"/>
    <w:rsid w:val="00DF7B9A"/>
    <w:rsid w:val="00E01D31"/>
    <w:rsid w:val="00E04410"/>
    <w:rsid w:val="00E05095"/>
    <w:rsid w:val="00E0683C"/>
    <w:rsid w:val="00E06AA5"/>
    <w:rsid w:val="00E132A8"/>
    <w:rsid w:val="00E14BE9"/>
    <w:rsid w:val="00E14C32"/>
    <w:rsid w:val="00E15068"/>
    <w:rsid w:val="00E21A41"/>
    <w:rsid w:val="00E22283"/>
    <w:rsid w:val="00E22350"/>
    <w:rsid w:val="00E245C9"/>
    <w:rsid w:val="00E24AE7"/>
    <w:rsid w:val="00E26961"/>
    <w:rsid w:val="00E27425"/>
    <w:rsid w:val="00E313AD"/>
    <w:rsid w:val="00E31DD5"/>
    <w:rsid w:val="00E3291C"/>
    <w:rsid w:val="00E33BFB"/>
    <w:rsid w:val="00E33E81"/>
    <w:rsid w:val="00E35CB6"/>
    <w:rsid w:val="00E40F94"/>
    <w:rsid w:val="00E41A9F"/>
    <w:rsid w:val="00E4295E"/>
    <w:rsid w:val="00E42F72"/>
    <w:rsid w:val="00E43743"/>
    <w:rsid w:val="00E4561C"/>
    <w:rsid w:val="00E46179"/>
    <w:rsid w:val="00E463F4"/>
    <w:rsid w:val="00E46829"/>
    <w:rsid w:val="00E46861"/>
    <w:rsid w:val="00E505E9"/>
    <w:rsid w:val="00E50C27"/>
    <w:rsid w:val="00E51A24"/>
    <w:rsid w:val="00E53328"/>
    <w:rsid w:val="00E53E4B"/>
    <w:rsid w:val="00E544C7"/>
    <w:rsid w:val="00E55E6A"/>
    <w:rsid w:val="00E569E3"/>
    <w:rsid w:val="00E56B16"/>
    <w:rsid w:val="00E57146"/>
    <w:rsid w:val="00E574A7"/>
    <w:rsid w:val="00E6056E"/>
    <w:rsid w:val="00E61BD2"/>
    <w:rsid w:val="00E64F0E"/>
    <w:rsid w:val="00E668C5"/>
    <w:rsid w:val="00E67D1D"/>
    <w:rsid w:val="00E71B35"/>
    <w:rsid w:val="00E72789"/>
    <w:rsid w:val="00E727C8"/>
    <w:rsid w:val="00E76AE6"/>
    <w:rsid w:val="00E770C8"/>
    <w:rsid w:val="00E802CD"/>
    <w:rsid w:val="00E812D3"/>
    <w:rsid w:val="00E824D9"/>
    <w:rsid w:val="00E840F9"/>
    <w:rsid w:val="00E841E8"/>
    <w:rsid w:val="00E8467F"/>
    <w:rsid w:val="00E85248"/>
    <w:rsid w:val="00E8582F"/>
    <w:rsid w:val="00E90D44"/>
    <w:rsid w:val="00E91B64"/>
    <w:rsid w:val="00E91BCD"/>
    <w:rsid w:val="00E94084"/>
    <w:rsid w:val="00E94185"/>
    <w:rsid w:val="00E94B40"/>
    <w:rsid w:val="00E97250"/>
    <w:rsid w:val="00E973E3"/>
    <w:rsid w:val="00EA04F9"/>
    <w:rsid w:val="00EA14F0"/>
    <w:rsid w:val="00EA1883"/>
    <w:rsid w:val="00EA339F"/>
    <w:rsid w:val="00EA4EAA"/>
    <w:rsid w:val="00EA5472"/>
    <w:rsid w:val="00EA7D2F"/>
    <w:rsid w:val="00EB013E"/>
    <w:rsid w:val="00EB0B5B"/>
    <w:rsid w:val="00EB2A38"/>
    <w:rsid w:val="00EB3115"/>
    <w:rsid w:val="00EB459B"/>
    <w:rsid w:val="00EB49FB"/>
    <w:rsid w:val="00EB4E59"/>
    <w:rsid w:val="00EB5C5B"/>
    <w:rsid w:val="00EB5EE2"/>
    <w:rsid w:val="00EB6DB0"/>
    <w:rsid w:val="00EC0B2C"/>
    <w:rsid w:val="00EC18C2"/>
    <w:rsid w:val="00EC31FE"/>
    <w:rsid w:val="00EC7D75"/>
    <w:rsid w:val="00EC7DBF"/>
    <w:rsid w:val="00ED0A0E"/>
    <w:rsid w:val="00ED1D92"/>
    <w:rsid w:val="00ED3FCA"/>
    <w:rsid w:val="00ED5281"/>
    <w:rsid w:val="00ED5BA6"/>
    <w:rsid w:val="00EE0A57"/>
    <w:rsid w:val="00EE0C2E"/>
    <w:rsid w:val="00EE273C"/>
    <w:rsid w:val="00EE290C"/>
    <w:rsid w:val="00EE29E1"/>
    <w:rsid w:val="00EE377D"/>
    <w:rsid w:val="00EE71C8"/>
    <w:rsid w:val="00EF1241"/>
    <w:rsid w:val="00EF4AEF"/>
    <w:rsid w:val="00EF6B33"/>
    <w:rsid w:val="00EF783C"/>
    <w:rsid w:val="00EF7FB6"/>
    <w:rsid w:val="00F00F97"/>
    <w:rsid w:val="00F0382B"/>
    <w:rsid w:val="00F03AE3"/>
    <w:rsid w:val="00F04BAA"/>
    <w:rsid w:val="00F0610F"/>
    <w:rsid w:val="00F06AD4"/>
    <w:rsid w:val="00F0777A"/>
    <w:rsid w:val="00F11799"/>
    <w:rsid w:val="00F12CBC"/>
    <w:rsid w:val="00F1322E"/>
    <w:rsid w:val="00F14256"/>
    <w:rsid w:val="00F14C68"/>
    <w:rsid w:val="00F159E3"/>
    <w:rsid w:val="00F16882"/>
    <w:rsid w:val="00F20331"/>
    <w:rsid w:val="00F2075A"/>
    <w:rsid w:val="00F208AB"/>
    <w:rsid w:val="00F23798"/>
    <w:rsid w:val="00F2407F"/>
    <w:rsid w:val="00F262DD"/>
    <w:rsid w:val="00F27281"/>
    <w:rsid w:val="00F2756C"/>
    <w:rsid w:val="00F30F56"/>
    <w:rsid w:val="00F337F0"/>
    <w:rsid w:val="00F33CDF"/>
    <w:rsid w:val="00F36D9F"/>
    <w:rsid w:val="00F374B2"/>
    <w:rsid w:val="00F401B0"/>
    <w:rsid w:val="00F405C9"/>
    <w:rsid w:val="00F4113B"/>
    <w:rsid w:val="00F41A44"/>
    <w:rsid w:val="00F42BF7"/>
    <w:rsid w:val="00F44868"/>
    <w:rsid w:val="00F44B61"/>
    <w:rsid w:val="00F4515C"/>
    <w:rsid w:val="00F5055C"/>
    <w:rsid w:val="00F51618"/>
    <w:rsid w:val="00F5328D"/>
    <w:rsid w:val="00F540AA"/>
    <w:rsid w:val="00F61BF8"/>
    <w:rsid w:val="00F643C3"/>
    <w:rsid w:val="00F64EF7"/>
    <w:rsid w:val="00F65C21"/>
    <w:rsid w:val="00F666B1"/>
    <w:rsid w:val="00F66BE9"/>
    <w:rsid w:val="00F66C9D"/>
    <w:rsid w:val="00F70F71"/>
    <w:rsid w:val="00F712ED"/>
    <w:rsid w:val="00F73A5E"/>
    <w:rsid w:val="00F74B59"/>
    <w:rsid w:val="00F74BB8"/>
    <w:rsid w:val="00F75195"/>
    <w:rsid w:val="00F75321"/>
    <w:rsid w:val="00F76526"/>
    <w:rsid w:val="00F8030B"/>
    <w:rsid w:val="00F80FB8"/>
    <w:rsid w:val="00F813A0"/>
    <w:rsid w:val="00F8153E"/>
    <w:rsid w:val="00F819FC"/>
    <w:rsid w:val="00F82625"/>
    <w:rsid w:val="00F82888"/>
    <w:rsid w:val="00F8419C"/>
    <w:rsid w:val="00F8429B"/>
    <w:rsid w:val="00F8538D"/>
    <w:rsid w:val="00F856E9"/>
    <w:rsid w:val="00F858E5"/>
    <w:rsid w:val="00F85C66"/>
    <w:rsid w:val="00F9052E"/>
    <w:rsid w:val="00F925AA"/>
    <w:rsid w:val="00F92D91"/>
    <w:rsid w:val="00F94118"/>
    <w:rsid w:val="00F947EA"/>
    <w:rsid w:val="00F94DF7"/>
    <w:rsid w:val="00FA07D2"/>
    <w:rsid w:val="00FA07E3"/>
    <w:rsid w:val="00FA0E9E"/>
    <w:rsid w:val="00FA32B1"/>
    <w:rsid w:val="00FA3760"/>
    <w:rsid w:val="00FA55B5"/>
    <w:rsid w:val="00FB0194"/>
    <w:rsid w:val="00FB27E2"/>
    <w:rsid w:val="00FB2E16"/>
    <w:rsid w:val="00FB4234"/>
    <w:rsid w:val="00FB46A4"/>
    <w:rsid w:val="00FB50BA"/>
    <w:rsid w:val="00FB728D"/>
    <w:rsid w:val="00FB742E"/>
    <w:rsid w:val="00FB7AEA"/>
    <w:rsid w:val="00FC36D2"/>
    <w:rsid w:val="00FC39C4"/>
    <w:rsid w:val="00FC527E"/>
    <w:rsid w:val="00FC60EF"/>
    <w:rsid w:val="00FD0129"/>
    <w:rsid w:val="00FD01B5"/>
    <w:rsid w:val="00FD048B"/>
    <w:rsid w:val="00FD0921"/>
    <w:rsid w:val="00FD0B62"/>
    <w:rsid w:val="00FD50A9"/>
    <w:rsid w:val="00FD7793"/>
    <w:rsid w:val="00FD7AF6"/>
    <w:rsid w:val="00FE1562"/>
    <w:rsid w:val="00FE1B59"/>
    <w:rsid w:val="00FE213A"/>
    <w:rsid w:val="00FE357F"/>
    <w:rsid w:val="00FE40C2"/>
    <w:rsid w:val="00FE5B1C"/>
    <w:rsid w:val="00FE709B"/>
    <w:rsid w:val="00FF031F"/>
    <w:rsid w:val="00FF402A"/>
    <w:rsid w:val="00FF45B4"/>
    <w:rsid w:val="00FF548E"/>
    <w:rsid w:val="00FF6249"/>
    <w:rsid w:val="00FF6956"/>
    <w:rsid w:val="00FF6C2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BA63E3E"/>
  <w15:chartTrackingRefBased/>
  <w15:docId w15:val="{16C3A6BF-92A6-4419-A3BB-EF163D315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643C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F643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43C3"/>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F643C3"/>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F643C3"/>
  </w:style>
  <w:style w:type="character" w:styleId="CommentReference">
    <w:name w:val="annotation reference"/>
    <w:basedOn w:val="DefaultParagraphFont"/>
    <w:uiPriority w:val="99"/>
    <w:semiHidden/>
    <w:unhideWhenUsed/>
    <w:rsid w:val="00F643C3"/>
    <w:rPr>
      <w:sz w:val="16"/>
      <w:szCs w:val="16"/>
    </w:rPr>
  </w:style>
  <w:style w:type="paragraph" w:styleId="CommentText">
    <w:name w:val="annotation text"/>
    <w:basedOn w:val="Normal"/>
    <w:link w:val="CommentTextChar"/>
    <w:uiPriority w:val="99"/>
    <w:semiHidden/>
    <w:unhideWhenUsed/>
    <w:rsid w:val="00F643C3"/>
    <w:pPr>
      <w:spacing w:line="240" w:lineRule="auto"/>
    </w:pPr>
    <w:rPr>
      <w:sz w:val="20"/>
      <w:szCs w:val="20"/>
    </w:rPr>
  </w:style>
  <w:style w:type="character" w:customStyle="1" w:styleId="CommentTextChar">
    <w:name w:val="Comment Text Char"/>
    <w:basedOn w:val="DefaultParagraphFont"/>
    <w:link w:val="CommentText"/>
    <w:uiPriority w:val="99"/>
    <w:semiHidden/>
    <w:rsid w:val="00F643C3"/>
    <w:rPr>
      <w:sz w:val="20"/>
      <w:szCs w:val="20"/>
    </w:rPr>
  </w:style>
  <w:style w:type="paragraph" w:customStyle="1" w:styleId="Normal1">
    <w:name w:val="Normal1"/>
    <w:rsid w:val="00F643C3"/>
    <w:pPr>
      <w:spacing w:after="200" w:line="276" w:lineRule="auto"/>
    </w:pPr>
    <w:rPr>
      <w:rFonts w:ascii="Calibri" w:eastAsia="Calibri" w:hAnsi="Calibri" w:cs="Calibri"/>
    </w:rPr>
  </w:style>
  <w:style w:type="paragraph" w:styleId="BodyText">
    <w:name w:val="Body Text"/>
    <w:basedOn w:val="Normal"/>
    <w:link w:val="BodyTextChar"/>
    <w:uiPriority w:val="99"/>
    <w:unhideWhenUsed/>
    <w:rsid w:val="00F643C3"/>
    <w:pPr>
      <w:spacing w:after="120"/>
    </w:pPr>
  </w:style>
  <w:style w:type="character" w:customStyle="1" w:styleId="BodyTextChar">
    <w:name w:val="Body Text Char"/>
    <w:basedOn w:val="DefaultParagraphFont"/>
    <w:link w:val="BodyText"/>
    <w:uiPriority w:val="99"/>
    <w:rsid w:val="00F643C3"/>
  </w:style>
  <w:style w:type="paragraph" w:styleId="BalloonText">
    <w:name w:val="Balloon Text"/>
    <w:basedOn w:val="Normal"/>
    <w:link w:val="BalloonTextChar"/>
    <w:uiPriority w:val="99"/>
    <w:semiHidden/>
    <w:unhideWhenUsed/>
    <w:rsid w:val="00F643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43C3"/>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F643C3"/>
    <w:rPr>
      <w:b/>
      <w:bCs/>
    </w:rPr>
  </w:style>
  <w:style w:type="character" w:customStyle="1" w:styleId="CommentSubjectChar">
    <w:name w:val="Comment Subject Char"/>
    <w:basedOn w:val="CommentTextChar"/>
    <w:link w:val="CommentSubject"/>
    <w:uiPriority w:val="99"/>
    <w:semiHidden/>
    <w:rsid w:val="00F643C3"/>
    <w:rPr>
      <w:b/>
      <w:bCs/>
      <w:sz w:val="20"/>
      <w:szCs w:val="20"/>
    </w:rPr>
  </w:style>
  <w:style w:type="paragraph" w:styleId="Header">
    <w:name w:val="header"/>
    <w:basedOn w:val="Normal"/>
    <w:link w:val="HeaderChar"/>
    <w:uiPriority w:val="99"/>
    <w:unhideWhenUsed/>
    <w:rsid w:val="00F643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43C3"/>
  </w:style>
  <w:style w:type="paragraph" w:customStyle="1" w:styleId="Normal0">
    <w:name w:val="[Normal]"/>
    <w:uiPriority w:val="99"/>
    <w:rsid w:val="00F643C3"/>
    <w:pPr>
      <w:widowControl w:val="0"/>
      <w:autoSpaceDE w:val="0"/>
      <w:autoSpaceDN w:val="0"/>
      <w:adjustRightInd w:val="0"/>
      <w:spacing w:after="0" w:line="240" w:lineRule="auto"/>
    </w:pPr>
    <w:rPr>
      <w:rFonts w:ascii="Lucida Sans Unicode" w:eastAsia="Times New Roman" w:hAnsi="Lucida Sans Unicode" w:cs="Lucida Sans Unicode"/>
      <w:sz w:val="24"/>
      <w:szCs w:val="24"/>
      <w:lang w:val="en-US"/>
    </w:rPr>
  </w:style>
  <w:style w:type="paragraph" w:styleId="BodyTextIndent2">
    <w:name w:val="Body Text Indent 2"/>
    <w:basedOn w:val="Normal"/>
    <w:link w:val="BodyTextIndent2Char"/>
    <w:unhideWhenUsed/>
    <w:rsid w:val="00F643C3"/>
    <w:pPr>
      <w:spacing w:after="120" w:line="480" w:lineRule="auto"/>
      <w:ind w:left="360"/>
    </w:pPr>
    <w:rPr>
      <w:rFonts w:ascii="Calibri" w:eastAsia="Times New Roman" w:hAnsi="Calibri" w:cs="Times New Roman"/>
      <w:sz w:val="24"/>
      <w:szCs w:val="24"/>
      <w:lang w:val="x-none" w:eastAsia="x-none" w:bidi="en-US"/>
    </w:rPr>
  </w:style>
  <w:style w:type="character" w:customStyle="1" w:styleId="BodyTextIndent2Char">
    <w:name w:val="Body Text Indent 2 Char"/>
    <w:basedOn w:val="DefaultParagraphFont"/>
    <w:link w:val="BodyTextIndent2"/>
    <w:rsid w:val="00F643C3"/>
    <w:rPr>
      <w:rFonts w:ascii="Calibri" w:eastAsia="Times New Roman" w:hAnsi="Calibri" w:cs="Times New Roman"/>
      <w:sz w:val="24"/>
      <w:szCs w:val="24"/>
      <w:lang w:val="x-none" w:eastAsia="x-none" w:bidi="en-US"/>
    </w:rPr>
  </w:style>
  <w:style w:type="paragraph" w:styleId="NormalWeb">
    <w:name w:val="Normal (Web)"/>
    <w:basedOn w:val="Normal"/>
    <w:uiPriority w:val="99"/>
    <w:unhideWhenUsed/>
    <w:rsid w:val="00F643C3"/>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FootnoteText">
    <w:name w:val="footnote text"/>
    <w:aliases w:val="Footnote Text Char1 Char Char Char,Footnote Text Char Char Char Char Char,single space,footnote text,fn,FOOTNOTES,Footnote Text Char2 Char,Footnote Text Char1 Char Char,Footnote Text Char2 Char Char Char,Footnote Text Char1,Car,f"/>
    <w:basedOn w:val="Normal"/>
    <w:link w:val="FootnoteTextChar"/>
    <w:uiPriority w:val="99"/>
    <w:unhideWhenUsed/>
    <w:qFormat/>
    <w:rsid w:val="00F643C3"/>
    <w:pPr>
      <w:spacing w:after="0" w:line="240" w:lineRule="auto"/>
    </w:pPr>
    <w:rPr>
      <w:sz w:val="20"/>
      <w:szCs w:val="20"/>
    </w:rPr>
  </w:style>
  <w:style w:type="character" w:customStyle="1" w:styleId="FootnoteTextChar">
    <w:name w:val="Footnote Text Char"/>
    <w:aliases w:val="Footnote Text Char1 Char Char Char Char,Footnote Text Char Char Char Char Char Char,single space Char,footnote text Char,fn Char,FOOTNOTES Char,Footnote Text Char2 Char Char,Footnote Text Char1 Char Char Char1,Footnote Text Char1 Char"/>
    <w:basedOn w:val="DefaultParagraphFont"/>
    <w:link w:val="FootnoteText"/>
    <w:uiPriority w:val="99"/>
    <w:rsid w:val="00F643C3"/>
    <w:rPr>
      <w:sz w:val="20"/>
      <w:szCs w:val="20"/>
    </w:rPr>
  </w:style>
  <w:style w:type="character" w:styleId="FootnoteReference">
    <w:name w:val="footnote reference"/>
    <w:basedOn w:val="DefaultParagraphFont"/>
    <w:uiPriority w:val="99"/>
    <w:semiHidden/>
    <w:unhideWhenUsed/>
    <w:rsid w:val="00F643C3"/>
    <w:rPr>
      <w:vertAlign w:val="superscript"/>
    </w:rPr>
  </w:style>
  <w:style w:type="character" w:customStyle="1" w:styleId="sa36b60a1">
    <w:name w:val="sa36b60a1"/>
    <w:basedOn w:val="DefaultParagraphFont"/>
    <w:rsid w:val="00F643C3"/>
  </w:style>
  <w:style w:type="character" w:customStyle="1" w:styleId="sbb9ee52a">
    <w:name w:val="sbb9ee52a"/>
    <w:basedOn w:val="DefaultParagraphFont"/>
    <w:rsid w:val="00F643C3"/>
  </w:style>
  <w:style w:type="character" w:customStyle="1" w:styleId="FontStyle16">
    <w:name w:val="Font Style16"/>
    <w:basedOn w:val="DefaultParagraphFont"/>
    <w:uiPriority w:val="99"/>
    <w:rsid w:val="00B32A11"/>
    <w:rPr>
      <w:rFonts w:ascii="Book Antiqua" w:hAnsi="Book Antiqua" w:cs="Book Antiqua"/>
      <w:sz w:val="22"/>
      <w:szCs w:val="22"/>
    </w:rPr>
  </w:style>
  <w:style w:type="character" w:customStyle="1" w:styleId="Bodytext0">
    <w:name w:val="Body text_"/>
    <w:basedOn w:val="DefaultParagraphFont"/>
    <w:link w:val="BodyText1"/>
    <w:rsid w:val="00E91B64"/>
    <w:rPr>
      <w:rFonts w:ascii="Bookman Old Style" w:eastAsia="Bookman Old Style" w:hAnsi="Bookman Old Style" w:cs="Bookman Old Style"/>
      <w:sz w:val="26"/>
      <w:szCs w:val="26"/>
      <w:shd w:val="clear" w:color="auto" w:fill="FFFFFF"/>
    </w:rPr>
  </w:style>
  <w:style w:type="paragraph" w:customStyle="1" w:styleId="BodyText1">
    <w:name w:val="Body Text1"/>
    <w:basedOn w:val="Normal"/>
    <w:link w:val="Bodytext0"/>
    <w:qFormat/>
    <w:rsid w:val="00E91B64"/>
    <w:pPr>
      <w:widowControl w:val="0"/>
      <w:shd w:val="clear" w:color="auto" w:fill="FFFFFF"/>
      <w:spacing w:after="0" w:line="314" w:lineRule="exact"/>
      <w:ind w:hanging="400"/>
      <w:jc w:val="both"/>
    </w:pPr>
    <w:rPr>
      <w:rFonts w:ascii="Bookman Old Style" w:eastAsia="Bookman Old Style" w:hAnsi="Bookman Old Style" w:cs="Bookman Old Style"/>
      <w:sz w:val="26"/>
      <w:szCs w:val="26"/>
    </w:rPr>
  </w:style>
  <w:style w:type="paragraph" w:styleId="NoSpacing">
    <w:name w:val="No Spacing"/>
    <w:basedOn w:val="Normal"/>
    <w:link w:val="NoSpacingChar"/>
    <w:uiPriority w:val="99"/>
    <w:qFormat/>
    <w:rsid w:val="00E91B64"/>
    <w:pPr>
      <w:spacing w:before="100" w:beforeAutospacing="1" w:after="100" w:afterAutospacing="1" w:line="240" w:lineRule="auto"/>
    </w:pPr>
    <w:rPr>
      <w:rFonts w:ascii="Times New Roman" w:eastAsia="Times New Roman" w:hAnsi="Times New Roman" w:cs="Times New Roman"/>
      <w:sz w:val="24"/>
      <w:szCs w:val="24"/>
      <w:lang w:eastAsia="sq-AL"/>
    </w:rPr>
  </w:style>
  <w:style w:type="character" w:customStyle="1" w:styleId="NoSpacingChar">
    <w:name w:val="No Spacing Char"/>
    <w:link w:val="NoSpacing"/>
    <w:uiPriority w:val="1"/>
    <w:qFormat/>
    <w:locked/>
    <w:rsid w:val="00E91B64"/>
    <w:rPr>
      <w:rFonts w:ascii="Times New Roman" w:eastAsia="Times New Roman" w:hAnsi="Times New Roman" w:cs="Times New Roman"/>
      <w:sz w:val="24"/>
      <w:szCs w:val="24"/>
      <w:lang w:eastAsia="sq-AL"/>
    </w:rPr>
  </w:style>
  <w:style w:type="character" w:customStyle="1" w:styleId="hps">
    <w:name w:val="hps"/>
    <w:basedOn w:val="DefaultParagraphFont"/>
    <w:rsid w:val="00A6118A"/>
  </w:style>
  <w:style w:type="character" w:customStyle="1" w:styleId="rynqvb">
    <w:name w:val="rynqvb"/>
    <w:basedOn w:val="DefaultParagraphFont"/>
    <w:rsid w:val="003C4BE3"/>
  </w:style>
  <w:style w:type="character" w:customStyle="1" w:styleId="hwtze">
    <w:name w:val="hwtze"/>
    <w:basedOn w:val="DefaultParagraphFont"/>
    <w:rsid w:val="003C4BE3"/>
  </w:style>
  <w:style w:type="paragraph" w:customStyle="1" w:styleId="JuPara">
    <w:name w:val="Ju_Para"/>
    <w:aliases w:val="Left,First line:  0 cm,_Para,ECHR_Para,Para"/>
    <w:basedOn w:val="Normal"/>
    <w:link w:val="JuParaChar"/>
    <w:uiPriority w:val="99"/>
    <w:qFormat/>
    <w:rsid w:val="00C14726"/>
    <w:pPr>
      <w:suppressAutoHyphens/>
      <w:spacing w:after="0" w:line="240" w:lineRule="auto"/>
      <w:ind w:firstLine="284"/>
      <w:jc w:val="both"/>
    </w:pPr>
    <w:rPr>
      <w:rFonts w:ascii="Times New Roman" w:eastAsia="Times New Roman" w:hAnsi="Times New Roman" w:cs="Times New Roman"/>
      <w:sz w:val="24"/>
      <w:szCs w:val="20"/>
      <w:lang w:val="en-GB" w:eastAsia="fr-FR"/>
    </w:rPr>
  </w:style>
  <w:style w:type="character" w:customStyle="1" w:styleId="JuParaChar">
    <w:name w:val="Ju_Para Char"/>
    <w:aliases w:val="_Para Char,ECHR_Para Char"/>
    <w:link w:val="JuPara"/>
    <w:rsid w:val="00C14726"/>
    <w:rPr>
      <w:rFonts w:ascii="Times New Roman" w:eastAsia="Times New Roman" w:hAnsi="Times New Roman" w:cs="Times New Roman"/>
      <w:sz w:val="24"/>
      <w:szCs w:val="20"/>
      <w:lang w:val="en-GB" w:eastAsia="fr-FR"/>
    </w:rPr>
  </w:style>
  <w:style w:type="paragraph" w:styleId="Revision">
    <w:name w:val="Revision"/>
    <w:hidden/>
    <w:uiPriority w:val="99"/>
    <w:semiHidden/>
    <w:rsid w:val="0006553E"/>
    <w:pPr>
      <w:spacing w:after="0" w:line="240" w:lineRule="auto"/>
    </w:pPr>
  </w:style>
  <w:style w:type="character" w:styleId="Strong">
    <w:name w:val="Strong"/>
    <w:basedOn w:val="DefaultParagraphFont"/>
    <w:uiPriority w:val="22"/>
    <w:qFormat/>
    <w:rsid w:val="00E505E9"/>
    <w:rPr>
      <w:b/>
      <w:bCs/>
    </w:rPr>
  </w:style>
  <w:style w:type="paragraph" w:customStyle="1" w:styleId="isselectedend">
    <w:name w:val="isselectedend"/>
    <w:basedOn w:val="Normal"/>
    <w:rsid w:val="002E2B82"/>
    <w:pPr>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pdq2pgselectionanchorcontainer">
    <w:name w:val="pdq2pg_selectionanchorcontainer"/>
    <w:basedOn w:val="Normal"/>
    <w:rsid w:val="003D70DB"/>
    <w:pPr>
      <w:spacing w:before="100" w:beforeAutospacing="1" w:after="100" w:afterAutospacing="1" w:line="240" w:lineRule="auto"/>
    </w:pPr>
    <w:rPr>
      <w:rFonts w:ascii="Times New Roman" w:eastAsia="Times New Roman" w:hAnsi="Times New Roman" w:cs="Times New Roman"/>
      <w:sz w:val="24"/>
      <w:szCs w:val="24"/>
      <w:lang w:eastAsia="sq-AL"/>
    </w:rPr>
  </w:style>
  <w:style w:type="table" w:styleId="TableGrid">
    <w:name w:val="Table Grid"/>
    <w:basedOn w:val="TableNormal"/>
    <w:uiPriority w:val="39"/>
    <w:rsid w:val="009019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855774">
      <w:bodyDiv w:val="1"/>
      <w:marLeft w:val="0"/>
      <w:marRight w:val="0"/>
      <w:marTop w:val="0"/>
      <w:marBottom w:val="0"/>
      <w:divBdr>
        <w:top w:val="none" w:sz="0" w:space="0" w:color="auto"/>
        <w:left w:val="none" w:sz="0" w:space="0" w:color="auto"/>
        <w:bottom w:val="none" w:sz="0" w:space="0" w:color="auto"/>
        <w:right w:val="none" w:sz="0" w:space="0" w:color="auto"/>
      </w:divBdr>
    </w:div>
    <w:div w:id="265843089">
      <w:bodyDiv w:val="1"/>
      <w:marLeft w:val="0"/>
      <w:marRight w:val="0"/>
      <w:marTop w:val="0"/>
      <w:marBottom w:val="0"/>
      <w:divBdr>
        <w:top w:val="none" w:sz="0" w:space="0" w:color="auto"/>
        <w:left w:val="none" w:sz="0" w:space="0" w:color="auto"/>
        <w:bottom w:val="none" w:sz="0" w:space="0" w:color="auto"/>
        <w:right w:val="none" w:sz="0" w:space="0" w:color="auto"/>
      </w:divBdr>
    </w:div>
    <w:div w:id="721100876">
      <w:bodyDiv w:val="1"/>
      <w:marLeft w:val="0"/>
      <w:marRight w:val="0"/>
      <w:marTop w:val="0"/>
      <w:marBottom w:val="0"/>
      <w:divBdr>
        <w:top w:val="none" w:sz="0" w:space="0" w:color="auto"/>
        <w:left w:val="none" w:sz="0" w:space="0" w:color="auto"/>
        <w:bottom w:val="none" w:sz="0" w:space="0" w:color="auto"/>
        <w:right w:val="none" w:sz="0" w:space="0" w:color="auto"/>
      </w:divBdr>
    </w:div>
    <w:div w:id="745565974">
      <w:bodyDiv w:val="1"/>
      <w:marLeft w:val="0"/>
      <w:marRight w:val="0"/>
      <w:marTop w:val="0"/>
      <w:marBottom w:val="0"/>
      <w:divBdr>
        <w:top w:val="none" w:sz="0" w:space="0" w:color="auto"/>
        <w:left w:val="none" w:sz="0" w:space="0" w:color="auto"/>
        <w:bottom w:val="none" w:sz="0" w:space="0" w:color="auto"/>
        <w:right w:val="none" w:sz="0" w:space="0" w:color="auto"/>
      </w:divBdr>
    </w:div>
    <w:div w:id="1700735202">
      <w:bodyDiv w:val="1"/>
      <w:marLeft w:val="0"/>
      <w:marRight w:val="0"/>
      <w:marTop w:val="0"/>
      <w:marBottom w:val="0"/>
      <w:divBdr>
        <w:top w:val="none" w:sz="0" w:space="0" w:color="auto"/>
        <w:left w:val="none" w:sz="0" w:space="0" w:color="auto"/>
        <w:bottom w:val="none" w:sz="0" w:space="0" w:color="auto"/>
        <w:right w:val="none" w:sz="0" w:space="0" w:color="auto"/>
      </w:divBdr>
    </w:div>
    <w:div w:id="1840383205">
      <w:bodyDiv w:val="1"/>
      <w:marLeft w:val="0"/>
      <w:marRight w:val="0"/>
      <w:marTop w:val="0"/>
      <w:marBottom w:val="0"/>
      <w:divBdr>
        <w:top w:val="none" w:sz="0" w:space="0" w:color="auto"/>
        <w:left w:val="none" w:sz="0" w:space="0" w:color="auto"/>
        <w:bottom w:val="none" w:sz="0" w:space="0" w:color="auto"/>
        <w:right w:val="none" w:sz="0" w:space="0" w:color="auto"/>
      </w:divBdr>
      <w:divsChild>
        <w:div w:id="72775362">
          <w:marLeft w:val="0"/>
          <w:marRight w:val="0"/>
          <w:marTop w:val="0"/>
          <w:marBottom w:val="0"/>
          <w:divBdr>
            <w:top w:val="none" w:sz="0" w:space="0" w:color="auto"/>
            <w:left w:val="none" w:sz="0" w:space="0" w:color="auto"/>
            <w:bottom w:val="none" w:sz="0" w:space="0" w:color="auto"/>
            <w:right w:val="none" w:sz="0" w:space="0" w:color="auto"/>
          </w:divBdr>
        </w:div>
        <w:div w:id="88893754">
          <w:marLeft w:val="0"/>
          <w:marRight w:val="0"/>
          <w:marTop w:val="0"/>
          <w:marBottom w:val="0"/>
          <w:divBdr>
            <w:top w:val="none" w:sz="0" w:space="0" w:color="auto"/>
            <w:left w:val="none" w:sz="0" w:space="0" w:color="auto"/>
            <w:bottom w:val="none" w:sz="0" w:space="0" w:color="auto"/>
            <w:right w:val="none" w:sz="0" w:space="0" w:color="auto"/>
          </w:divBdr>
        </w:div>
        <w:div w:id="216284584">
          <w:marLeft w:val="0"/>
          <w:marRight w:val="0"/>
          <w:marTop w:val="0"/>
          <w:marBottom w:val="0"/>
          <w:divBdr>
            <w:top w:val="none" w:sz="0" w:space="0" w:color="auto"/>
            <w:left w:val="none" w:sz="0" w:space="0" w:color="auto"/>
            <w:bottom w:val="none" w:sz="0" w:space="0" w:color="auto"/>
            <w:right w:val="none" w:sz="0" w:space="0" w:color="auto"/>
          </w:divBdr>
        </w:div>
        <w:div w:id="258417628">
          <w:marLeft w:val="0"/>
          <w:marRight w:val="0"/>
          <w:marTop w:val="0"/>
          <w:marBottom w:val="0"/>
          <w:divBdr>
            <w:top w:val="none" w:sz="0" w:space="0" w:color="auto"/>
            <w:left w:val="none" w:sz="0" w:space="0" w:color="auto"/>
            <w:bottom w:val="none" w:sz="0" w:space="0" w:color="auto"/>
            <w:right w:val="none" w:sz="0" w:space="0" w:color="auto"/>
          </w:divBdr>
        </w:div>
        <w:div w:id="427895059">
          <w:marLeft w:val="0"/>
          <w:marRight w:val="0"/>
          <w:marTop w:val="0"/>
          <w:marBottom w:val="0"/>
          <w:divBdr>
            <w:top w:val="none" w:sz="0" w:space="0" w:color="auto"/>
            <w:left w:val="none" w:sz="0" w:space="0" w:color="auto"/>
            <w:bottom w:val="none" w:sz="0" w:space="0" w:color="auto"/>
            <w:right w:val="none" w:sz="0" w:space="0" w:color="auto"/>
          </w:divBdr>
        </w:div>
        <w:div w:id="746995753">
          <w:marLeft w:val="0"/>
          <w:marRight w:val="0"/>
          <w:marTop w:val="0"/>
          <w:marBottom w:val="0"/>
          <w:divBdr>
            <w:top w:val="none" w:sz="0" w:space="0" w:color="auto"/>
            <w:left w:val="none" w:sz="0" w:space="0" w:color="auto"/>
            <w:bottom w:val="none" w:sz="0" w:space="0" w:color="auto"/>
            <w:right w:val="none" w:sz="0" w:space="0" w:color="auto"/>
          </w:divBdr>
        </w:div>
        <w:div w:id="1368797216">
          <w:marLeft w:val="0"/>
          <w:marRight w:val="0"/>
          <w:marTop w:val="0"/>
          <w:marBottom w:val="0"/>
          <w:divBdr>
            <w:top w:val="none" w:sz="0" w:space="0" w:color="auto"/>
            <w:left w:val="none" w:sz="0" w:space="0" w:color="auto"/>
            <w:bottom w:val="none" w:sz="0" w:space="0" w:color="auto"/>
            <w:right w:val="none" w:sz="0" w:space="0" w:color="auto"/>
          </w:divBdr>
        </w:div>
        <w:div w:id="1422679230">
          <w:marLeft w:val="0"/>
          <w:marRight w:val="0"/>
          <w:marTop w:val="0"/>
          <w:marBottom w:val="0"/>
          <w:divBdr>
            <w:top w:val="none" w:sz="0" w:space="0" w:color="auto"/>
            <w:left w:val="none" w:sz="0" w:space="0" w:color="auto"/>
            <w:bottom w:val="none" w:sz="0" w:space="0" w:color="auto"/>
            <w:right w:val="none" w:sz="0" w:space="0" w:color="auto"/>
          </w:divBdr>
        </w:div>
        <w:div w:id="1597132703">
          <w:marLeft w:val="0"/>
          <w:marRight w:val="0"/>
          <w:marTop w:val="0"/>
          <w:marBottom w:val="0"/>
          <w:divBdr>
            <w:top w:val="none" w:sz="0" w:space="0" w:color="auto"/>
            <w:left w:val="none" w:sz="0" w:space="0" w:color="auto"/>
            <w:bottom w:val="none" w:sz="0" w:space="0" w:color="auto"/>
            <w:right w:val="none" w:sz="0" w:space="0" w:color="auto"/>
          </w:divBdr>
        </w:div>
        <w:div w:id="1824732780">
          <w:marLeft w:val="0"/>
          <w:marRight w:val="0"/>
          <w:marTop w:val="0"/>
          <w:marBottom w:val="0"/>
          <w:divBdr>
            <w:top w:val="none" w:sz="0" w:space="0" w:color="auto"/>
            <w:left w:val="none" w:sz="0" w:space="0" w:color="auto"/>
            <w:bottom w:val="none" w:sz="0" w:space="0" w:color="auto"/>
            <w:right w:val="none" w:sz="0" w:space="0" w:color="auto"/>
          </w:divBdr>
        </w:div>
        <w:div w:id="1881552893">
          <w:marLeft w:val="0"/>
          <w:marRight w:val="0"/>
          <w:marTop w:val="0"/>
          <w:marBottom w:val="0"/>
          <w:divBdr>
            <w:top w:val="none" w:sz="0" w:space="0" w:color="auto"/>
            <w:left w:val="none" w:sz="0" w:space="0" w:color="auto"/>
            <w:bottom w:val="none" w:sz="0" w:space="0" w:color="auto"/>
            <w:right w:val="none" w:sz="0" w:space="0" w:color="auto"/>
          </w:divBdr>
        </w:div>
      </w:divsChild>
    </w:div>
    <w:div w:id="1900092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906D97F4872E47618463C2BE0DB9872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60</Nr_x002e__x0020_akti>
    <Data_x0020_e_x0020_Krijimit xmlns="0e656187-b300-4fb0-8bf4-3a50f872073c">2026-07-23T12:44:46Z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2026-07-23T00:00:00Z</Date_x0020_protokolli>
    <Titulli xmlns="0e656187-b300-4fb0-8bf4-3a50f872073c">Me objekt shfuqizimin e vendimeve nr. 62-2022-2874 (789), datë 8.7.2022 të Gjykatës së Rrethit Gjyqësor Fier; nr. 97, datë 11.10.2022 të Gjykatës së Apelit Vlorë; nr. 00-2025-553, datë 2.4.2025 të Kolegjit Penal të Gjykatës së Lartë,si të papajtueshme me Kushtetutën e Republikës së Shqipërisë</Titulli>
    <Modifikuesi xmlns="0e656187-b300-4fb0-8bf4-3a50f872073c">valeta.kaftalli</Modifikuesi>
    <Nr_x002e__x0020_prot_x0020_QBZ xmlns="0e656187-b300-4fb0-8bf4-3a50f872073c">1645/1</Nr_x002e__x0020_prot_x0020_QBZ>
    <Data_x0020_e_x0020_Modifikimit xmlns="0e656187-b300-4fb0-8bf4-3a50f872073c">2026-07-28T09:16:34Z</Data_x0020_e_x0020_Modifikimit>
    <Dekretuar xmlns="0e656187-b300-4fb0-8bf4-3a50f872073c">false</Dekretuar>
    <Data xmlns="0e656187-b300-4fb0-8bf4-3a50f872073c">2026-05-28T00:00:00Z</Data>
    <Nr_x002e__x0020_protokolli_x0020_i_x0020_aktit xmlns="0e656187-b300-4fb0-8bf4-3a50f872073c">19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30CE0E-6B67-425B-B900-315DC3D7AEAC}">
  <ds:schemaRefs>
    <ds:schemaRef ds:uri="http://schemas.microsoft.com/sharepoint/v3/contenttype/forms"/>
  </ds:schemaRefs>
</ds:datastoreItem>
</file>

<file path=customXml/itemProps2.xml><?xml version="1.0" encoding="utf-8"?>
<ds:datastoreItem xmlns:ds="http://schemas.openxmlformats.org/officeDocument/2006/customXml" ds:itemID="{926736FA-48D1-43A3-9665-81E2CE3CE6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875E2A1C-8B30-4BDA-BCE6-27BCBD12B98A}">
  <ds:schemaRefs>
    <ds:schemaRef ds:uri="http://schemas.microsoft.com/office/2006/metadata/properties"/>
    <ds:schemaRef ds:uri="http://schemas.microsoft.com/office/2006/documentManagement/types"/>
    <ds:schemaRef ds:uri="http://schemas.openxmlformats.org/package/2006/metadata/core-properties"/>
    <ds:schemaRef ds:uri="http://purl.org/dc/terms/"/>
    <ds:schemaRef ds:uri="http://purl.org/dc/dcmitype/"/>
    <ds:schemaRef ds:uri="http://purl.org/dc/elements/1.1/"/>
    <ds:schemaRef ds:uri="0e656187-b300-4fb0-8bf4-3a50f872073c"/>
    <ds:schemaRef ds:uri="http://www.w3.org/XML/1998/namespace"/>
  </ds:schemaRefs>
</ds:datastoreItem>
</file>

<file path=customXml/itemProps4.xml><?xml version="1.0" encoding="utf-8"?>
<ds:datastoreItem xmlns:ds="http://schemas.openxmlformats.org/officeDocument/2006/customXml" ds:itemID="{44EA7948-8F6B-4874-A7A1-FD51B5072F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10</Pages>
  <Words>6755</Words>
  <Characters>38504</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Me objekt shfuqizimin e vendimeve nr. 62-2022-2874 (789), datë 8.7.2022 të Gjykatës së Rrethit Gjyqësor Fier; nr. 97, datë 11.10.2022 të Gjykatës së Apelit Vlorë; nr. 00-2025-553, datë 2.4.2025 të Kolegjit Penal të Gjykatës së Lartë,si të papajtueshme me </vt:lpstr>
    </vt:vector>
  </TitlesOfParts>
  <Company>User</Company>
  <LinksUpToDate>false</LinksUpToDate>
  <CharactersWithSpaces>45169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vendimeve nr. 62-2022-2874 (789), datë 8.7.2022 të Gjykatës së Rrethit Gjyqësor Fier; nr. 97, datë 11.10.2022 të Gjykatës së Apelit Vlorë; nr. 00-2025-553, datë 2.4.2025 të Kolegjit Penal të Gjykatës së Lartë,si të papajtueshme me Kushtetutën e Republikës së Shqipërisë</dc:title>
  <dc:creator>Jonida Kondili</dc:creator>
  <cp:lastModifiedBy>Amarilda Muja</cp:lastModifiedBy>
  <cp:revision>18</cp:revision>
  <cp:lastPrinted>2026-05-19T09:19:00Z</cp:lastPrinted>
  <dcterms:created xsi:type="dcterms:W3CDTF">2026-07-23T12:46:00Z</dcterms:created>
  <dcterms:modified xsi:type="dcterms:W3CDTF">2026-07-28T12:53:00Z</dcterms:modified>
</cp:coreProperties>
</file>