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D22C5" w14:textId="77777777" w:rsidR="007D5EC3" w:rsidRPr="000314BB" w:rsidRDefault="007D5EC3" w:rsidP="007D5EC3">
      <w:pPr>
        <w:spacing w:after="0" w:line="240" w:lineRule="auto"/>
        <w:ind w:firstLine="284"/>
        <w:jc w:val="center"/>
        <w:rPr>
          <w:rFonts w:ascii="Garamond" w:hAnsi="Garamond" w:cs="Times New Roman"/>
          <w:b/>
          <w:bCs/>
          <w:sz w:val="24"/>
          <w:szCs w:val="24"/>
        </w:rPr>
      </w:pPr>
    </w:p>
    <w:p w14:paraId="4F6BA4CD" w14:textId="5E2ADA67" w:rsidR="007D5EC3" w:rsidRPr="000314BB" w:rsidRDefault="007D5EC3" w:rsidP="007D5EC3">
      <w:pPr>
        <w:spacing w:after="0" w:line="240" w:lineRule="auto"/>
        <w:ind w:firstLine="284"/>
        <w:jc w:val="center"/>
        <w:rPr>
          <w:rFonts w:ascii="Garamond" w:hAnsi="Garamond" w:cs="Times New Roman"/>
          <w:b/>
          <w:bCs/>
          <w:sz w:val="24"/>
          <w:szCs w:val="24"/>
        </w:rPr>
      </w:pPr>
      <w:r w:rsidRPr="000314BB">
        <w:rPr>
          <w:rFonts w:ascii="Garamond" w:hAnsi="Garamond" w:cs="Times New Roman"/>
          <w:b/>
          <w:bCs/>
          <w:sz w:val="24"/>
          <w:szCs w:val="24"/>
        </w:rPr>
        <w:t>VENDIM</w:t>
      </w:r>
    </w:p>
    <w:p w14:paraId="6F9E2004" w14:textId="77777777" w:rsidR="007D5EC3" w:rsidRPr="000314BB" w:rsidRDefault="007D5EC3" w:rsidP="007D5EC3">
      <w:pPr>
        <w:spacing w:after="0" w:line="240" w:lineRule="auto"/>
        <w:ind w:firstLine="284"/>
        <w:jc w:val="center"/>
        <w:rPr>
          <w:rFonts w:ascii="Garamond" w:hAnsi="Garamond" w:cs="Times New Roman"/>
          <w:b/>
          <w:bCs/>
          <w:sz w:val="24"/>
          <w:szCs w:val="24"/>
        </w:rPr>
      </w:pPr>
      <w:r w:rsidRPr="000314BB">
        <w:rPr>
          <w:rFonts w:ascii="Garamond" w:hAnsi="Garamond" w:cs="Times New Roman"/>
          <w:b/>
          <w:bCs/>
          <w:sz w:val="24"/>
          <w:szCs w:val="24"/>
        </w:rPr>
        <w:t>Nr. 61, datë 28.5.2026</w:t>
      </w:r>
    </w:p>
    <w:p w14:paraId="63903931" w14:textId="77777777" w:rsidR="007D5EC3" w:rsidRPr="000314BB" w:rsidRDefault="007D5EC3" w:rsidP="007D5EC3">
      <w:pPr>
        <w:spacing w:after="0" w:line="240" w:lineRule="auto"/>
        <w:ind w:firstLine="284"/>
        <w:jc w:val="center"/>
        <w:rPr>
          <w:rFonts w:ascii="Garamond" w:hAnsi="Garamond" w:cs="Times New Roman"/>
          <w:b/>
          <w:bCs/>
          <w:sz w:val="24"/>
          <w:szCs w:val="24"/>
        </w:rPr>
      </w:pPr>
    </w:p>
    <w:p w14:paraId="203F279A" w14:textId="0751B222" w:rsidR="007D5EC3" w:rsidRPr="000314BB" w:rsidRDefault="007D5EC3" w:rsidP="007D5EC3">
      <w:pPr>
        <w:spacing w:after="0" w:line="240" w:lineRule="auto"/>
        <w:ind w:firstLine="284"/>
        <w:jc w:val="center"/>
        <w:rPr>
          <w:rFonts w:ascii="Garamond" w:hAnsi="Garamond" w:cs="Times New Roman"/>
          <w:b/>
          <w:bCs/>
          <w:sz w:val="24"/>
          <w:szCs w:val="24"/>
        </w:rPr>
      </w:pPr>
      <w:r w:rsidRPr="000314BB">
        <w:rPr>
          <w:rFonts w:ascii="Garamond" w:hAnsi="Garamond" w:cs="Times New Roman"/>
          <w:b/>
          <w:bCs/>
          <w:sz w:val="24"/>
          <w:szCs w:val="24"/>
        </w:rPr>
        <w:t>NË E</w:t>
      </w:r>
      <w:r w:rsidR="00C82265">
        <w:rPr>
          <w:rFonts w:ascii="Garamond" w:hAnsi="Garamond" w:cs="Times New Roman"/>
          <w:b/>
          <w:bCs/>
          <w:sz w:val="24"/>
          <w:szCs w:val="24"/>
        </w:rPr>
        <w:t>MËR TË REPUBLIKËS SË SHQIPËRISË</w:t>
      </w:r>
    </w:p>
    <w:p w14:paraId="31DEF306" w14:textId="77777777" w:rsidR="007D5EC3" w:rsidRPr="000314BB" w:rsidRDefault="007D5EC3" w:rsidP="007D5EC3">
      <w:pPr>
        <w:spacing w:after="0" w:line="240" w:lineRule="auto"/>
        <w:ind w:firstLine="284"/>
        <w:jc w:val="both"/>
        <w:rPr>
          <w:rFonts w:ascii="Garamond" w:hAnsi="Garamond" w:cs="Times New Roman"/>
          <w:sz w:val="24"/>
          <w:szCs w:val="24"/>
        </w:rPr>
      </w:pPr>
    </w:p>
    <w:p w14:paraId="511DE9DF" w14:textId="77777777" w:rsidR="007D5EC3" w:rsidRPr="000314BB" w:rsidRDefault="007D5EC3" w:rsidP="007D5EC3">
      <w:pPr>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0314BB" w:rsidRPr="000314BB" w14:paraId="30CACCEB" w14:textId="77777777" w:rsidTr="000314BB">
        <w:tc>
          <w:tcPr>
            <w:tcW w:w="2405" w:type="dxa"/>
          </w:tcPr>
          <w:p w14:paraId="261B50F9" w14:textId="77777777" w:rsidR="000314BB" w:rsidRPr="000314BB" w:rsidRDefault="000314BB" w:rsidP="00E04CC0">
            <w:pPr>
              <w:jc w:val="both"/>
              <w:rPr>
                <w:rFonts w:ascii="Garamond" w:hAnsi="Garamond" w:cs="Times New Roman"/>
                <w:sz w:val="24"/>
                <w:szCs w:val="24"/>
              </w:rPr>
            </w:pPr>
            <w:proofErr w:type="spellStart"/>
            <w:r w:rsidRPr="000314BB">
              <w:rPr>
                <w:rFonts w:ascii="Garamond" w:hAnsi="Garamond" w:cs="Times New Roman"/>
                <w:sz w:val="24"/>
                <w:szCs w:val="24"/>
              </w:rPr>
              <w:t>Fiona</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Papajorgji</w:t>
            </w:r>
            <w:proofErr w:type="spellEnd"/>
          </w:p>
        </w:tc>
        <w:tc>
          <w:tcPr>
            <w:tcW w:w="1276" w:type="dxa"/>
          </w:tcPr>
          <w:p w14:paraId="00FE247F" w14:textId="0813FFBF" w:rsidR="000314BB" w:rsidRPr="000314BB" w:rsidRDefault="00C82265" w:rsidP="00E04CC0">
            <w:pPr>
              <w:jc w:val="both"/>
              <w:rPr>
                <w:rFonts w:ascii="Garamond" w:hAnsi="Garamond" w:cs="Times New Roman"/>
                <w:sz w:val="24"/>
                <w:szCs w:val="24"/>
              </w:rPr>
            </w:pPr>
            <w:r w:rsidRPr="000314BB">
              <w:rPr>
                <w:rFonts w:ascii="Garamond" w:hAnsi="Garamond" w:cs="Times New Roman"/>
                <w:sz w:val="24"/>
                <w:szCs w:val="24"/>
              </w:rPr>
              <w:t>kryetare</w:t>
            </w:r>
            <w:r>
              <w:rPr>
                <w:rFonts w:ascii="Garamond" w:hAnsi="Garamond" w:cs="Times New Roman"/>
                <w:sz w:val="24"/>
                <w:szCs w:val="24"/>
              </w:rPr>
              <w:t>;</w:t>
            </w:r>
          </w:p>
        </w:tc>
      </w:tr>
      <w:tr w:rsidR="000314BB" w:rsidRPr="000314BB" w14:paraId="41BAE6A1" w14:textId="77777777" w:rsidTr="000314BB">
        <w:tc>
          <w:tcPr>
            <w:tcW w:w="2405" w:type="dxa"/>
          </w:tcPr>
          <w:p w14:paraId="6F24105D" w14:textId="77777777" w:rsidR="000314BB" w:rsidRPr="000314BB" w:rsidRDefault="000314BB" w:rsidP="00E04CC0">
            <w:pPr>
              <w:jc w:val="both"/>
              <w:rPr>
                <w:rFonts w:ascii="Garamond" w:hAnsi="Garamond" w:cs="Times New Roman"/>
                <w:sz w:val="24"/>
                <w:szCs w:val="24"/>
              </w:rPr>
            </w:pPr>
            <w:proofErr w:type="spellStart"/>
            <w:r w:rsidRPr="000314BB">
              <w:rPr>
                <w:rFonts w:ascii="Garamond" w:hAnsi="Garamond" w:cs="Times New Roman"/>
                <w:sz w:val="24"/>
                <w:szCs w:val="24"/>
              </w:rPr>
              <w:t>Marsida</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Xhaferllari</w:t>
            </w:r>
            <w:proofErr w:type="spellEnd"/>
          </w:p>
        </w:tc>
        <w:tc>
          <w:tcPr>
            <w:tcW w:w="1276" w:type="dxa"/>
          </w:tcPr>
          <w:p w14:paraId="55949F94" w14:textId="024709CC" w:rsidR="000314BB" w:rsidRPr="000314BB" w:rsidRDefault="00C82265" w:rsidP="00E04CC0">
            <w:pPr>
              <w:jc w:val="both"/>
              <w:rPr>
                <w:rFonts w:ascii="Garamond" w:hAnsi="Garamond" w:cs="Times New Roman"/>
                <w:sz w:val="24"/>
                <w:szCs w:val="24"/>
              </w:rPr>
            </w:pPr>
            <w:r w:rsidRPr="000314BB">
              <w:rPr>
                <w:rFonts w:ascii="Garamond" w:hAnsi="Garamond" w:cs="Times New Roman"/>
                <w:sz w:val="24"/>
                <w:szCs w:val="24"/>
              </w:rPr>
              <w:t>anëtare</w:t>
            </w:r>
            <w:r>
              <w:rPr>
                <w:rFonts w:ascii="Garamond" w:hAnsi="Garamond" w:cs="Times New Roman"/>
                <w:sz w:val="24"/>
                <w:szCs w:val="24"/>
              </w:rPr>
              <w:t>;</w:t>
            </w:r>
          </w:p>
        </w:tc>
      </w:tr>
      <w:tr w:rsidR="000314BB" w:rsidRPr="000314BB" w14:paraId="205A7477" w14:textId="77777777" w:rsidTr="000314BB">
        <w:tc>
          <w:tcPr>
            <w:tcW w:w="2405" w:type="dxa"/>
          </w:tcPr>
          <w:p w14:paraId="3A2E7D9D" w14:textId="77777777" w:rsidR="000314BB" w:rsidRPr="000314BB" w:rsidRDefault="000314BB" w:rsidP="00E04CC0">
            <w:pPr>
              <w:jc w:val="both"/>
              <w:rPr>
                <w:rFonts w:ascii="Garamond" w:hAnsi="Garamond" w:cs="Times New Roman"/>
                <w:sz w:val="24"/>
                <w:szCs w:val="24"/>
              </w:rPr>
            </w:pPr>
            <w:proofErr w:type="spellStart"/>
            <w:r w:rsidRPr="000314BB">
              <w:rPr>
                <w:rFonts w:ascii="Garamond" w:hAnsi="Garamond" w:cs="Times New Roman"/>
                <w:sz w:val="24"/>
                <w:szCs w:val="24"/>
              </w:rPr>
              <w:t>Sonila</w:t>
            </w:r>
            <w:proofErr w:type="spellEnd"/>
            <w:r w:rsidRPr="000314BB">
              <w:rPr>
                <w:rFonts w:ascii="Garamond" w:hAnsi="Garamond" w:cs="Times New Roman"/>
                <w:sz w:val="24"/>
                <w:szCs w:val="24"/>
              </w:rPr>
              <w:t xml:space="preserve"> Bejtja</w:t>
            </w:r>
          </w:p>
        </w:tc>
        <w:tc>
          <w:tcPr>
            <w:tcW w:w="1276" w:type="dxa"/>
          </w:tcPr>
          <w:p w14:paraId="2495C2AF" w14:textId="7A4F8E8E" w:rsidR="000314BB" w:rsidRPr="000314BB" w:rsidRDefault="00C82265" w:rsidP="00E04CC0">
            <w:pPr>
              <w:jc w:val="both"/>
              <w:rPr>
                <w:rFonts w:ascii="Garamond" w:hAnsi="Garamond" w:cs="Times New Roman"/>
                <w:sz w:val="24"/>
                <w:szCs w:val="24"/>
              </w:rPr>
            </w:pPr>
            <w:r w:rsidRPr="000314BB">
              <w:rPr>
                <w:rFonts w:ascii="Garamond" w:hAnsi="Garamond" w:cs="Times New Roman"/>
                <w:sz w:val="24"/>
                <w:szCs w:val="24"/>
              </w:rPr>
              <w:t>anëtare</w:t>
            </w:r>
            <w:r>
              <w:rPr>
                <w:rFonts w:ascii="Garamond" w:hAnsi="Garamond" w:cs="Times New Roman"/>
                <w:sz w:val="24"/>
                <w:szCs w:val="24"/>
              </w:rPr>
              <w:t>;</w:t>
            </w:r>
          </w:p>
        </w:tc>
      </w:tr>
      <w:tr w:rsidR="000314BB" w:rsidRPr="000314BB" w14:paraId="72867B25" w14:textId="77777777" w:rsidTr="000314BB">
        <w:tc>
          <w:tcPr>
            <w:tcW w:w="2405" w:type="dxa"/>
          </w:tcPr>
          <w:p w14:paraId="4932B83F" w14:textId="77777777" w:rsidR="000314BB" w:rsidRPr="000314BB" w:rsidRDefault="000314BB" w:rsidP="00E04CC0">
            <w:pPr>
              <w:jc w:val="both"/>
              <w:rPr>
                <w:rFonts w:ascii="Garamond" w:hAnsi="Garamond" w:cs="Times New Roman"/>
                <w:sz w:val="24"/>
                <w:szCs w:val="24"/>
              </w:rPr>
            </w:pPr>
            <w:proofErr w:type="spellStart"/>
            <w:r w:rsidRPr="000314BB">
              <w:rPr>
                <w:rFonts w:ascii="Garamond" w:hAnsi="Garamond" w:cs="Times New Roman"/>
                <w:sz w:val="24"/>
                <w:szCs w:val="24"/>
              </w:rPr>
              <w:t>Sandër</w:t>
            </w:r>
            <w:proofErr w:type="spellEnd"/>
            <w:r w:rsidRPr="000314BB">
              <w:rPr>
                <w:rFonts w:ascii="Garamond" w:hAnsi="Garamond" w:cs="Times New Roman"/>
                <w:sz w:val="24"/>
                <w:szCs w:val="24"/>
              </w:rPr>
              <w:t xml:space="preserve"> Beci</w:t>
            </w:r>
          </w:p>
        </w:tc>
        <w:tc>
          <w:tcPr>
            <w:tcW w:w="1276" w:type="dxa"/>
          </w:tcPr>
          <w:p w14:paraId="39D31983" w14:textId="591CC750" w:rsidR="000314BB" w:rsidRPr="000314BB" w:rsidRDefault="00C82265" w:rsidP="00E04CC0">
            <w:pPr>
              <w:jc w:val="both"/>
              <w:rPr>
                <w:rFonts w:ascii="Garamond" w:hAnsi="Garamond" w:cs="Times New Roman"/>
                <w:sz w:val="24"/>
                <w:szCs w:val="24"/>
              </w:rPr>
            </w:pPr>
            <w:r w:rsidRPr="000314BB">
              <w:rPr>
                <w:rFonts w:ascii="Garamond" w:hAnsi="Garamond" w:cs="Times New Roman"/>
                <w:sz w:val="24"/>
                <w:szCs w:val="24"/>
              </w:rPr>
              <w:t>anëtar</w:t>
            </w:r>
            <w:r>
              <w:rPr>
                <w:rFonts w:ascii="Garamond" w:hAnsi="Garamond" w:cs="Times New Roman"/>
                <w:sz w:val="24"/>
                <w:szCs w:val="24"/>
              </w:rPr>
              <w:t>;</w:t>
            </w:r>
          </w:p>
        </w:tc>
      </w:tr>
      <w:tr w:rsidR="000314BB" w:rsidRPr="000314BB" w14:paraId="3DAAC3E8" w14:textId="77777777" w:rsidTr="000314BB">
        <w:tc>
          <w:tcPr>
            <w:tcW w:w="2405" w:type="dxa"/>
          </w:tcPr>
          <w:p w14:paraId="2C2F425D" w14:textId="77777777" w:rsidR="000314BB" w:rsidRPr="000314BB" w:rsidRDefault="000314BB" w:rsidP="00E04CC0">
            <w:pPr>
              <w:jc w:val="both"/>
              <w:rPr>
                <w:rFonts w:ascii="Garamond" w:hAnsi="Garamond" w:cs="Times New Roman"/>
                <w:sz w:val="24"/>
                <w:szCs w:val="24"/>
              </w:rPr>
            </w:pPr>
            <w:r w:rsidRPr="000314BB">
              <w:rPr>
                <w:rFonts w:ascii="Garamond" w:hAnsi="Garamond" w:cs="Times New Roman"/>
                <w:sz w:val="24"/>
                <w:szCs w:val="24"/>
              </w:rPr>
              <w:t>Ilir Toska</w:t>
            </w:r>
          </w:p>
        </w:tc>
        <w:tc>
          <w:tcPr>
            <w:tcW w:w="1276" w:type="dxa"/>
          </w:tcPr>
          <w:p w14:paraId="2C11B072" w14:textId="40171DDB" w:rsidR="000314BB" w:rsidRPr="000314BB" w:rsidRDefault="00C82265" w:rsidP="00E04CC0">
            <w:pPr>
              <w:jc w:val="both"/>
              <w:rPr>
                <w:rFonts w:ascii="Garamond" w:hAnsi="Garamond" w:cs="Times New Roman"/>
                <w:sz w:val="24"/>
                <w:szCs w:val="24"/>
              </w:rPr>
            </w:pPr>
            <w:r w:rsidRPr="000314BB">
              <w:rPr>
                <w:rFonts w:ascii="Garamond" w:hAnsi="Garamond" w:cs="Times New Roman"/>
                <w:sz w:val="24"/>
                <w:szCs w:val="24"/>
              </w:rPr>
              <w:t>anëtar</w:t>
            </w:r>
            <w:r>
              <w:rPr>
                <w:rFonts w:ascii="Garamond" w:hAnsi="Garamond" w:cs="Times New Roman"/>
                <w:sz w:val="24"/>
                <w:szCs w:val="24"/>
              </w:rPr>
              <w:t>;</w:t>
            </w:r>
          </w:p>
        </w:tc>
      </w:tr>
      <w:tr w:rsidR="000314BB" w:rsidRPr="000314BB" w14:paraId="63B305DC" w14:textId="77777777" w:rsidTr="000314BB">
        <w:tc>
          <w:tcPr>
            <w:tcW w:w="2405" w:type="dxa"/>
          </w:tcPr>
          <w:p w14:paraId="5B2A617D" w14:textId="77777777" w:rsidR="000314BB" w:rsidRPr="000314BB" w:rsidRDefault="000314BB" w:rsidP="00E04CC0">
            <w:pPr>
              <w:jc w:val="both"/>
              <w:rPr>
                <w:rFonts w:ascii="Garamond" w:hAnsi="Garamond" w:cs="Times New Roman"/>
                <w:sz w:val="24"/>
                <w:szCs w:val="24"/>
              </w:rPr>
            </w:pPr>
            <w:r w:rsidRPr="000314BB">
              <w:rPr>
                <w:rFonts w:ascii="Garamond" w:hAnsi="Garamond" w:cs="Times New Roman"/>
                <w:sz w:val="24"/>
                <w:szCs w:val="24"/>
              </w:rPr>
              <w:t>Genti Ibrahimi</w:t>
            </w:r>
          </w:p>
        </w:tc>
        <w:tc>
          <w:tcPr>
            <w:tcW w:w="1276" w:type="dxa"/>
          </w:tcPr>
          <w:p w14:paraId="03EAD9D2" w14:textId="51E13393" w:rsidR="000314BB" w:rsidRPr="000314BB" w:rsidRDefault="00C82265" w:rsidP="00E04CC0">
            <w:pPr>
              <w:jc w:val="both"/>
              <w:rPr>
                <w:rFonts w:ascii="Garamond" w:hAnsi="Garamond" w:cs="Times New Roman"/>
                <w:sz w:val="24"/>
                <w:szCs w:val="24"/>
              </w:rPr>
            </w:pPr>
            <w:r w:rsidRPr="000314BB">
              <w:rPr>
                <w:rFonts w:ascii="Garamond" w:hAnsi="Garamond" w:cs="Times New Roman"/>
                <w:sz w:val="24"/>
                <w:szCs w:val="24"/>
              </w:rPr>
              <w:t>anëtar</w:t>
            </w:r>
            <w:r>
              <w:rPr>
                <w:rFonts w:ascii="Garamond" w:hAnsi="Garamond" w:cs="Times New Roman"/>
                <w:sz w:val="24"/>
                <w:szCs w:val="24"/>
              </w:rPr>
              <w:t>;</w:t>
            </w:r>
          </w:p>
        </w:tc>
      </w:tr>
      <w:tr w:rsidR="000314BB" w:rsidRPr="000314BB" w14:paraId="5316AD37" w14:textId="77777777" w:rsidTr="000314BB">
        <w:tc>
          <w:tcPr>
            <w:tcW w:w="2405" w:type="dxa"/>
          </w:tcPr>
          <w:p w14:paraId="65F4A814" w14:textId="77777777" w:rsidR="000314BB" w:rsidRPr="000314BB" w:rsidRDefault="000314BB" w:rsidP="00E04CC0">
            <w:pPr>
              <w:jc w:val="both"/>
              <w:rPr>
                <w:rFonts w:ascii="Garamond" w:hAnsi="Garamond" w:cs="Times New Roman"/>
                <w:sz w:val="24"/>
                <w:szCs w:val="24"/>
              </w:rPr>
            </w:pPr>
            <w:proofErr w:type="spellStart"/>
            <w:r w:rsidRPr="000314BB">
              <w:rPr>
                <w:rFonts w:ascii="Garamond" w:hAnsi="Garamond" w:cs="Times New Roman"/>
                <w:sz w:val="24"/>
                <w:szCs w:val="24"/>
              </w:rPr>
              <w:t>Marjana</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Semini</w:t>
            </w:r>
            <w:proofErr w:type="spellEnd"/>
          </w:p>
        </w:tc>
        <w:tc>
          <w:tcPr>
            <w:tcW w:w="1276" w:type="dxa"/>
          </w:tcPr>
          <w:p w14:paraId="75E0FB54" w14:textId="47846026" w:rsidR="000314BB" w:rsidRPr="000314BB" w:rsidRDefault="00C82265" w:rsidP="00E04CC0">
            <w:pPr>
              <w:jc w:val="both"/>
              <w:rPr>
                <w:rFonts w:ascii="Garamond" w:hAnsi="Garamond" w:cs="Times New Roman"/>
                <w:sz w:val="24"/>
                <w:szCs w:val="24"/>
              </w:rPr>
            </w:pPr>
            <w:r w:rsidRPr="000314BB">
              <w:rPr>
                <w:rFonts w:ascii="Garamond" w:hAnsi="Garamond" w:cs="Times New Roman"/>
                <w:sz w:val="24"/>
                <w:szCs w:val="24"/>
              </w:rPr>
              <w:t>anëtare</w:t>
            </w:r>
            <w:r>
              <w:rPr>
                <w:rFonts w:ascii="Garamond" w:hAnsi="Garamond" w:cs="Times New Roman"/>
                <w:sz w:val="24"/>
                <w:szCs w:val="24"/>
              </w:rPr>
              <w:t>;</w:t>
            </w:r>
          </w:p>
        </w:tc>
      </w:tr>
      <w:tr w:rsidR="000314BB" w:rsidRPr="000314BB" w14:paraId="204465E4" w14:textId="77777777" w:rsidTr="000314BB">
        <w:tc>
          <w:tcPr>
            <w:tcW w:w="2405" w:type="dxa"/>
          </w:tcPr>
          <w:p w14:paraId="27FFFFCF" w14:textId="77777777" w:rsidR="000314BB" w:rsidRPr="000314BB" w:rsidRDefault="000314BB" w:rsidP="00E04CC0">
            <w:pPr>
              <w:jc w:val="both"/>
              <w:rPr>
                <w:rFonts w:ascii="Garamond" w:hAnsi="Garamond" w:cs="Times New Roman"/>
                <w:sz w:val="24"/>
                <w:szCs w:val="24"/>
              </w:rPr>
            </w:pPr>
            <w:proofErr w:type="spellStart"/>
            <w:r w:rsidRPr="000314BB">
              <w:rPr>
                <w:rFonts w:ascii="Garamond" w:hAnsi="Garamond" w:cs="Times New Roman"/>
                <w:sz w:val="24"/>
                <w:szCs w:val="24"/>
              </w:rPr>
              <w:t>Asim</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Vokshi</w:t>
            </w:r>
            <w:proofErr w:type="spellEnd"/>
          </w:p>
        </w:tc>
        <w:tc>
          <w:tcPr>
            <w:tcW w:w="1276" w:type="dxa"/>
          </w:tcPr>
          <w:p w14:paraId="23056019" w14:textId="3C69722A" w:rsidR="000314BB" w:rsidRPr="000314BB" w:rsidRDefault="00C82265" w:rsidP="00E04CC0">
            <w:pPr>
              <w:jc w:val="both"/>
              <w:rPr>
                <w:rFonts w:ascii="Garamond" w:hAnsi="Garamond" w:cs="Times New Roman"/>
                <w:sz w:val="24"/>
                <w:szCs w:val="24"/>
              </w:rPr>
            </w:pPr>
            <w:r w:rsidRPr="000314BB">
              <w:rPr>
                <w:rFonts w:ascii="Garamond" w:hAnsi="Garamond" w:cs="Times New Roman"/>
                <w:sz w:val="24"/>
                <w:szCs w:val="24"/>
              </w:rPr>
              <w:t>anëtar</w:t>
            </w:r>
            <w:r>
              <w:rPr>
                <w:rFonts w:ascii="Garamond" w:hAnsi="Garamond" w:cs="Times New Roman"/>
                <w:sz w:val="24"/>
                <w:szCs w:val="24"/>
              </w:rPr>
              <w:t>,</w:t>
            </w:r>
          </w:p>
        </w:tc>
      </w:tr>
    </w:tbl>
    <w:p w14:paraId="20C2C295" w14:textId="74437F76" w:rsidR="007D5EC3" w:rsidRPr="000314BB" w:rsidRDefault="007D5EC3" w:rsidP="007D5EC3">
      <w:pPr>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me sekretar</w:t>
      </w:r>
      <w:r w:rsidR="00C82265">
        <w:rPr>
          <w:rFonts w:ascii="Garamond" w:hAnsi="Garamond" w:cs="Times New Roman"/>
          <w:sz w:val="24"/>
          <w:szCs w:val="24"/>
        </w:rPr>
        <w:t xml:space="preserve">e </w:t>
      </w:r>
      <w:proofErr w:type="spellStart"/>
      <w:r w:rsidR="00C82265">
        <w:rPr>
          <w:rFonts w:ascii="Garamond" w:hAnsi="Garamond" w:cs="Times New Roman"/>
          <w:sz w:val="24"/>
          <w:szCs w:val="24"/>
        </w:rPr>
        <w:t>Farisja</w:t>
      </w:r>
      <w:proofErr w:type="spellEnd"/>
      <w:r w:rsidR="00C82265">
        <w:rPr>
          <w:rFonts w:ascii="Garamond" w:hAnsi="Garamond" w:cs="Times New Roman"/>
          <w:sz w:val="24"/>
          <w:szCs w:val="24"/>
        </w:rPr>
        <w:t xml:space="preserve"> </w:t>
      </w:r>
      <w:proofErr w:type="spellStart"/>
      <w:r w:rsidR="00C82265">
        <w:rPr>
          <w:rFonts w:ascii="Garamond" w:hAnsi="Garamond" w:cs="Times New Roman"/>
          <w:sz w:val="24"/>
          <w:szCs w:val="24"/>
        </w:rPr>
        <w:t>Idrizaj</w:t>
      </w:r>
      <w:proofErr w:type="spellEnd"/>
      <w:r w:rsidR="00C82265">
        <w:rPr>
          <w:rFonts w:ascii="Garamond" w:hAnsi="Garamond" w:cs="Times New Roman"/>
          <w:sz w:val="24"/>
          <w:szCs w:val="24"/>
        </w:rPr>
        <w:t>, në datën 28.</w:t>
      </w:r>
      <w:r w:rsidRPr="000314BB">
        <w:rPr>
          <w:rFonts w:ascii="Garamond" w:hAnsi="Garamond" w:cs="Times New Roman"/>
          <w:sz w:val="24"/>
          <w:szCs w:val="24"/>
        </w:rPr>
        <w:t>5.2026</w:t>
      </w:r>
      <w:r w:rsidR="00C82265">
        <w:rPr>
          <w:rFonts w:ascii="Garamond" w:hAnsi="Garamond" w:cs="Times New Roman"/>
          <w:sz w:val="24"/>
          <w:szCs w:val="24"/>
        </w:rPr>
        <w:t>,</w:t>
      </w:r>
      <w:r w:rsidRPr="000314BB">
        <w:rPr>
          <w:rFonts w:ascii="Garamond" w:hAnsi="Garamond" w:cs="Times New Roman"/>
          <w:sz w:val="24"/>
          <w:szCs w:val="24"/>
        </w:rPr>
        <w:t xml:space="preserve"> mori në shqyrtim në seancë plenare mbi bazë të dokumenteve çështjen nr. 23 (F) 2025 të Regjistrit Themeltar</w:t>
      </w:r>
      <w:r w:rsidRPr="000314BB">
        <w:rPr>
          <w:rFonts w:ascii="Garamond" w:hAnsi="Garamond" w:cs="Times New Roman"/>
          <w:b/>
          <w:bCs/>
          <w:sz w:val="24"/>
          <w:szCs w:val="24"/>
        </w:rPr>
        <w:t xml:space="preserve"> </w:t>
      </w:r>
      <w:r w:rsidRPr="000314BB">
        <w:rPr>
          <w:rFonts w:ascii="Garamond" w:hAnsi="Garamond" w:cs="Times New Roman"/>
          <w:sz w:val="24"/>
          <w:szCs w:val="24"/>
        </w:rPr>
        <w:t>që u përket:</w:t>
      </w:r>
    </w:p>
    <w:p w14:paraId="6B64D976" w14:textId="02F16D62" w:rsidR="007D5EC3" w:rsidRPr="000314BB" w:rsidRDefault="007D5EC3" w:rsidP="007D5EC3">
      <w:pPr>
        <w:spacing w:after="0" w:line="240" w:lineRule="auto"/>
        <w:ind w:firstLine="284"/>
        <w:jc w:val="both"/>
        <w:rPr>
          <w:rFonts w:ascii="Garamond" w:hAnsi="Garamond" w:cs="Times New Roman"/>
          <w:sz w:val="24"/>
          <w:szCs w:val="24"/>
        </w:rPr>
      </w:pPr>
      <w:r w:rsidRPr="000314BB">
        <w:rPr>
          <w:rFonts w:ascii="Garamond" w:hAnsi="Garamond" w:cs="Times New Roman"/>
          <w:bCs/>
          <w:sz w:val="24"/>
          <w:szCs w:val="24"/>
        </w:rPr>
        <w:t>KËRKUES:</w:t>
      </w:r>
      <w:r w:rsidR="00E879FA">
        <w:rPr>
          <w:rFonts w:ascii="Garamond" w:hAnsi="Garamond" w:cs="Times New Roman"/>
          <w:bCs/>
          <w:sz w:val="24"/>
          <w:szCs w:val="24"/>
        </w:rPr>
        <w:t xml:space="preserve"> </w:t>
      </w:r>
      <w:r w:rsidR="00C82265" w:rsidRPr="000314BB">
        <w:rPr>
          <w:rFonts w:ascii="Garamond" w:hAnsi="Garamond" w:cs="Times New Roman"/>
          <w:bCs/>
          <w:sz w:val="24"/>
          <w:szCs w:val="24"/>
        </w:rPr>
        <w:t>Fatmir Lala</w:t>
      </w:r>
      <w:r w:rsidRPr="000314BB">
        <w:rPr>
          <w:rFonts w:ascii="Garamond" w:hAnsi="Garamond" w:cs="Times New Roman"/>
          <w:bCs/>
          <w:caps/>
          <w:sz w:val="24"/>
          <w:szCs w:val="24"/>
        </w:rPr>
        <w:t xml:space="preserve">, </w:t>
      </w:r>
      <w:r w:rsidR="00C82265" w:rsidRPr="000314BB">
        <w:rPr>
          <w:rFonts w:ascii="Garamond" w:hAnsi="Garamond" w:cs="Times New Roman"/>
          <w:bCs/>
          <w:sz w:val="24"/>
          <w:szCs w:val="24"/>
        </w:rPr>
        <w:t xml:space="preserve">Valbona Lala, Fatbardh Lala, </w:t>
      </w:r>
      <w:proofErr w:type="spellStart"/>
      <w:r w:rsidR="00C82265" w:rsidRPr="000314BB">
        <w:rPr>
          <w:rFonts w:ascii="Garamond" w:hAnsi="Garamond" w:cs="Times New Roman"/>
          <w:bCs/>
          <w:sz w:val="24"/>
          <w:szCs w:val="24"/>
        </w:rPr>
        <w:t>Griselda</w:t>
      </w:r>
      <w:proofErr w:type="spellEnd"/>
      <w:r w:rsidR="00C82265" w:rsidRPr="000314BB">
        <w:rPr>
          <w:rFonts w:ascii="Garamond" w:hAnsi="Garamond" w:cs="Times New Roman"/>
          <w:bCs/>
          <w:sz w:val="24"/>
          <w:szCs w:val="24"/>
        </w:rPr>
        <w:t xml:space="preserve"> Lala</w:t>
      </w:r>
      <w:r w:rsidRPr="000314BB">
        <w:rPr>
          <w:rFonts w:ascii="Garamond" w:hAnsi="Garamond" w:cs="Times New Roman"/>
          <w:bCs/>
          <w:caps/>
          <w:sz w:val="24"/>
          <w:szCs w:val="24"/>
        </w:rPr>
        <w:t xml:space="preserve">, </w:t>
      </w:r>
      <w:proofErr w:type="spellStart"/>
      <w:r w:rsidR="00C82265" w:rsidRPr="000314BB">
        <w:rPr>
          <w:rFonts w:ascii="Garamond" w:hAnsi="Garamond" w:cs="Times New Roman"/>
          <w:bCs/>
          <w:sz w:val="24"/>
          <w:szCs w:val="24"/>
        </w:rPr>
        <w:t>Ortigo</w:t>
      </w:r>
      <w:proofErr w:type="spellEnd"/>
      <w:r w:rsidR="00C82265" w:rsidRPr="000314BB">
        <w:rPr>
          <w:rFonts w:ascii="Garamond" w:hAnsi="Garamond" w:cs="Times New Roman"/>
          <w:bCs/>
          <w:sz w:val="24"/>
          <w:szCs w:val="24"/>
        </w:rPr>
        <w:t xml:space="preserve"> Lala</w:t>
      </w:r>
      <w:r w:rsidRPr="000314BB">
        <w:rPr>
          <w:rFonts w:ascii="Garamond" w:hAnsi="Garamond" w:cs="Times New Roman"/>
          <w:caps/>
          <w:sz w:val="24"/>
          <w:szCs w:val="24"/>
        </w:rPr>
        <w:t xml:space="preserve">, </w:t>
      </w:r>
      <w:r w:rsidRPr="000314BB">
        <w:rPr>
          <w:rFonts w:ascii="Garamond" w:hAnsi="Garamond" w:cs="Times New Roman"/>
          <w:sz w:val="24"/>
          <w:szCs w:val="24"/>
        </w:rPr>
        <w:t xml:space="preserve">përfaqësuar nga avokati </w:t>
      </w:r>
      <w:proofErr w:type="spellStart"/>
      <w:r w:rsidRPr="000314BB">
        <w:rPr>
          <w:rFonts w:ascii="Garamond" w:hAnsi="Garamond" w:cs="Times New Roman"/>
          <w:sz w:val="24"/>
          <w:szCs w:val="24"/>
        </w:rPr>
        <w:t>Ervin</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Demko</w:t>
      </w:r>
      <w:proofErr w:type="spellEnd"/>
      <w:r w:rsidRPr="000314BB">
        <w:rPr>
          <w:rFonts w:ascii="Garamond" w:hAnsi="Garamond" w:cs="Times New Roman"/>
          <w:sz w:val="24"/>
          <w:szCs w:val="24"/>
        </w:rPr>
        <w:t>.</w:t>
      </w:r>
    </w:p>
    <w:p w14:paraId="7B0A4F63" w14:textId="19CB98F1" w:rsidR="007D5EC3" w:rsidRPr="00C82265" w:rsidRDefault="007D5EC3" w:rsidP="00C82265">
      <w:pPr>
        <w:tabs>
          <w:tab w:val="left" w:pos="1080"/>
        </w:tabs>
        <w:spacing w:after="0" w:line="240" w:lineRule="auto"/>
        <w:ind w:firstLine="284"/>
        <w:jc w:val="both"/>
        <w:rPr>
          <w:rFonts w:ascii="Garamond" w:hAnsi="Garamond" w:cs="Times New Roman"/>
          <w:bCs/>
          <w:sz w:val="24"/>
          <w:szCs w:val="24"/>
        </w:rPr>
      </w:pPr>
      <w:r w:rsidRPr="000314BB">
        <w:rPr>
          <w:rFonts w:ascii="Garamond" w:hAnsi="Garamond" w:cs="Times New Roman"/>
          <w:bCs/>
          <w:sz w:val="24"/>
          <w:szCs w:val="24"/>
        </w:rPr>
        <w:t>SUBJEKT I INTERESUAR:</w:t>
      </w:r>
      <w:r w:rsidR="00C82265">
        <w:rPr>
          <w:rFonts w:ascii="Garamond" w:hAnsi="Garamond" w:cs="Times New Roman"/>
          <w:bCs/>
          <w:sz w:val="24"/>
          <w:szCs w:val="24"/>
        </w:rPr>
        <w:t xml:space="preserve"> </w:t>
      </w:r>
      <w:r w:rsidR="00C82265" w:rsidRPr="000314BB">
        <w:rPr>
          <w:rFonts w:ascii="Garamond" w:hAnsi="Garamond" w:cs="Times New Roman"/>
          <w:bCs/>
          <w:sz w:val="24"/>
          <w:szCs w:val="24"/>
        </w:rPr>
        <w:t xml:space="preserve">Shoqëria </w:t>
      </w:r>
      <w:r w:rsidRPr="000314BB">
        <w:rPr>
          <w:rFonts w:ascii="Garamond" w:hAnsi="Garamond" w:cs="Times New Roman"/>
          <w:bCs/>
          <w:sz w:val="24"/>
          <w:szCs w:val="24"/>
        </w:rPr>
        <w:t>“</w:t>
      </w:r>
      <w:r w:rsidR="00C82265" w:rsidRPr="000314BB">
        <w:rPr>
          <w:rFonts w:ascii="Garamond" w:hAnsi="Garamond" w:cs="Times New Roman"/>
          <w:bCs/>
          <w:sz w:val="24"/>
          <w:szCs w:val="24"/>
        </w:rPr>
        <w:t>Pro</w:t>
      </w:r>
      <w:r w:rsidRPr="000314BB">
        <w:rPr>
          <w:rFonts w:ascii="Garamond" w:hAnsi="Garamond" w:cs="Times New Roman"/>
          <w:bCs/>
          <w:sz w:val="24"/>
          <w:szCs w:val="24"/>
        </w:rPr>
        <w:t>-</w:t>
      </w:r>
      <w:proofErr w:type="spellStart"/>
      <w:r w:rsidR="00C82265" w:rsidRPr="000314BB">
        <w:rPr>
          <w:rFonts w:ascii="Garamond" w:hAnsi="Garamond" w:cs="Times New Roman"/>
          <w:bCs/>
          <w:sz w:val="24"/>
          <w:szCs w:val="24"/>
        </w:rPr>
        <w:t>Plast</w:t>
      </w:r>
      <w:proofErr w:type="spellEnd"/>
      <w:r w:rsidRPr="000314BB">
        <w:rPr>
          <w:rFonts w:ascii="Garamond" w:hAnsi="Garamond" w:cs="Times New Roman"/>
          <w:bCs/>
          <w:sz w:val="24"/>
          <w:szCs w:val="24"/>
        </w:rPr>
        <w:t xml:space="preserve">” </w:t>
      </w:r>
      <w:proofErr w:type="spellStart"/>
      <w:r w:rsidR="00C82265" w:rsidRPr="000314BB">
        <w:rPr>
          <w:rFonts w:ascii="Garamond" w:hAnsi="Garamond" w:cs="Times New Roman"/>
          <w:bCs/>
          <w:sz w:val="24"/>
          <w:szCs w:val="24"/>
        </w:rPr>
        <w:t>sh.p.k</w:t>
      </w:r>
      <w:proofErr w:type="spellEnd"/>
      <w:r w:rsidRPr="000314BB">
        <w:rPr>
          <w:rFonts w:ascii="Garamond" w:hAnsi="Garamond" w:cs="Times New Roman"/>
          <w:bCs/>
          <w:sz w:val="24"/>
          <w:szCs w:val="24"/>
        </w:rPr>
        <w:t xml:space="preserve">., </w:t>
      </w:r>
      <w:r w:rsidRPr="000314BB">
        <w:rPr>
          <w:rFonts w:ascii="Garamond" w:hAnsi="Garamond" w:cs="Times New Roman"/>
          <w:sz w:val="24"/>
          <w:szCs w:val="24"/>
        </w:rPr>
        <w:t xml:space="preserve">përfaqësuar nga avokati Artan </w:t>
      </w:r>
      <w:proofErr w:type="spellStart"/>
      <w:r w:rsidRPr="000314BB">
        <w:rPr>
          <w:rFonts w:ascii="Garamond" w:hAnsi="Garamond" w:cs="Times New Roman"/>
          <w:sz w:val="24"/>
          <w:szCs w:val="24"/>
        </w:rPr>
        <w:t>Zeneli</w:t>
      </w:r>
      <w:proofErr w:type="spellEnd"/>
      <w:r w:rsidRPr="000314BB">
        <w:rPr>
          <w:rFonts w:ascii="Garamond" w:hAnsi="Garamond" w:cs="Times New Roman"/>
          <w:sz w:val="24"/>
          <w:szCs w:val="24"/>
        </w:rPr>
        <w:t>, me prokurë të posaçme.</w:t>
      </w:r>
    </w:p>
    <w:p w14:paraId="3ED20332" w14:textId="2FEA4185" w:rsidR="007D5EC3" w:rsidRPr="000314BB" w:rsidRDefault="007D5EC3" w:rsidP="007D5EC3">
      <w:pPr>
        <w:spacing w:after="0" w:line="240" w:lineRule="auto"/>
        <w:ind w:firstLine="284"/>
        <w:jc w:val="both"/>
        <w:rPr>
          <w:rFonts w:ascii="Garamond" w:hAnsi="Garamond" w:cs="Times New Roman"/>
          <w:bCs/>
          <w:sz w:val="24"/>
          <w:szCs w:val="24"/>
        </w:rPr>
      </w:pPr>
      <w:r w:rsidRPr="000314BB">
        <w:rPr>
          <w:rFonts w:ascii="Garamond" w:hAnsi="Garamond" w:cs="Times New Roman"/>
          <w:bCs/>
          <w:sz w:val="24"/>
          <w:szCs w:val="24"/>
        </w:rPr>
        <w:t>OBJEKTI: Shfuqizimi i vendimit nr. 00-2024-5053 (</w:t>
      </w:r>
      <w:r w:rsidR="00C82265">
        <w:rPr>
          <w:rFonts w:ascii="Garamond" w:hAnsi="Garamond" w:cs="Times New Roman"/>
          <w:bCs/>
          <w:sz w:val="24"/>
          <w:szCs w:val="24"/>
        </w:rPr>
        <w:t xml:space="preserve">700), datë </w:t>
      </w:r>
      <w:r w:rsidRPr="000314BB">
        <w:rPr>
          <w:rFonts w:ascii="Garamond" w:hAnsi="Garamond" w:cs="Times New Roman"/>
          <w:bCs/>
          <w:sz w:val="24"/>
          <w:szCs w:val="24"/>
        </w:rPr>
        <w:t>4.12.2024</w:t>
      </w:r>
      <w:r w:rsidR="00C82265">
        <w:rPr>
          <w:rFonts w:ascii="Garamond" w:hAnsi="Garamond" w:cs="Times New Roman"/>
          <w:bCs/>
          <w:sz w:val="24"/>
          <w:szCs w:val="24"/>
        </w:rPr>
        <w:t>,</w:t>
      </w:r>
      <w:r w:rsidRPr="000314BB">
        <w:rPr>
          <w:rFonts w:ascii="Garamond" w:hAnsi="Garamond" w:cs="Times New Roman"/>
          <w:bCs/>
          <w:sz w:val="24"/>
          <w:szCs w:val="24"/>
        </w:rPr>
        <w:t xml:space="preserve"> të Kolegjit Civil të Gjykatës së Lartë, si i papajtueshëm me Kushtetutën e Republikës së Shqipërisë.</w:t>
      </w:r>
    </w:p>
    <w:p w14:paraId="11E17372" w14:textId="2E8C9A26" w:rsidR="007D5EC3" w:rsidRPr="000314BB" w:rsidRDefault="007D5EC3" w:rsidP="007D5EC3">
      <w:pPr>
        <w:tabs>
          <w:tab w:val="left" w:pos="1080"/>
        </w:tabs>
        <w:spacing w:after="0" w:line="240" w:lineRule="auto"/>
        <w:ind w:firstLine="284"/>
        <w:jc w:val="both"/>
        <w:rPr>
          <w:rFonts w:ascii="Garamond" w:hAnsi="Garamond" w:cs="Times New Roman"/>
          <w:bCs/>
          <w:i/>
          <w:iCs/>
          <w:sz w:val="24"/>
          <w:szCs w:val="24"/>
        </w:rPr>
      </w:pPr>
      <w:r w:rsidRPr="000314BB">
        <w:rPr>
          <w:rFonts w:ascii="Garamond" w:hAnsi="Garamond" w:cs="Times New Roman"/>
          <w:bCs/>
          <w:sz w:val="24"/>
          <w:szCs w:val="24"/>
        </w:rPr>
        <w:t xml:space="preserve">BAZA LIGJORE: Nenet 41, 42, 131, pika 1, shkronja “f”, dhe 134, pika 1, shkronja “i”, të Kushtetutës së Republikës së Shqipërisë </w:t>
      </w:r>
      <w:r w:rsidRPr="000314BB">
        <w:rPr>
          <w:rFonts w:ascii="Garamond" w:hAnsi="Garamond" w:cs="Times New Roman"/>
          <w:bCs/>
          <w:i/>
          <w:iCs/>
          <w:sz w:val="24"/>
          <w:szCs w:val="24"/>
        </w:rPr>
        <w:t>(Kushtetuta)</w:t>
      </w:r>
      <w:r w:rsidRPr="000314BB">
        <w:rPr>
          <w:rFonts w:ascii="Garamond" w:hAnsi="Garamond" w:cs="Times New Roman"/>
          <w:bCs/>
          <w:sz w:val="24"/>
          <w:szCs w:val="24"/>
        </w:rPr>
        <w:t>; nenet 6, 13 dhe 14 të Konventës Evropiane për të Drejtat e Njeriut</w:t>
      </w:r>
      <w:r w:rsidRPr="000314BB">
        <w:rPr>
          <w:rFonts w:ascii="Garamond" w:hAnsi="Garamond" w:cs="Times New Roman"/>
          <w:bCs/>
          <w:i/>
          <w:iCs/>
          <w:sz w:val="24"/>
          <w:szCs w:val="24"/>
        </w:rPr>
        <w:t xml:space="preserve"> </w:t>
      </w:r>
      <w:r w:rsidRPr="000314BB">
        <w:rPr>
          <w:rFonts w:ascii="Garamond" w:hAnsi="Garamond" w:cs="Times New Roman"/>
          <w:bCs/>
          <w:sz w:val="24"/>
          <w:szCs w:val="24"/>
        </w:rPr>
        <w:t>dhe</w:t>
      </w:r>
      <w:r w:rsidRPr="000314BB">
        <w:rPr>
          <w:rFonts w:ascii="Garamond" w:hAnsi="Garamond" w:cs="Times New Roman"/>
          <w:bCs/>
          <w:i/>
          <w:iCs/>
          <w:sz w:val="24"/>
          <w:szCs w:val="24"/>
        </w:rPr>
        <w:t xml:space="preserve"> </w:t>
      </w:r>
      <w:r w:rsidRPr="000314BB">
        <w:rPr>
          <w:rFonts w:ascii="Garamond" w:hAnsi="Garamond" w:cs="Times New Roman"/>
          <w:bCs/>
          <w:sz w:val="24"/>
          <w:szCs w:val="24"/>
        </w:rPr>
        <w:t>neni 1</w:t>
      </w:r>
      <w:r w:rsidR="00E879FA">
        <w:rPr>
          <w:rFonts w:ascii="Garamond" w:hAnsi="Garamond" w:cs="Times New Roman"/>
          <w:bCs/>
          <w:sz w:val="24"/>
          <w:szCs w:val="24"/>
        </w:rPr>
        <w:t>,</w:t>
      </w:r>
      <w:r w:rsidRPr="000314BB">
        <w:rPr>
          <w:rFonts w:ascii="Garamond" w:hAnsi="Garamond" w:cs="Times New Roman"/>
          <w:bCs/>
          <w:sz w:val="24"/>
          <w:szCs w:val="24"/>
        </w:rPr>
        <w:t xml:space="preserve"> i Protokollit nr. 12 të saj; ligji nr. 8577, datë</w:t>
      </w:r>
      <w:r w:rsidR="00C82265">
        <w:rPr>
          <w:rFonts w:ascii="Garamond" w:hAnsi="Garamond" w:cs="Times New Roman"/>
          <w:bCs/>
          <w:sz w:val="24"/>
          <w:szCs w:val="24"/>
        </w:rPr>
        <w:t xml:space="preserve"> 10.</w:t>
      </w:r>
      <w:r w:rsidRPr="000314BB">
        <w:rPr>
          <w:rFonts w:ascii="Garamond" w:hAnsi="Garamond" w:cs="Times New Roman"/>
          <w:bCs/>
          <w:sz w:val="24"/>
          <w:szCs w:val="24"/>
        </w:rPr>
        <w:t>2.2000</w:t>
      </w:r>
      <w:r w:rsidR="00C82265">
        <w:rPr>
          <w:rFonts w:ascii="Garamond" w:hAnsi="Garamond" w:cs="Times New Roman"/>
          <w:bCs/>
          <w:sz w:val="24"/>
          <w:szCs w:val="24"/>
        </w:rPr>
        <w:t>,</w:t>
      </w:r>
      <w:r w:rsidRPr="000314BB">
        <w:rPr>
          <w:rFonts w:ascii="Garamond" w:hAnsi="Garamond" w:cs="Times New Roman"/>
          <w:bCs/>
          <w:sz w:val="24"/>
          <w:szCs w:val="24"/>
        </w:rPr>
        <w:t xml:space="preserve"> “Për organizimin dhe funksionimin e Gjykatës Kushtetuese të Republikës së Shqipërisë”, i ndryshuar </w:t>
      </w:r>
      <w:r w:rsidRPr="000314BB">
        <w:rPr>
          <w:rFonts w:ascii="Garamond" w:hAnsi="Garamond" w:cs="Times New Roman"/>
          <w:bCs/>
          <w:i/>
          <w:iCs/>
          <w:sz w:val="24"/>
          <w:szCs w:val="24"/>
        </w:rPr>
        <w:t>(Ligji Organik i Gjykatës).</w:t>
      </w:r>
    </w:p>
    <w:p w14:paraId="11168EC5" w14:textId="77777777" w:rsidR="007D5EC3" w:rsidRPr="000314BB" w:rsidRDefault="007D5EC3" w:rsidP="007D5EC3">
      <w:pPr>
        <w:spacing w:after="0" w:line="240" w:lineRule="auto"/>
        <w:ind w:firstLine="284"/>
        <w:jc w:val="center"/>
        <w:rPr>
          <w:rFonts w:ascii="Garamond" w:hAnsi="Garamond" w:cs="Times New Roman"/>
          <w:bCs/>
          <w:sz w:val="24"/>
          <w:szCs w:val="24"/>
        </w:rPr>
      </w:pPr>
    </w:p>
    <w:p w14:paraId="296FD171" w14:textId="77777777" w:rsidR="007D5EC3" w:rsidRPr="000314BB" w:rsidRDefault="007D5EC3" w:rsidP="007D5EC3">
      <w:pPr>
        <w:spacing w:after="0" w:line="240" w:lineRule="auto"/>
        <w:ind w:firstLine="284"/>
        <w:jc w:val="center"/>
        <w:rPr>
          <w:rFonts w:ascii="Garamond" w:hAnsi="Garamond" w:cs="Times New Roman"/>
          <w:bCs/>
          <w:sz w:val="24"/>
          <w:szCs w:val="24"/>
        </w:rPr>
      </w:pPr>
      <w:r w:rsidRPr="000314BB">
        <w:rPr>
          <w:rFonts w:ascii="Garamond" w:hAnsi="Garamond" w:cs="Times New Roman"/>
          <w:bCs/>
          <w:sz w:val="24"/>
          <w:szCs w:val="24"/>
        </w:rPr>
        <w:t>GJYKATA KUSHTETUESE,</w:t>
      </w:r>
    </w:p>
    <w:p w14:paraId="6AD08644" w14:textId="77777777" w:rsidR="000314BB" w:rsidRPr="000314BB" w:rsidRDefault="000314BB" w:rsidP="007D5EC3">
      <w:pPr>
        <w:tabs>
          <w:tab w:val="left" w:pos="1080"/>
        </w:tabs>
        <w:spacing w:after="0" w:line="240" w:lineRule="auto"/>
        <w:ind w:firstLine="284"/>
        <w:jc w:val="both"/>
        <w:rPr>
          <w:rFonts w:ascii="Garamond" w:hAnsi="Garamond" w:cs="Times New Roman"/>
          <w:sz w:val="24"/>
          <w:szCs w:val="24"/>
        </w:rPr>
      </w:pPr>
    </w:p>
    <w:p w14:paraId="41C2A688" w14:textId="1C25A250" w:rsidR="007D5EC3" w:rsidRPr="000314BB" w:rsidRDefault="007D5EC3" w:rsidP="007D5EC3">
      <w:pPr>
        <w:tabs>
          <w:tab w:val="left" w:pos="1080"/>
        </w:tabs>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 xml:space="preserve">pasi dëgjoi </w:t>
      </w:r>
      <w:proofErr w:type="spellStart"/>
      <w:r w:rsidRPr="000314BB">
        <w:rPr>
          <w:rFonts w:ascii="Garamond" w:hAnsi="Garamond" w:cs="Times New Roman"/>
          <w:sz w:val="24"/>
          <w:szCs w:val="24"/>
        </w:rPr>
        <w:t>relatoren</w:t>
      </w:r>
      <w:proofErr w:type="spellEnd"/>
      <w:r w:rsidRPr="000314BB">
        <w:rPr>
          <w:rFonts w:ascii="Garamond" w:hAnsi="Garamond" w:cs="Times New Roman"/>
          <w:sz w:val="24"/>
          <w:szCs w:val="24"/>
        </w:rPr>
        <w:t xml:space="preserve"> e çështjes </w:t>
      </w:r>
      <w:proofErr w:type="spellStart"/>
      <w:r w:rsidRPr="000314BB">
        <w:rPr>
          <w:rFonts w:ascii="Garamond" w:hAnsi="Garamond" w:cs="Times New Roman"/>
          <w:sz w:val="24"/>
          <w:szCs w:val="24"/>
        </w:rPr>
        <w:t>Fiona</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Papajorgji</w:t>
      </w:r>
      <w:proofErr w:type="spellEnd"/>
      <w:r w:rsidRPr="000314BB">
        <w:rPr>
          <w:rFonts w:ascii="Garamond" w:hAnsi="Garamond" w:cs="Times New Roman"/>
          <w:sz w:val="24"/>
          <w:szCs w:val="24"/>
        </w:rPr>
        <w:t xml:space="preserve">, mori në shqyrtim pretendimet e kërkuesve Fatmir Lala, Valbona Lala, Fatbardh Lala, </w:t>
      </w:r>
      <w:proofErr w:type="spellStart"/>
      <w:r w:rsidRPr="000314BB">
        <w:rPr>
          <w:rFonts w:ascii="Garamond" w:hAnsi="Garamond" w:cs="Times New Roman"/>
          <w:sz w:val="24"/>
          <w:szCs w:val="24"/>
        </w:rPr>
        <w:t>Griselda</w:t>
      </w:r>
      <w:proofErr w:type="spellEnd"/>
      <w:r w:rsidRPr="000314BB">
        <w:rPr>
          <w:rFonts w:ascii="Garamond" w:hAnsi="Garamond" w:cs="Times New Roman"/>
          <w:sz w:val="24"/>
          <w:szCs w:val="24"/>
        </w:rPr>
        <w:t xml:space="preserve"> Lala dhe </w:t>
      </w:r>
      <w:proofErr w:type="spellStart"/>
      <w:r w:rsidRPr="000314BB">
        <w:rPr>
          <w:rFonts w:ascii="Garamond" w:hAnsi="Garamond" w:cs="Times New Roman"/>
          <w:sz w:val="24"/>
          <w:szCs w:val="24"/>
        </w:rPr>
        <w:t>Ortigo</w:t>
      </w:r>
      <w:proofErr w:type="spellEnd"/>
      <w:r w:rsidRPr="000314BB">
        <w:rPr>
          <w:rFonts w:ascii="Garamond" w:hAnsi="Garamond" w:cs="Times New Roman"/>
          <w:sz w:val="24"/>
          <w:szCs w:val="24"/>
        </w:rPr>
        <w:t xml:space="preserve"> Lala </w:t>
      </w:r>
      <w:r w:rsidRPr="000314BB">
        <w:rPr>
          <w:rFonts w:ascii="Garamond" w:hAnsi="Garamond" w:cs="Times New Roman"/>
          <w:i/>
          <w:iCs/>
          <w:sz w:val="24"/>
          <w:szCs w:val="24"/>
        </w:rPr>
        <w:t>(kërkuesit)</w:t>
      </w:r>
      <w:r w:rsidRPr="000314BB">
        <w:rPr>
          <w:rFonts w:ascii="Garamond" w:hAnsi="Garamond" w:cs="Times New Roman"/>
          <w:sz w:val="24"/>
          <w:szCs w:val="24"/>
        </w:rPr>
        <w:t>, të cilët kanë kërkuar pranimin e kërkesës, prapësimet e subjektit të interesuar, 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që ka kërkuar rrëzimin e kërkesës, si dhe diskutoi çështjen në tërësi,</w:t>
      </w:r>
    </w:p>
    <w:p w14:paraId="637B7803" w14:textId="77777777" w:rsidR="007D5EC3" w:rsidRPr="000314BB" w:rsidRDefault="007D5EC3" w:rsidP="007D5EC3">
      <w:pPr>
        <w:tabs>
          <w:tab w:val="left" w:pos="1080"/>
        </w:tabs>
        <w:spacing w:after="0" w:line="240" w:lineRule="auto"/>
        <w:ind w:firstLine="284"/>
        <w:jc w:val="both"/>
        <w:rPr>
          <w:rFonts w:ascii="Garamond" w:hAnsi="Garamond" w:cs="Times New Roman"/>
          <w:sz w:val="24"/>
          <w:szCs w:val="24"/>
        </w:rPr>
      </w:pPr>
    </w:p>
    <w:p w14:paraId="12B7E54E" w14:textId="7E78CAC2" w:rsidR="007D5EC3" w:rsidRPr="000314BB" w:rsidRDefault="007D5EC3" w:rsidP="007D5EC3">
      <w:pPr>
        <w:spacing w:after="0" w:line="240" w:lineRule="auto"/>
        <w:ind w:firstLine="284"/>
        <w:jc w:val="center"/>
        <w:rPr>
          <w:rFonts w:ascii="Garamond" w:hAnsi="Garamond" w:cs="Times New Roman"/>
          <w:bCs/>
          <w:i/>
          <w:iCs/>
          <w:sz w:val="24"/>
          <w:szCs w:val="24"/>
        </w:rPr>
      </w:pPr>
      <w:r w:rsidRPr="000314BB">
        <w:rPr>
          <w:rFonts w:ascii="Garamond" w:hAnsi="Garamond" w:cs="Times New Roman"/>
          <w:bCs/>
          <w:sz w:val="24"/>
          <w:szCs w:val="24"/>
        </w:rPr>
        <w:t>VËREN:</w:t>
      </w:r>
    </w:p>
    <w:p w14:paraId="2B21A189" w14:textId="77777777" w:rsidR="000314BB" w:rsidRPr="000314BB" w:rsidRDefault="000314BB" w:rsidP="007D5EC3">
      <w:pPr>
        <w:spacing w:after="0" w:line="240" w:lineRule="auto"/>
        <w:ind w:firstLine="284"/>
        <w:jc w:val="center"/>
        <w:rPr>
          <w:rFonts w:ascii="Garamond" w:hAnsi="Garamond" w:cs="Times New Roman"/>
          <w:b/>
          <w:bCs/>
          <w:sz w:val="24"/>
          <w:szCs w:val="24"/>
        </w:rPr>
      </w:pPr>
    </w:p>
    <w:p w14:paraId="33E4AF7D" w14:textId="5CBBC92D" w:rsidR="007D5EC3" w:rsidRPr="000314BB" w:rsidRDefault="007D5EC3" w:rsidP="007D5EC3">
      <w:pPr>
        <w:spacing w:after="0" w:line="240" w:lineRule="auto"/>
        <w:ind w:firstLine="284"/>
        <w:jc w:val="center"/>
        <w:rPr>
          <w:rFonts w:ascii="Garamond" w:hAnsi="Garamond" w:cs="Times New Roman"/>
          <w:b/>
          <w:bCs/>
          <w:sz w:val="24"/>
          <w:szCs w:val="24"/>
        </w:rPr>
      </w:pPr>
      <w:r w:rsidRPr="000314BB">
        <w:rPr>
          <w:rFonts w:ascii="Garamond" w:hAnsi="Garamond" w:cs="Times New Roman"/>
          <w:b/>
          <w:bCs/>
          <w:sz w:val="24"/>
          <w:szCs w:val="24"/>
        </w:rPr>
        <w:t>I</w:t>
      </w:r>
    </w:p>
    <w:p w14:paraId="672D1331" w14:textId="77777777" w:rsidR="007D5EC3" w:rsidRPr="000314BB" w:rsidRDefault="007D5EC3" w:rsidP="007D5EC3">
      <w:pPr>
        <w:spacing w:after="0" w:line="240" w:lineRule="auto"/>
        <w:ind w:firstLine="284"/>
        <w:jc w:val="center"/>
        <w:rPr>
          <w:rFonts w:ascii="Garamond" w:hAnsi="Garamond" w:cs="Times New Roman"/>
          <w:b/>
          <w:bCs/>
          <w:sz w:val="24"/>
          <w:szCs w:val="24"/>
        </w:rPr>
      </w:pPr>
      <w:r w:rsidRPr="000314BB">
        <w:rPr>
          <w:rFonts w:ascii="Garamond" w:hAnsi="Garamond" w:cs="Times New Roman"/>
          <w:b/>
          <w:bCs/>
          <w:sz w:val="24"/>
          <w:szCs w:val="24"/>
        </w:rPr>
        <w:t>Rrethanat e çështjes</w:t>
      </w:r>
    </w:p>
    <w:p w14:paraId="37096538" w14:textId="77777777" w:rsidR="000314BB" w:rsidRPr="000314BB" w:rsidRDefault="000314BB" w:rsidP="007D5EC3">
      <w:pPr>
        <w:pStyle w:val="ListParagraph"/>
        <w:tabs>
          <w:tab w:val="left" w:pos="1080"/>
        </w:tabs>
        <w:spacing w:after="0" w:line="240" w:lineRule="auto"/>
        <w:ind w:left="0" w:firstLine="284"/>
        <w:jc w:val="both"/>
        <w:rPr>
          <w:rFonts w:ascii="Garamond" w:hAnsi="Garamond" w:cs="Times New Roman"/>
          <w:sz w:val="24"/>
          <w:szCs w:val="24"/>
        </w:rPr>
      </w:pPr>
    </w:p>
    <w:p w14:paraId="47463543" w14:textId="52EED99E"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1. Kërkuesit Fatmir Lala dhe Valbona Lala janë prindërit dhe trashëgimtarët e radhës së dytë të djalit të tyre K.</w:t>
      </w:r>
      <w:r w:rsidR="00C82265">
        <w:rPr>
          <w:rFonts w:ascii="Garamond" w:hAnsi="Garamond" w:cs="Times New Roman"/>
          <w:sz w:val="24"/>
          <w:szCs w:val="24"/>
        </w:rPr>
        <w:t xml:space="preserve"> </w:t>
      </w:r>
      <w:r w:rsidRPr="000314BB">
        <w:rPr>
          <w:rFonts w:ascii="Garamond" w:hAnsi="Garamond" w:cs="Times New Roman"/>
          <w:sz w:val="24"/>
          <w:szCs w:val="24"/>
        </w:rPr>
        <w:t xml:space="preserve">L., ndërsa Fatbardh Lala, </w:t>
      </w:r>
      <w:proofErr w:type="spellStart"/>
      <w:r w:rsidRPr="000314BB">
        <w:rPr>
          <w:rFonts w:ascii="Garamond" w:hAnsi="Garamond" w:cs="Times New Roman"/>
          <w:sz w:val="24"/>
          <w:szCs w:val="24"/>
        </w:rPr>
        <w:t>Griselda</w:t>
      </w:r>
      <w:proofErr w:type="spellEnd"/>
      <w:r w:rsidRPr="000314BB">
        <w:rPr>
          <w:rFonts w:ascii="Garamond" w:hAnsi="Garamond" w:cs="Times New Roman"/>
          <w:sz w:val="24"/>
          <w:szCs w:val="24"/>
        </w:rPr>
        <w:t xml:space="preserve"> Lala, </w:t>
      </w:r>
      <w:proofErr w:type="spellStart"/>
      <w:r w:rsidRPr="000314BB">
        <w:rPr>
          <w:rFonts w:ascii="Garamond" w:hAnsi="Garamond" w:cs="Times New Roman"/>
          <w:sz w:val="24"/>
          <w:szCs w:val="24"/>
        </w:rPr>
        <w:t>Ortigo</w:t>
      </w:r>
      <w:proofErr w:type="spellEnd"/>
      <w:r w:rsidRPr="000314BB">
        <w:rPr>
          <w:rFonts w:ascii="Garamond" w:hAnsi="Garamond" w:cs="Times New Roman"/>
          <w:sz w:val="24"/>
          <w:szCs w:val="24"/>
        </w:rPr>
        <w:t xml:space="preserve"> Lala janë vëllezërit e motra e tij. Shtetasi K.</w:t>
      </w:r>
      <w:r w:rsidR="00C82265">
        <w:rPr>
          <w:rFonts w:ascii="Garamond" w:hAnsi="Garamond" w:cs="Times New Roman"/>
          <w:sz w:val="24"/>
          <w:szCs w:val="24"/>
        </w:rPr>
        <w:t xml:space="preserve"> </w:t>
      </w:r>
      <w:r w:rsidRPr="000314BB">
        <w:rPr>
          <w:rFonts w:ascii="Garamond" w:hAnsi="Garamond" w:cs="Times New Roman"/>
          <w:sz w:val="24"/>
          <w:szCs w:val="24"/>
        </w:rPr>
        <w:t>L., i mitu</w:t>
      </w:r>
      <w:r w:rsidR="00C82265">
        <w:rPr>
          <w:rFonts w:ascii="Garamond" w:hAnsi="Garamond" w:cs="Times New Roman"/>
          <w:sz w:val="24"/>
          <w:szCs w:val="24"/>
        </w:rPr>
        <w:t>r i moshës 15 vjeç në datën 26.</w:t>
      </w:r>
      <w:r w:rsidRPr="000314BB">
        <w:rPr>
          <w:rFonts w:ascii="Garamond" w:hAnsi="Garamond" w:cs="Times New Roman"/>
          <w:sz w:val="24"/>
          <w:szCs w:val="24"/>
        </w:rPr>
        <w:t>8.2016</w:t>
      </w:r>
      <w:r w:rsidR="00C82265">
        <w:rPr>
          <w:rFonts w:ascii="Garamond" w:hAnsi="Garamond" w:cs="Times New Roman"/>
          <w:sz w:val="24"/>
          <w:szCs w:val="24"/>
        </w:rPr>
        <w:t>,</w:t>
      </w:r>
      <w:r w:rsidRPr="000314BB">
        <w:rPr>
          <w:rFonts w:ascii="Garamond" w:hAnsi="Garamond" w:cs="Times New Roman"/>
          <w:sz w:val="24"/>
          <w:szCs w:val="24"/>
        </w:rPr>
        <w:t xml:space="preserve"> ka humbur jetën në mjediset e shoqërisë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ku punonte nëna e tij.</w:t>
      </w:r>
    </w:p>
    <w:p w14:paraId="6B762BD8" w14:textId="7988A578"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2. Subjekti i interesuar,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është pronari i objektit disakatësh të ndodhur në Shkozet të Durrësit (ndërtesa e ish-plastikës), ku ushtronte veprimtarinë e saj edhe shoqëria “</w:t>
      </w:r>
      <w:proofErr w:type="spellStart"/>
      <w:r w:rsidRPr="000314BB">
        <w:rPr>
          <w:rFonts w:ascii="Garamond" w:hAnsi="Garamond" w:cs="Times New Roman"/>
          <w:sz w:val="24"/>
          <w:szCs w:val="24"/>
        </w:rPr>
        <w:t>Albantic</w:t>
      </w:r>
      <w:proofErr w:type="spellEnd"/>
      <w:r w:rsidR="00C82265">
        <w:rPr>
          <w:rFonts w:ascii="Garamond" w:hAnsi="Garamond" w:cs="Times New Roman"/>
          <w:sz w:val="24"/>
          <w:szCs w:val="24"/>
        </w:rPr>
        <w:t xml:space="preserve">” </w:t>
      </w:r>
      <w:proofErr w:type="spellStart"/>
      <w:r w:rsidR="00C82265">
        <w:rPr>
          <w:rFonts w:ascii="Garamond" w:hAnsi="Garamond" w:cs="Times New Roman"/>
          <w:sz w:val="24"/>
          <w:szCs w:val="24"/>
        </w:rPr>
        <w:t>sh.p.k</w:t>
      </w:r>
      <w:proofErr w:type="spellEnd"/>
      <w:r w:rsidR="00C82265">
        <w:rPr>
          <w:rFonts w:ascii="Garamond" w:hAnsi="Garamond" w:cs="Times New Roman"/>
          <w:sz w:val="24"/>
          <w:szCs w:val="24"/>
        </w:rPr>
        <w:t>. Me kontratën e datës 3.</w:t>
      </w:r>
      <w:r w:rsidRPr="000314BB">
        <w:rPr>
          <w:rFonts w:ascii="Garamond" w:hAnsi="Garamond" w:cs="Times New Roman"/>
          <w:sz w:val="24"/>
          <w:szCs w:val="24"/>
        </w:rPr>
        <w:t>1.2015 godina/objekti i është dhënë me qira dy shoqërive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00C82265">
        <w:rPr>
          <w:rFonts w:ascii="Garamond" w:hAnsi="Garamond" w:cs="Times New Roman"/>
          <w:sz w:val="24"/>
          <w:szCs w:val="24"/>
        </w:rPr>
        <w:t>., për një afat kohor nga data 1.</w:t>
      </w:r>
      <w:r w:rsidRPr="000314BB">
        <w:rPr>
          <w:rFonts w:ascii="Garamond" w:hAnsi="Garamond" w:cs="Times New Roman"/>
          <w:sz w:val="24"/>
          <w:szCs w:val="24"/>
        </w:rPr>
        <w:t>1.2015 deri në datën 31.12.2016.</w:t>
      </w:r>
    </w:p>
    <w:p w14:paraId="2F7CFBE0" w14:textId="12682A48" w:rsidR="007D5EC3" w:rsidRPr="000314BB" w:rsidRDefault="00C82265" w:rsidP="007D5EC3">
      <w:pPr>
        <w:pStyle w:val="ListParagraph"/>
        <w:tabs>
          <w:tab w:val="left" w:pos="1080"/>
        </w:tabs>
        <w:spacing w:after="0" w:line="240" w:lineRule="auto"/>
        <w:ind w:left="0" w:firstLine="284"/>
        <w:jc w:val="both"/>
        <w:rPr>
          <w:rFonts w:ascii="Garamond" w:hAnsi="Garamond" w:cs="Times New Roman"/>
          <w:sz w:val="24"/>
          <w:szCs w:val="24"/>
        </w:rPr>
      </w:pPr>
      <w:r>
        <w:rPr>
          <w:rFonts w:ascii="Garamond" w:hAnsi="Garamond" w:cs="Times New Roman"/>
          <w:sz w:val="24"/>
          <w:szCs w:val="24"/>
        </w:rPr>
        <w:t>3. Në datën 26.</w:t>
      </w:r>
      <w:r w:rsidR="007D5EC3" w:rsidRPr="000314BB">
        <w:rPr>
          <w:rFonts w:ascii="Garamond" w:hAnsi="Garamond" w:cs="Times New Roman"/>
          <w:sz w:val="24"/>
          <w:szCs w:val="24"/>
        </w:rPr>
        <w:t>8.2016, rreth orës 14:00, Komisariati i Policisë Durrës është njoftuar se në mjediset e shoqërisë “Pro-</w:t>
      </w:r>
      <w:proofErr w:type="spellStart"/>
      <w:r w:rsidR="007D5EC3" w:rsidRPr="000314BB">
        <w:rPr>
          <w:rFonts w:ascii="Garamond" w:hAnsi="Garamond" w:cs="Times New Roman"/>
          <w:sz w:val="24"/>
          <w:szCs w:val="24"/>
        </w:rPr>
        <w:t>Plast</w:t>
      </w:r>
      <w:proofErr w:type="spellEnd"/>
      <w:r w:rsidR="007D5EC3" w:rsidRPr="000314BB">
        <w:rPr>
          <w:rFonts w:ascii="Garamond" w:hAnsi="Garamond" w:cs="Times New Roman"/>
          <w:sz w:val="24"/>
          <w:szCs w:val="24"/>
        </w:rPr>
        <w:t xml:space="preserve">” </w:t>
      </w:r>
      <w:proofErr w:type="spellStart"/>
      <w:r w:rsidR="007D5EC3" w:rsidRPr="000314BB">
        <w:rPr>
          <w:rFonts w:ascii="Garamond" w:hAnsi="Garamond" w:cs="Times New Roman"/>
          <w:sz w:val="24"/>
          <w:szCs w:val="24"/>
        </w:rPr>
        <w:t>sh.p.k</w:t>
      </w:r>
      <w:proofErr w:type="spellEnd"/>
      <w:r w:rsidR="007D5EC3" w:rsidRPr="000314BB">
        <w:rPr>
          <w:rFonts w:ascii="Garamond" w:hAnsi="Garamond" w:cs="Times New Roman"/>
          <w:sz w:val="24"/>
          <w:szCs w:val="24"/>
        </w:rPr>
        <w:t>., në gropën e ashensorit që shërbente për transportin e mallrave, kishin rënë shtetasi i mitur K.</w:t>
      </w:r>
      <w:r>
        <w:rPr>
          <w:rFonts w:ascii="Garamond" w:hAnsi="Garamond" w:cs="Times New Roman"/>
          <w:sz w:val="24"/>
          <w:szCs w:val="24"/>
        </w:rPr>
        <w:t xml:space="preserve"> </w:t>
      </w:r>
      <w:r w:rsidR="007D5EC3" w:rsidRPr="000314BB">
        <w:rPr>
          <w:rFonts w:ascii="Garamond" w:hAnsi="Garamond" w:cs="Times New Roman"/>
          <w:sz w:val="24"/>
          <w:szCs w:val="24"/>
        </w:rPr>
        <w:t>L. dhe shtetasi B.</w:t>
      </w:r>
      <w:r>
        <w:rPr>
          <w:rFonts w:ascii="Garamond" w:hAnsi="Garamond" w:cs="Times New Roman"/>
          <w:sz w:val="24"/>
          <w:szCs w:val="24"/>
        </w:rPr>
        <w:t xml:space="preserve"> </w:t>
      </w:r>
      <w:r w:rsidR="007D5EC3" w:rsidRPr="000314BB">
        <w:rPr>
          <w:rFonts w:ascii="Garamond" w:hAnsi="Garamond" w:cs="Times New Roman"/>
          <w:sz w:val="24"/>
          <w:szCs w:val="24"/>
        </w:rPr>
        <w:t>D. (punonjës). Si pasojë i mituri kishte gjetur menjëherë vdekjen, ndërsa shtetasi B.</w:t>
      </w:r>
      <w:r>
        <w:rPr>
          <w:rFonts w:ascii="Garamond" w:hAnsi="Garamond" w:cs="Times New Roman"/>
          <w:sz w:val="24"/>
          <w:szCs w:val="24"/>
        </w:rPr>
        <w:t xml:space="preserve"> </w:t>
      </w:r>
      <w:r w:rsidR="007D5EC3" w:rsidRPr="000314BB">
        <w:rPr>
          <w:rFonts w:ascii="Garamond" w:hAnsi="Garamond" w:cs="Times New Roman"/>
          <w:sz w:val="24"/>
          <w:szCs w:val="24"/>
        </w:rPr>
        <w:t>D. ishte dëmtuar rëndë. Nga akti i ekspertimit mjeko-</w:t>
      </w:r>
      <w:r w:rsidR="007D5EC3" w:rsidRPr="000314BB">
        <w:rPr>
          <w:rFonts w:ascii="Garamond" w:hAnsi="Garamond" w:cs="Times New Roman"/>
          <w:sz w:val="24"/>
          <w:szCs w:val="24"/>
        </w:rPr>
        <w:lastRenderedPageBreak/>
        <w:t xml:space="preserve">ligjor </w:t>
      </w:r>
      <w:r>
        <w:rPr>
          <w:rFonts w:ascii="Garamond" w:hAnsi="Garamond" w:cs="Times New Roman"/>
          <w:sz w:val="24"/>
          <w:szCs w:val="24"/>
        </w:rPr>
        <w:t>i datës 30.</w:t>
      </w:r>
      <w:r w:rsidR="007D5EC3" w:rsidRPr="000314BB">
        <w:rPr>
          <w:rFonts w:ascii="Garamond" w:hAnsi="Garamond" w:cs="Times New Roman"/>
          <w:sz w:val="24"/>
          <w:szCs w:val="24"/>
        </w:rPr>
        <w:t xml:space="preserve">8.2016 ka rezultuar se shkaku i vdekjes për të miturin ka qenë shoku </w:t>
      </w:r>
      <w:proofErr w:type="spellStart"/>
      <w:r w:rsidR="007D5EC3" w:rsidRPr="000314BB">
        <w:rPr>
          <w:rFonts w:ascii="Garamond" w:hAnsi="Garamond" w:cs="Times New Roman"/>
          <w:sz w:val="24"/>
          <w:szCs w:val="24"/>
        </w:rPr>
        <w:t>traumatik</w:t>
      </w:r>
      <w:proofErr w:type="spellEnd"/>
      <w:r w:rsidR="007D5EC3" w:rsidRPr="000314BB">
        <w:rPr>
          <w:rFonts w:ascii="Garamond" w:hAnsi="Garamond" w:cs="Times New Roman"/>
          <w:sz w:val="24"/>
          <w:szCs w:val="24"/>
        </w:rPr>
        <w:t xml:space="preserve"> hemorragjik.</w:t>
      </w:r>
    </w:p>
    <w:p w14:paraId="68D78455" w14:textId="7FDD9199"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4. Prokuroria pranë Gjykatës së Rrethit Gjyqësor Durrës, bazuar në materialin e dërguar nga Komisariati i Policisë Durrës, ka regjistruar për këtë ngjarje kallëzim penal. Pas studimit të materialit </w:t>
      </w:r>
      <w:r w:rsidR="00C82265">
        <w:rPr>
          <w:rFonts w:ascii="Garamond" w:hAnsi="Garamond" w:cs="Times New Roman"/>
          <w:sz w:val="24"/>
          <w:szCs w:val="24"/>
        </w:rPr>
        <w:t xml:space="preserve">kallëzues, me vendimin e datës </w:t>
      </w:r>
      <w:r w:rsidRPr="000314BB">
        <w:rPr>
          <w:rFonts w:ascii="Garamond" w:hAnsi="Garamond" w:cs="Times New Roman"/>
          <w:sz w:val="24"/>
          <w:szCs w:val="24"/>
        </w:rPr>
        <w:t xml:space="preserve">3.10.2016, ka vendosur </w:t>
      </w:r>
      <w:proofErr w:type="spellStart"/>
      <w:r w:rsidRPr="000314BB">
        <w:rPr>
          <w:rFonts w:ascii="Garamond" w:hAnsi="Garamond" w:cs="Times New Roman"/>
          <w:sz w:val="24"/>
          <w:szCs w:val="24"/>
        </w:rPr>
        <w:t>mosfillimin</w:t>
      </w:r>
      <w:proofErr w:type="spellEnd"/>
      <w:r w:rsidRPr="000314BB">
        <w:rPr>
          <w:rFonts w:ascii="Garamond" w:hAnsi="Garamond" w:cs="Times New Roman"/>
          <w:sz w:val="24"/>
          <w:szCs w:val="24"/>
        </w:rPr>
        <w:t xml:space="preserve"> e procedimit penal, duke arsyetuar se nuk kishte elemente të veprës penale. Kërkuesja Valbona Lala e ka kundërshtuar vendimin për </w:t>
      </w:r>
      <w:proofErr w:type="spellStart"/>
      <w:r w:rsidRPr="000314BB">
        <w:rPr>
          <w:rFonts w:ascii="Garamond" w:hAnsi="Garamond" w:cs="Times New Roman"/>
          <w:sz w:val="24"/>
          <w:szCs w:val="24"/>
        </w:rPr>
        <w:t>mosfillimin</w:t>
      </w:r>
      <w:proofErr w:type="spellEnd"/>
      <w:r w:rsidRPr="000314BB">
        <w:rPr>
          <w:rFonts w:ascii="Garamond" w:hAnsi="Garamond" w:cs="Times New Roman"/>
          <w:sz w:val="24"/>
          <w:szCs w:val="24"/>
        </w:rPr>
        <w:t xml:space="preserve"> e procedimit penal. Gjykata e Rrethit Gjyqësor Durrës, me vendimin nr.</w:t>
      </w:r>
      <w:r w:rsidR="00C82265">
        <w:rPr>
          <w:rFonts w:ascii="Garamond" w:hAnsi="Garamond" w:cs="Times New Roman"/>
          <w:sz w:val="24"/>
          <w:szCs w:val="24"/>
        </w:rPr>
        <w:t xml:space="preserve"> (11-2019-348) 56/642, datë 25.</w:t>
      </w:r>
      <w:r w:rsidRPr="000314BB">
        <w:rPr>
          <w:rFonts w:ascii="Garamond" w:hAnsi="Garamond" w:cs="Times New Roman"/>
          <w:sz w:val="24"/>
          <w:szCs w:val="24"/>
        </w:rPr>
        <w:t>1.2019, ka vendosur pranimin e ankimit, shfuqizimin e vendimit të prokurorit dhe urdhërimin për regjistrimin e procedimit penal e vijimin e hetimeve të nevojshme. Prokuroria pranë Gjykatës së Shkallës së Parë të Juridiksionit të Përgjithshëm Durrës fillimisht ka ngritur akuza penale vetëm ndaj administratorit të shoqërisë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administratorëve të 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për kryerjen e veprës penale “Shkelja e rregullave të mbrojtjes në punë”, të kryer në bashkëpunim, të parashikuar në nenet 289 d</w:t>
      </w:r>
      <w:r w:rsidR="00C82265">
        <w:rPr>
          <w:rFonts w:ascii="Garamond" w:hAnsi="Garamond" w:cs="Times New Roman"/>
          <w:sz w:val="24"/>
          <w:szCs w:val="24"/>
        </w:rPr>
        <w:t xml:space="preserve">he 25 të Kodit Penal. Në datën </w:t>
      </w:r>
      <w:r w:rsidRPr="000314BB">
        <w:rPr>
          <w:rFonts w:ascii="Garamond" w:hAnsi="Garamond" w:cs="Times New Roman"/>
          <w:sz w:val="24"/>
          <w:szCs w:val="24"/>
        </w:rPr>
        <w:t>5.10.2023</w:t>
      </w:r>
      <w:r w:rsidR="00C82265">
        <w:rPr>
          <w:rFonts w:ascii="Garamond" w:hAnsi="Garamond" w:cs="Times New Roman"/>
          <w:sz w:val="24"/>
          <w:szCs w:val="24"/>
        </w:rPr>
        <w:t>,</w:t>
      </w:r>
      <w:r w:rsidRPr="000314BB">
        <w:rPr>
          <w:rFonts w:ascii="Garamond" w:hAnsi="Garamond" w:cs="Times New Roman"/>
          <w:sz w:val="24"/>
          <w:szCs w:val="24"/>
        </w:rPr>
        <w:t xml:space="preserve"> prokuroria ka paraqitur në Gjykatën e Shkallës së Parë të Juridiksionit të Përgjithshëm Durrës kërkesën për dërgimin në gjyq të çështjes penale ndaj administratorëve të </w:t>
      </w:r>
      <w:proofErr w:type="spellStart"/>
      <w:r w:rsidRPr="000314BB">
        <w:rPr>
          <w:rFonts w:ascii="Garamond" w:hAnsi="Garamond" w:cs="Times New Roman"/>
          <w:sz w:val="24"/>
          <w:szCs w:val="24"/>
        </w:rPr>
        <w:t>të</w:t>
      </w:r>
      <w:proofErr w:type="spellEnd"/>
      <w:r w:rsidRPr="000314BB">
        <w:rPr>
          <w:rFonts w:ascii="Garamond" w:hAnsi="Garamond" w:cs="Times New Roman"/>
          <w:sz w:val="24"/>
          <w:szCs w:val="24"/>
        </w:rPr>
        <w:t xml:space="preserve"> dyja shoqërive. Për këtë kërkesë, gjykata e shkallës së par</w:t>
      </w:r>
      <w:r w:rsidR="00C82265">
        <w:rPr>
          <w:rFonts w:ascii="Garamond" w:hAnsi="Garamond" w:cs="Times New Roman"/>
          <w:sz w:val="24"/>
          <w:szCs w:val="24"/>
        </w:rPr>
        <w:t>ë, me vendimin nr. 98, datë 25.</w:t>
      </w:r>
      <w:r w:rsidRPr="000314BB">
        <w:rPr>
          <w:rFonts w:ascii="Garamond" w:hAnsi="Garamond" w:cs="Times New Roman"/>
          <w:sz w:val="24"/>
          <w:szCs w:val="24"/>
        </w:rPr>
        <w:t>7.2024, ka vendosur plotësimin e hetimeve duke lënë afat 3 muaj kohë deri në datën 28.10.2024. Nga përmbajtja e vendimit rezulton se gjykata e shkallës së parë i ka lënë disa detyra prokurorisë në drejtim të hetimeve më të plota, mes të tjerave, edhe për të arsyetuar rreth personave që janë marrë ose do të merren si të pandehur, pasi prokuroria kishte marrë si të pandehur vetëm administratorët e shoqërive. Pas plotësimit të detyrave</w:t>
      </w:r>
      <w:r w:rsidR="00C82265">
        <w:rPr>
          <w:rFonts w:ascii="Garamond" w:hAnsi="Garamond" w:cs="Times New Roman"/>
          <w:sz w:val="24"/>
          <w:szCs w:val="24"/>
        </w:rPr>
        <w:t xml:space="preserve"> të lëna nga gjykata, në datën </w:t>
      </w:r>
      <w:r w:rsidRPr="000314BB">
        <w:rPr>
          <w:rFonts w:ascii="Garamond" w:hAnsi="Garamond" w:cs="Times New Roman"/>
          <w:sz w:val="24"/>
          <w:szCs w:val="24"/>
        </w:rPr>
        <w:t>3.12.2025</w:t>
      </w:r>
      <w:r w:rsidR="00C82265">
        <w:rPr>
          <w:rFonts w:ascii="Garamond" w:hAnsi="Garamond" w:cs="Times New Roman"/>
          <w:sz w:val="24"/>
          <w:szCs w:val="24"/>
        </w:rPr>
        <w:t>,</w:t>
      </w:r>
      <w:r w:rsidRPr="000314BB">
        <w:rPr>
          <w:rFonts w:ascii="Garamond" w:hAnsi="Garamond" w:cs="Times New Roman"/>
          <w:sz w:val="24"/>
          <w:szCs w:val="24"/>
        </w:rPr>
        <w:t xml:space="preserve"> prokuroria ka paraqitur kërkesa për dërgimin e çështjes penale në gjykim, duke marrë të pandehur edhe personat juridikë, shoqëritë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Sipas procesverbalit të seancës së kësaj date rezulton se gjykata e shkallës së parë e ka shtyrë seancën për në datën 23.12.2025, për shkak se çështja civile ka qenë në pritje për shqyrtim në Gjykatën Kushtetuese </w:t>
      </w:r>
      <w:r w:rsidRPr="000314BB">
        <w:rPr>
          <w:rFonts w:ascii="Garamond" w:hAnsi="Garamond" w:cs="Times New Roman"/>
          <w:i/>
          <w:iCs/>
          <w:sz w:val="24"/>
          <w:szCs w:val="24"/>
        </w:rPr>
        <w:t>(Gjykata).</w:t>
      </w:r>
      <w:r w:rsidRPr="000314BB">
        <w:rPr>
          <w:rFonts w:ascii="Garamond" w:hAnsi="Garamond" w:cs="Times New Roman"/>
          <w:sz w:val="24"/>
          <w:szCs w:val="24"/>
        </w:rPr>
        <w:t xml:space="preserve"> </w:t>
      </w:r>
    </w:p>
    <w:p w14:paraId="2EFCA76B" w14:textId="6AE5B9A8"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5. Për të kërkuar shpërblimin e dëmit të pësuar nga vdekja</w:t>
      </w:r>
      <w:r w:rsidR="00C82265">
        <w:rPr>
          <w:rFonts w:ascii="Garamond" w:hAnsi="Garamond" w:cs="Times New Roman"/>
          <w:sz w:val="24"/>
          <w:szCs w:val="24"/>
        </w:rPr>
        <w:t xml:space="preserve"> e djalit të tyre, në datën 12.</w:t>
      </w:r>
      <w:r w:rsidRPr="000314BB">
        <w:rPr>
          <w:rFonts w:ascii="Garamond" w:hAnsi="Garamond" w:cs="Times New Roman"/>
          <w:sz w:val="24"/>
          <w:szCs w:val="24"/>
        </w:rPr>
        <w:t>4.2017</w:t>
      </w:r>
      <w:r w:rsidR="00C82265">
        <w:rPr>
          <w:rFonts w:ascii="Garamond" w:hAnsi="Garamond" w:cs="Times New Roman"/>
          <w:sz w:val="24"/>
          <w:szCs w:val="24"/>
        </w:rPr>
        <w:t>,</w:t>
      </w:r>
      <w:r w:rsidRPr="000314BB">
        <w:rPr>
          <w:rFonts w:ascii="Garamond" w:hAnsi="Garamond" w:cs="Times New Roman"/>
          <w:sz w:val="24"/>
          <w:szCs w:val="24"/>
        </w:rPr>
        <w:t xml:space="preserve"> kërkuesit i janë drejtuar Gjykatës së Rrethit Gjyqësor Durrës, duke paditur shoqërinë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w:t>
      </w:r>
      <w:r w:rsidR="00C82265">
        <w:rPr>
          <w:rFonts w:ascii="Garamond" w:hAnsi="Garamond" w:cs="Times New Roman"/>
          <w:sz w:val="24"/>
          <w:szCs w:val="24"/>
        </w:rPr>
        <w:t>k</w:t>
      </w:r>
      <w:proofErr w:type="spellEnd"/>
      <w:r w:rsidR="00C82265">
        <w:rPr>
          <w:rFonts w:ascii="Garamond" w:hAnsi="Garamond" w:cs="Times New Roman"/>
          <w:sz w:val="24"/>
          <w:szCs w:val="24"/>
        </w:rPr>
        <w:t>. me kërkesëpadi, me objekt: i.</w:t>
      </w:r>
      <w:r w:rsidRPr="000314BB">
        <w:rPr>
          <w:rFonts w:ascii="Garamond" w:hAnsi="Garamond" w:cs="Times New Roman"/>
          <w:sz w:val="24"/>
          <w:szCs w:val="24"/>
        </w:rPr>
        <w:t xml:space="preserve"> detyrimin e palës së paditur për të paguar shumën 5.000.000 lekë, për të gjitha dëmet reale pasurore dhe </w:t>
      </w:r>
      <w:proofErr w:type="spellStart"/>
      <w:r w:rsidRPr="000314BB">
        <w:rPr>
          <w:rFonts w:ascii="Garamond" w:hAnsi="Garamond" w:cs="Times New Roman"/>
          <w:sz w:val="24"/>
          <w:szCs w:val="24"/>
        </w:rPr>
        <w:t>jopasurore</w:t>
      </w:r>
      <w:proofErr w:type="spellEnd"/>
      <w:r w:rsidRPr="000314BB">
        <w:rPr>
          <w:rFonts w:ascii="Garamond" w:hAnsi="Garamond" w:cs="Times New Roman"/>
          <w:sz w:val="24"/>
          <w:szCs w:val="24"/>
        </w:rPr>
        <w:t>, dëmin moral e ekzistencial të ardhur si pasojë e aks</w:t>
      </w:r>
      <w:r w:rsidR="00C82265">
        <w:rPr>
          <w:rFonts w:ascii="Garamond" w:hAnsi="Garamond" w:cs="Times New Roman"/>
          <w:sz w:val="24"/>
          <w:szCs w:val="24"/>
        </w:rPr>
        <w:t xml:space="preserve">identit të ndodhur në datën 26.8.2016; </w:t>
      </w:r>
      <w:proofErr w:type="spellStart"/>
      <w:r w:rsidR="00C82265">
        <w:rPr>
          <w:rFonts w:ascii="Garamond" w:hAnsi="Garamond" w:cs="Times New Roman"/>
          <w:sz w:val="24"/>
          <w:szCs w:val="24"/>
        </w:rPr>
        <w:t>ii</w:t>
      </w:r>
      <w:proofErr w:type="spellEnd"/>
      <w:r w:rsidR="00C82265">
        <w:rPr>
          <w:rFonts w:ascii="Garamond" w:hAnsi="Garamond" w:cs="Times New Roman"/>
          <w:sz w:val="24"/>
          <w:szCs w:val="24"/>
        </w:rPr>
        <w:t>.</w:t>
      </w:r>
      <w:r w:rsidRPr="000314BB">
        <w:rPr>
          <w:rFonts w:ascii="Garamond" w:hAnsi="Garamond" w:cs="Times New Roman"/>
          <w:sz w:val="24"/>
          <w:szCs w:val="24"/>
        </w:rPr>
        <w:t xml:space="preserve"> marrjen e masës së sigurimit të padisë për bllokimin konservator të llogarive bankare ose të pasurive të paluajtshme/luajtshme, si garanci për ekzekutimin e saj.</w:t>
      </w:r>
    </w:p>
    <w:p w14:paraId="2DAF74FC" w14:textId="5D151F42"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6.</w:t>
      </w:r>
      <w:r w:rsidR="00E879FA">
        <w:rPr>
          <w:rFonts w:ascii="Garamond" w:hAnsi="Garamond" w:cs="Times New Roman"/>
          <w:sz w:val="24"/>
          <w:szCs w:val="24"/>
        </w:rPr>
        <w:t xml:space="preserve"> </w:t>
      </w:r>
      <w:r w:rsidRPr="000314BB">
        <w:rPr>
          <w:rFonts w:ascii="Garamond" w:hAnsi="Garamond" w:cs="Times New Roman"/>
          <w:sz w:val="24"/>
          <w:szCs w:val="24"/>
        </w:rPr>
        <w:t>Gjatë gjykimit në gjykatën e shkallës së parë është caktuar një ekspert inxhinier elektrik për evidentimin e shkaqeve të aksidentit. Sipas a</w:t>
      </w:r>
      <w:r w:rsidR="00C82265">
        <w:rPr>
          <w:rFonts w:ascii="Garamond" w:hAnsi="Garamond" w:cs="Times New Roman"/>
          <w:sz w:val="24"/>
          <w:szCs w:val="24"/>
        </w:rPr>
        <w:t xml:space="preserve">ktit të ekspertimit të datës </w:t>
      </w:r>
      <w:r w:rsidRPr="000314BB">
        <w:rPr>
          <w:rFonts w:ascii="Garamond" w:hAnsi="Garamond" w:cs="Times New Roman"/>
          <w:sz w:val="24"/>
          <w:szCs w:val="24"/>
        </w:rPr>
        <w:t>6.12.2017</w:t>
      </w:r>
      <w:r w:rsidR="00C82265">
        <w:rPr>
          <w:rFonts w:ascii="Garamond" w:hAnsi="Garamond" w:cs="Times New Roman"/>
          <w:sz w:val="24"/>
          <w:szCs w:val="24"/>
        </w:rPr>
        <w:t>,</w:t>
      </w:r>
      <w:r w:rsidRPr="000314BB">
        <w:rPr>
          <w:rFonts w:ascii="Garamond" w:hAnsi="Garamond" w:cs="Times New Roman"/>
          <w:sz w:val="24"/>
          <w:szCs w:val="24"/>
        </w:rPr>
        <w:t xml:space="preserve"> u evidentua se: i</w:t>
      </w:r>
      <w:r w:rsidR="00C82265">
        <w:rPr>
          <w:rFonts w:ascii="Garamond" w:hAnsi="Garamond" w:cs="Times New Roman"/>
          <w:sz w:val="24"/>
          <w:szCs w:val="24"/>
        </w:rPr>
        <w:t>.</w:t>
      </w:r>
      <w:r w:rsidRPr="000314BB">
        <w:rPr>
          <w:rFonts w:ascii="Garamond" w:hAnsi="Garamond" w:cs="Times New Roman"/>
          <w:sz w:val="24"/>
          <w:szCs w:val="24"/>
        </w:rPr>
        <w:t xml:space="preserve"> ashensori ishte</w:t>
      </w:r>
      <w:r w:rsidR="00E879FA">
        <w:rPr>
          <w:rFonts w:ascii="Garamond" w:hAnsi="Garamond" w:cs="Times New Roman"/>
          <w:sz w:val="24"/>
          <w:szCs w:val="24"/>
        </w:rPr>
        <w:t xml:space="preserve"> </w:t>
      </w:r>
      <w:r w:rsidRPr="000314BB">
        <w:rPr>
          <w:rFonts w:ascii="Garamond" w:hAnsi="Garamond" w:cs="Times New Roman"/>
          <w:sz w:val="24"/>
          <w:szCs w:val="24"/>
        </w:rPr>
        <w:t>ndërtuar në vitet 1977</w:t>
      </w:r>
      <w:r w:rsidR="00C82265">
        <w:rPr>
          <w:rFonts w:ascii="Garamond" w:hAnsi="Garamond" w:cs="Times New Roman"/>
          <w:sz w:val="24"/>
          <w:szCs w:val="24"/>
        </w:rPr>
        <w:t>–</w:t>
      </w:r>
      <w:r w:rsidRPr="000314BB">
        <w:rPr>
          <w:rFonts w:ascii="Garamond" w:hAnsi="Garamond" w:cs="Times New Roman"/>
          <w:sz w:val="24"/>
          <w:szCs w:val="24"/>
        </w:rPr>
        <w:t xml:space="preserve">1978; </w:t>
      </w:r>
      <w:proofErr w:type="spellStart"/>
      <w:r w:rsidRPr="000314BB">
        <w:rPr>
          <w:rFonts w:ascii="Garamond" w:hAnsi="Garamond" w:cs="Times New Roman"/>
          <w:sz w:val="24"/>
          <w:szCs w:val="24"/>
        </w:rPr>
        <w:t>ii</w:t>
      </w:r>
      <w:proofErr w:type="spellEnd"/>
      <w:r w:rsidR="00C82265">
        <w:rPr>
          <w:rFonts w:ascii="Garamond" w:hAnsi="Garamond" w:cs="Times New Roman"/>
          <w:sz w:val="24"/>
          <w:szCs w:val="24"/>
        </w:rPr>
        <w:t>.</w:t>
      </w:r>
      <w:r w:rsidRPr="000314BB">
        <w:rPr>
          <w:rFonts w:ascii="Garamond" w:hAnsi="Garamond" w:cs="Times New Roman"/>
          <w:sz w:val="24"/>
          <w:szCs w:val="24"/>
        </w:rPr>
        <w:t xml:space="preserve"> nuk ka material që të vërtetojë se janë kryer inspektime periodike dhe se nuk ka certifikatë regjistrimi; </w:t>
      </w:r>
      <w:proofErr w:type="spellStart"/>
      <w:r w:rsidRPr="000314BB">
        <w:rPr>
          <w:rFonts w:ascii="Garamond" w:hAnsi="Garamond" w:cs="Times New Roman"/>
          <w:sz w:val="24"/>
          <w:szCs w:val="24"/>
        </w:rPr>
        <w:t>iii</w:t>
      </w:r>
      <w:proofErr w:type="spellEnd"/>
      <w:r w:rsidR="00C82265">
        <w:rPr>
          <w:rFonts w:ascii="Garamond" w:hAnsi="Garamond" w:cs="Times New Roman"/>
          <w:sz w:val="24"/>
          <w:szCs w:val="24"/>
        </w:rPr>
        <w:t>.</w:t>
      </w:r>
      <w:r w:rsidRPr="000314BB">
        <w:rPr>
          <w:rFonts w:ascii="Garamond" w:hAnsi="Garamond" w:cs="Times New Roman"/>
          <w:sz w:val="24"/>
          <w:szCs w:val="24"/>
        </w:rPr>
        <w:t xml:space="preserve"> ashensori ka qenë jo në gjendje të mirë/i ndryshkur; </w:t>
      </w:r>
      <w:proofErr w:type="spellStart"/>
      <w:r w:rsidRPr="000314BB">
        <w:rPr>
          <w:rFonts w:ascii="Garamond" w:hAnsi="Garamond" w:cs="Times New Roman"/>
          <w:sz w:val="24"/>
          <w:szCs w:val="24"/>
        </w:rPr>
        <w:t>iv</w:t>
      </w:r>
      <w:proofErr w:type="spellEnd"/>
      <w:r w:rsidR="00C82265">
        <w:rPr>
          <w:rFonts w:ascii="Garamond" w:hAnsi="Garamond" w:cs="Times New Roman"/>
          <w:sz w:val="24"/>
          <w:szCs w:val="24"/>
        </w:rPr>
        <w:t>.</w:t>
      </w:r>
      <w:r w:rsidRPr="000314BB">
        <w:rPr>
          <w:rFonts w:ascii="Garamond" w:hAnsi="Garamond" w:cs="Times New Roman"/>
          <w:sz w:val="24"/>
          <w:szCs w:val="24"/>
        </w:rPr>
        <w:t xml:space="preserve"> ashensori nuk duhej të punonte as për transportin e mallrave. Eksperti ka arritur në përfundimin se aksidenti ka ndodhur për shkak të mosplotësimit të kushteve teknike nga ana e shoqërive që e kishin në administrim ashensorin edhe për shkak të futjes të një personi të paautorizuar.</w:t>
      </w:r>
    </w:p>
    <w:p w14:paraId="3F27BB78" w14:textId="788F6AE3"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7. Gjithashtu, është caktuar edhe një vlerësues për dëmet në sigurime, për dëme shëndetësore dhe materiale, i cili me a</w:t>
      </w:r>
      <w:r w:rsidR="00C82265">
        <w:rPr>
          <w:rFonts w:ascii="Garamond" w:hAnsi="Garamond" w:cs="Times New Roman"/>
          <w:sz w:val="24"/>
          <w:szCs w:val="24"/>
        </w:rPr>
        <w:t>ktin e ekspertimit të datës 17.</w:t>
      </w:r>
      <w:r w:rsidRPr="000314BB">
        <w:rPr>
          <w:rFonts w:ascii="Garamond" w:hAnsi="Garamond" w:cs="Times New Roman"/>
          <w:sz w:val="24"/>
          <w:szCs w:val="24"/>
        </w:rPr>
        <w:t>5.2018</w:t>
      </w:r>
      <w:r w:rsidR="00C82265">
        <w:rPr>
          <w:rFonts w:ascii="Garamond" w:hAnsi="Garamond" w:cs="Times New Roman"/>
          <w:sz w:val="24"/>
          <w:szCs w:val="24"/>
        </w:rPr>
        <w:t>,</w:t>
      </w:r>
      <w:r w:rsidRPr="000314BB">
        <w:rPr>
          <w:rFonts w:ascii="Garamond" w:hAnsi="Garamond" w:cs="Times New Roman"/>
          <w:sz w:val="24"/>
          <w:szCs w:val="24"/>
        </w:rPr>
        <w:t xml:space="preserve"> ka përcaktuar vlerat e mundshme të dëmshpërblimit. Për kët</w:t>
      </w:r>
      <w:r w:rsidR="00C82265">
        <w:rPr>
          <w:rFonts w:ascii="Garamond" w:hAnsi="Garamond" w:cs="Times New Roman"/>
          <w:sz w:val="24"/>
          <w:szCs w:val="24"/>
        </w:rPr>
        <w:t>ë arsye, në seancën e datës 31.</w:t>
      </w:r>
      <w:r w:rsidRPr="000314BB">
        <w:rPr>
          <w:rFonts w:ascii="Garamond" w:hAnsi="Garamond" w:cs="Times New Roman"/>
          <w:sz w:val="24"/>
          <w:szCs w:val="24"/>
        </w:rPr>
        <w:t>5.2018, kërkuesit kanë shtuar objektin e kërkesëpadisë me këtë përmbajtje: i</w:t>
      </w:r>
      <w:r w:rsidR="00C82265">
        <w:rPr>
          <w:rFonts w:ascii="Garamond" w:hAnsi="Garamond" w:cs="Times New Roman"/>
          <w:sz w:val="24"/>
          <w:szCs w:val="24"/>
        </w:rPr>
        <w:t>.</w:t>
      </w:r>
      <w:r w:rsidRPr="000314BB">
        <w:rPr>
          <w:rFonts w:ascii="Garamond" w:hAnsi="Garamond" w:cs="Times New Roman"/>
          <w:sz w:val="24"/>
          <w:szCs w:val="24"/>
        </w:rPr>
        <w:t xml:space="preserve"> detyrimin e 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të paguajë në favor të kërkuesve shumën 66.352,820 lekë, në bazë të aktit të ekspertimit të datë</w:t>
      </w:r>
      <w:r w:rsidR="00C82265">
        <w:rPr>
          <w:rFonts w:ascii="Garamond" w:hAnsi="Garamond" w:cs="Times New Roman"/>
          <w:sz w:val="24"/>
          <w:szCs w:val="24"/>
        </w:rPr>
        <w:t>s 17.</w:t>
      </w:r>
      <w:r w:rsidRPr="000314BB">
        <w:rPr>
          <w:rFonts w:ascii="Garamond" w:hAnsi="Garamond" w:cs="Times New Roman"/>
          <w:sz w:val="24"/>
          <w:szCs w:val="24"/>
        </w:rPr>
        <w:t xml:space="preserve">5.2018, shumë e cila konsiston në të gjitha dëmet reale pasurore dhe </w:t>
      </w:r>
      <w:proofErr w:type="spellStart"/>
      <w:r w:rsidRPr="000314BB">
        <w:rPr>
          <w:rFonts w:ascii="Garamond" w:hAnsi="Garamond" w:cs="Times New Roman"/>
          <w:sz w:val="24"/>
          <w:szCs w:val="24"/>
        </w:rPr>
        <w:t>jopasurore</w:t>
      </w:r>
      <w:proofErr w:type="spellEnd"/>
      <w:r w:rsidRPr="000314BB">
        <w:rPr>
          <w:rFonts w:ascii="Garamond" w:hAnsi="Garamond" w:cs="Times New Roman"/>
          <w:sz w:val="24"/>
          <w:szCs w:val="24"/>
        </w:rPr>
        <w:t>, dëmin moral dhe ekzistencial të ardhur si pasojë e aksidentit të ndodhur në mjediset e firmës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me pasojë vdekjen e shtetasit K.</w:t>
      </w:r>
      <w:r w:rsidR="00C82265">
        <w:rPr>
          <w:rFonts w:ascii="Garamond" w:hAnsi="Garamond" w:cs="Times New Roman"/>
          <w:sz w:val="24"/>
          <w:szCs w:val="24"/>
        </w:rPr>
        <w:t xml:space="preserve"> </w:t>
      </w:r>
      <w:r w:rsidRPr="000314BB">
        <w:rPr>
          <w:rFonts w:ascii="Garamond" w:hAnsi="Garamond" w:cs="Times New Roman"/>
          <w:sz w:val="24"/>
          <w:szCs w:val="24"/>
        </w:rPr>
        <w:t xml:space="preserve">L.; </w:t>
      </w:r>
      <w:proofErr w:type="spellStart"/>
      <w:r w:rsidRPr="000314BB">
        <w:rPr>
          <w:rFonts w:ascii="Garamond" w:hAnsi="Garamond" w:cs="Times New Roman"/>
          <w:sz w:val="24"/>
          <w:szCs w:val="24"/>
        </w:rPr>
        <w:t>ii</w:t>
      </w:r>
      <w:proofErr w:type="spellEnd"/>
      <w:r w:rsidR="00C82265">
        <w:rPr>
          <w:rFonts w:ascii="Garamond" w:hAnsi="Garamond" w:cs="Times New Roman"/>
          <w:sz w:val="24"/>
          <w:szCs w:val="24"/>
        </w:rPr>
        <w:t>.</w:t>
      </w:r>
      <w:r w:rsidRPr="000314BB">
        <w:rPr>
          <w:rFonts w:ascii="Garamond" w:hAnsi="Garamond" w:cs="Times New Roman"/>
          <w:sz w:val="24"/>
          <w:szCs w:val="24"/>
        </w:rPr>
        <w:t xml:space="preserve"> marrjen e masës së sigurimit të padisë për bllokimin konservator të llogarive bankare ose pasurive të luajtshme ose të paluajtshme për shumën objekt detyrimi.</w:t>
      </w:r>
    </w:p>
    <w:p w14:paraId="724FAEDA" w14:textId="0CEC34A0"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8. Në përfundim të shqyrtimit gjyqësor, Gjykata e Rrethit Gjyqësor Durrës, me vendimin nr. (11-2018-3363) 1113,</w:t>
      </w:r>
      <w:r w:rsidR="00C82265">
        <w:rPr>
          <w:rFonts w:ascii="Garamond" w:hAnsi="Garamond" w:cs="Times New Roman"/>
          <w:sz w:val="24"/>
          <w:szCs w:val="24"/>
        </w:rPr>
        <w:t xml:space="preserve"> datë 3.</w:t>
      </w:r>
      <w:r w:rsidRPr="000314BB">
        <w:rPr>
          <w:rFonts w:ascii="Garamond" w:hAnsi="Garamond" w:cs="Times New Roman"/>
          <w:sz w:val="24"/>
          <w:szCs w:val="24"/>
        </w:rPr>
        <w:t>7.2018, ka vendosur rrëzimin e padisë si të pabazuar në prova dhe në ligj. Gjykata e Rrethit Gjyqësor Durrës ka arsyetuar se shtetasi K.</w:t>
      </w:r>
      <w:r w:rsidR="00C82265">
        <w:rPr>
          <w:rFonts w:ascii="Garamond" w:hAnsi="Garamond" w:cs="Times New Roman"/>
          <w:sz w:val="24"/>
          <w:szCs w:val="24"/>
        </w:rPr>
        <w:t xml:space="preserve"> </w:t>
      </w:r>
      <w:r w:rsidRPr="000314BB">
        <w:rPr>
          <w:rFonts w:ascii="Garamond" w:hAnsi="Garamond" w:cs="Times New Roman"/>
          <w:sz w:val="24"/>
          <w:szCs w:val="24"/>
        </w:rPr>
        <w:t>L. ka gjetur vdekjen në mënyrë aksidentale nga përdorimi i ashensorit të mallrave në mjediset e shoqërisë “</w:t>
      </w:r>
      <w:proofErr w:type="spellStart"/>
      <w:r w:rsidRPr="000314BB">
        <w:rPr>
          <w:rFonts w:ascii="Garamond" w:hAnsi="Garamond" w:cs="Times New Roman"/>
          <w:sz w:val="24"/>
          <w:szCs w:val="24"/>
        </w:rPr>
        <w:t>Alb</w:t>
      </w:r>
      <w:r w:rsidR="00C82265">
        <w:rPr>
          <w:rFonts w:ascii="Garamond" w:hAnsi="Garamond" w:cs="Times New Roman"/>
          <w:sz w:val="24"/>
          <w:szCs w:val="24"/>
        </w:rPr>
        <w:t>antic</w:t>
      </w:r>
      <w:proofErr w:type="spellEnd"/>
      <w:r w:rsidR="00C82265">
        <w:rPr>
          <w:rFonts w:ascii="Garamond" w:hAnsi="Garamond" w:cs="Times New Roman"/>
          <w:sz w:val="24"/>
          <w:szCs w:val="24"/>
        </w:rPr>
        <w:t xml:space="preserve">” </w:t>
      </w:r>
      <w:proofErr w:type="spellStart"/>
      <w:r w:rsidR="00C82265">
        <w:rPr>
          <w:rFonts w:ascii="Garamond" w:hAnsi="Garamond" w:cs="Times New Roman"/>
          <w:sz w:val="24"/>
          <w:szCs w:val="24"/>
        </w:rPr>
        <w:t>sh.p.k</w:t>
      </w:r>
      <w:proofErr w:type="spellEnd"/>
      <w:r w:rsidR="00C82265">
        <w:rPr>
          <w:rFonts w:ascii="Garamond" w:hAnsi="Garamond" w:cs="Times New Roman"/>
          <w:sz w:val="24"/>
          <w:szCs w:val="24"/>
        </w:rPr>
        <w:t>. Në datën 26.</w:t>
      </w:r>
      <w:r w:rsidRPr="000314BB">
        <w:rPr>
          <w:rFonts w:ascii="Garamond" w:hAnsi="Garamond" w:cs="Times New Roman"/>
          <w:sz w:val="24"/>
          <w:szCs w:val="24"/>
        </w:rPr>
        <w:t>8.2016, kur ka ndodhur aksidenti, mjedisi administrohej nga kjo shoqëri. Gjatë gjykimit në gjykatën e</w:t>
      </w:r>
      <w:r w:rsidR="00C82265">
        <w:rPr>
          <w:rFonts w:ascii="Garamond" w:hAnsi="Garamond" w:cs="Times New Roman"/>
          <w:sz w:val="24"/>
          <w:szCs w:val="24"/>
        </w:rPr>
        <w:t xml:space="preserve"> shkallës së parë, në datën 17.</w:t>
      </w:r>
      <w:r w:rsidRPr="000314BB">
        <w:rPr>
          <w:rFonts w:ascii="Garamond" w:hAnsi="Garamond" w:cs="Times New Roman"/>
          <w:sz w:val="24"/>
          <w:szCs w:val="24"/>
        </w:rPr>
        <w:t xml:space="preserve">5.2018, kërkuesit kanë paraqitur kërkesë për të thirrur </w:t>
      </w:r>
      <w:r w:rsidRPr="000314BB">
        <w:rPr>
          <w:rFonts w:ascii="Garamond" w:hAnsi="Garamond" w:cs="Times New Roman"/>
          <w:sz w:val="24"/>
          <w:szCs w:val="24"/>
        </w:rPr>
        <w:lastRenderedPageBreak/>
        <w:t>në gjykim, në cilësinë e palës së paditur, edhe dy shoqëritë,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pasi padia ishte ngritur vetëm ndaj 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por gjykata e shkallës së parë e ka rrëzuar kërkesën me arsyetimin se kërkuesit kanë qenë në dijeni të situatës juridike që prej fillimit të gjykimit. Tashmë ishin zhvilluar 15 seanca gjyqësore dhe gjykimi ishte në përfundim. Në lidhje me themelin e çështjes, gjykata e shkallës së parë ka arsyetuar se, sipas kontratave të qirasë, qiradhënësi i jepte të drejtë qiramarrësit të bënte punime plotësuese në objekt pa prishur anën funksionale të tij. Qiradhënësja,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i jepte qiramarrëses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të drejtën për të montuar një ashensor me shpenzimet e saj për ngritjen e mallrave brenda kushteve teknike të objektit me parametrat e nevojshëm, pa prishur anën konstruktive të objektit. Ndërsa sipas kontratës së qirasë me shoqërinë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kjo e fundit kishte të drejtë të bënte punime plotësuese, pa prishur anën funksionale të objektit. Afati i kontratave të qirasë ishte deri në datën 31.12.2016 dhe ak</w:t>
      </w:r>
      <w:r w:rsidR="00C82265">
        <w:rPr>
          <w:rFonts w:ascii="Garamond" w:hAnsi="Garamond" w:cs="Times New Roman"/>
          <w:sz w:val="24"/>
          <w:szCs w:val="24"/>
        </w:rPr>
        <w:t>sidenti ka ndodhur në datën 26.</w:t>
      </w:r>
      <w:r w:rsidRPr="000314BB">
        <w:rPr>
          <w:rFonts w:ascii="Garamond" w:hAnsi="Garamond" w:cs="Times New Roman"/>
          <w:sz w:val="24"/>
          <w:szCs w:val="24"/>
        </w:rPr>
        <w:t>8.2016, në kohën kur mjedisi administrohej nga shoqëritë qiramarrëse.</w:t>
      </w:r>
    </w:p>
    <w:p w14:paraId="75F3CD3D" w14:textId="0FFE6FBC"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9. Pas ankimit të kërkuesve, Gjykata e Apelit Durrës, me vendimin nr. 10-2022-367 (97), datë 2</w:t>
      </w:r>
      <w:r w:rsidR="00C82265">
        <w:rPr>
          <w:rFonts w:ascii="Garamond" w:hAnsi="Garamond" w:cs="Times New Roman"/>
          <w:sz w:val="24"/>
          <w:szCs w:val="24"/>
        </w:rPr>
        <w:t>3.</w:t>
      </w:r>
      <w:r w:rsidRPr="000314BB">
        <w:rPr>
          <w:rFonts w:ascii="Garamond" w:hAnsi="Garamond" w:cs="Times New Roman"/>
          <w:sz w:val="24"/>
          <w:szCs w:val="24"/>
        </w:rPr>
        <w:t>2.2022, ka ndryshuar vendimin</w:t>
      </w:r>
      <w:r w:rsidR="00C82265">
        <w:rPr>
          <w:rFonts w:ascii="Garamond" w:hAnsi="Garamond" w:cs="Times New Roman"/>
          <w:sz w:val="24"/>
          <w:szCs w:val="24"/>
        </w:rPr>
        <w:t xml:space="preserve"> nr. (11-2018-3363) 1113, datë 3.</w:t>
      </w:r>
      <w:r w:rsidRPr="000314BB">
        <w:rPr>
          <w:rFonts w:ascii="Garamond" w:hAnsi="Garamond" w:cs="Times New Roman"/>
          <w:sz w:val="24"/>
          <w:szCs w:val="24"/>
        </w:rPr>
        <w:t>7.2018</w:t>
      </w:r>
      <w:r w:rsidR="00C82265">
        <w:rPr>
          <w:rFonts w:ascii="Garamond" w:hAnsi="Garamond" w:cs="Times New Roman"/>
          <w:sz w:val="24"/>
          <w:szCs w:val="24"/>
        </w:rPr>
        <w:t>,</w:t>
      </w:r>
      <w:r w:rsidRPr="000314BB">
        <w:rPr>
          <w:rFonts w:ascii="Garamond" w:hAnsi="Garamond" w:cs="Times New Roman"/>
          <w:sz w:val="24"/>
          <w:szCs w:val="24"/>
        </w:rPr>
        <w:t xml:space="preserve"> të Gjykatës së Rrethit Gjyqësor Durrës dhe ka pranuar padinë. Në këtë kuadër, ajo ka detyruar shoqërinë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të dëmshpërblejë paditësit për dëmin pasuror dhe </w:t>
      </w:r>
      <w:proofErr w:type="spellStart"/>
      <w:r w:rsidRPr="000314BB">
        <w:rPr>
          <w:rFonts w:ascii="Garamond" w:hAnsi="Garamond" w:cs="Times New Roman"/>
          <w:sz w:val="24"/>
          <w:szCs w:val="24"/>
        </w:rPr>
        <w:t>jopasuror</w:t>
      </w:r>
      <w:proofErr w:type="spellEnd"/>
      <w:r w:rsidRPr="000314BB">
        <w:rPr>
          <w:rFonts w:ascii="Garamond" w:hAnsi="Garamond" w:cs="Times New Roman"/>
          <w:sz w:val="24"/>
          <w:szCs w:val="24"/>
        </w:rPr>
        <w:t xml:space="preserve"> (dëmin ekzistencial), duke njohur në favor të prindërve të viktimës, Fatmir Lala dhe Valbona Lala, dëmshpërblimin për humbjen e jetës të </w:t>
      </w:r>
      <w:proofErr w:type="spellStart"/>
      <w:r w:rsidRPr="000314BB">
        <w:rPr>
          <w:rFonts w:ascii="Garamond" w:hAnsi="Garamond" w:cs="Times New Roman"/>
          <w:sz w:val="24"/>
          <w:szCs w:val="24"/>
        </w:rPr>
        <w:t>të</w:t>
      </w:r>
      <w:proofErr w:type="spellEnd"/>
      <w:r w:rsidRPr="000314BB">
        <w:rPr>
          <w:rFonts w:ascii="Garamond" w:hAnsi="Garamond" w:cs="Times New Roman"/>
          <w:sz w:val="24"/>
          <w:szCs w:val="24"/>
        </w:rPr>
        <w:t xml:space="preserve"> birit, si dhe shpenzimet e varrimit, ndërsa në favor të secilit prej familjarëve (Fatmir Lala, Valbona Lala, Fatbardh Lala, </w:t>
      </w:r>
      <w:proofErr w:type="spellStart"/>
      <w:r w:rsidRPr="000314BB">
        <w:rPr>
          <w:rFonts w:ascii="Garamond" w:hAnsi="Garamond" w:cs="Times New Roman"/>
          <w:sz w:val="24"/>
          <w:szCs w:val="24"/>
        </w:rPr>
        <w:t>Griselda</w:t>
      </w:r>
      <w:proofErr w:type="spellEnd"/>
      <w:r w:rsidRPr="000314BB">
        <w:rPr>
          <w:rFonts w:ascii="Garamond" w:hAnsi="Garamond" w:cs="Times New Roman"/>
          <w:sz w:val="24"/>
          <w:szCs w:val="24"/>
        </w:rPr>
        <w:t xml:space="preserve"> Lala dhe </w:t>
      </w:r>
      <w:proofErr w:type="spellStart"/>
      <w:r w:rsidRPr="000314BB">
        <w:rPr>
          <w:rFonts w:ascii="Garamond" w:hAnsi="Garamond" w:cs="Times New Roman"/>
          <w:sz w:val="24"/>
          <w:szCs w:val="24"/>
        </w:rPr>
        <w:t>Ortigo</w:t>
      </w:r>
      <w:proofErr w:type="spellEnd"/>
      <w:r w:rsidRPr="000314BB">
        <w:rPr>
          <w:rFonts w:ascii="Garamond" w:hAnsi="Garamond" w:cs="Times New Roman"/>
          <w:sz w:val="24"/>
          <w:szCs w:val="24"/>
        </w:rPr>
        <w:t xml:space="preserve"> Lala) ka akorduar dëmshpërblim si për dëmin pasuror, ashtu edhe për dëmin </w:t>
      </w:r>
      <w:proofErr w:type="spellStart"/>
      <w:r w:rsidRPr="000314BB">
        <w:rPr>
          <w:rFonts w:ascii="Garamond" w:hAnsi="Garamond" w:cs="Times New Roman"/>
          <w:sz w:val="24"/>
          <w:szCs w:val="24"/>
        </w:rPr>
        <w:t>jopasuror</w:t>
      </w:r>
      <w:proofErr w:type="spellEnd"/>
      <w:r w:rsidRPr="000314BB">
        <w:rPr>
          <w:rFonts w:ascii="Garamond" w:hAnsi="Garamond" w:cs="Times New Roman"/>
          <w:sz w:val="24"/>
          <w:szCs w:val="24"/>
        </w:rPr>
        <w:t xml:space="preserve">, në shumat e përcaktuara në </w:t>
      </w:r>
      <w:proofErr w:type="spellStart"/>
      <w:r w:rsidRPr="000314BB">
        <w:rPr>
          <w:rFonts w:ascii="Garamond" w:hAnsi="Garamond" w:cs="Times New Roman"/>
          <w:sz w:val="24"/>
          <w:szCs w:val="24"/>
        </w:rPr>
        <w:t>dispozitivin</w:t>
      </w:r>
      <w:proofErr w:type="spellEnd"/>
      <w:r w:rsidRPr="000314BB">
        <w:rPr>
          <w:rFonts w:ascii="Garamond" w:hAnsi="Garamond" w:cs="Times New Roman"/>
          <w:sz w:val="24"/>
          <w:szCs w:val="24"/>
        </w:rPr>
        <w:t xml:space="preserve"> e vendimit. </w:t>
      </w:r>
    </w:p>
    <w:p w14:paraId="25159AAB" w14:textId="12E70E5D"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10. Gjykata e apelit ka arsyetuar se, megjithëse sipas kontratave të qirasë shoqëria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kishte të drejtë të montonte një ashensor të ri, ajo nuk kishte marrë përsipër detyrimet për gjendjen teknike të ashensorit ekzistues. Duke iu referuar nenit 623 të Kodit Civil </w:t>
      </w:r>
      <w:r w:rsidRPr="000314BB">
        <w:rPr>
          <w:rFonts w:ascii="Garamond" w:hAnsi="Garamond" w:cs="Times New Roman"/>
          <w:i/>
          <w:iCs/>
          <w:sz w:val="24"/>
          <w:szCs w:val="24"/>
        </w:rPr>
        <w:t>(</w:t>
      </w:r>
      <w:proofErr w:type="spellStart"/>
      <w:r w:rsidRPr="000314BB">
        <w:rPr>
          <w:rFonts w:ascii="Garamond" w:hAnsi="Garamond" w:cs="Times New Roman"/>
          <w:i/>
          <w:iCs/>
          <w:sz w:val="24"/>
          <w:szCs w:val="24"/>
        </w:rPr>
        <w:t>KC</w:t>
      </w:r>
      <w:proofErr w:type="spellEnd"/>
      <w:r w:rsidRPr="000314BB">
        <w:rPr>
          <w:rFonts w:ascii="Garamond" w:hAnsi="Garamond" w:cs="Times New Roman"/>
          <w:i/>
          <w:iCs/>
          <w:sz w:val="24"/>
          <w:szCs w:val="24"/>
        </w:rPr>
        <w:t>)</w:t>
      </w:r>
      <w:r w:rsidRPr="000314BB">
        <w:rPr>
          <w:rFonts w:ascii="Garamond" w:hAnsi="Garamond" w:cs="Times New Roman"/>
          <w:sz w:val="24"/>
          <w:szCs w:val="24"/>
        </w:rPr>
        <w:t>, gjykata ka vlerësuar se pronarja e ndërtesës,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mbante përgjegjësi për dëmin e shkaktuar nga e meta e ashensorit të instaluar në objektin në pronësi të saj. Megjithatë, për shkak se objekti i ishte dhënë me qira dy shoqërive të tjera, gjykata ka çmuar se të tria shoqëritë mbanin përgjegjësi solidare për dëmin e shkaktuar. Ajo ka arsyetuar gjithashtu se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kishte dijeni për gjendjen teknike të ashensorit dhe, megjithëse kishte mundësi të parashikonte pasojat që mund të vinin, nuk kishte marrë masa për t’i parandaluar ato. Sipas gjykatës, kjo shoqëri nuk arriti të provonte gjatë gjykimit se aksidenti kishte ndodhur si pasojë e ndonjë veprimi ose mosveprimi tjetër (</w:t>
      </w:r>
      <w:r w:rsidRPr="000314BB">
        <w:rPr>
          <w:rFonts w:ascii="Garamond" w:hAnsi="Garamond" w:cs="Times New Roman"/>
          <w:i/>
          <w:iCs/>
          <w:sz w:val="24"/>
          <w:szCs w:val="24"/>
        </w:rPr>
        <w:t>shih faqen 13 të vendimit të gjykatës së apelit</w:t>
      </w:r>
      <w:r w:rsidRPr="000314BB">
        <w:rPr>
          <w:rFonts w:ascii="Garamond" w:hAnsi="Garamond" w:cs="Times New Roman"/>
          <w:sz w:val="24"/>
          <w:szCs w:val="24"/>
        </w:rPr>
        <w:t>).</w:t>
      </w:r>
    </w:p>
    <w:p w14:paraId="48DB4F30" w14:textId="5435C6D0"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11. Ndaj vendimit të gjykatës së apelit shoqëria “P</w:t>
      </w:r>
      <w:r w:rsidR="00C82265">
        <w:rPr>
          <w:rFonts w:ascii="Garamond" w:hAnsi="Garamond" w:cs="Times New Roman"/>
          <w:sz w:val="24"/>
          <w:szCs w:val="24"/>
        </w:rPr>
        <w:t>ro-</w:t>
      </w:r>
      <w:proofErr w:type="spellStart"/>
      <w:r w:rsidR="00C82265">
        <w:rPr>
          <w:rFonts w:ascii="Garamond" w:hAnsi="Garamond" w:cs="Times New Roman"/>
          <w:sz w:val="24"/>
          <w:szCs w:val="24"/>
        </w:rPr>
        <w:t>Plast</w:t>
      </w:r>
      <w:proofErr w:type="spellEnd"/>
      <w:r w:rsidR="00C82265">
        <w:rPr>
          <w:rFonts w:ascii="Garamond" w:hAnsi="Garamond" w:cs="Times New Roman"/>
          <w:sz w:val="24"/>
          <w:szCs w:val="24"/>
        </w:rPr>
        <w:t xml:space="preserve">” </w:t>
      </w:r>
      <w:proofErr w:type="spellStart"/>
      <w:r w:rsidR="00C82265">
        <w:rPr>
          <w:rFonts w:ascii="Garamond" w:hAnsi="Garamond" w:cs="Times New Roman"/>
          <w:sz w:val="24"/>
          <w:szCs w:val="24"/>
        </w:rPr>
        <w:t>sh.p.k</w:t>
      </w:r>
      <w:proofErr w:type="spellEnd"/>
      <w:r w:rsidR="00C82265">
        <w:rPr>
          <w:rFonts w:ascii="Garamond" w:hAnsi="Garamond" w:cs="Times New Roman"/>
          <w:sz w:val="24"/>
          <w:szCs w:val="24"/>
        </w:rPr>
        <w:t>., në datën 26.</w:t>
      </w:r>
      <w:r w:rsidRPr="000314BB">
        <w:rPr>
          <w:rFonts w:ascii="Garamond" w:hAnsi="Garamond" w:cs="Times New Roman"/>
          <w:sz w:val="24"/>
          <w:szCs w:val="24"/>
        </w:rPr>
        <w:t>3.2022, ka</w:t>
      </w:r>
      <w:r w:rsidR="00C82265">
        <w:rPr>
          <w:rFonts w:ascii="Garamond" w:hAnsi="Garamond" w:cs="Times New Roman"/>
          <w:sz w:val="24"/>
          <w:szCs w:val="24"/>
        </w:rPr>
        <w:t xml:space="preserve"> paraqitur rekurs. Në datën 25.</w:t>
      </w:r>
      <w:r w:rsidRPr="000314BB">
        <w:rPr>
          <w:rFonts w:ascii="Garamond" w:hAnsi="Garamond" w:cs="Times New Roman"/>
          <w:sz w:val="24"/>
          <w:szCs w:val="24"/>
        </w:rPr>
        <w:t>3.2022</w:t>
      </w:r>
      <w:r w:rsidR="00C82265">
        <w:rPr>
          <w:rFonts w:ascii="Garamond" w:hAnsi="Garamond" w:cs="Times New Roman"/>
          <w:sz w:val="24"/>
          <w:szCs w:val="24"/>
        </w:rPr>
        <w:t>,</w:t>
      </w:r>
      <w:r w:rsidRPr="000314BB">
        <w:rPr>
          <w:rFonts w:ascii="Garamond" w:hAnsi="Garamond" w:cs="Times New Roman"/>
          <w:sz w:val="24"/>
          <w:szCs w:val="24"/>
        </w:rPr>
        <w:t xml:space="preserve"> kjo shoqëri ka paraqitur edhe kërkesë për pezullimin e ekzekutimit të vendimit gjyqësor, për të cilën Kolegji Civil i Gjykatës së Lart</w:t>
      </w:r>
      <w:r w:rsidR="00C82265">
        <w:rPr>
          <w:rFonts w:ascii="Garamond" w:hAnsi="Garamond" w:cs="Times New Roman"/>
          <w:sz w:val="24"/>
          <w:szCs w:val="24"/>
        </w:rPr>
        <w:t>ë, me vendimin nr. 53, datë 27.</w:t>
      </w:r>
      <w:r w:rsidRPr="000314BB">
        <w:rPr>
          <w:rFonts w:ascii="Garamond" w:hAnsi="Garamond" w:cs="Times New Roman"/>
          <w:sz w:val="24"/>
          <w:szCs w:val="24"/>
        </w:rPr>
        <w:t xml:space="preserve">4.2022, ka vendosur pranimin dhe pezullimin e ekzekutimit të </w:t>
      </w:r>
      <w:r w:rsidR="00C82265">
        <w:rPr>
          <w:rFonts w:ascii="Garamond" w:hAnsi="Garamond" w:cs="Times New Roman"/>
          <w:sz w:val="24"/>
          <w:szCs w:val="24"/>
        </w:rPr>
        <w:t>vendimit gjyqësor. Në datën 29.</w:t>
      </w:r>
      <w:r w:rsidRPr="000314BB">
        <w:rPr>
          <w:rFonts w:ascii="Garamond" w:hAnsi="Garamond" w:cs="Times New Roman"/>
          <w:sz w:val="24"/>
          <w:szCs w:val="24"/>
        </w:rPr>
        <w:t>3.2022</w:t>
      </w:r>
      <w:r w:rsidR="00C82265">
        <w:rPr>
          <w:rFonts w:ascii="Garamond" w:hAnsi="Garamond" w:cs="Times New Roman"/>
          <w:sz w:val="24"/>
          <w:szCs w:val="24"/>
        </w:rPr>
        <w:t>,</w:t>
      </w:r>
      <w:r w:rsidRPr="000314BB">
        <w:rPr>
          <w:rFonts w:ascii="Garamond" w:hAnsi="Garamond" w:cs="Times New Roman"/>
          <w:sz w:val="24"/>
          <w:szCs w:val="24"/>
        </w:rPr>
        <w:t xml:space="preserve"> kërkuesit kanë paraqitur </w:t>
      </w:r>
      <w:proofErr w:type="spellStart"/>
      <w:r w:rsidRPr="000314BB">
        <w:rPr>
          <w:rFonts w:ascii="Garamond" w:hAnsi="Garamond" w:cs="Times New Roman"/>
          <w:sz w:val="24"/>
          <w:szCs w:val="24"/>
        </w:rPr>
        <w:t>kundërrekurs</w:t>
      </w:r>
      <w:proofErr w:type="spellEnd"/>
      <w:r w:rsidRPr="000314BB">
        <w:rPr>
          <w:rFonts w:ascii="Garamond" w:hAnsi="Garamond" w:cs="Times New Roman"/>
          <w:sz w:val="24"/>
          <w:szCs w:val="24"/>
        </w:rPr>
        <w:t xml:space="preserve"> dhe në datën 27.11.2024</w:t>
      </w:r>
      <w:r w:rsidR="00C82265">
        <w:rPr>
          <w:rFonts w:ascii="Garamond" w:hAnsi="Garamond" w:cs="Times New Roman"/>
          <w:sz w:val="24"/>
          <w:szCs w:val="24"/>
        </w:rPr>
        <w:t>,</w:t>
      </w:r>
      <w:r w:rsidRPr="000314BB">
        <w:rPr>
          <w:rFonts w:ascii="Garamond" w:hAnsi="Garamond" w:cs="Times New Roman"/>
          <w:sz w:val="24"/>
          <w:szCs w:val="24"/>
        </w:rPr>
        <w:t xml:space="preserve"> kanë depozituar në Gjykatën e Lartë shpjegimet me shkrim. Kolegji Civil i Gjykatës së Lartë, me vendimi</w:t>
      </w:r>
      <w:r w:rsidR="00C82265">
        <w:rPr>
          <w:rFonts w:ascii="Garamond" w:hAnsi="Garamond" w:cs="Times New Roman"/>
          <w:sz w:val="24"/>
          <w:szCs w:val="24"/>
        </w:rPr>
        <w:t xml:space="preserve">n nr. 00-2024-5053 (700), datë </w:t>
      </w:r>
      <w:r w:rsidRPr="000314BB">
        <w:rPr>
          <w:rFonts w:ascii="Garamond" w:hAnsi="Garamond" w:cs="Times New Roman"/>
          <w:sz w:val="24"/>
          <w:szCs w:val="24"/>
        </w:rPr>
        <w:t>4.12.2024, ka vendosur prishjen e vendimit</w:t>
      </w:r>
      <w:r w:rsidR="00C82265">
        <w:rPr>
          <w:rFonts w:ascii="Garamond" w:hAnsi="Garamond" w:cs="Times New Roman"/>
          <w:sz w:val="24"/>
          <w:szCs w:val="24"/>
        </w:rPr>
        <w:t xml:space="preserve"> nr. 10-2022-367 (97), datë 23.</w:t>
      </w:r>
      <w:r w:rsidRPr="000314BB">
        <w:rPr>
          <w:rFonts w:ascii="Garamond" w:hAnsi="Garamond" w:cs="Times New Roman"/>
          <w:sz w:val="24"/>
          <w:szCs w:val="24"/>
        </w:rPr>
        <w:t>2.2022</w:t>
      </w:r>
      <w:r w:rsidR="00C82265">
        <w:rPr>
          <w:rFonts w:ascii="Garamond" w:hAnsi="Garamond" w:cs="Times New Roman"/>
          <w:sz w:val="24"/>
          <w:szCs w:val="24"/>
        </w:rPr>
        <w:t>,</w:t>
      </w:r>
      <w:r w:rsidRPr="000314BB">
        <w:rPr>
          <w:rFonts w:ascii="Garamond" w:hAnsi="Garamond" w:cs="Times New Roman"/>
          <w:sz w:val="24"/>
          <w:szCs w:val="24"/>
        </w:rPr>
        <w:t xml:space="preserve"> të Gjykatës së Apelit Durrës dhe lënien në fuqi të vendimit</w:t>
      </w:r>
      <w:r w:rsidR="00C82265">
        <w:rPr>
          <w:rFonts w:ascii="Garamond" w:hAnsi="Garamond" w:cs="Times New Roman"/>
          <w:sz w:val="24"/>
          <w:szCs w:val="24"/>
        </w:rPr>
        <w:t xml:space="preserve"> nr. (11-2013-3363) 1113, datë 3.</w:t>
      </w:r>
      <w:r w:rsidRPr="000314BB">
        <w:rPr>
          <w:rFonts w:ascii="Garamond" w:hAnsi="Garamond" w:cs="Times New Roman"/>
          <w:sz w:val="24"/>
          <w:szCs w:val="24"/>
        </w:rPr>
        <w:t>7.2018</w:t>
      </w:r>
      <w:r w:rsidR="00C82265">
        <w:rPr>
          <w:rFonts w:ascii="Garamond" w:hAnsi="Garamond" w:cs="Times New Roman"/>
          <w:sz w:val="24"/>
          <w:szCs w:val="24"/>
        </w:rPr>
        <w:t>,</w:t>
      </w:r>
      <w:r w:rsidRPr="000314BB">
        <w:rPr>
          <w:rFonts w:ascii="Garamond" w:hAnsi="Garamond" w:cs="Times New Roman"/>
          <w:sz w:val="24"/>
          <w:szCs w:val="24"/>
        </w:rPr>
        <w:t xml:space="preserve"> të Gjykatës së Rrethit Gjyqësor Durrës.</w:t>
      </w:r>
      <w:r w:rsidRPr="000314BB">
        <w:rPr>
          <w:rFonts w:ascii="Garamond" w:hAnsi="Garamond"/>
          <w:sz w:val="24"/>
          <w:szCs w:val="24"/>
        </w:rPr>
        <w:t xml:space="preserve"> </w:t>
      </w:r>
      <w:r w:rsidRPr="000314BB">
        <w:rPr>
          <w:rFonts w:ascii="Garamond" w:hAnsi="Garamond" w:cs="Times New Roman"/>
          <w:sz w:val="24"/>
          <w:szCs w:val="24"/>
        </w:rPr>
        <w:t>Kolegji Civil i Gjykatës së Lartë ka vlerësuar se gjykata e apelit, në ndryshim nga gjykata e shkallës së parë, nuk ka adresuar në përputhje me ligjin përgjegjësinë e subjektit që gëzon ndërtesën nëpërmjet një kontrate qiraje, në raport me dëmet e shkaktuara nga objektet e lidhura në mënyrë të qenësishme me ndërtesën. Kolegji Civil ka çmuar të bazuar analizën e Gjykatës së Rrethit Gjyqësor Durrës, e cila ka vlerësuar për mungesën e veprimeve ose të mosveprimeve të paligjshme nga ana e 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të lidhjes shkakësore me dëmin e ardhur. Sipas Gjykatës së Lartë, përgjegjësia për dëmin e shkaktuar nga të metat e produktit i përket subjektit që ka në posedim/gëzim ndërtesën ku produkti/ashensori është i instaluar, për sa kohë ai ka detyrimin e garantimit të përputhshmërisë së produktit/instalimit me kërkesat e detyrueshme të sigurisë, mbi të cilin, sipas kontratës së qirasë, ushtron pushtetin e gëzimit efektiv.</w:t>
      </w:r>
      <w:r w:rsidRPr="000314BB">
        <w:rPr>
          <w:rFonts w:ascii="Garamond" w:hAnsi="Garamond"/>
          <w:sz w:val="24"/>
          <w:szCs w:val="24"/>
        </w:rPr>
        <w:t xml:space="preserve"> </w:t>
      </w:r>
      <w:r w:rsidRPr="000314BB">
        <w:rPr>
          <w:rFonts w:ascii="Garamond" w:hAnsi="Garamond" w:cs="Times New Roman"/>
          <w:sz w:val="24"/>
          <w:szCs w:val="24"/>
        </w:rPr>
        <w:t>Sipas Gjykatës së Lartë, përgjegjësia e punëdhënësit, e përcaktuar në nenin 3, pika 24, të ligjit nr. 10489, datë 15.12.2011</w:t>
      </w:r>
      <w:r w:rsidR="00C82265">
        <w:rPr>
          <w:rFonts w:ascii="Garamond" w:hAnsi="Garamond" w:cs="Times New Roman"/>
          <w:sz w:val="24"/>
          <w:szCs w:val="24"/>
        </w:rPr>
        <w:t>,</w:t>
      </w:r>
      <w:r w:rsidRPr="000314BB">
        <w:rPr>
          <w:rFonts w:ascii="Garamond" w:hAnsi="Garamond" w:cs="Times New Roman"/>
          <w:sz w:val="24"/>
          <w:szCs w:val="24"/>
        </w:rPr>
        <w:t xml:space="preserve"> “Për tregtimin dhe mbikëqyrjen e tregut të produkteve </w:t>
      </w:r>
      <w:proofErr w:type="spellStart"/>
      <w:r w:rsidRPr="000314BB">
        <w:rPr>
          <w:rFonts w:ascii="Garamond" w:hAnsi="Garamond" w:cs="Times New Roman"/>
          <w:sz w:val="24"/>
          <w:szCs w:val="24"/>
        </w:rPr>
        <w:t>joushqimore</w:t>
      </w:r>
      <w:proofErr w:type="spellEnd"/>
      <w:r w:rsidRPr="000314BB">
        <w:rPr>
          <w:rFonts w:ascii="Garamond" w:hAnsi="Garamond" w:cs="Times New Roman"/>
          <w:sz w:val="24"/>
          <w:szCs w:val="24"/>
        </w:rPr>
        <w:t xml:space="preserve">” </w:t>
      </w:r>
      <w:r w:rsidRPr="000314BB">
        <w:rPr>
          <w:rFonts w:ascii="Garamond" w:hAnsi="Garamond" w:cs="Times New Roman"/>
          <w:i/>
          <w:iCs/>
          <w:sz w:val="24"/>
          <w:szCs w:val="24"/>
        </w:rPr>
        <w:t>(ligji nr. 10489/2011)</w:t>
      </w:r>
      <w:r w:rsidRPr="000314BB">
        <w:rPr>
          <w:rFonts w:ascii="Garamond" w:hAnsi="Garamond" w:cs="Times New Roman"/>
          <w:sz w:val="24"/>
          <w:szCs w:val="24"/>
        </w:rPr>
        <w:t xml:space="preserve"> e parë edhe në raport me përgjegjësinë për dëmtimin në punë të punëmarrësit, është e lidhur vetëm me dëmet që u shkaktohen </w:t>
      </w:r>
      <w:r w:rsidRPr="000314BB">
        <w:rPr>
          <w:rFonts w:ascii="Garamond" w:hAnsi="Garamond" w:cs="Times New Roman"/>
          <w:sz w:val="24"/>
          <w:szCs w:val="24"/>
        </w:rPr>
        <w:lastRenderedPageBreak/>
        <w:t xml:space="preserve">punëmarrësve në ngarkim të tij. Ndërkohë, në rastin konkret, jemi përpara dëmit që i shkaktohet një të treti që nuk është punëmarrës, por përdorues rastësor i këtij instalimi </w:t>
      </w:r>
      <w:r w:rsidRPr="000314BB">
        <w:rPr>
          <w:rFonts w:ascii="Garamond" w:hAnsi="Garamond" w:cs="Times New Roman"/>
          <w:i/>
          <w:iCs/>
          <w:sz w:val="24"/>
          <w:szCs w:val="24"/>
        </w:rPr>
        <w:t>(shih faqet 19</w:t>
      </w:r>
      <w:r w:rsidR="00C82265">
        <w:rPr>
          <w:rFonts w:ascii="Garamond" w:hAnsi="Garamond" w:cs="Times New Roman"/>
          <w:i/>
          <w:iCs/>
          <w:sz w:val="24"/>
          <w:szCs w:val="24"/>
        </w:rPr>
        <w:t>–</w:t>
      </w:r>
      <w:r w:rsidRPr="000314BB">
        <w:rPr>
          <w:rFonts w:ascii="Garamond" w:hAnsi="Garamond" w:cs="Times New Roman"/>
          <w:i/>
          <w:iCs/>
          <w:sz w:val="24"/>
          <w:szCs w:val="24"/>
        </w:rPr>
        <w:t>20</w:t>
      </w:r>
      <w:r w:rsidR="00E879FA">
        <w:rPr>
          <w:rFonts w:ascii="Garamond" w:hAnsi="Garamond" w:cs="Times New Roman"/>
          <w:i/>
          <w:iCs/>
          <w:sz w:val="24"/>
          <w:szCs w:val="24"/>
        </w:rPr>
        <w:t>,</w:t>
      </w:r>
      <w:r w:rsidRPr="000314BB">
        <w:rPr>
          <w:rFonts w:ascii="Garamond" w:hAnsi="Garamond" w:cs="Times New Roman"/>
          <w:i/>
          <w:iCs/>
          <w:sz w:val="24"/>
          <w:szCs w:val="24"/>
        </w:rPr>
        <w:t xml:space="preserve"> të vendimit të Gjykatës së Lartë).</w:t>
      </w:r>
    </w:p>
    <w:p w14:paraId="2079BFB4" w14:textId="7D915649" w:rsidR="007D5EC3" w:rsidRPr="000314BB" w:rsidRDefault="007D5EC3" w:rsidP="007D5EC3">
      <w:pPr>
        <w:pStyle w:val="ListParagraph"/>
        <w:tabs>
          <w:tab w:val="left" w:pos="620"/>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12. Kërkuesit në datën </w:t>
      </w:r>
      <w:r w:rsidR="00C82265">
        <w:rPr>
          <w:rFonts w:ascii="Garamond" w:hAnsi="Garamond" w:cs="Times New Roman"/>
          <w:sz w:val="24"/>
          <w:szCs w:val="24"/>
        </w:rPr>
        <w:t>24.</w:t>
      </w:r>
      <w:r w:rsidRPr="000314BB">
        <w:rPr>
          <w:rFonts w:ascii="Garamond" w:hAnsi="Garamond" w:cs="Times New Roman"/>
          <w:sz w:val="24"/>
          <w:szCs w:val="24"/>
        </w:rPr>
        <w:t>7.2025</w:t>
      </w:r>
      <w:r w:rsidR="00C82265">
        <w:rPr>
          <w:rFonts w:ascii="Garamond" w:hAnsi="Garamond" w:cs="Times New Roman"/>
          <w:sz w:val="24"/>
          <w:szCs w:val="24"/>
        </w:rPr>
        <w:t>,</w:t>
      </w:r>
      <w:r w:rsidRPr="000314BB">
        <w:rPr>
          <w:rFonts w:ascii="Garamond" w:hAnsi="Garamond" w:cs="Times New Roman"/>
          <w:sz w:val="24"/>
          <w:szCs w:val="24"/>
        </w:rPr>
        <w:t xml:space="preserve"> i janë drejtuar Gjykatës me kërkesë, sipas objektit. Kolegji i Gjykatës në datën 24.10.2025, gjatë shqyrtimit paraprak, ka vendosur kalimin e çështjes për shqyrtim në seancë plenare mbi bazë të dokumenteve.</w:t>
      </w:r>
    </w:p>
    <w:p w14:paraId="79BC1901" w14:textId="77777777" w:rsidR="007D5EC3" w:rsidRPr="000314BB" w:rsidRDefault="007D5EC3" w:rsidP="007D5EC3">
      <w:pPr>
        <w:spacing w:after="0" w:line="240" w:lineRule="auto"/>
        <w:ind w:firstLine="284"/>
        <w:jc w:val="center"/>
        <w:rPr>
          <w:rFonts w:ascii="Garamond" w:hAnsi="Garamond" w:cs="Times New Roman"/>
          <w:b/>
          <w:bCs/>
          <w:sz w:val="24"/>
          <w:szCs w:val="24"/>
        </w:rPr>
      </w:pPr>
    </w:p>
    <w:p w14:paraId="4018398B" w14:textId="77777777" w:rsidR="007D5EC3" w:rsidRPr="000314BB" w:rsidRDefault="007D5EC3" w:rsidP="007D5EC3">
      <w:pPr>
        <w:spacing w:after="0" w:line="240" w:lineRule="auto"/>
        <w:ind w:firstLine="284"/>
        <w:jc w:val="center"/>
        <w:rPr>
          <w:rFonts w:ascii="Garamond" w:hAnsi="Garamond" w:cs="Times New Roman"/>
          <w:b/>
          <w:bCs/>
          <w:sz w:val="24"/>
          <w:szCs w:val="24"/>
        </w:rPr>
      </w:pPr>
      <w:proofErr w:type="spellStart"/>
      <w:r w:rsidRPr="000314BB">
        <w:rPr>
          <w:rFonts w:ascii="Garamond" w:hAnsi="Garamond" w:cs="Times New Roman"/>
          <w:b/>
          <w:bCs/>
          <w:sz w:val="24"/>
          <w:szCs w:val="24"/>
        </w:rPr>
        <w:t>II</w:t>
      </w:r>
      <w:proofErr w:type="spellEnd"/>
    </w:p>
    <w:p w14:paraId="7C645ED6" w14:textId="77777777" w:rsidR="007D5EC3" w:rsidRPr="000314BB" w:rsidRDefault="007D5EC3" w:rsidP="007D5EC3">
      <w:pPr>
        <w:tabs>
          <w:tab w:val="left" w:pos="1080"/>
        </w:tabs>
        <w:spacing w:after="0" w:line="240" w:lineRule="auto"/>
        <w:ind w:firstLine="284"/>
        <w:jc w:val="center"/>
        <w:rPr>
          <w:rFonts w:ascii="Garamond" w:hAnsi="Garamond" w:cs="Times New Roman"/>
          <w:b/>
          <w:bCs/>
          <w:sz w:val="24"/>
          <w:szCs w:val="24"/>
        </w:rPr>
      </w:pPr>
      <w:r w:rsidRPr="000314BB">
        <w:rPr>
          <w:rFonts w:ascii="Garamond" w:hAnsi="Garamond" w:cs="Times New Roman"/>
          <w:b/>
          <w:bCs/>
          <w:sz w:val="24"/>
          <w:szCs w:val="24"/>
        </w:rPr>
        <w:t>Pretendimet në Gjykatën Kushtetuese</w:t>
      </w:r>
    </w:p>
    <w:p w14:paraId="68D78029" w14:textId="77777777" w:rsidR="000314BB" w:rsidRPr="000314BB" w:rsidRDefault="000314BB" w:rsidP="007D5EC3">
      <w:pPr>
        <w:pStyle w:val="BodyText"/>
        <w:tabs>
          <w:tab w:val="left" w:pos="1080"/>
        </w:tabs>
        <w:spacing w:after="0" w:line="240" w:lineRule="auto"/>
        <w:ind w:firstLine="284"/>
        <w:jc w:val="both"/>
        <w:rPr>
          <w:rFonts w:ascii="Garamond" w:hAnsi="Garamond" w:cs="Times New Roman"/>
          <w:sz w:val="24"/>
          <w:szCs w:val="24"/>
        </w:rPr>
      </w:pPr>
    </w:p>
    <w:p w14:paraId="319733AD" w14:textId="7B0779C5" w:rsidR="007D5EC3" w:rsidRPr="000314BB" w:rsidRDefault="007D5EC3" w:rsidP="007D5EC3">
      <w:pPr>
        <w:pStyle w:val="BodyText"/>
        <w:tabs>
          <w:tab w:val="left" w:pos="1080"/>
        </w:tabs>
        <w:spacing w:after="0" w:line="240" w:lineRule="auto"/>
        <w:ind w:firstLine="284"/>
        <w:jc w:val="both"/>
        <w:rPr>
          <w:rFonts w:ascii="Garamond" w:hAnsi="Garamond" w:cs="Times New Roman"/>
          <w:i/>
          <w:iCs/>
          <w:sz w:val="24"/>
          <w:szCs w:val="24"/>
        </w:rPr>
      </w:pPr>
      <w:r w:rsidRPr="000314BB">
        <w:rPr>
          <w:rFonts w:ascii="Garamond" w:hAnsi="Garamond" w:cs="Times New Roman"/>
          <w:sz w:val="24"/>
          <w:szCs w:val="24"/>
        </w:rPr>
        <w:t>13.</w:t>
      </w:r>
      <w:r w:rsidRPr="000314BB">
        <w:rPr>
          <w:rFonts w:ascii="Garamond" w:hAnsi="Garamond" w:cs="Times New Roman"/>
          <w:b/>
          <w:bCs/>
          <w:i/>
          <w:iCs/>
          <w:sz w:val="24"/>
          <w:szCs w:val="24"/>
        </w:rPr>
        <w:t xml:space="preserve"> Kërkuesit</w:t>
      </w:r>
      <w:r w:rsidRPr="000314BB">
        <w:rPr>
          <w:rFonts w:ascii="Garamond" w:hAnsi="Garamond" w:cs="Times New Roman"/>
          <w:b/>
          <w:bCs/>
          <w:sz w:val="24"/>
          <w:szCs w:val="24"/>
        </w:rPr>
        <w:t>,</w:t>
      </w:r>
      <w:r w:rsidRPr="000314BB">
        <w:rPr>
          <w:rFonts w:ascii="Garamond" w:hAnsi="Garamond" w:cs="Times New Roman"/>
          <w:sz w:val="24"/>
          <w:szCs w:val="24"/>
        </w:rPr>
        <w:t xml:space="preserve"> në mënyrë të përmbledhur, kanë parashtruar se gjatë procesit të gjyqësor është cenuar</w:t>
      </w:r>
      <w:r w:rsidRPr="000314BB">
        <w:rPr>
          <w:rFonts w:ascii="Garamond" w:hAnsi="Garamond" w:cs="Times New Roman"/>
          <w:i/>
          <w:iCs/>
          <w:sz w:val="24"/>
          <w:szCs w:val="24"/>
        </w:rPr>
        <w:t>:</w:t>
      </w:r>
    </w:p>
    <w:p w14:paraId="10A6381C" w14:textId="654900E6" w:rsidR="007D5EC3" w:rsidRPr="000314BB" w:rsidRDefault="00C82265" w:rsidP="007D5EC3">
      <w:pPr>
        <w:pStyle w:val="BodyText"/>
        <w:tabs>
          <w:tab w:val="left" w:pos="1260"/>
        </w:tabs>
        <w:spacing w:after="0" w:line="240" w:lineRule="auto"/>
        <w:ind w:firstLine="284"/>
        <w:rPr>
          <w:rFonts w:ascii="Garamond" w:hAnsi="Garamond" w:cs="Times New Roman"/>
          <w:i/>
          <w:iCs/>
          <w:sz w:val="24"/>
          <w:szCs w:val="24"/>
        </w:rPr>
      </w:pPr>
      <w:r>
        <w:rPr>
          <w:rFonts w:ascii="Garamond" w:hAnsi="Garamond" w:cs="Times New Roman"/>
          <w:color w:val="222222"/>
          <w:sz w:val="24"/>
          <w:szCs w:val="24"/>
        </w:rPr>
        <w:t>13.1</w:t>
      </w:r>
      <w:r w:rsidR="007D5EC3" w:rsidRPr="000314BB">
        <w:rPr>
          <w:rFonts w:ascii="Garamond" w:hAnsi="Garamond" w:cs="Times New Roman"/>
          <w:color w:val="222222"/>
          <w:sz w:val="24"/>
          <w:szCs w:val="24"/>
        </w:rPr>
        <w:t xml:space="preserve"> </w:t>
      </w:r>
      <w:r w:rsidR="007D5EC3" w:rsidRPr="000314BB">
        <w:rPr>
          <w:rFonts w:ascii="Garamond" w:hAnsi="Garamond" w:cs="Times New Roman"/>
          <w:i/>
          <w:iCs/>
          <w:sz w:val="24"/>
          <w:szCs w:val="24"/>
        </w:rPr>
        <w:t>E drejta për proces të rregullt ligjor në drejtim të:</w:t>
      </w:r>
    </w:p>
    <w:p w14:paraId="53C34FDB" w14:textId="1DFD919A" w:rsidR="007D5EC3" w:rsidRPr="000314BB" w:rsidRDefault="00C82265" w:rsidP="007D5EC3">
      <w:pPr>
        <w:pStyle w:val="BodyText"/>
        <w:tabs>
          <w:tab w:val="left" w:pos="1880"/>
        </w:tabs>
        <w:spacing w:after="0" w:line="240" w:lineRule="auto"/>
        <w:ind w:firstLine="284"/>
        <w:jc w:val="both"/>
        <w:rPr>
          <w:rFonts w:ascii="Garamond" w:hAnsi="Garamond" w:cs="Times New Roman"/>
          <w:sz w:val="24"/>
          <w:szCs w:val="24"/>
        </w:rPr>
      </w:pPr>
      <w:r>
        <w:rPr>
          <w:rFonts w:ascii="Garamond" w:hAnsi="Garamond" w:cs="Times New Roman"/>
          <w:i/>
          <w:iCs/>
          <w:color w:val="222222"/>
          <w:sz w:val="24"/>
          <w:szCs w:val="24"/>
        </w:rPr>
        <w:t>13.1.1</w:t>
      </w:r>
      <w:r w:rsidR="007D5EC3" w:rsidRPr="000314BB">
        <w:rPr>
          <w:rFonts w:ascii="Garamond" w:hAnsi="Garamond" w:cs="Times New Roman"/>
          <w:i/>
          <w:iCs/>
          <w:color w:val="222222"/>
          <w:sz w:val="24"/>
          <w:szCs w:val="24"/>
        </w:rPr>
        <w:t xml:space="preserve"> </w:t>
      </w:r>
      <w:r w:rsidR="007D5EC3" w:rsidRPr="000314BB">
        <w:rPr>
          <w:rFonts w:ascii="Garamond" w:hAnsi="Garamond" w:cs="Times New Roman"/>
          <w:i/>
          <w:iCs/>
          <w:sz w:val="24"/>
          <w:szCs w:val="24"/>
        </w:rPr>
        <w:t>Së drejtës për t’u gjykuar nga një gjykatë e caktuar me ligj</w:t>
      </w:r>
      <w:r w:rsidR="007D5EC3" w:rsidRPr="000314BB">
        <w:rPr>
          <w:rFonts w:ascii="Garamond" w:hAnsi="Garamond" w:cs="Times New Roman"/>
          <w:sz w:val="24"/>
          <w:szCs w:val="24"/>
        </w:rPr>
        <w:t xml:space="preserve">, pasi Gjykata e Lartë ka vepruar në tejkalim të kompetencave të saj si gjykatë ligji, duke kryer një vlerësim tërësisht të ndryshëm, nga gjykata e apelit, të </w:t>
      </w:r>
      <w:proofErr w:type="spellStart"/>
      <w:r w:rsidR="007D5EC3" w:rsidRPr="000314BB">
        <w:rPr>
          <w:rFonts w:ascii="Garamond" w:hAnsi="Garamond" w:cs="Times New Roman"/>
          <w:sz w:val="24"/>
          <w:szCs w:val="24"/>
        </w:rPr>
        <w:t>të</w:t>
      </w:r>
      <w:proofErr w:type="spellEnd"/>
      <w:r w:rsidR="007D5EC3" w:rsidRPr="000314BB">
        <w:rPr>
          <w:rFonts w:ascii="Garamond" w:hAnsi="Garamond" w:cs="Times New Roman"/>
          <w:sz w:val="24"/>
          <w:szCs w:val="24"/>
        </w:rPr>
        <w:t xml:space="preserve"> njëjtave fakte dhe duke arritur në përfundimin se vendimi i saj duhej ndryshuar jo për shkak të zbatimit të gabuar të ligjit, por për shkak të vlerësimit të ndryshëm të provave. Gjykata e Lartë, duke i </w:t>
      </w:r>
      <w:proofErr w:type="spellStart"/>
      <w:r w:rsidR="007D5EC3" w:rsidRPr="000314BB">
        <w:rPr>
          <w:rFonts w:ascii="Garamond" w:hAnsi="Garamond" w:cs="Times New Roman"/>
          <w:sz w:val="24"/>
          <w:szCs w:val="24"/>
        </w:rPr>
        <w:t>rikualifikuar</w:t>
      </w:r>
      <w:proofErr w:type="spellEnd"/>
      <w:r w:rsidR="007D5EC3" w:rsidRPr="000314BB">
        <w:rPr>
          <w:rFonts w:ascii="Garamond" w:hAnsi="Garamond" w:cs="Times New Roman"/>
          <w:sz w:val="24"/>
          <w:szCs w:val="24"/>
        </w:rPr>
        <w:t xml:space="preserve"> faktet bazuar në vlerësimin e bërë nga gjykata e shkallës së parë, ka një vlerësim të mëtejshëm të tyre që nuk është në pajtim me funksionin e saj si gjykatë ligji. Gjykata e Lartë, edhe pse nuk ka gjetur zbatim të gabuar të ligjit material dhe procedural nga gjykata e apelit, e ka prishur vendimin e saj duke u bazuar vetëm në vlerësimin e provave dhe të fakteve nga gjykata e shkallës së par</w:t>
      </w:r>
      <w:r>
        <w:rPr>
          <w:rFonts w:ascii="Garamond" w:hAnsi="Garamond" w:cs="Times New Roman"/>
          <w:sz w:val="24"/>
          <w:szCs w:val="24"/>
        </w:rPr>
        <w:t>ë, sipas së cilës, në datën 28.</w:t>
      </w:r>
      <w:r w:rsidR="007D5EC3" w:rsidRPr="000314BB">
        <w:rPr>
          <w:rFonts w:ascii="Garamond" w:hAnsi="Garamond" w:cs="Times New Roman"/>
          <w:sz w:val="24"/>
          <w:szCs w:val="24"/>
        </w:rPr>
        <w:t xml:space="preserve">6.2016, kur ka ndodhur ngjarja, ka qenë në fuqi kontrata e qirasë dhe mjedisi administrohej nga pala qiramarrëse, ndaj pronari i ndërtesës nuk ka përgjegjësi. Në rastin konkret, gjykatat e faktit kanë mbajtur qëndrime të ndryshme për çështje të faktit, për pasojë edhe për sa i përket zbatimit të ligjit material në përcaktimin e përgjegjësisë. </w:t>
      </w:r>
    </w:p>
    <w:p w14:paraId="06DB5B8E" w14:textId="36206107" w:rsidR="007D5EC3" w:rsidRPr="000314BB" w:rsidRDefault="00C82265" w:rsidP="007D5EC3">
      <w:pPr>
        <w:pStyle w:val="BodyText"/>
        <w:tabs>
          <w:tab w:val="left" w:pos="1880"/>
        </w:tabs>
        <w:spacing w:after="0" w:line="240" w:lineRule="auto"/>
        <w:ind w:firstLine="284"/>
        <w:jc w:val="both"/>
        <w:rPr>
          <w:rFonts w:ascii="Garamond" w:hAnsi="Garamond" w:cs="Times New Roman"/>
          <w:sz w:val="24"/>
          <w:szCs w:val="24"/>
        </w:rPr>
      </w:pPr>
      <w:r>
        <w:rPr>
          <w:rFonts w:ascii="Garamond" w:hAnsi="Garamond" w:cs="Times New Roman"/>
          <w:i/>
          <w:iCs/>
          <w:color w:val="222222"/>
          <w:sz w:val="24"/>
          <w:szCs w:val="24"/>
        </w:rPr>
        <w:t>13.1.2</w:t>
      </w:r>
      <w:r w:rsidR="007D5EC3" w:rsidRPr="000314BB">
        <w:rPr>
          <w:rFonts w:ascii="Garamond" w:hAnsi="Garamond" w:cs="Times New Roman"/>
          <w:i/>
          <w:iCs/>
          <w:color w:val="222222"/>
          <w:sz w:val="24"/>
          <w:szCs w:val="24"/>
        </w:rPr>
        <w:t xml:space="preserve"> </w:t>
      </w:r>
      <w:r w:rsidR="007D5EC3" w:rsidRPr="000314BB">
        <w:rPr>
          <w:rFonts w:ascii="Garamond" w:hAnsi="Garamond" w:cs="Times New Roman"/>
          <w:i/>
          <w:iCs/>
          <w:sz w:val="24"/>
          <w:szCs w:val="24"/>
        </w:rPr>
        <w:t xml:space="preserve">Së drejtës së </w:t>
      </w:r>
      <w:proofErr w:type="spellStart"/>
      <w:r w:rsidR="007D5EC3" w:rsidRPr="000314BB">
        <w:rPr>
          <w:rFonts w:ascii="Garamond" w:hAnsi="Garamond" w:cs="Times New Roman"/>
          <w:i/>
          <w:iCs/>
          <w:sz w:val="24"/>
          <w:szCs w:val="24"/>
        </w:rPr>
        <w:t>aksesit</w:t>
      </w:r>
      <w:proofErr w:type="spellEnd"/>
      <w:r w:rsidR="007D5EC3" w:rsidRPr="000314BB">
        <w:rPr>
          <w:rFonts w:ascii="Garamond" w:hAnsi="Garamond" w:cs="Times New Roman"/>
          <w:i/>
          <w:iCs/>
          <w:sz w:val="24"/>
          <w:szCs w:val="24"/>
        </w:rPr>
        <w:t xml:space="preserve"> substancial dhe të standardit të arsyetimit të vendimit</w:t>
      </w:r>
      <w:r w:rsidR="007D5EC3" w:rsidRPr="000314BB">
        <w:rPr>
          <w:rFonts w:ascii="Garamond" w:hAnsi="Garamond" w:cs="Times New Roman"/>
          <w:sz w:val="24"/>
          <w:szCs w:val="24"/>
        </w:rPr>
        <w:t xml:space="preserve">, pasi mënyra e </w:t>
      </w:r>
      <w:proofErr w:type="spellStart"/>
      <w:r w:rsidR="007D5EC3" w:rsidRPr="000314BB">
        <w:rPr>
          <w:rFonts w:ascii="Garamond" w:hAnsi="Garamond" w:cs="Times New Roman"/>
          <w:sz w:val="24"/>
          <w:szCs w:val="24"/>
        </w:rPr>
        <w:t>disponimit</w:t>
      </w:r>
      <w:proofErr w:type="spellEnd"/>
      <w:r w:rsidR="007D5EC3" w:rsidRPr="000314BB">
        <w:rPr>
          <w:rFonts w:ascii="Garamond" w:hAnsi="Garamond" w:cs="Times New Roman"/>
          <w:sz w:val="24"/>
          <w:szCs w:val="24"/>
        </w:rPr>
        <w:t xml:space="preserve"> nga Gjykata e Lartë u ka mohuar kërkuesve të drejtën për të kërkuar përgjegjësinë dhe për shpërblimin e dëmit për vdekjen e të afërmit të tyre, aq më tepër që ka kaluar një periudhë kohe shumë e gjatë nga momenti i ndodhjes së faktit. Në çdo rast nëse Gjykata e Lartë do të vlerësonte se hetimi gjyqësor nuk ishte kryer i plotë dhe në përputhje me ligjin dhe çështja kishte nevojë për hetime të mëtejshme ose rivlerësim të provave për shkak të zbatimit të gabuar të dispozitave ligjore për fuqinë e tyre provuese duhet ta kthente çështjen për rishqyrtim dhe jo të linte në fuqi vendimin e gjykatës së shkallës së parë. Gjithashtu, Gjykata e Lartë ka cenuar </w:t>
      </w:r>
      <w:r w:rsidR="007D5EC3" w:rsidRPr="000314BB">
        <w:rPr>
          <w:rFonts w:ascii="Garamond" w:hAnsi="Garamond" w:cs="Times New Roman"/>
          <w:i/>
          <w:iCs/>
          <w:sz w:val="24"/>
          <w:szCs w:val="24"/>
        </w:rPr>
        <w:t xml:space="preserve">të drejtën e </w:t>
      </w:r>
      <w:proofErr w:type="spellStart"/>
      <w:r w:rsidR="007D5EC3" w:rsidRPr="000314BB">
        <w:rPr>
          <w:rFonts w:ascii="Garamond" w:hAnsi="Garamond" w:cs="Times New Roman"/>
          <w:i/>
          <w:iCs/>
          <w:sz w:val="24"/>
          <w:szCs w:val="24"/>
        </w:rPr>
        <w:t>aksesit</w:t>
      </w:r>
      <w:proofErr w:type="spellEnd"/>
      <w:r w:rsidR="007D5EC3" w:rsidRPr="000314BB">
        <w:rPr>
          <w:rFonts w:ascii="Garamond" w:hAnsi="Garamond" w:cs="Times New Roman"/>
          <w:sz w:val="24"/>
          <w:szCs w:val="24"/>
        </w:rPr>
        <w:t xml:space="preserve">, pasi kërkesa për shtimin e </w:t>
      </w:r>
      <w:proofErr w:type="spellStart"/>
      <w:r w:rsidR="007D5EC3" w:rsidRPr="000314BB">
        <w:rPr>
          <w:rFonts w:ascii="Garamond" w:hAnsi="Garamond" w:cs="Times New Roman"/>
          <w:sz w:val="24"/>
          <w:szCs w:val="24"/>
        </w:rPr>
        <w:t>ndërgjyqësisë</w:t>
      </w:r>
      <w:proofErr w:type="spellEnd"/>
      <w:r w:rsidR="007D5EC3" w:rsidRPr="000314BB">
        <w:rPr>
          <w:rFonts w:ascii="Garamond" w:hAnsi="Garamond" w:cs="Times New Roman"/>
          <w:sz w:val="24"/>
          <w:szCs w:val="24"/>
        </w:rPr>
        <w:t xml:space="preserve"> nuk është pranuar nga gjykata e shkallës së parë, duke u bazuar në argumente joligjore dhe në kundërshtim me nenin 161, shkronja “c”, të Kodit të Procedurës Civile</w:t>
      </w:r>
      <w:r w:rsidR="007D5EC3" w:rsidRPr="000314BB">
        <w:rPr>
          <w:rFonts w:ascii="Garamond" w:hAnsi="Garamond" w:cs="Times New Roman"/>
          <w:i/>
          <w:iCs/>
          <w:sz w:val="24"/>
          <w:szCs w:val="24"/>
        </w:rPr>
        <w:t xml:space="preserve">, </w:t>
      </w:r>
      <w:r w:rsidR="007D5EC3" w:rsidRPr="000314BB">
        <w:rPr>
          <w:rFonts w:ascii="Garamond" w:hAnsi="Garamond" w:cs="Times New Roman"/>
          <w:sz w:val="24"/>
          <w:szCs w:val="24"/>
        </w:rPr>
        <w:t xml:space="preserve">sipas të cilit </w:t>
      </w:r>
      <w:r w:rsidR="007D5EC3" w:rsidRPr="000314BB">
        <w:rPr>
          <w:rFonts w:ascii="Garamond" w:hAnsi="Garamond" w:cs="Times New Roman"/>
          <w:i/>
          <w:iCs/>
          <w:sz w:val="24"/>
          <w:szCs w:val="24"/>
        </w:rPr>
        <w:t>“Në rast se gjykimi ka filluar dhe paditësi vëren se kërkimi i tij shtrihet edhe ndaj një personi tjetër, atëherë mund ta shtrijë kërkimin edhe ndaj këtij të fundit, duke e thirrur si të paditur”.</w:t>
      </w:r>
      <w:r w:rsidR="007D5EC3" w:rsidRPr="000314BB">
        <w:rPr>
          <w:rFonts w:ascii="Garamond" w:hAnsi="Garamond" w:cs="Times New Roman"/>
          <w:sz w:val="24"/>
          <w:szCs w:val="24"/>
        </w:rPr>
        <w:t xml:space="preserve"> Vendimi i Gjykatës së Lartë, duke anuluar pasojat e një vendimi gjyqësor të formës së prerë, sikurse është ai i gjykatës së apelit, ka cenuar edhe </w:t>
      </w:r>
      <w:r w:rsidR="007D5EC3" w:rsidRPr="000314BB">
        <w:rPr>
          <w:rFonts w:ascii="Garamond" w:hAnsi="Garamond" w:cs="Times New Roman"/>
          <w:i/>
          <w:iCs/>
          <w:sz w:val="24"/>
          <w:szCs w:val="24"/>
        </w:rPr>
        <w:t>parimin e sigurisë juridike.</w:t>
      </w:r>
    </w:p>
    <w:p w14:paraId="285405A5" w14:textId="43FC47CB" w:rsidR="007D5EC3" w:rsidRPr="000314BB" w:rsidRDefault="00C82265" w:rsidP="007D5EC3">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color w:val="222222"/>
          <w:sz w:val="24"/>
          <w:szCs w:val="24"/>
        </w:rPr>
        <w:t>13.2</w:t>
      </w:r>
      <w:r w:rsidR="007D5EC3" w:rsidRPr="000314BB">
        <w:rPr>
          <w:rFonts w:ascii="Garamond" w:hAnsi="Garamond" w:cs="Times New Roman"/>
          <w:color w:val="222222"/>
          <w:sz w:val="24"/>
          <w:szCs w:val="24"/>
        </w:rPr>
        <w:t xml:space="preserve"> </w:t>
      </w:r>
      <w:r w:rsidR="007D5EC3" w:rsidRPr="000314BB">
        <w:rPr>
          <w:rFonts w:ascii="Garamond" w:hAnsi="Garamond" w:cs="Times New Roman"/>
          <w:i/>
          <w:iCs/>
          <w:sz w:val="24"/>
          <w:szCs w:val="24"/>
        </w:rPr>
        <w:t xml:space="preserve">E drejta e pronës, </w:t>
      </w:r>
      <w:r w:rsidR="007D5EC3" w:rsidRPr="000314BB">
        <w:rPr>
          <w:rFonts w:ascii="Garamond" w:hAnsi="Garamond" w:cs="Times New Roman"/>
          <w:sz w:val="24"/>
          <w:szCs w:val="24"/>
        </w:rPr>
        <w:t>pasi Gjykata e Lartë, pas një procesi të parregullt ligjor, ka lënë në fuqi vendimin e gjykatës së shkallës së parë që ka rrëzuar kërkesëpadinë e kërkuesve, duke u mohuar atyre edhe të drejtën e dëmshpërblimit nga aksidenti, me pasojë vdekjen e djalit të tyre.</w:t>
      </w:r>
    </w:p>
    <w:p w14:paraId="3A69411D" w14:textId="77777777" w:rsidR="007D5EC3" w:rsidRPr="000314BB" w:rsidRDefault="007D5EC3" w:rsidP="007D5EC3">
      <w:pPr>
        <w:pStyle w:val="BodyText"/>
        <w:tabs>
          <w:tab w:val="left" w:pos="1080"/>
        </w:tabs>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14.</w:t>
      </w:r>
      <w:r w:rsidRPr="000314BB">
        <w:rPr>
          <w:rFonts w:ascii="Garamond" w:hAnsi="Garamond" w:cs="Times New Roman"/>
          <w:b/>
          <w:bCs/>
          <w:i/>
          <w:iCs/>
          <w:sz w:val="24"/>
          <w:szCs w:val="24"/>
        </w:rPr>
        <w:t xml:space="preserve"> Subjekti i interesuar, shoqëria “Pro-</w:t>
      </w:r>
      <w:proofErr w:type="spellStart"/>
      <w:r w:rsidRPr="000314BB">
        <w:rPr>
          <w:rFonts w:ascii="Garamond" w:hAnsi="Garamond" w:cs="Times New Roman"/>
          <w:b/>
          <w:bCs/>
          <w:i/>
          <w:iCs/>
          <w:sz w:val="24"/>
          <w:szCs w:val="24"/>
        </w:rPr>
        <w:t>Plast</w:t>
      </w:r>
      <w:proofErr w:type="spellEnd"/>
      <w:r w:rsidRPr="000314BB">
        <w:rPr>
          <w:rFonts w:ascii="Garamond" w:hAnsi="Garamond" w:cs="Times New Roman"/>
          <w:b/>
          <w:bCs/>
          <w:i/>
          <w:iCs/>
          <w:sz w:val="24"/>
          <w:szCs w:val="24"/>
        </w:rPr>
        <w:t xml:space="preserve">” </w:t>
      </w:r>
      <w:proofErr w:type="spellStart"/>
      <w:r w:rsidRPr="000314BB">
        <w:rPr>
          <w:rFonts w:ascii="Garamond" w:hAnsi="Garamond" w:cs="Times New Roman"/>
          <w:b/>
          <w:bCs/>
          <w:i/>
          <w:iCs/>
          <w:sz w:val="24"/>
          <w:szCs w:val="24"/>
        </w:rPr>
        <w:t>sh.p.k</w:t>
      </w:r>
      <w:proofErr w:type="spellEnd"/>
      <w:r w:rsidRPr="000314BB">
        <w:rPr>
          <w:rFonts w:ascii="Garamond" w:hAnsi="Garamond" w:cs="Times New Roman"/>
          <w:b/>
          <w:bCs/>
          <w:i/>
          <w:iCs/>
          <w:sz w:val="24"/>
          <w:szCs w:val="24"/>
        </w:rPr>
        <w:t>.,</w:t>
      </w:r>
      <w:r w:rsidRPr="000314BB">
        <w:rPr>
          <w:rFonts w:ascii="Garamond" w:hAnsi="Garamond" w:cs="Times New Roman"/>
          <w:i/>
          <w:iCs/>
          <w:sz w:val="24"/>
          <w:szCs w:val="24"/>
        </w:rPr>
        <w:t xml:space="preserve"> </w:t>
      </w:r>
      <w:r w:rsidRPr="000314BB">
        <w:rPr>
          <w:rFonts w:ascii="Garamond" w:hAnsi="Garamond" w:cs="Times New Roman"/>
          <w:sz w:val="24"/>
          <w:szCs w:val="24"/>
        </w:rPr>
        <w:t>ka prapësuar:</w:t>
      </w:r>
    </w:p>
    <w:p w14:paraId="72F3DBE2" w14:textId="7FE5E42E" w:rsidR="007D5EC3" w:rsidRPr="000314BB" w:rsidRDefault="00C82265" w:rsidP="007D5EC3">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14.1</w:t>
      </w:r>
      <w:r w:rsidR="007D5EC3" w:rsidRPr="000314BB">
        <w:rPr>
          <w:rFonts w:ascii="Garamond" w:hAnsi="Garamond" w:cs="Times New Roman"/>
          <w:sz w:val="24"/>
          <w:szCs w:val="24"/>
        </w:rPr>
        <w:t xml:space="preserve"> Për cenimin e së </w:t>
      </w:r>
      <w:r w:rsidR="007D5EC3" w:rsidRPr="000314BB">
        <w:rPr>
          <w:rFonts w:ascii="Garamond" w:hAnsi="Garamond" w:cs="Times New Roman"/>
          <w:i/>
          <w:iCs/>
          <w:sz w:val="24"/>
          <w:szCs w:val="24"/>
        </w:rPr>
        <w:t>drejtës për procesin e rregullt ligjor</w:t>
      </w:r>
      <w:r w:rsidR="007D5EC3" w:rsidRPr="000314BB">
        <w:rPr>
          <w:rFonts w:ascii="Garamond" w:hAnsi="Garamond" w:cs="Times New Roman"/>
          <w:sz w:val="24"/>
          <w:szCs w:val="24"/>
        </w:rPr>
        <w:t>:</w:t>
      </w:r>
    </w:p>
    <w:p w14:paraId="104771F4" w14:textId="2267F2EB" w:rsidR="007D5EC3" w:rsidRPr="000314BB" w:rsidRDefault="00C82265" w:rsidP="007D5EC3">
      <w:pPr>
        <w:pStyle w:val="BodyText"/>
        <w:tabs>
          <w:tab w:val="left" w:pos="1620"/>
        </w:tabs>
        <w:spacing w:after="0" w:line="240" w:lineRule="auto"/>
        <w:ind w:firstLine="284"/>
        <w:jc w:val="both"/>
        <w:rPr>
          <w:rFonts w:ascii="Garamond" w:hAnsi="Garamond" w:cs="Times New Roman"/>
          <w:sz w:val="24"/>
          <w:szCs w:val="24"/>
        </w:rPr>
      </w:pPr>
      <w:r>
        <w:rPr>
          <w:rFonts w:ascii="Garamond" w:hAnsi="Garamond" w:cs="Times New Roman"/>
          <w:i/>
          <w:iCs/>
          <w:sz w:val="24"/>
          <w:szCs w:val="24"/>
        </w:rPr>
        <w:t>14.1.1</w:t>
      </w:r>
      <w:r w:rsidR="00E879FA">
        <w:rPr>
          <w:rFonts w:ascii="Garamond" w:hAnsi="Garamond" w:cs="Times New Roman"/>
          <w:i/>
          <w:iCs/>
          <w:sz w:val="24"/>
          <w:szCs w:val="24"/>
        </w:rPr>
        <w:t xml:space="preserve"> </w:t>
      </w:r>
      <w:r w:rsidR="007D5EC3" w:rsidRPr="000314BB">
        <w:rPr>
          <w:rFonts w:ascii="Garamond" w:hAnsi="Garamond" w:cs="Times New Roman"/>
          <w:i/>
          <w:iCs/>
          <w:sz w:val="24"/>
          <w:szCs w:val="24"/>
        </w:rPr>
        <w:t>Pretendimi për cenimin e së drejtës për t’u gjykuar nga një gjykatë e caktuar me ligj</w:t>
      </w:r>
      <w:r w:rsidR="007D5EC3" w:rsidRPr="000314BB">
        <w:rPr>
          <w:rFonts w:ascii="Garamond" w:hAnsi="Garamond" w:cs="Times New Roman"/>
          <w:sz w:val="24"/>
          <w:szCs w:val="24"/>
        </w:rPr>
        <w:t xml:space="preserve"> është i pabazuar, pasi vetëm fakti që Gjykata e Lartë ka vendosur lënien në fuqi të vendimit të gjykatës së shkallës së parë që ka rrëzuar kërkesëpadinë nuk lë dyshime për cenimin e kësaj të drejte. Fakti që Gjykata e Lartë brenda kompetencave të saj, e ndodhur midis me dy vendimeve të gjykatave më të ulëta që kanë interpretuar ndryshe ligjin dhe kanë vlerësuar ndryshe provat për përgjegjësinë për shpërblimin e dëmit, duke e vlerësuar të drejtë vendimin e gjykatës së shkallës së parë, nuk ka sjellë cenim të së drejtës për proces të rregullt ligjor. Kërkuesit nuk kanë identifikuar asnjë provë ose fakt që është interpretuar ndryshe nga Gjykata e Lartë. Duke pasur parasysh natyrën e gjykimit që zhvillon ajo gjykatë, është i pashmangshëm referimi në prova e në fakte për të interpretuar ligjin në përputhje me to.</w:t>
      </w:r>
    </w:p>
    <w:p w14:paraId="1FEB5311" w14:textId="134EAD91" w:rsidR="007D5EC3" w:rsidRPr="000314BB" w:rsidRDefault="00C82265" w:rsidP="007D5EC3">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i/>
          <w:iCs/>
          <w:sz w:val="24"/>
          <w:szCs w:val="24"/>
        </w:rPr>
        <w:lastRenderedPageBreak/>
        <w:t>14.1.2</w:t>
      </w:r>
      <w:r w:rsidR="007D5EC3" w:rsidRPr="000314BB">
        <w:rPr>
          <w:rFonts w:ascii="Garamond" w:hAnsi="Garamond" w:cs="Times New Roman"/>
          <w:i/>
          <w:iCs/>
          <w:sz w:val="24"/>
          <w:szCs w:val="24"/>
        </w:rPr>
        <w:t xml:space="preserve"> Pretendimi për të drejtën e </w:t>
      </w:r>
      <w:proofErr w:type="spellStart"/>
      <w:r w:rsidR="007D5EC3" w:rsidRPr="000314BB">
        <w:rPr>
          <w:rFonts w:ascii="Garamond" w:hAnsi="Garamond" w:cs="Times New Roman"/>
          <w:i/>
          <w:iCs/>
          <w:sz w:val="24"/>
          <w:szCs w:val="24"/>
        </w:rPr>
        <w:t>aksesit</w:t>
      </w:r>
      <w:proofErr w:type="spellEnd"/>
      <w:r w:rsidR="007D5EC3" w:rsidRPr="000314BB">
        <w:rPr>
          <w:rFonts w:ascii="Garamond" w:hAnsi="Garamond" w:cs="Times New Roman"/>
          <w:i/>
          <w:iCs/>
          <w:sz w:val="24"/>
          <w:szCs w:val="24"/>
        </w:rPr>
        <w:t xml:space="preserve"> substancial dhe të standardit të arsyetimit të vendimit, </w:t>
      </w:r>
      <w:r w:rsidR="007D5EC3" w:rsidRPr="000314BB">
        <w:rPr>
          <w:rFonts w:ascii="Garamond" w:hAnsi="Garamond" w:cs="Times New Roman"/>
          <w:sz w:val="24"/>
          <w:szCs w:val="24"/>
        </w:rPr>
        <w:t xml:space="preserve">nuk është i bazuar, sepse Gjykata e Lartë ka arsyetuar vendimin në respektim të standardeve kushtetuese. Për më tepër, kërkuesit nuk kanë arritur të sjellin argumente konkrete se Gjykata e Lartë nëpërmjet vendimmarrjes së saj, ka cenuar edhe parimin e sigurisë juridike. </w:t>
      </w:r>
    </w:p>
    <w:p w14:paraId="21DE7A36" w14:textId="655BC9D8" w:rsidR="007D5EC3" w:rsidRPr="000314BB" w:rsidRDefault="00C82265" w:rsidP="007D5EC3">
      <w:pPr>
        <w:pStyle w:val="BodyText"/>
        <w:tabs>
          <w:tab w:val="left" w:pos="1260"/>
        </w:tabs>
        <w:spacing w:after="0" w:line="240" w:lineRule="auto"/>
        <w:ind w:firstLine="284"/>
        <w:jc w:val="both"/>
        <w:rPr>
          <w:rFonts w:ascii="Garamond" w:hAnsi="Garamond" w:cs="Times New Roman"/>
          <w:sz w:val="24"/>
          <w:szCs w:val="24"/>
        </w:rPr>
      </w:pPr>
      <w:r>
        <w:rPr>
          <w:rFonts w:ascii="Garamond" w:hAnsi="Garamond" w:cs="Times New Roman"/>
          <w:i/>
          <w:iCs/>
          <w:sz w:val="24"/>
          <w:szCs w:val="24"/>
        </w:rPr>
        <w:t>14.2</w:t>
      </w:r>
      <w:r w:rsidR="007D5EC3" w:rsidRPr="000314BB">
        <w:rPr>
          <w:rFonts w:ascii="Garamond" w:hAnsi="Garamond" w:cs="Times New Roman"/>
          <w:i/>
          <w:iCs/>
          <w:sz w:val="24"/>
          <w:szCs w:val="24"/>
        </w:rPr>
        <w:t xml:space="preserve"> Pretendimi për cenimin e së drejtës së pronës </w:t>
      </w:r>
      <w:r w:rsidR="007D5EC3" w:rsidRPr="000314BB">
        <w:rPr>
          <w:rFonts w:ascii="Garamond" w:hAnsi="Garamond" w:cs="Times New Roman"/>
          <w:sz w:val="24"/>
          <w:szCs w:val="24"/>
        </w:rPr>
        <w:t>nuk është i bazuar, pasi pretendimi është i lidhur me kërkimet e tjera të sipërcituara, për të cilat kërkuesit nuk kanë arritur të evidentojnë dhe të paraqesin përpara Gjykatës argumente konkrete. Çështja e dëmshpërblimit është vënë në diskutim gjatë të gjithë procesit gjyqësor dhe kërkuesit kanë pasur mundësi për të paraqitur argumentet e tyre e të debatonin rreth tyre.</w:t>
      </w:r>
    </w:p>
    <w:p w14:paraId="6F032495" w14:textId="77777777" w:rsidR="007D5EC3" w:rsidRPr="000314BB" w:rsidRDefault="007D5EC3" w:rsidP="007D5EC3">
      <w:pPr>
        <w:pStyle w:val="BodyText"/>
        <w:tabs>
          <w:tab w:val="left" w:pos="1080"/>
        </w:tabs>
        <w:spacing w:after="0" w:line="240" w:lineRule="auto"/>
        <w:ind w:firstLine="284"/>
        <w:jc w:val="both"/>
        <w:rPr>
          <w:rFonts w:ascii="Garamond" w:hAnsi="Garamond" w:cs="Times New Roman"/>
          <w:sz w:val="24"/>
          <w:szCs w:val="24"/>
        </w:rPr>
      </w:pPr>
    </w:p>
    <w:p w14:paraId="669F6675" w14:textId="77777777" w:rsidR="007D5EC3" w:rsidRPr="000314BB" w:rsidRDefault="007D5EC3" w:rsidP="007D5EC3">
      <w:pPr>
        <w:tabs>
          <w:tab w:val="left" w:pos="1080"/>
        </w:tabs>
        <w:spacing w:after="0" w:line="240" w:lineRule="auto"/>
        <w:ind w:firstLine="284"/>
        <w:jc w:val="center"/>
        <w:rPr>
          <w:rFonts w:ascii="Garamond" w:hAnsi="Garamond" w:cs="Times New Roman"/>
          <w:b/>
          <w:bCs/>
          <w:sz w:val="24"/>
          <w:szCs w:val="24"/>
        </w:rPr>
      </w:pPr>
      <w:proofErr w:type="spellStart"/>
      <w:r w:rsidRPr="000314BB">
        <w:rPr>
          <w:rFonts w:ascii="Garamond" w:hAnsi="Garamond" w:cs="Times New Roman"/>
          <w:b/>
          <w:bCs/>
          <w:sz w:val="24"/>
          <w:szCs w:val="24"/>
        </w:rPr>
        <w:t>III</w:t>
      </w:r>
      <w:proofErr w:type="spellEnd"/>
    </w:p>
    <w:p w14:paraId="0C2A79F0" w14:textId="77777777" w:rsidR="007D5EC3" w:rsidRPr="000314BB" w:rsidRDefault="007D5EC3" w:rsidP="007D5EC3">
      <w:pPr>
        <w:tabs>
          <w:tab w:val="left" w:pos="980"/>
        </w:tabs>
        <w:spacing w:after="0" w:line="240" w:lineRule="auto"/>
        <w:ind w:firstLine="284"/>
        <w:jc w:val="center"/>
        <w:rPr>
          <w:rFonts w:ascii="Garamond" w:hAnsi="Garamond" w:cs="Times New Roman"/>
          <w:b/>
          <w:bCs/>
          <w:sz w:val="24"/>
          <w:szCs w:val="24"/>
        </w:rPr>
      </w:pPr>
      <w:r w:rsidRPr="000314BB">
        <w:rPr>
          <w:rFonts w:ascii="Garamond" w:hAnsi="Garamond" w:cs="Times New Roman"/>
          <w:b/>
          <w:bCs/>
          <w:sz w:val="24"/>
          <w:szCs w:val="24"/>
        </w:rPr>
        <w:t>Vlerësimi i Gjykatës Kushtetuese</w:t>
      </w:r>
    </w:p>
    <w:p w14:paraId="32730A8D" w14:textId="77777777" w:rsidR="000314BB" w:rsidRPr="000314BB" w:rsidRDefault="000314BB" w:rsidP="007D5EC3">
      <w:pPr>
        <w:pStyle w:val="ListParagraph"/>
        <w:tabs>
          <w:tab w:val="left" w:pos="1080"/>
        </w:tabs>
        <w:spacing w:after="0" w:line="240" w:lineRule="auto"/>
        <w:ind w:left="0" w:firstLine="284"/>
        <w:rPr>
          <w:rFonts w:ascii="Garamond" w:hAnsi="Garamond" w:cs="Times New Roman"/>
          <w:i/>
          <w:iCs/>
          <w:sz w:val="24"/>
          <w:szCs w:val="24"/>
        </w:rPr>
      </w:pPr>
    </w:p>
    <w:p w14:paraId="5494A116" w14:textId="2E5CA001" w:rsidR="007D5EC3" w:rsidRPr="000314BB" w:rsidRDefault="007D5EC3" w:rsidP="007D5EC3">
      <w:pPr>
        <w:pStyle w:val="ListParagraph"/>
        <w:tabs>
          <w:tab w:val="left" w:pos="1080"/>
        </w:tabs>
        <w:spacing w:after="0" w:line="240" w:lineRule="auto"/>
        <w:ind w:left="0" w:firstLine="284"/>
        <w:rPr>
          <w:rFonts w:ascii="Garamond" w:hAnsi="Garamond" w:cs="Times New Roman"/>
          <w:i/>
          <w:iCs/>
          <w:sz w:val="24"/>
          <w:szCs w:val="24"/>
        </w:rPr>
      </w:pPr>
      <w:r w:rsidRPr="000314BB">
        <w:rPr>
          <w:rFonts w:ascii="Garamond" w:hAnsi="Garamond" w:cs="Times New Roman"/>
          <w:i/>
          <w:iCs/>
          <w:sz w:val="24"/>
          <w:szCs w:val="24"/>
        </w:rPr>
        <w:t>A. Për legjitimimin e kërkuesve</w:t>
      </w:r>
    </w:p>
    <w:p w14:paraId="64F4ABF8" w14:textId="3102827E" w:rsidR="007D5EC3" w:rsidRPr="000314BB" w:rsidRDefault="007D5EC3" w:rsidP="007D5EC3">
      <w:pPr>
        <w:pStyle w:val="ListParagraph"/>
        <w:tabs>
          <w:tab w:val="left" w:pos="1080"/>
        </w:tabs>
        <w:spacing w:after="0" w:line="240" w:lineRule="auto"/>
        <w:ind w:left="0" w:firstLine="284"/>
        <w:jc w:val="both"/>
        <w:rPr>
          <w:rFonts w:ascii="Garamond" w:hAnsi="Garamond" w:cs="Times New Roman"/>
          <w:i/>
          <w:iCs/>
          <w:sz w:val="24"/>
          <w:szCs w:val="24"/>
        </w:rPr>
      </w:pPr>
      <w:r w:rsidRPr="000314BB">
        <w:rPr>
          <w:rFonts w:ascii="Garamond" w:hAnsi="Garamond" w:cs="Times New Roman"/>
          <w:sz w:val="24"/>
          <w:szCs w:val="24"/>
        </w:rPr>
        <w:t>15. Çështja e legjitimimit (</w:t>
      </w:r>
      <w:proofErr w:type="spellStart"/>
      <w:r w:rsidRPr="000314BB">
        <w:rPr>
          <w:rFonts w:ascii="Garamond" w:hAnsi="Garamond" w:cs="Times New Roman"/>
          <w:i/>
          <w:iCs/>
          <w:sz w:val="24"/>
          <w:szCs w:val="24"/>
        </w:rPr>
        <w:t>locus</w:t>
      </w:r>
      <w:proofErr w:type="spellEnd"/>
      <w:r w:rsidRPr="000314BB">
        <w:rPr>
          <w:rFonts w:ascii="Garamond" w:hAnsi="Garamond" w:cs="Times New Roman"/>
          <w:i/>
          <w:iCs/>
          <w:sz w:val="24"/>
          <w:szCs w:val="24"/>
        </w:rPr>
        <w:t xml:space="preserve"> </w:t>
      </w:r>
      <w:proofErr w:type="spellStart"/>
      <w:r w:rsidRPr="000314BB">
        <w:rPr>
          <w:rFonts w:ascii="Garamond" w:hAnsi="Garamond" w:cs="Times New Roman"/>
          <w:i/>
          <w:iCs/>
          <w:sz w:val="24"/>
          <w:szCs w:val="24"/>
        </w:rPr>
        <w:t>standi</w:t>
      </w:r>
      <w:proofErr w:type="spellEnd"/>
      <w:r w:rsidRPr="000314BB">
        <w:rPr>
          <w:rFonts w:ascii="Garamond" w:hAnsi="Garamond" w:cs="Times New Roman"/>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0314BB">
        <w:rPr>
          <w:rFonts w:ascii="Garamond" w:hAnsi="Garamond" w:cs="Times New Roman"/>
          <w:sz w:val="24"/>
          <w:szCs w:val="24"/>
        </w:rPr>
        <w:t>kumulative</w:t>
      </w:r>
      <w:proofErr w:type="spellEnd"/>
      <w:r w:rsidRPr="000314BB">
        <w:rPr>
          <w:rFonts w:ascii="Garamond" w:hAnsi="Garamond" w:cs="Times New Roman"/>
          <w:sz w:val="24"/>
          <w:szCs w:val="24"/>
        </w:rPr>
        <w:t xml:space="preserve"> të parashikuara nga neni 71/a i Ligjit Organik të Gjykatës,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19764747" w14:textId="7E343BA5"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16. Në zbatim të këtyre standardeve, Gjykata vlerëson se kërkuesit, si individë, legjitimohen </w:t>
      </w:r>
      <w:proofErr w:type="spellStart"/>
      <w:r w:rsidRPr="000314BB">
        <w:rPr>
          <w:rFonts w:ascii="Garamond" w:hAnsi="Garamond" w:cs="Times New Roman"/>
          <w:i/>
          <w:iCs/>
          <w:sz w:val="24"/>
          <w:szCs w:val="24"/>
        </w:rPr>
        <w:t>ratione</w:t>
      </w:r>
      <w:proofErr w:type="spellEnd"/>
      <w:r w:rsidRPr="000314BB">
        <w:rPr>
          <w:rFonts w:ascii="Garamond" w:hAnsi="Garamond" w:cs="Times New Roman"/>
          <w:i/>
          <w:iCs/>
          <w:sz w:val="24"/>
          <w:szCs w:val="24"/>
        </w:rPr>
        <w:t xml:space="preserve"> </w:t>
      </w:r>
      <w:proofErr w:type="spellStart"/>
      <w:r w:rsidRPr="000314BB">
        <w:rPr>
          <w:rFonts w:ascii="Garamond" w:hAnsi="Garamond" w:cs="Times New Roman"/>
          <w:i/>
          <w:iCs/>
          <w:sz w:val="24"/>
          <w:szCs w:val="24"/>
        </w:rPr>
        <w:t>personae</w:t>
      </w:r>
      <w:proofErr w:type="spellEnd"/>
      <w:r w:rsidRPr="000314BB">
        <w:rPr>
          <w:rFonts w:ascii="Garamond" w:hAnsi="Garamond" w:cs="Times New Roman"/>
          <w:i/>
          <w:iCs/>
          <w:sz w:val="24"/>
          <w:szCs w:val="24"/>
        </w:rPr>
        <w:t>,</w:t>
      </w:r>
      <w:r w:rsidRPr="000314BB">
        <w:rPr>
          <w:rFonts w:ascii="Garamond" w:hAnsi="Garamond" w:cs="Times New Roman"/>
          <w:sz w:val="24"/>
          <w:szCs w:val="24"/>
        </w:rPr>
        <w:t xml:space="preserve"> në kuptim të neneve 131, pika 1, shkronja “f”, dhe 134, pika 1, shkronja “i”, të Kushtetutës, sepse kanë qenë palë në procesin gjyqësor në të cilin janë dhënë vendimet objekt kundërshtimi në këtë Gjykatë.</w:t>
      </w:r>
    </w:p>
    <w:p w14:paraId="69991DC5" w14:textId="3AA6FCC7"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17. Në lidhje me kriterin e </w:t>
      </w:r>
      <w:r w:rsidRPr="000314BB">
        <w:rPr>
          <w:rFonts w:ascii="Garamond" w:hAnsi="Garamond" w:cs="Times New Roman"/>
          <w:i/>
          <w:iCs/>
          <w:sz w:val="24"/>
          <w:szCs w:val="24"/>
        </w:rPr>
        <w:t>shterimit të mjeteve juridike efektive</w:t>
      </w:r>
      <w:r w:rsidRPr="000314BB">
        <w:rPr>
          <w:rFonts w:ascii="Garamond" w:hAnsi="Garamond" w:cs="Times New Roman"/>
          <w:sz w:val="24"/>
          <w:szCs w:val="24"/>
        </w:rPr>
        <w:t>, që përcaktohet nga neni 131, pika 1, shkronja “f”, i Kushtetutës, Gjykata vëren se kërkuesit i janë drejtuar asaj pas përfundimit të procesit gjyqësor të përmbyllur me vendimin e Gjykatës së Lartë dhe pasi kanë shteruar mjetet e zakonshme të ankimit ndaj vendimeve të gjykatave më të ulëta. Për rrjedhojë, ata nuk kanë mjete të tjera juridike efektive në dispozicion për mbrojtjen e të drejtave të tyre kushtetuese përveç paraqitjes së ankimit kushtetues individual.</w:t>
      </w:r>
    </w:p>
    <w:p w14:paraId="32180A80" w14:textId="1DE87712"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18. Lidhur me legjitimimin </w:t>
      </w:r>
      <w:proofErr w:type="spellStart"/>
      <w:r w:rsidRPr="000314BB">
        <w:rPr>
          <w:rFonts w:ascii="Garamond" w:hAnsi="Garamond" w:cs="Times New Roman"/>
          <w:i/>
          <w:iCs/>
          <w:sz w:val="24"/>
          <w:szCs w:val="24"/>
        </w:rPr>
        <w:t>ratione</w:t>
      </w:r>
      <w:proofErr w:type="spellEnd"/>
      <w:r w:rsidRPr="000314BB">
        <w:rPr>
          <w:rFonts w:ascii="Garamond" w:hAnsi="Garamond" w:cs="Times New Roman"/>
          <w:i/>
          <w:iCs/>
          <w:sz w:val="24"/>
          <w:szCs w:val="24"/>
        </w:rPr>
        <w:t xml:space="preserve"> </w:t>
      </w:r>
      <w:proofErr w:type="spellStart"/>
      <w:r w:rsidRPr="000314BB">
        <w:rPr>
          <w:rFonts w:ascii="Garamond" w:hAnsi="Garamond" w:cs="Times New Roman"/>
          <w:i/>
          <w:iCs/>
          <w:sz w:val="24"/>
          <w:szCs w:val="24"/>
        </w:rPr>
        <w:t>temporis</w:t>
      </w:r>
      <w:proofErr w:type="spellEnd"/>
      <w:r w:rsidRPr="000314BB">
        <w:rPr>
          <w:rFonts w:ascii="Garamond" w:hAnsi="Garamond" w:cs="Times New Roman"/>
          <w:sz w:val="24"/>
          <w:szCs w:val="24"/>
        </w:rPr>
        <w:t>, neni 71/a, pika 1, shkronja “b”, i Ligjit Organik të Gjykatës ka parashikuar se ankimi kushtetues individual duhet të paraqitet brenda afatit ligjor 4-mujor nga konstatimi i cenimit. Në rastin konkret, kërkuesit e përmbushin edhe këtë kriter, pasi ven</w:t>
      </w:r>
      <w:r w:rsidR="00C82265">
        <w:rPr>
          <w:rFonts w:ascii="Garamond" w:hAnsi="Garamond" w:cs="Times New Roman"/>
          <w:sz w:val="24"/>
          <w:szCs w:val="24"/>
        </w:rPr>
        <w:t xml:space="preserve">dimi i kundërshtuar mban datën </w:t>
      </w:r>
      <w:r w:rsidRPr="000314BB">
        <w:rPr>
          <w:rFonts w:ascii="Garamond" w:hAnsi="Garamond" w:cs="Times New Roman"/>
          <w:sz w:val="24"/>
          <w:szCs w:val="24"/>
        </w:rPr>
        <w:t>4.12.2024, ndërsa sipas informacionit të përcjellë nga Gjykata e Lartë ai është publikuar në f</w:t>
      </w:r>
      <w:r w:rsidR="00C82265">
        <w:rPr>
          <w:rFonts w:ascii="Garamond" w:hAnsi="Garamond" w:cs="Times New Roman"/>
          <w:sz w:val="24"/>
          <w:szCs w:val="24"/>
        </w:rPr>
        <w:t>aqen e saj zyrtare në datën 25.</w:t>
      </w:r>
      <w:r w:rsidRPr="000314BB">
        <w:rPr>
          <w:rFonts w:ascii="Garamond" w:hAnsi="Garamond" w:cs="Times New Roman"/>
          <w:sz w:val="24"/>
          <w:szCs w:val="24"/>
        </w:rPr>
        <w:t>3.2025. Duke qenë se ankimi kushtetues individual është paraqi</w:t>
      </w:r>
      <w:r w:rsidR="00C82265">
        <w:rPr>
          <w:rFonts w:ascii="Garamond" w:hAnsi="Garamond" w:cs="Times New Roman"/>
          <w:sz w:val="24"/>
          <w:szCs w:val="24"/>
        </w:rPr>
        <w:t>tur në Gjykatë në datën 24.</w:t>
      </w:r>
      <w:r w:rsidRPr="000314BB">
        <w:rPr>
          <w:rFonts w:ascii="Garamond" w:hAnsi="Garamond" w:cs="Times New Roman"/>
          <w:sz w:val="24"/>
          <w:szCs w:val="24"/>
        </w:rPr>
        <w:t>7.2025, ai konsiderohet se është depozituar brenda afatit ligjor 4-mujor.</w:t>
      </w:r>
    </w:p>
    <w:p w14:paraId="5F57949C" w14:textId="6858F1D6" w:rsidR="007D5EC3" w:rsidRPr="000314BB" w:rsidRDefault="007D5EC3" w:rsidP="007D5EC3">
      <w:pPr>
        <w:tabs>
          <w:tab w:val="left" w:pos="1080"/>
        </w:tabs>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 xml:space="preserve">19. Lidhur me legjitimimin </w:t>
      </w:r>
      <w:proofErr w:type="spellStart"/>
      <w:r w:rsidRPr="000314BB">
        <w:rPr>
          <w:rFonts w:ascii="Garamond" w:hAnsi="Garamond" w:cs="Times New Roman"/>
          <w:i/>
          <w:iCs/>
          <w:sz w:val="24"/>
          <w:szCs w:val="24"/>
        </w:rPr>
        <w:t>ratione</w:t>
      </w:r>
      <w:proofErr w:type="spellEnd"/>
      <w:r w:rsidRPr="000314BB">
        <w:rPr>
          <w:rFonts w:ascii="Garamond" w:hAnsi="Garamond" w:cs="Times New Roman"/>
          <w:i/>
          <w:iCs/>
          <w:sz w:val="24"/>
          <w:szCs w:val="24"/>
        </w:rPr>
        <w:t xml:space="preserve"> </w:t>
      </w:r>
      <w:proofErr w:type="spellStart"/>
      <w:r w:rsidRPr="000314BB">
        <w:rPr>
          <w:rFonts w:ascii="Garamond" w:hAnsi="Garamond" w:cs="Times New Roman"/>
          <w:i/>
          <w:iCs/>
          <w:sz w:val="24"/>
          <w:szCs w:val="24"/>
        </w:rPr>
        <w:t>materiae</w:t>
      </w:r>
      <w:proofErr w:type="spellEnd"/>
      <w:r w:rsidRPr="000314BB">
        <w:rPr>
          <w:rFonts w:ascii="Garamond" w:hAnsi="Garamond" w:cs="Times New Roman"/>
          <w:sz w:val="24"/>
          <w:szCs w:val="24"/>
        </w:rPr>
        <w:t xml:space="preserve">, kërkuesit kanë pretenduar cenimin e së </w:t>
      </w:r>
      <w:r w:rsidRPr="000314BB">
        <w:rPr>
          <w:rFonts w:ascii="Garamond" w:hAnsi="Garamond" w:cs="Times New Roman"/>
          <w:i/>
          <w:iCs/>
          <w:sz w:val="24"/>
          <w:szCs w:val="24"/>
        </w:rPr>
        <w:t>drejtës për një proces të rregullt ligjor</w:t>
      </w:r>
      <w:r w:rsidRPr="000314BB">
        <w:rPr>
          <w:rFonts w:ascii="Garamond" w:hAnsi="Garamond" w:cs="Times New Roman"/>
          <w:sz w:val="24"/>
          <w:szCs w:val="24"/>
        </w:rPr>
        <w:t xml:space="preserve"> në drejtim të së </w:t>
      </w:r>
      <w:r w:rsidRPr="000314BB">
        <w:rPr>
          <w:rFonts w:ascii="Garamond" w:hAnsi="Garamond" w:cs="Times New Roman"/>
          <w:i/>
          <w:iCs/>
          <w:sz w:val="24"/>
          <w:szCs w:val="24"/>
        </w:rPr>
        <w:t xml:space="preserve">drejtës për t’u gjykuar nga një gjykatë e caktuar me ligj, të </w:t>
      </w:r>
      <w:proofErr w:type="spellStart"/>
      <w:r w:rsidRPr="000314BB">
        <w:rPr>
          <w:rFonts w:ascii="Garamond" w:hAnsi="Garamond" w:cs="Times New Roman"/>
          <w:i/>
          <w:iCs/>
          <w:sz w:val="24"/>
          <w:szCs w:val="24"/>
        </w:rPr>
        <w:t>aksesit</w:t>
      </w:r>
      <w:proofErr w:type="spellEnd"/>
      <w:r w:rsidRPr="000314BB">
        <w:rPr>
          <w:rFonts w:ascii="Garamond" w:hAnsi="Garamond" w:cs="Times New Roman"/>
          <w:i/>
          <w:iCs/>
          <w:sz w:val="24"/>
          <w:szCs w:val="24"/>
        </w:rPr>
        <w:t xml:space="preserve"> substancial dhe të standardit të arsyetimit të vendimit gjyqësor, parimit të sigurisë juridike, </w:t>
      </w:r>
      <w:r w:rsidRPr="000314BB">
        <w:rPr>
          <w:rFonts w:ascii="Garamond" w:hAnsi="Garamond" w:cs="Times New Roman"/>
          <w:sz w:val="24"/>
          <w:szCs w:val="24"/>
        </w:rPr>
        <w:t>si dhe</w:t>
      </w:r>
      <w:r w:rsidRPr="000314BB">
        <w:rPr>
          <w:rFonts w:ascii="Garamond" w:hAnsi="Garamond" w:cs="Times New Roman"/>
          <w:i/>
          <w:iCs/>
          <w:sz w:val="24"/>
          <w:szCs w:val="24"/>
        </w:rPr>
        <w:t xml:space="preserve"> së drejtës së pronës</w:t>
      </w:r>
      <w:r w:rsidRPr="000314BB">
        <w:rPr>
          <w:rFonts w:ascii="Garamond" w:hAnsi="Garamond" w:cs="Times New Roman"/>
          <w:sz w:val="24"/>
          <w:szCs w:val="24"/>
        </w:rPr>
        <w:t>.</w:t>
      </w:r>
      <w:r w:rsidR="00E879FA">
        <w:rPr>
          <w:rFonts w:ascii="Garamond" w:hAnsi="Garamond" w:cs="Times New Roman"/>
          <w:sz w:val="24"/>
          <w:szCs w:val="24"/>
        </w:rPr>
        <w:t xml:space="preserve"> </w:t>
      </w:r>
    </w:p>
    <w:p w14:paraId="3DED02C8" w14:textId="0636FF84"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20. Për sa i përket pretendimit për </w:t>
      </w:r>
      <w:r w:rsidRPr="000314BB">
        <w:rPr>
          <w:rFonts w:ascii="Garamond" w:hAnsi="Garamond" w:cs="Times New Roman"/>
          <w:i/>
          <w:iCs/>
          <w:sz w:val="24"/>
          <w:szCs w:val="24"/>
        </w:rPr>
        <w:t>cenimin e parimit të sigurisë juridike</w:t>
      </w:r>
      <w:r w:rsidRPr="000314BB">
        <w:rPr>
          <w:rFonts w:ascii="Garamond" w:hAnsi="Garamond" w:cs="Times New Roman"/>
          <w:sz w:val="24"/>
          <w:szCs w:val="24"/>
        </w:rPr>
        <w:t xml:space="preserve">, Gjykata vëren se kërkuesit kanë parashtruar se vendimi i Gjykatës së Lartë ka anuluar pasojat e një vendimi gjyqësor të formës së prerë. Për të njëjtin argument kërkuesit kanë pretenduar edhe cenimin e </w:t>
      </w:r>
      <w:r w:rsidRPr="000314BB">
        <w:rPr>
          <w:rFonts w:ascii="Garamond" w:hAnsi="Garamond" w:cs="Times New Roman"/>
          <w:i/>
          <w:iCs/>
          <w:sz w:val="24"/>
          <w:szCs w:val="24"/>
        </w:rPr>
        <w:t>së drejtës së pronës</w:t>
      </w:r>
      <w:r w:rsidRPr="000314BB">
        <w:rPr>
          <w:rFonts w:ascii="Garamond" w:hAnsi="Garamond" w:cs="Times New Roman"/>
          <w:sz w:val="24"/>
          <w:szCs w:val="24"/>
        </w:rPr>
        <w:t xml:space="preserve">. </w:t>
      </w:r>
    </w:p>
    <w:p w14:paraId="489091E4" w14:textId="3C583883"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21. Për sa u përket të drejtave të fituara, si elemente të parimit të sigurisë juridike, në rastin e vendimeve gjyqësore të formës së prerë, Gjykata ka pohuar se siguria juridike nënkupton se kur gjykata ka vendosur përfundimisht për një çështje, vendimi i saj nuk duhet të vihet në dyshim (</w:t>
      </w:r>
      <w:r w:rsidR="00C82265">
        <w:rPr>
          <w:rFonts w:ascii="Garamond" w:hAnsi="Garamond" w:cs="Times New Roman"/>
          <w:i/>
          <w:iCs/>
          <w:sz w:val="24"/>
          <w:szCs w:val="24"/>
        </w:rPr>
        <w:t>shih vendimet nr. 10, datë 13.2.2017; nr. 23, datë 8.</w:t>
      </w:r>
      <w:r w:rsidRPr="000314BB">
        <w:rPr>
          <w:rFonts w:ascii="Garamond" w:hAnsi="Garamond" w:cs="Times New Roman"/>
          <w:i/>
          <w:iCs/>
          <w:sz w:val="24"/>
          <w:szCs w:val="24"/>
        </w:rPr>
        <w:t>6.2007</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 dhe se një vendim përfundimtar i formës së prerë është gjë e gjykuar kur zgjidh mosmarrëveshjen midis palëve në mënyrë përfundimtare (</w:t>
      </w:r>
      <w:r w:rsidRPr="000314BB">
        <w:rPr>
          <w:rFonts w:ascii="Garamond" w:hAnsi="Garamond" w:cs="Times New Roman"/>
          <w:i/>
          <w:iCs/>
          <w:sz w:val="24"/>
          <w:szCs w:val="24"/>
        </w:rPr>
        <w:t>shih vendimin nr. 12, da</w:t>
      </w:r>
      <w:r w:rsidR="00C82265">
        <w:rPr>
          <w:rFonts w:ascii="Garamond" w:hAnsi="Garamond" w:cs="Times New Roman"/>
          <w:i/>
          <w:iCs/>
          <w:sz w:val="24"/>
          <w:szCs w:val="24"/>
        </w:rPr>
        <w:t>të 17.</w:t>
      </w:r>
      <w:r w:rsidRPr="000314BB">
        <w:rPr>
          <w:rFonts w:ascii="Garamond" w:hAnsi="Garamond" w:cs="Times New Roman"/>
          <w:i/>
          <w:iCs/>
          <w:sz w:val="24"/>
          <w:szCs w:val="24"/>
        </w:rPr>
        <w:t>3.2014</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 xml:space="preserve">). Kurse në lidhje me parimin </w:t>
      </w:r>
      <w:proofErr w:type="spellStart"/>
      <w:r w:rsidRPr="000314BB">
        <w:rPr>
          <w:rFonts w:ascii="Garamond" w:hAnsi="Garamond" w:cs="Times New Roman"/>
          <w:i/>
          <w:iCs/>
          <w:sz w:val="24"/>
          <w:szCs w:val="24"/>
        </w:rPr>
        <w:t>res</w:t>
      </w:r>
      <w:proofErr w:type="spellEnd"/>
      <w:r w:rsidRPr="000314BB">
        <w:rPr>
          <w:rFonts w:ascii="Garamond" w:hAnsi="Garamond" w:cs="Times New Roman"/>
          <w:i/>
          <w:iCs/>
          <w:sz w:val="24"/>
          <w:szCs w:val="24"/>
        </w:rPr>
        <w:t xml:space="preserve"> </w:t>
      </w:r>
      <w:proofErr w:type="spellStart"/>
      <w:r w:rsidRPr="000314BB">
        <w:rPr>
          <w:rFonts w:ascii="Garamond" w:hAnsi="Garamond" w:cs="Times New Roman"/>
          <w:i/>
          <w:iCs/>
          <w:sz w:val="24"/>
          <w:szCs w:val="24"/>
        </w:rPr>
        <w:t>judicata</w:t>
      </w:r>
      <w:proofErr w:type="spellEnd"/>
      <w:r w:rsidRPr="000314BB">
        <w:rPr>
          <w:rFonts w:ascii="Garamond" w:hAnsi="Garamond" w:cs="Times New Roman"/>
          <w:i/>
          <w:iCs/>
          <w:sz w:val="24"/>
          <w:szCs w:val="24"/>
        </w:rPr>
        <w:t xml:space="preserve">, </w:t>
      </w:r>
      <w:r w:rsidRPr="000314BB">
        <w:rPr>
          <w:rFonts w:ascii="Garamond" w:hAnsi="Garamond" w:cs="Times New Roman"/>
          <w:sz w:val="24"/>
          <w:szCs w:val="24"/>
        </w:rPr>
        <w:t xml:space="preserve">Gjykata ka theksuar se në aspektin formal e procedural gjë e gjykuar </w:t>
      </w:r>
      <w:r w:rsidRPr="000314BB">
        <w:rPr>
          <w:rFonts w:ascii="Garamond" w:hAnsi="Garamond" w:cs="Times New Roman"/>
          <w:sz w:val="24"/>
          <w:szCs w:val="24"/>
        </w:rPr>
        <w:lastRenderedPageBreak/>
        <w:t xml:space="preserve">nënkupton përfundimin në drejtim të </w:t>
      </w:r>
      <w:proofErr w:type="spellStart"/>
      <w:r w:rsidRPr="000314BB">
        <w:rPr>
          <w:rFonts w:ascii="Garamond" w:hAnsi="Garamond" w:cs="Times New Roman"/>
          <w:sz w:val="24"/>
          <w:szCs w:val="24"/>
        </w:rPr>
        <w:t>mosankueshmërisë</w:t>
      </w:r>
      <w:proofErr w:type="spellEnd"/>
      <w:r w:rsidRPr="000314BB">
        <w:rPr>
          <w:rFonts w:ascii="Garamond" w:hAnsi="Garamond" w:cs="Times New Roman"/>
          <w:sz w:val="24"/>
          <w:szCs w:val="24"/>
        </w:rPr>
        <w:t xml:space="preserve"> së vendimit, ndërsa në atë substancial nënkupton fuqinë detyruese të vendimit </w:t>
      </w:r>
      <w:r w:rsidR="00C82265">
        <w:rPr>
          <w:rFonts w:ascii="Garamond" w:hAnsi="Garamond" w:cs="Times New Roman"/>
          <w:i/>
          <w:iCs/>
          <w:sz w:val="24"/>
          <w:szCs w:val="24"/>
        </w:rPr>
        <w:t>(shih vendimet nr. 7, datë 23.2.2021; nr. 4, datë 15.</w:t>
      </w:r>
      <w:r w:rsidRPr="000314BB">
        <w:rPr>
          <w:rFonts w:ascii="Garamond" w:hAnsi="Garamond" w:cs="Times New Roman"/>
          <w:i/>
          <w:iCs/>
          <w:sz w:val="24"/>
          <w:szCs w:val="24"/>
        </w:rPr>
        <w:t>2.2021; nr. 78, datë 12.12.2017</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w:t>
      </w:r>
    </w:p>
    <w:p w14:paraId="6D39AC7F" w14:textId="10A4E96D"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22. Në këtë kontekst, Gjykata vëren se vendimi i Gjykatës së Apelit Tiranë, për sa kohë ajo ka disponuar për detyrimin e palës së paditur/shoqërisë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për pagimin e një dëmshpërblimi në favor të kërkuesve, për shkak të humbjes së jetës të </w:t>
      </w:r>
      <w:proofErr w:type="spellStart"/>
      <w:r w:rsidRPr="000314BB">
        <w:rPr>
          <w:rFonts w:ascii="Garamond" w:hAnsi="Garamond" w:cs="Times New Roman"/>
          <w:sz w:val="24"/>
          <w:szCs w:val="24"/>
        </w:rPr>
        <w:t>të</w:t>
      </w:r>
      <w:proofErr w:type="spellEnd"/>
      <w:r w:rsidRPr="000314BB">
        <w:rPr>
          <w:rFonts w:ascii="Garamond" w:hAnsi="Garamond" w:cs="Times New Roman"/>
          <w:sz w:val="24"/>
          <w:szCs w:val="24"/>
        </w:rPr>
        <w:t xml:space="preserve"> afërmit të tyre dhe ekzekutimin e tij si titull ekzekutiv nga shërbimi përmbarimor gjyqësor, konsiderohet si vendim i formës së prerë në kuptim të fuqisë ekzekutive. Megjithatë, ai nuk përbën një vendim përfundimtar me fuqinë e gjësë së gjykuar (</w:t>
      </w:r>
      <w:proofErr w:type="spellStart"/>
      <w:r w:rsidRPr="000314BB">
        <w:rPr>
          <w:rFonts w:ascii="Garamond" w:hAnsi="Garamond" w:cs="Times New Roman"/>
          <w:i/>
          <w:iCs/>
          <w:sz w:val="24"/>
          <w:szCs w:val="24"/>
        </w:rPr>
        <w:t>res</w:t>
      </w:r>
      <w:proofErr w:type="spellEnd"/>
      <w:r w:rsidRPr="000314BB">
        <w:rPr>
          <w:rFonts w:ascii="Garamond" w:hAnsi="Garamond" w:cs="Times New Roman"/>
          <w:i/>
          <w:iCs/>
          <w:sz w:val="24"/>
          <w:szCs w:val="24"/>
        </w:rPr>
        <w:t xml:space="preserve"> </w:t>
      </w:r>
      <w:proofErr w:type="spellStart"/>
      <w:r w:rsidRPr="000314BB">
        <w:rPr>
          <w:rFonts w:ascii="Garamond" w:hAnsi="Garamond" w:cs="Times New Roman"/>
          <w:i/>
          <w:iCs/>
          <w:sz w:val="24"/>
          <w:szCs w:val="24"/>
        </w:rPr>
        <w:t>judicata</w:t>
      </w:r>
      <w:proofErr w:type="spellEnd"/>
      <w:r w:rsidRPr="000314BB">
        <w:rPr>
          <w:rFonts w:ascii="Garamond" w:hAnsi="Garamond" w:cs="Times New Roman"/>
          <w:sz w:val="24"/>
          <w:szCs w:val="24"/>
        </w:rPr>
        <w:t xml:space="preserve">) për sa i përket zgjidhjes në themel të mosmarrëveshjes mes palëve, për sa kohë që palët kanë përdorur mjetet e zakonshme të ankimit (pala e paditur ka paraqitur rekurs dhe kërkuesit/paditësit </w:t>
      </w:r>
      <w:proofErr w:type="spellStart"/>
      <w:r w:rsidRPr="000314BB">
        <w:rPr>
          <w:rFonts w:ascii="Garamond" w:hAnsi="Garamond" w:cs="Times New Roman"/>
          <w:sz w:val="24"/>
          <w:szCs w:val="24"/>
        </w:rPr>
        <w:t>kundërrekurs</w:t>
      </w:r>
      <w:proofErr w:type="spellEnd"/>
      <w:r w:rsidRPr="000314BB">
        <w:rPr>
          <w:rFonts w:ascii="Garamond" w:hAnsi="Garamond" w:cs="Times New Roman"/>
          <w:sz w:val="24"/>
          <w:szCs w:val="24"/>
        </w:rPr>
        <w:t>), duke e bërë në këtë mënyrë Gjykatën e Lartë kompetente për të shqyrtuar çështjen dhe për të vendosur për</w:t>
      </w:r>
      <w:r w:rsidR="00E879FA">
        <w:rPr>
          <w:rFonts w:ascii="Garamond" w:hAnsi="Garamond" w:cs="Times New Roman"/>
          <w:sz w:val="24"/>
          <w:szCs w:val="24"/>
        </w:rPr>
        <w:t xml:space="preserve"> </w:t>
      </w:r>
      <w:r w:rsidRPr="000314BB">
        <w:rPr>
          <w:rFonts w:ascii="Garamond" w:hAnsi="Garamond" w:cs="Times New Roman"/>
          <w:sz w:val="24"/>
          <w:szCs w:val="24"/>
        </w:rPr>
        <w:t xml:space="preserve">to. Për rrjedhojë, ndryshe nga sa parashtrojnë kërkuesit, nuk ka një vendim gjyqësor të </w:t>
      </w:r>
      <w:proofErr w:type="spellStart"/>
      <w:r w:rsidRPr="000314BB">
        <w:rPr>
          <w:rFonts w:ascii="Garamond" w:hAnsi="Garamond" w:cs="Times New Roman"/>
          <w:sz w:val="24"/>
          <w:szCs w:val="24"/>
        </w:rPr>
        <w:t>paankimueshëm</w:t>
      </w:r>
      <w:proofErr w:type="spellEnd"/>
      <w:r w:rsidRPr="000314BB">
        <w:rPr>
          <w:rFonts w:ascii="Garamond" w:hAnsi="Garamond" w:cs="Times New Roman"/>
          <w:sz w:val="24"/>
          <w:szCs w:val="24"/>
        </w:rPr>
        <w:t xml:space="preserve"> që të ketë vendosur përfundimisht për dëmshpërblimin, ndaj pretendimet për cenimin e parimit të sigurisë juridike dhe së drejtës së pronës janë haptazi të pabazuara. </w:t>
      </w:r>
    </w:p>
    <w:p w14:paraId="589B67B7" w14:textId="3DA81F6C"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23. Pretendimin për cenimin e së </w:t>
      </w:r>
      <w:r w:rsidRPr="000314BB">
        <w:rPr>
          <w:rFonts w:ascii="Garamond" w:hAnsi="Garamond" w:cs="Times New Roman"/>
          <w:i/>
          <w:iCs/>
          <w:sz w:val="24"/>
          <w:szCs w:val="24"/>
        </w:rPr>
        <w:t xml:space="preserve">drejtës së </w:t>
      </w:r>
      <w:proofErr w:type="spellStart"/>
      <w:r w:rsidRPr="000314BB">
        <w:rPr>
          <w:rFonts w:ascii="Garamond" w:hAnsi="Garamond" w:cs="Times New Roman"/>
          <w:i/>
          <w:iCs/>
          <w:sz w:val="24"/>
          <w:szCs w:val="24"/>
        </w:rPr>
        <w:t>aksesit</w:t>
      </w:r>
      <w:proofErr w:type="spellEnd"/>
      <w:r w:rsidRPr="000314BB">
        <w:rPr>
          <w:rFonts w:ascii="Garamond" w:hAnsi="Garamond" w:cs="Times New Roman"/>
          <w:i/>
          <w:iCs/>
          <w:sz w:val="24"/>
          <w:szCs w:val="24"/>
        </w:rPr>
        <w:t xml:space="preserve"> substancial</w:t>
      </w:r>
      <w:r w:rsidRPr="000314BB">
        <w:rPr>
          <w:rFonts w:ascii="Garamond" w:hAnsi="Garamond" w:cs="Times New Roman"/>
          <w:sz w:val="24"/>
          <w:szCs w:val="24"/>
        </w:rPr>
        <w:t xml:space="preserve"> dhe të </w:t>
      </w:r>
      <w:r w:rsidRPr="000314BB">
        <w:rPr>
          <w:rFonts w:ascii="Garamond" w:hAnsi="Garamond" w:cs="Times New Roman"/>
          <w:i/>
          <w:iCs/>
          <w:sz w:val="24"/>
          <w:szCs w:val="24"/>
        </w:rPr>
        <w:t>standardit të arsyetimit të vendimit</w:t>
      </w:r>
      <w:r w:rsidRPr="000314BB">
        <w:rPr>
          <w:rFonts w:ascii="Garamond" w:hAnsi="Garamond" w:cs="Times New Roman"/>
          <w:sz w:val="24"/>
          <w:szCs w:val="24"/>
        </w:rPr>
        <w:t xml:space="preserve">, kërkuesit e kanë parashtruar edhe në drejtim të faktit që mënyra e </w:t>
      </w:r>
      <w:proofErr w:type="spellStart"/>
      <w:r w:rsidRPr="000314BB">
        <w:rPr>
          <w:rFonts w:ascii="Garamond" w:hAnsi="Garamond" w:cs="Times New Roman"/>
          <w:sz w:val="24"/>
          <w:szCs w:val="24"/>
        </w:rPr>
        <w:t>disponimit</w:t>
      </w:r>
      <w:proofErr w:type="spellEnd"/>
      <w:r w:rsidRPr="000314BB">
        <w:rPr>
          <w:rFonts w:ascii="Garamond" w:hAnsi="Garamond" w:cs="Times New Roman"/>
          <w:sz w:val="24"/>
          <w:szCs w:val="24"/>
        </w:rPr>
        <w:t xml:space="preserve"> nga Gjykata e Lartë u ka mohuar atyre të drejtën për të kërkuar përgjegjësinë dhe shpërblimin e dëmit, si pasojë e aksidentit ku ka humbur jetën i afërmi i tyre. Sipas kërkuesve, Gjykata e Lartë nuk mund të linte në fuqi vendimin e gjykatës shkallës së parë, për sa kohë nuk ka rezultuar që gjykata e apelit të ketë zbatuar gabim ligjin material në raport me faktet e pranuara. Gjykata vlerëson se argumentet e paraqitura për këtë pretendim janë të ndërlidhura me pretendimin tjetër të tyre, për cenimin e </w:t>
      </w:r>
      <w:r w:rsidRPr="000314BB">
        <w:rPr>
          <w:rFonts w:ascii="Garamond" w:hAnsi="Garamond" w:cs="Times New Roman"/>
          <w:i/>
          <w:iCs/>
          <w:sz w:val="24"/>
          <w:szCs w:val="24"/>
        </w:rPr>
        <w:t>së drejtës për t’u gjykuar nga një gjykatë e caktuar me ligj</w:t>
      </w:r>
      <w:r w:rsidRPr="000314BB">
        <w:rPr>
          <w:rFonts w:ascii="Garamond" w:hAnsi="Garamond" w:cs="Times New Roman"/>
          <w:sz w:val="24"/>
          <w:szCs w:val="24"/>
        </w:rPr>
        <w:t xml:space="preserve">, ku, sipas kërkuesve, Gjykata e Lartë ka </w:t>
      </w:r>
      <w:proofErr w:type="spellStart"/>
      <w:r w:rsidRPr="000314BB">
        <w:rPr>
          <w:rFonts w:ascii="Garamond" w:hAnsi="Garamond" w:cs="Times New Roman"/>
          <w:sz w:val="24"/>
          <w:szCs w:val="24"/>
        </w:rPr>
        <w:t>rikualifikuar</w:t>
      </w:r>
      <w:proofErr w:type="spellEnd"/>
      <w:r w:rsidRPr="000314BB">
        <w:rPr>
          <w:rFonts w:ascii="Garamond" w:hAnsi="Garamond" w:cs="Times New Roman"/>
          <w:sz w:val="24"/>
          <w:szCs w:val="24"/>
        </w:rPr>
        <w:t xml:space="preserve"> faktet duke vepruar në tejkalim të kompetencave të saj.</w:t>
      </w:r>
    </w:p>
    <w:p w14:paraId="5CE6C0C1" w14:textId="22EAAF79"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24. Në vijim të argumenteve të parashtruara nga kërkuesit, Gjykata vëren se Gjykata e Lartë mund të vendosë për themelin e çështjes vetëm kur mosmarrëveshja mund të zgjidhet mbi bazën e të njëjtave fakte dhe prova të vlerësuara nga gjyqtari i faktit, të cilat përbëjnë bazën e vendimit në të cilin është bërë një interpretim i gabuar i ligjit. Në këto kushte, duke pasur parasysh se kontrolli i Gjykatës së Lartë fokusohet vetëm në ligjshmërinë dhe </w:t>
      </w:r>
      <w:proofErr w:type="spellStart"/>
      <w:r w:rsidRPr="000314BB">
        <w:rPr>
          <w:rFonts w:ascii="Garamond" w:hAnsi="Garamond" w:cs="Times New Roman"/>
          <w:sz w:val="24"/>
          <w:szCs w:val="24"/>
        </w:rPr>
        <w:t>bazueshmërinë</w:t>
      </w:r>
      <w:proofErr w:type="spellEnd"/>
      <w:r w:rsidRPr="000314BB">
        <w:rPr>
          <w:rFonts w:ascii="Garamond" w:hAnsi="Garamond" w:cs="Times New Roman"/>
          <w:sz w:val="24"/>
          <w:szCs w:val="24"/>
        </w:rPr>
        <w:t xml:space="preserve"> e vendimeve të </w:t>
      </w:r>
      <w:proofErr w:type="spellStart"/>
      <w:r w:rsidRPr="000314BB">
        <w:rPr>
          <w:rFonts w:ascii="Garamond" w:hAnsi="Garamond" w:cs="Times New Roman"/>
          <w:sz w:val="24"/>
          <w:szCs w:val="24"/>
        </w:rPr>
        <w:t>ankimuara</w:t>
      </w:r>
      <w:proofErr w:type="spellEnd"/>
      <w:r w:rsidRPr="000314BB">
        <w:rPr>
          <w:rFonts w:ascii="Garamond" w:hAnsi="Garamond" w:cs="Times New Roman"/>
          <w:sz w:val="24"/>
          <w:szCs w:val="24"/>
        </w:rPr>
        <w:t>, pra për mënyrën e zbatimit të ligjit nga gjykatat më të ulëta (</w:t>
      </w:r>
      <w:r w:rsidRPr="000314BB">
        <w:rPr>
          <w:rFonts w:ascii="Garamond" w:hAnsi="Garamond" w:cs="Times New Roman"/>
          <w:i/>
          <w:iCs/>
          <w:sz w:val="24"/>
          <w:szCs w:val="24"/>
        </w:rPr>
        <w:t>shih vendimet nr. 36, da</w:t>
      </w:r>
      <w:r w:rsidR="00C82265">
        <w:rPr>
          <w:rFonts w:ascii="Garamond" w:hAnsi="Garamond" w:cs="Times New Roman"/>
          <w:i/>
          <w:iCs/>
          <w:sz w:val="24"/>
          <w:szCs w:val="24"/>
        </w:rPr>
        <w:t>të 30.4.2024; nr. 15, datë 23.3.2023; nr. 10, datë 3.</w:t>
      </w:r>
      <w:r w:rsidRPr="000314BB">
        <w:rPr>
          <w:rFonts w:ascii="Garamond" w:hAnsi="Garamond" w:cs="Times New Roman"/>
          <w:i/>
          <w:iCs/>
          <w:sz w:val="24"/>
          <w:szCs w:val="24"/>
        </w:rPr>
        <w:t>4.2018</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 xml:space="preserve">), Gjykata do të vlerësojë pretendimet e kërkuesve në këndvështrim të së drejtës së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gjykatë të lidhur me standardin e arsyetimit të vendimit, si dhe pasojat e mundshme të tyre në drejtim të respektimit të së drejtës për t’u gjykuar nga një gjykatë e caktuar me ligj.</w:t>
      </w:r>
    </w:p>
    <w:p w14:paraId="3AB685BC" w14:textId="77777777" w:rsidR="007D5EC3" w:rsidRPr="000314BB" w:rsidRDefault="007D5EC3" w:rsidP="007D5EC3">
      <w:pPr>
        <w:tabs>
          <w:tab w:val="left" w:pos="1080"/>
        </w:tabs>
        <w:spacing w:after="0" w:line="240" w:lineRule="auto"/>
        <w:ind w:firstLine="284"/>
        <w:jc w:val="both"/>
        <w:rPr>
          <w:rFonts w:ascii="Garamond" w:hAnsi="Garamond" w:cs="Times New Roman"/>
          <w:i/>
          <w:iCs/>
          <w:sz w:val="24"/>
          <w:szCs w:val="24"/>
        </w:rPr>
      </w:pPr>
      <w:r w:rsidRPr="000314BB">
        <w:rPr>
          <w:rFonts w:ascii="Garamond" w:hAnsi="Garamond" w:cs="Times New Roman"/>
          <w:i/>
          <w:iCs/>
          <w:sz w:val="24"/>
          <w:szCs w:val="24"/>
        </w:rPr>
        <w:t>B. Për themelin e pretendimeve</w:t>
      </w:r>
    </w:p>
    <w:p w14:paraId="07354BFA" w14:textId="4B089218" w:rsidR="007D5EC3" w:rsidRPr="000314BB" w:rsidRDefault="00C82265" w:rsidP="007D5EC3">
      <w:pPr>
        <w:tabs>
          <w:tab w:val="left" w:pos="720"/>
        </w:tabs>
        <w:spacing w:after="0" w:line="240" w:lineRule="auto"/>
        <w:ind w:firstLine="284"/>
        <w:jc w:val="both"/>
        <w:rPr>
          <w:rFonts w:ascii="Garamond" w:hAnsi="Garamond" w:cs="Times New Roman"/>
          <w:i/>
          <w:iCs/>
          <w:sz w:val="24"/>
          <w:szCs w:val="24"/>
        </w:rPr>
      </w:pPr>
      <w:r>
        <w:rPr>
          <w:rFonts w:ascii="Garamond" w:hAnsi="Garamond" w:cs="Times New Roman"/>
          <w:i/>
          <w:iCs/>
          <w:sz w:val="24"/>
          <w:szCs w:val="24"/>
        </w:rPr>
        <w:t>B.1</w:t>
      </w:r>
      <w:r w:rsidR="007D5EC3" w:rsidRPr="000314BB">
        <w:rPr>
          <w:rFonts w:ascii="Garamond" w:hAnsi="Garamond" w:cs="Times New Roman"/>
          <w:i/>
          <w:iCs/>
          <w:sz w:val="24"/>
          <w:szCs w:val="24"/>
        </w:rPr>
        <w:t xml:space="preserve"> Për cenimin e së drejtës së </w:t>
      </w:r>
      <w:proofErr w:type="spellStart"/>
      <w:r w:rsidR="007D5EC3" w:rsidRPr="000314BB">
        <w:rPr>
          <w:rFonts w:ascii="Garamond" w:hAnsi="Garamond" w:cs="Times New Roman"/>
          <w:i/>
          <w:iCs/>
          <w:sz w:val="24"/>
          <w:szCs w:val="24"/>
        </w:rPr>
        <w:t>aksesit</w:t>
      </w:r>
      <w:proofErr w:type="spellEnd"/>
      <w:r w:rsidR="007D5EC3" w:rsidRPr="000314BB">
        <w:rPr>
          <w:rFonts w:ascii="Garamond" w:hAnsi="Garamond" w:cs="Times New Roman"/>
          <w:i/>
          <w:iCs/>
          <w:sz w:val="24"/>
          <w:szCs w:val="24"/>
        </w:rPr>
        <w:t xml:space="preserve"> substancial të lidhur me standardin e arsyetimit të vendimit </w:t>
      </w:r>
    </w:p>
    <w:p w14:paraId="22B05EA9" w14:textId="4C33D86A"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25. Kërkuesit, në mënyrë të përmbledhur, kanë pretenduar se Gjykata e Lartë, me qëndrimin e saj, u ka mohuar të drejtën për të kërkuar përgjegjësinë dhe shpërblimin si pasojë e humbjes së jetës së djalit të tyre të shkaktuar nga të metat që lidhen me ndërtimin ose me mirëmbajtjen e tij. Gjykata e Lartë e ka prishur vendimin e gjykatës së apelit jo për shkak të zbatimit të gabuar të ligjit material ose procedural, por duke ripërcaktuar faktet e ngjarjes. Po sipas kërkuesve, Gjykata e Lartë nuk i ka dhënë përgjigje kërkimit për shtimin e </w:t>
      </w:r>
      <w:proofErr w:type="spellStart"/>
      <w:r w:rsidRPr="000314BB">
        <w:rPr>
          <w:rFonts w:ascii="Garamond" w:hAnsi="Garamond" w:cs="Times New Roman"/>
          <w:sz w:val="24"/>
          <w:szCs w:val="24"/>
        </w:rPr>
        <w:t>ndërgjyqësisë</w:t>
      </w:r>
      <w:proofErr w:type="spellEnd"/>
      <w:r w:rsidRPr="000314BB">
        <w:rPr>
          <w:rFonts w:ascii="Garamond" w:hAnsi="Garamond" w:cs="Times New Roman"/>
          <w:sz w:val="24"/>
          <w:szCs w:val="24"/>
        </w:rPr>
        <w:t xml:space="preserve"> në kushtet kur gjykata e shkallës së parë e ka rrëzuar atë në mënyrë të padrejtë.</w:t>
      </w:r>
    </w:p>
    <w:p w14:paraId="632C2CA5" w14:textId="7C376525"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26. Subjekti i interesuar,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ka prapësuar se Gjykata e Lartë ka vepruar brenda kompetencave të saj, e ndodhur mes dy vendimeve të gjykatave më të ulëta që kanë interpretuar ndryshe ligjin dhe që kanë vlerësuar ndryshe provat për përgjegjësinë për shpërblimin e dëmit. Kërkuesit nuk kanë arritur të identifikojnë asnjë provë ose fakt që është interpretuar ndryshe nga Gjykata e Lartë, e cila edhe për shkak të natyrës së gjykimit që zhvillon, duhet t’u referohet provave për të interpretuar ligjin në përputhje me to.</w:t>
      </w:r>
    </w:p>
    <w:p w14:paraId="30B99913" w14:textId="3EA02187"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27. Gjykata në jurisprudencën e saj ka theksuar se e drejta e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përfshirë të drejtën për të vënë në lëvizje gjykatën, përbën një aspekt të së drejtës për një proces të rregullt ligjor. Ajo u garanton subjekteve të cenuara të drejtën t’i drejtohen një gjykate, e cila duhet të dëgjojë pretendimet e tyre dhe të shpallë një vendim pas një gjykimi të drejtë dhe publik (</w:t>
      </w:r>
      <w:r w:rsidR="00C82265">
        <w:rPr>
          <w:rFonts w:ascii="Garamond" w:hAnsi="Garamond" w:cs="Times New Roman"/>
          <w:i/>
          <w:iCs/>
          <w:sz w:val="24"/>
          <w:szCs w:val="24"/>
        </w:rPr>
        <w:t>shih vendimet nr. 32, datë 3.11.2022; nr. 10, datë 12.</w:t>
      </w:r>
      <w:r w:rsidRPr="000314BB">
        <w:rPr>
          <w:rFonts w:ascii="Garamond" w:hAnsi="Garamond" w:cs="Times New Roman"/>
          <w:i/>
          <w:iCs/>
          <w:sz w:val="24"/>
          <w:szCs w:val="24"/>
        </w:rPr>
        <w:t>4.2022</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 xml:space="preserve">). Administrimi i mirë i drejtësisë fillon me garancinë që një individ të ketë </w:t>
      </w:r>
      <w:proofErr w:type="spellStart"/>
      <w:r w:rsidRPr="000314BB">
        <w:rPr>
          <w:rFonts w:ascii="Garamond" w:hAnsi="Garamond" w:cs="Times New Roman"/>
          <w:sz w:val="24"/>
          <w:szCs w:val="24"/>
        </w:rPr>
        <w:t>akses</w:t>
      </w:r>
      <w:proofErr w:type="spellEnd"/>
      <w:r w:rsidRPr="000314BB">
        <w:rPr>
          <w:rFonts w:ascii="Garamond" w:hAnsi="Garamond" w:cs="Times New Roman"/>
          <w:sz w:val="24"/>
          <w:szCs w:val="24"/>
        </w:rPr>
        <w:t xml:space="preserve"> në gjykatë për t’i siguruar atij të gjitha aspektet e një forme </w:t>
      </w:r>
      <w:r w:rsidRPr="000314BB">
        <w:rPr>
          <w:rFonts w:ascii="Garamond" w:hAnsi="Garamond" w:cs="Times New Roman"/>
          <w:sz w:val="24"/>
          <w:szCs w:val="24"/>
        </w:rPr>
        <w:lastRenderedPageBreak/>
        <w:t xml:space="preserve">gjyqësore të shqyrtimit të çështjes. Kjo e drejtë e individit nuk përfshin vetëm të drejtën për të filluar një proces, por edhe të drejtën për të pasur, nga ana e gjykatës, një zgjidhje përfundimtare për çështjen, pasi </w:t>
      </w:r>
      <w:proofErr w:type="spellStart"/>
      <w:r w:rsidRPr="000314BB">
        <w:rPr>
          <w:rFonts w:ascii="Garamond" w:hAnsi="Garamond" w:cs="Times New Roman"/>
          <w:sz w:val="24"/>
          <w:szCs w:val="24"/>
        </w:rPr>
        <w:t>aksesi</w:t>
      </w:r>
      <w:proofErr w:type="spellEnd"/>
      <w:r w:rsidRPr="000314BB">
        <w:rPr>
          <w:rFonts w:ascii="Garamond" w:hAnsi="Garamond" w:cs="Times New Roman"/>
          <w:sz w:val="24"/>
          <w:szCs w:val="24"/>
        </w:rPr>
        <w:t xml:space="preserve"> në gjykatë duhet të jetë substantiv dhe jo thjesht formal </w:t>
      </w:r>
      <w:r w:rsidR="00C82265">
        <w:rPr>
          <w:rFonts w:ascii="Garamond" w:hAnsi="Garamond" w:cs="Times New Roman"/>
          <w:i/>
          <w:iCs/>
          <w:sz w:val="24"/>
          <w:szCs w:val="24"/>
        </w:rPr>
        <w:t>(shih vendimet nr. 11, datë 11.2.2026; nr. 5, datë 22.2.2022; nr. 3, datë 23.</w:t>
      </w:r>
      <w:r w:rsidRPr="000314BB">
        <w:rPr>
          <w:rFonts w:ascii="Garamond" w:hAnsi="Garamond" w:cs="Times New Roman"/>
          <w:i/>
          <w:iCs/>
          <w:sz w:val="24"/>
          <w:szCs w:val="24"/>
        </w:rPr>
        <w:t>2.2016</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w:t>
      </w:r>
    </w:p>
    <w:p w14:paraId="5B322D4A" w14:textId="7C723DF5"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28. Në jurisprudencën e saj të vazhdueshme Gjykata ka theksuar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w:t>
      </w:r>
      <w:r w:rsidR="00C82265">
        <w:rPr>
          <w:rFonts w:ascii="Garamond" w:hAnsi="Garamond" w:cs="Times New Roman"/>
          <w:i/>
          <w:iCs/>
          <w:sz w:val="24"/>
          <w:szCs w:val="24"/>
        </w:rPr>
        <w:t>shih vendimet nr. 33, datë 30.5.2023; nr. 11, datë 10.</w:t>
      </w:r>
      <w:r w:rsidRPr="000314BB">
        <w:rPr>
          <w:rFonts w:ascii="Garamond" w:hAnsi="Garamond" w:cs="Times New Roman"/>
          <w:i/>
          <w:iCs/>
          <w:sz w:val="24"/>
          <w:szCs w:val="24"/>
        </w:rPr>
        <w:t>3.2023</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 xml:space="preserve">). Gjykata ka pohuar se standardi i arsyetimit është i lidhur edhe me respektimin e të drejtave të tjera kushtetuese, siç janë e drejta e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gjykim dhe e drejta e ankimit efektiv (</w:t>
      </w:r>
      <w:r w:rsidR="00C82265">
        <w:rPr>
          <w:rFonts w:ascii="Garamond" w:hAnsi="Garamond" w:cs="Times New Roman"/>
          <w:i/>
          <w:iCs/>
          <w:sz w:val="24"/>
          <w:szCs w:val="24"/>
        </w:rPr>
        <w:t>shih vendimet nr. 16, datë 16.3.2021; nr. 45, datë 3.</w:t>
      </w:r>
      <w:r w:rsidRPr="000314BB">
        <w:rPr>
          <w:rFonts w:ascii="Garamond" w:hAnsi="Garamond" w:cs="Times New Roman"/>
          <w:i/>
          <w:iCs/>
          <w:sz w:val="24"/>
          <w:szCs w:val="24"/>
        </w:rPr>
        <w:t>7.2017</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 </w:t>
      </w:r>
      <w:r w:rsidRPr="000314BB">
        <w:rPr>
          <w:rFonts w:ascii="Garamond" w:hAnsi="Garamond" w:cs="Times New Roman"/>
          <w:sz w:val="24"/>
          <w:szCs w:val="24"/>
        </w:rPr>
        <w:t xml:space="preserve">Gjykata ripohon se është detyrë e gjykatave të juridiksionit të zakonshëm të vlerësojnë faktet dhe provat e administruara, si dhe të interpretojnë ligjin për qëllim të procesit gjyqësor që ato zhvillojnë, ndërsa detyra e kësaj Gjykate është të shqyrtojë dhe të vlerësojë nëse gjatë procesit gjyqësor ka pasur shkelje të </w:t>
      </w:r>
      <w:proofErr w:type="spellStart"/>
      <w:r w:rsidRPr="000314BB">
        <w:rPr>
          <w:rFonts w:ascii="Garamond" w:hAnsi="Garamond" w:cs="Times New Roman"/>
          <w:sz w:val="24"/>
          <w:szCs w:val="24"/>
        </w:rPr>
        <w:t>të</w:t>
      </w:r>
      <w:proofErr w:type="spellEnd"/>
      <w:r w:rsidRPr="000314BB">
        <w:rPr>
          <w:rFonts w:ascii="Garamond" w:hAnsi="Garamond" w:cs="Times New Roman"/>
          <w:sz w:val="24"/>
          <w:szCs w:val="24"/>
        </w:rPr>
        <w:t xml:space="preserve"> drejtave kushtetuese, si dhe nëse zbatimi i ligjit ka qenë eventualisht arbitrar, në kuptimin që të bjerë ndesh haptazi me konceptin e gjykimit të drejtë të përcaktuar në nenin 42 të Kushtetutës (</w:t>
      </w:r>
      <w:r w:rsidRPr="000314BB">
        <w:rPr>
          <w:rFonts w:ascii="Garamond" w:hAnsi="Garamond" w:cs="Times New Roman"/>
          <w:i/>
          <w:iCs/>
          <w:sz w:val="24"/>
          <w:szCs w:val="24"/>
        </w:rPr>
        <w:t>shih vendimet nr. 11, d</w:t>
      </w:r>
      <w:r w:rsidR="00C82265">
        <w:rPr>
          <w:rFonts w:ascii="Garamond" w:hAnsi="Garamond" w:cs="Times New Roman"/>
          <w:i/>
          <w:iCs/>
          <w:sz w:val="24"/>
          <w:szCs w:val="24"/>
        </w:rPr>
        <w:t>atë 11.</w:t>
      </w:r>
      <w:r w:rsidRPr="000314BB">
        <w:rPr>
          <w:rFonts w:ascii="Garamond" w:hAnsi="Garamond" w:cs="Times New Roman"/>
          <w:i/>
          <w:iCs/>
          <w:sz w:val="24"/>
          <w:szCs w:val="24"/>
        </w:rPr>
        <w:t>2.2026; nr. 14, datë 14.11.2022</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 xml:space="preserve">). Gjykata nuk vepron si shkallë e katërt gjykimi, por ajo ndërhyn atëherë kur gabimi ligjor ose faktik nga gjykatat e juridiksionit të zakonshëm është aq i dukshëm, sa një gjykatë e kujdesshme nuk mund ta kishte bërë ndonjëherë ose është i tillë që gjykimin e bën të padrejtë </w:t>
      </w:r>
      <w:r w:rsidR="00C82265">
        <w:rPr>
          <w:rFonts w:ascii="Garamond" w:hAnsi="Garamond" w:cs="Times New Roman"/>
          <w:i/>
          <w:iCs/>
          <w:sz w:val="24"/>
          <w:szCs w:val="24"/>
        </w:rPr>
        <w:t>(shih vendimet nr. 3, datë 21.</w:t>
      </w:r>
      <w:r w:rsidRPr="000314BB">
        <w:rPr>
          <w:rFonts w:ascii="Garamond" w:hAnsi="Garamond" w:cs="Times New Roman"/>
          <w:i/>
          <w:iCs/>
          <w:sz w:val="24"/>
          <w:szCs w:val="24"/>
        </w:rPr>
        <w:t>1.2025; nr. 59,</w:t>
      </w:r>
      <w:r w:rsidR="00C82265">
        <w:rPr>
          <w:rFonts w:ascii="Garamond" w:hAnsi="Garamond" w:cs="Times New Roman"/>
          <w:i/>
          <w:iCs/>
          <w:sz w:val="24"/>
          <w:szCs w:val="24"/>
        </w:rPr>
        <w:t xml:space="preserve"> datë 14.11.2023; nr. 29, datë </w:t>
      </w:r>
      <w:r w:rsidRPr="000314BB">
        <w:rPr>
          <w:rFonts w:ascii="Garamond" w:hAnsi="Garamond" w:cs="Times New Roman"/>
          <w:i/>
          <w:iCs/>
          <w:sz w:val="24"/>
          <w:szCs w:val="24"/>
        </w:rPr>
        <w:t>1.11.2022</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w:t>
      </w:r>
    </w:p>
    <w:p w14:paraId="2F006359" w14:textId="6C9E90FF"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29. Nën dritën e garancive të parashikuara nga neni 42 i Kushtetutës, duke pasur parasysh standardet kushtetuese të mësipërme dhe në referim të përmbajtjes së pretendimeve të parashtruara nga kërkuesit, Gjykata do të analizojë nëse interpretimi e zbatimi i ligjit nga Gjykata e Lartë për zgjidhjen përfundimisht të çështjes, përmban ose jo elemente arbitrariteti, si dhe nëse ajo gjykatë ka gjykuar çështjen duke mos krijuar dyshime në drejtimin edhe të respektimit të kompetencave të saj.</w:t>
      </w:r>
    </w:p>
    <w:p w14:paraId="3CF023A6" w14:textId="63026A76"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30. Sikurse u parashtrua në rrethanat e rastit në shqyrtim, çështja lidhet me kërkimin e shpërblimit si pasojë e humbjes së jetës së djalit të mitur të kërkuesve nga rënia në gropën e një ashensori, duke përcaktuar edhe personat përgjegjës për shkaktimin e aksidentit. Gjykata konstaton se kërkuesit e kanë bazuar kërkimin e tyre në nenin 623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-së, në ligjin nr.</w:t>
      </w:r>
      <w:r w:rsidR="00C82265">
        <w:rPr>
          <w:rFonts w:ascii="Garamond" w:hAnsi="Garamond" w:cs="Times New Roman"/>
          <w:sz w:val="24"/>
          <w:szCs w:val="24"/>
        </w:rPr>
        <w:t xml:space="preserve"> </w:t>
      </w:r>
      <w:r w:rsidRPr="000314BB">
        <w:rPr>
          <w:rFonts w:ascii="Garamond" w:hAnsi="Garamond" w:cs="Times New Roman"/>
          <w:sz w:val="24"/>
          <w:szCs w:val="24"/>
        </w:rPr>
        <w:t>10489/2011, si dhe në vendimin e Këshillit të Ministrave nr. 1056, datë 23.12.2015</w:t>
      </w:r>
      <w:r w:rsidR="00C82265">
        <w:rPr>
          <w:rFonts w:ascii="Garamond" w:hAnsi="Garamond" w:cs="Times New Roman"/>
          <w:sz w:val="24"/>
          <w:szCs w:val="24"/>
        </w:rPr>
        <w:t>,</w:t>
      </w:r>
      <w:r w:rsidRPr="000314BB">
        <w:rPr>
          <w:rFonts w:ascii="Garamond" w:hAnsi="Garamond" w:cs="Times New Roman"/>
          <w:sz w:val="24"/>
          <w:szCs w:val="24"/>
        </w:rPr>
        <w:t xml:space="preserve"> “Për miratimin e rregullit teknik </w:t>
      </w:r>
      <w:r w:rsidR="00C82265">
        <w:rPr>
          <w:rFonts w:ascii="Garamond" w:hAnsi="Garamond" w:cs="Times New Roman"/>
          <w:sz w:val="24"/>
          <w:szCs w:val="24"/>
        </w:rPr>
        <w:t>‘</w:t>
      </w:r>
      <w:r w:rsidRPr="000314BB">
        <w:rPr>
          <w:rFonts w:ascii="Garamond" w:hAnsi="Garamond" w:cs="Times New Roman"/>
          <w:sz w:val="24"/>
          <w:szCs w:val="24"/>
        </w:rPr>
        <w:t>Për sigurinë e ashensorëve në përdorim</w:t>
      </w:r>
      <w:r w:rsidR="00C82265">
        <w:rPr>
          <w:rFonts w:ascii="Garamond" w:hAnsi="Garamond" w:cs="Times New Roman"/>
          <w:sz w:val="24"/>
          <w:szCs w:val="24"/>
        </w:rPr>
        <w:t>’</w:t>
      </w:r>
      <w:r w:rsidRPr="000314BB">
        <w:rPr>
          <w:rFonts w:ascii="Garamond" w:hAnsi="Garamond" w:cs="Times New Roman"/>
          <w:sz w:val="24"/>
          <w:szCs w:val="24"/>
        </w:rPr>
        <w:t xml:space="preserve">” </w:t>
      </w:r>
      <w:r w:rsidRPr="000314BB">
        <w:rPr>
          <w:rFonts w:ascii="Garamond" w:hAnsi="Garamond" w:cs="Times New Roman"/>
          <w:i/>
          <w:iCs/>
          <w:sz w:val="24"/>
          <w:szCs w:val="24"/>
        </w:rPr>
        <w:t>(</w:t>
      </w:r>
      <w:proofErr w:type="spellStart"/>
      <w:r w:rsidRPr="000314BB">
        <w:rPr>
          <w:rFonts w:ascii="Garamond" w:hAnsi="Garamond" w:cs="Times New Roman"/>
          <w:i/>
          <w:iCs/>
          <w:sz w:val="24"/>
          <w:szCs w:val="24"/>
        </w:rPr>
        <w:t>VKM</w:t>
      </w:r>
      <w:proofErr w:type="spellEnd"/>
      <w:r w:rsidRPr="000314BB">
        <w:rPr>
          <w:rFonts w:ascii="Garamond" w:hAnsi="Garamond" w:cs="Times New Roman"/>
          <w:i/>
          <w:iCs/>
          <w:sz w:val="24"/>
          <w:szCs w:val="24"/>
        </w:rPr>
        <w:t>-ja nr. 1056/2015)</w:t>
      </w:r>
      <w:r w:rsidRPr="000314BB">
        <w:rPr>
          <w:rFonts w:ascii="Garamond" w:hAnsi="Garamond" w:cs="Times New Roman"/>
          <w:sz w:val="24"/>
          <w:szCs w:val="24"/>
        </w:rPr>
        <w:t>. Konkretisht, në pikën 24</w:t>
      </w:r>
      <w:r w:rsidR="00E879FA">
        <w:rPr>
          <w:rFonts w:ascii="Garamond" w:hAnsi="Garamond" w:cs="Times New Roman"/>
          <w:sz w:val="24"/>
          <w:szCs w:val="24"/>
        </w:rPr>
        <w:t>,</w:t>
      </w:r>
      <w:r w:rsidRPr="000314BB">
        <w:rPr>
          <w:rFonts w:ascii="Garamond" w:hAnsi="Garamond" w:cs="Times New Roman"/>
          <w:sz w:val="24"/>
          <w:szCs w:val="24"/>
        </w:rPr>
        <w:t xml:space="preserve"> të nenit 3</w:t>
      </w:r>
      <w:r w:rsidR="00C82265">
        <w:rPr>
          <w:rFonts w:ascii="Garamond" w:hAnsi="Garamond" w:cs="Times New Roman"/>
          <w:sz w:val="24"/>
          <w:szCs w:val="24"/>
        </w:rPr>
        <w:t>,</w:t>
      </w:r>
      <w:r w:rsidRPr="000314BB">
        <w:rPr>
          <w:rFonts w:ascii="Garamond" w:hAnsi="Garamond" w:cs="Times New Roman"/>
          <w:sz w:val="24"/>
          <w:szCs w:val="24"/>
        </w:rPr>
        <w:t xml:space="preserve"> të ligjit nr.10489/2011</w:t>
      </w:r>
      <w:r w:rsidR="00C82265">
        <w:rPr>
          <w:rFonts w:ascii="Garamond" w:hAnsi="Garamond" w:cs="Times New Roman"/>
          <w:sz w:val="24"/>
          <w:szCs w:val="24"/>
        </w:rPr>
        <w:t>,</w:t>
      </w:r>
      <w:r w:rsidRPr="000314BB">
        <w:rPr>
          <w:rFonts w:ascii="Garamond" w:hAnsi="Garamond" w:cs="Times New Roman"/>
          <w:sz w:val="24"/>
          <w:szCs w:val="24"/>
        </w:rPr>
        <w:t xml:space="preserve"> parashikohet se personi përgjegjës i instalimit të vënë në shërbim për të tretët ose për publikun është titullari i së drejtës së pronësisë për instalimin, personi që ka në gëzim të përkohshëm instalimin, nëse ky i fundit ka detyrimin e garantimit të përputhshmërisë së instalimit me kërkesat e detyrueshme të sigurisë, në bazë të një marrëveshjeje me pronarin ose një akti administrativ, punëdhënësi për instalimin e vendosur në vend</w:t>
      </w:r>
      <w:r w:rsidR="00C82265">
        <w:rPr>
          <w:rFonts w:ascii="Garamond" w:hAnsi="Garamond" w:cs="Times New Roman"/>
          <w:sz w:val="24"/>
          <w:szCs w:val="24"/>
        </w:rPr>
        <w:t>in e punës. Ndërsa në pikën 2.2,</w:t>
      </w:r>
      <w:r w:rsidRPr="000314BB">
        <w:rPr>
          <w:rFonts w:ascii="Garamond" w:hAnsi="Garamond" w:cs="Times New Roman"/>
          <w:sz w:val="24"/>
          <w:szCs w:val="24"/>
        </w:rPr>
        <w:t xml:space="preserve"> të </w:t>
      </w:r>
      <w:proofErr w:type="spellStart"/>
      <w:r w:rsidRPr="000314BB">
        <w:rPr>
          <w:rFonts w:ascii="Garamond" w:hAnsi="Garamond" w:cs="Times New Roman"/>
          <w:sz w:val="24"/>
          <w:szCs w:val="24"/>
        </w:rPr>
        <w:t>VKM</w:t>
      </w:r>
      <w:proofErr w:type="spellEnd"/>
      <w:r w:rsidRPr="000314BB">
        <w:rPr>
          <w:rFonts w:ascii="Garamond" w:hAnsi="Garamond" w:cs="Times New Roman"/>
          <w:sz w:val="24"/>
          <w:szCs w:val="24"/>
        </w:rPr>
        <w:t>-së nr. 1056/2015</w:t>
      </w:r>
      <w:r w:rsidR="00C82265">
        <w:rPr>
          <w:rFonts w:ascii="Garamond" w:hAnsi="Garamond" w:cs="Times New Roman"/>
          <w:sz w:val="24"/>
          <w:szCs w:val="24"/>
        </w:rPr>
        <w:t>,</w:t>
      </w:r>
      <w:r w:rsidRPr="000314BB">
        <w:rPr>
          <w:rFonts w:ascii="Garamond" w:hAnsi="Garamond" w:cs="Times New Roman"/>
          <w:i/>
          <w:iCs/>
          <w:sz w:val="24"/>
          <w:szCs w:val="24"/>
        </w:rPr>
        <w:t xml:space="preserve"> </w:t>
      </w:r>
      <w:r w:rsidRPr="000314BB">
        <w:rPr>
          <w:rFonts w:ascii="Garamond" w:hAnsi="Garamond" w:cs="Times New Roman"/>
          <w:sz w:val="24"/>
          <w:szCs w:val="24"/>
        </w:rPr>
        <w:t>parashikohet se certifikatë regjistrimi konsiderohet ajo e lëshuar nga struktura përgjegjëse për regjistrimin e një ashensori.</w:t>
      </w:r>
    </w:p>
    <w:p w14:paraId="63947ABC" w14:textId="3C379583"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31. Gjykata e shkallës së parë dhe ajo e apelit kanë mbajtur qëndrime të ndryshme për çështjet e faktit dhe, për pasojë, edhe për sa i përket zbatimit të ligjit material në drejtim të përcaktimit të përgjegjësisë për shkaktimin e dëmit. Konkretisht, gjatë gjykimit në shkallën e parë </w:t>
      </w:r>
      <w:r w:rsidR="00C82265">
        <w:rPr>
          <w:rFonts w:ascii="Garamond" w:hAnsi="Garamond" w:cs="Times New Roman"/>
          <w:sz w:val="24"/>
          <w:szCs w:val="24"/>
        </w:rPr>
        <w:t>është arsyetuar se në datën 26.</w:t>
      </w:r>
      <w:r w:rsidRPr="000314BB">
        <w:rPr>
          <w:rFonts w:ascii="Garamond" w:hAnsi="Garamond" w:cs="Times New Roman"/>
          <w:sz w:val="24"/>
          <w:szCs w:val="24"/>
        </w:rPr>
        <w:t>8.2016, kur ka ndodhur aksidenti, mjedisi administrohej nga shoqëritë qiramarrëse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për pasojë, ndaj subjektit të interesuar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pronare e ndërtesës) nuk provoheshin në mënyrë </w:t>
      </w:r>
      <w:proofErr w:type="spellStart"/>
      <w:r w:rsidRPr="000314BB">
        <w:rPr>
          <w:rFonts w:ascii="Garamond" w:hAnsi="Garamond" w:cs="Times New Roman"/>
          <w:sz w:val="24"/>
          <w:szCs w:val="24"/>
        </w:rPr>
        <w:t>kumulative</w:t>
      </w:r>
      <w:proofErr w:type="spellEnd"/>
      <w:r w:rsidRPr="000314BB">
        <w:rPr>
          <w:rFonts w:ascii="Garamond" w:hAnsi="Garamond" w:cs="Times New Roman"/>
          <w:sz w:val="24"/>
          <w:szCs w:val="24"/>
        </w:rPr>
        <w:t xml:space="preserve"> katër elementet sipas nenit 608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 xml:space="preserve">-së për përcaktimin e dëmit. Sipas gjykatës së shkallës së parë, nuk provohet se subjekti i interesuar t’u kishte shkaktuar dëm kërkuesve ose që ai (subjekti i interesuar) të ketë kryer veprime ose mosveprime të paligjshme, si dhe nuk rezulton të ketë lidhje shkakësore midis veprimit dhe mosveprimit të subjektit të interesuar dhe dëmit të ardhur. Nëpërmjet kontratës së qirasë shoqëria “Pro </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në cilësinë e pronares të pasurisë, në vitin 2015 i ka dhënë me qira shoqërisë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objektin ku ka ndodhur ngjarja, duke përcaktuar se pala qiradhënëse i jep të drejtën palës qiramarrëse të bëjë punime plotësuese në objekt pa prishur anën funksionale të tij, ndërsa shoqëria tjetër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kishte të drejtë të montonte një ashensor </w:t>
      </w:r>
      <w:r w:rsidRPr="000314BB">
        <w:rPr>
          <w:rFonts w:ascii="Garamond" w:hAnsi="Garamond" w:cs="Times New Roman"/>
          <w:sz w:val="24"/>
          <w:szCs w:val="24"/>
        </w:rPr>
        <w:lastRenderedPageBreak/>
        <w:t>për ngritjen e mallrave, sipas kushteve teknike. Sipas gjykatës së shkallës së parë, në momentin kur ka ndodhur ngjarja kontrata e qirasë ka qenë në fuqi dhe mjedisi administrohej nga palët qiramarrëse (dy shoqëritë e tjera). I ndjeri K.</w:t>
      </w:r>
      <w:r w:rsidR="00C82265">
        <w:rPr>
          <w:rFonts w:ascii="Garamond" w:hAnsi="Garamond" w:cs="Times New Roman"/>
          <w:sz w:val="24"/>
          <w:szCs w:val="24"/>
        </w:rPr>
        <w:t xml:space="preserve"> </w:t>
      </w:r>
      <w:r w:rsidRPr="000314BB">
        <w:rPr>
          <w:rFonts w:ascii="Garamond" w:hAnsi="Garamond" w:cs="Times New Roman"/>
          <w:sz w:val="24"/>
          <w:szCs w:val="24"/>
        </w:rPr>
        <w:t>L. ka gjetur vdekjen në mënyrë aksidentale, për shkak të përdorimit nga ana e tij të një ashensori mallrash. Ai është futur në mjediset e shoqërisë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i shoqëruar nga nëna e tij Valbona Lala, e cila punonte si sanitare në këtë shoqëri. Edhe Prokuroria pranë Gjykatës së Shkallës së Parë Durrës në përfundim të hetimeve ka vendosur </w:t>
      </w:r>
      <w:proofErr w:type="spellStart"/>
      <w:r w:rsidRPr="000314BB">
        <w:rPr>
          <w:rFonts w:ascii="Garamond" w:hAnsi="Garamond" w:cs="Times New Roman"/>
          <w:sz w:val="24"/>
          <w:szCs w:val="24"/>
        </w:rPr>
        <w:t>mosfillimin</w:t>
      </w:r>
      <w:proofErr w:type="spellEnd"/>
      <w:r w:rsidRPr="000314BB">
        <w:rPr>
          <w:rFonts w:ascii="Garamond" w:hAnsi="Garamond" w:cs="Times New Roman"/>
          <w:sz w:val="24"/>
          <w:szCs w:val="24"/>
        </w:rPr>
        <w:t xml:space="preserve"> e procedimit penal, duke arsyetuar se nuk ka elemente të veprës penale ndaj subjektit të interesuar. Po kështu, kjo gjykatë nuk ka pranuar kërkesën e kërkuesve për të thirrur në gjykim, në cilësinë e palës së paditur, edhe dy shoqëritë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me arsyetimin se kërkuesit kanë qenë në dijeni të situatës juridike prej fillimit të gjykimit dhe tashmë ishin zhvilluar 15 seanca gjyqësore dhe gjykimi ishte në përfundim.</w:t>
      </w:r>
    </w:p>
    <w:p w14:paraId="5235598F" w14:textId="3064F53E" w:rsidR="007D5EC3" w:rsidRPr="000314BB" w:rsidRDefault="007D5EC3" w:rsidP="007D5EC3">
      <w:pPr>
        <w:pStyle w:val="ListParagraph"/>
        <w:tabs>
          <w:tab w:val="left" w:pos="900"/>
          <w:tab w:val="left" w:pos="1080"/>
          <w:tab w:val="left" w:pos="10800"/>
          <w:tab w:val="left" w:pos="11520"/>
          <w:tab w:val="left" w:pos="12240"/>
          <w:tab w:val="left" w:pos="12960"/>
        </w:tabs>
        <w:spacing w:after="0" w:line="240" w:lineRule="auto"/>
        <w:ind w:left="0" w:firstLine="284"/>
        <w:jc w:val="both"/>
        <w:rPr>
          <w:rFonts w:ascii="Garamond" w:hAnsi="Garamond"/>
          <w:sz w:val="24"/>
          <w:szCs w:val="24"/>
        </w:rPr>
      </w:pPr>
      <w:r w:rsidRPr="000314BB">
        <w:rPr>
          <w:rFonts w:ascii="Garamond" w:hAnsi="Garamond" w:cs="Times New Roman"/>
          <w:sz w:val="24"/>
          <w:szCs w:val="24"/>
        </w:rPr>
        <w:t xml:space="preserve">32. Ndërsa gjykata e apelit ka arritur në përfundimin se, sipas parashikimit </w:t>
      </w:r>
      <w:proofErr w:type="spellStart"/>
      <w:r w:rsidRPr="000314BB">
        <w:rPr>
          <w:rFonts w:ascii="Garamond" w:hAnsi="Garamond" w:cs="Times New Roman"/>
          <w:sz w:val="24"/>
          <w:szCs w:val="24"/>
        </w:rPr>
        <w:t>kontraktor</w:t>
      </w:r>
      <w:proofErr w:type="spellEnd"/>
      <w:r w:rsidRPr="000314BB">
        <w:rPr>
          <w:rFonts w:ascii="Garamond" w:hAnsi="Garamond" w:cs="Times New Roman"/>
          <w:sz w:val="24"/>
          <w:szCs w:val="24"/>
        </w:rPr>
        <w:t>, shoqëria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kishte të drejtën e montimit të një ashensori të ri, por nuk kishte marrë përsipër garantimin e përputhshmërisë së ashensorit me kërkesat e detyrueshme të sigurisë. Gjithashtu, referuar edhe nenit 623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-së,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si pronare e ndërtesës, ka përgjegjësi për dëmin e shkaktuar nga të metat e ashensorit që është i instaluar në ndërtimin në pronësi të saj.</w:t>
      </w:r>
      <w:r w:rsidRPr="000314BB">
        <w:rPr>
          <w:rFonts w:ascii="Garamond" w:hAnsi="Garamond"/>
          <w:sz w:val="24"/>
          <w:szCs w:val="24"/>
        </w:rPr>
        <w:t xml:space="preserve"> </w:t>
      </w:r>
      <w:r w:rsidRPr="000314BB">
        <w:rPr>
          <w:rFonts w:ascii="Garamond" w:hAnsi="Garamond" w:cs="Times New Roman"/>
          <w:sz w:val="24"/>
          <w:szCs w:val="24"/>
        </w:rPr>
        <w:t>Meqenëse objekti u është dhënë me qira dy shoqërive të tjera,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dhe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sipas gjykatës së apelit të tria shoqëritë kanë përgjegjësi solidare në shkaktimin e dëmit. Prandaj pala e paditur,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sipas paragrafit të dytë të nenit 623 dhe paragrafit të parë të nenit 627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 xml:space="preserve">-së, mund të kërkojë nga secila prej shoqërive pjesën e saj, në përpjesëtim me shkallën e fajësisë të secilës dhe të tërësisë së pasojave të rrjedhura, përmes padisë së regresit. Gjykata e apelit ka analizuar elementet e parashikuara në nenin 608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-së. Konkretisht, për elementin “faj” ka arsyetuar se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ka pasur mundësinë e parashikimit të pasojave që mund të vinin prej saj dhe me ndërgjegje, nuk ka penguar ardhjen e pasojës;</w:t>
      </w:r>
      <w:r w:rsidRPr="000314BB">
        <w:rPr>
          <w:rFonts w:ascii="Garamond" w:hAnsi="Garamond"/>
          <w:sz w:val="24"/>
          <w:szCs w:val="24"/>
        </w:rPr>
        <w:t xml:space="preserve"> </w:t>
      </w:r>
      <w:r w:rsidRPr="000314BB">
        <w:rPr>
          <w:rFonts w:ascii="Garamond" w:hAnsi="Garamond" w:cs="Times New Roman"/>
          <w:sz w:val="24"/>
          <w:szCs w:val="24"/>
        </w:rPr>
        <w:t xml:space="preserve">për lidhjen shkakësore, shoqëria nuk ka arritur të provojë që aksidenti ka ardhur si pasojë e një veprimi/mosveprimi tjetër, si dhe për dëmin e shkaktuar në formën e dëmit pasuror dhe </w:t>
      </w:r>
      <w:proofErr w:type="spellStart"/>
      <w:r w:rsidRPr="000314BB">
        <w:rPr>
          <w:rFonts w:ascii="Garamond" w:hAnsi="Garamond" w:cs="Times New Roman"/>
          <w:sz w:val="24"/>
          <w:szCs w:val="24"/>
        </w:rPr>
        <w:t>jopasuror</w:t>
      </w:r>
      <w:proofErr w:type="spellEnd"/>
      <w:r w:rsidRPr="000314BB">
        <w:rPr>
          <w:rFonts w:ascii="Garamond" w:hAnsi="Garamond" w:cs="Times New Roman"/>
          <w:sz w:val="24"/>
          <w:szCs w:val="24"/>
        </w:rPr>
        <w:t>. Gjykata e apelit në analizën për mosveprimin e paligjshëm i është referuar edhe pikës 24</w:t>
      </w:r>
      <w:r w:rsidR="00C82265">
        <w:rPr>
          <w:rFonts w:ascii="Garamond" w:hAnsi="Garamond" w:cs="Times New Roman"/>
          <w:sz w:val="24"/>
          <w:szCs w:val="24"/>
        </w:rPr>
        <w:t>,</w:t>
      </w:r>
      <w:r w:rsidRPr="000314BB">
        <w:rPr>
          <w:rFonts w:ascii="Garamond" w:hAnsi="Garamond" w:cs="Times New Roman"/>
          <w:sz w:val="24"/>
          <w:szCs w:val="24"/>
        </w:rPr>
        <w:t xml:space="preserve"> të nenit 3</w:t>
      </w:r>
      <w:r w:rsidR="00C82265">
        <w:rPr>
          <w:rFonts w:ascii="Garamond" w:hAnsi="Garamond" w:cs="Times New Roman"/>
          <w:sz w:val="24"/>
          <w:szCs w:val="24"/>
        </w:rPr>
        <w:t>,</w:t>
      </w:r>
      <w:r w:rsidRPr="000314BB">
        <w:rPr>
          <w:rFonts w:ascii="Garamond" w:hAnsi="Garamond" w:cs="Times New Roman"/>
          <w:sz w:val="24"/>
          <w:szCs w:val="24"/>
        </w:rPr>
        <w:t xml:space="preserve"> të ligjit n</w:t>
      </w:r>
      <w:r w:rsidR="00C82265">
        <w:rPr>
          <w:rFonts w:ascii="Garamond" w:hAnsi="Garamond" w:cs="Times New Roman"/>
          <w:sz w:val="24"/>
          <w:szCs w:val="24"/>
        </w:rPr>
        <w:t>r. 10489/2011, si dhe pikës 2.2,</w:t>
      </w:r>
      <w:r w:rsidRPr="000314BB">
        <w:rPr>
          <w:rFonts w:ascii="Garamond" w:hAnsi="Garamond" w:cs="Times New Roman"/>
          <w:sz w:val="24"/>
          <w:szCs w:val="24"/>
        </w:rPr>
        <w:t xml:space="preserve"> të </w:t>
      </w:r>
      <w:proofErr w:type="spellStart"/>
      <w:r w:rsidRPr="000314BB">
        <w:rPr>
          <w:rFonts w:ascii="Garamond" w:hAnsi="Garamond" w:cs="Times New Roman"/>
          <w:sz w:val="24"/>
          <w:szCs w:val="24"/>
        </w:rPr>
        <w:t>VKM</w:t>
      </w:r>
      <w:proofErr w:type="spellEnd"/>
      <w:r w:rsidRPr="000314BB">
        <w:rPr>
          <w:rFonts w:ascii="Garamond" w:hAnsi="Garamond" w:cs="Times New Roman"/>
          <w:sz w:val="24"/>
          <w:szCs w:val="24"/>
        </w:rPr>
        <w:t>-së nr. 1056/2015.</w:t>
      </w:r>
    </w:p>
    <w:p w14:paraId="63B9A5ED" w14:textId="7E258358" w:rsidR="007D5EC3" w:rsidRPr="000314BB" w:rsidRDefault="007D5EC3" w:rsidP="007D5EC3">
      <w:pPr>
        <w:pStyle w:val="ListParagraph"/>
        <w:tabs>
          <w:tab w:val="left" w:pos="900"/>
          <w:tab w:val="left" w:pos="1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33. Gjykata e Lartë e ka shqyrtuar çështjen mbi rekursin e 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dhe </w:t>
      </w:r>
      <w:proofErr w:type="spellStart"/>
      <w:r w:rsidRPr="000314BB">
        <w:rPr>
          <w:rFonts w:ascii="Garamond" w:hAnsi="Garamond" w:cs="Times New Roman"/>
          <w:sz w:val="24"/>
          <w:szCs w:val="24"/>
        </w:rPr>
        <w:t>kundërrekursin</w:t>
      </w:r>
      <w:proofErr w:type="spellEnd"/>
      <w:r w:rsidRPr="000314BB">
        <w:rPr>
          <w:rFonts w:ascii="Garamond" w:hAnsi="Garamond" w:cs="Times New Roman"/>
          <w:sz w:val="24"/>
          <w:szCs w:val="24"/>
        </w:rPr>
        <w:t xml:space="preserve"> e kërkuesve. Në analizë të kushteve ligjore të përgjegjësisë civile (ekzistencës së paligjshmërisë së veprimit/mosveprimit, dëmit, fajit dhe lidhjes shkakësore mes veprimit e pasojës së ardhur për përcaktimin e përgjegjësisë), për sa i përket përgjegjësisë </w:t>
      </w:r>
      <w:proofErr w:type="spellStart"/>
      <w:r w:rsidRPr="000314BB">
        <w:rPr>
          <w:rFonts w:ascii="Garamond" w:hAnsi="Garamond" w:cs="Times New Roman"/>
          <w:sz w:val="24"/>
          <w:szCs w:val="24"/>
        </w:rPr>
        <w:t>jashtëkontraktore</w:t>
      </w:r>
      <w:proofErr w:type="spellEnd"/>
      <w:r w:rsidRPr="000314BB">
        <w:rPr>
          <w:rFonts w:ascii="Garamond" w:hAnsi="Garamond" w:cs="Times New Roman"/>
          <w:sz w:val="24"/>
          <w:szCs w:val="24"/>
        </w:rPr>
        <w:t xml:space="preserve">, Gjykata e Lartë ka arritur në përfundimin se referuar nenit 623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 xml:space="preserve">-së, pronari i një ndërtese është përgjegjës për dëmet e shkaktuara të </w:t>
      </w:r>
      <w:proofErr w:type="spellStart"/>
      <w:r w:rsidRPr="000314BB">
        <w:rPr>
          <w:rFonts w:ascii="Garamond" w:hAnsi="Garamond" w:cs="Times New Roman"/>
          <w:sz w:val="24"/>
          <w:szCs w:val="24"/>
        </w:rPr>
        <w:t>tretëve</w:t>
      </w:r>
      <w:proofErr w:type="spellEnd"/>
      <w:r w:rsidRPr="000314BB">
        <w:rPr>
          <w:rFonts w:ascii="Garamond" w:hAnsi="Garamond" w:cs="Times New Roman"/>
          <w:sz w:val="24"/>
          <w:szCs w:val="24"/>
        </w:rPr>
        <w:t xml:space="preserve"> nga të metat në struktura murale, si dhe në impiantet ose objektet e </w:t>
      </w:r>
      <w:proofErr w:type="spellStart"/>
      <w:r w:rsidRPr="000314BB">
        <w:rPr>
          <w:rFonts w:ascii="Garamond" w:hAnsi="Garamond" w:cs="Times New Roman"/>
          <w:sz w:val="24"/>
          <w:szCs w:val="24"/>
        </w:rPr>
        <w:t>inkorporuara</w:t>
      </w:r>
      <w:proofErr w:type="spellEnd"/>
      <w:r w:rsidRPr="000314BB">
        <w:rPr>
          <w:rFonts w:ascii="Garamond" w:hAnsi="Garamond" w:cs="Times New Roman"/>
          <w:sz w:val="24"/>
          <w:szCs w:val="24"/>
        </w:rPr>
        <w:t xml:space="preserve"> në mënyrë të përhershme në këto struktura. Sipas Gjykatës së Lartë, kur dëmi vjen nga një objekt, sikundër është ashensori, për shkak të karakteristikave të tij si një send në përdorim të vazhdueshëm dhe i </w:t>
      </w:r>
      <w:proofErr w:type="spellStart"/>
      <w:r w:rsidRPr="000314BB">
        <w:rPr>
          <w:rFonts w:ascii="Garamond" w:hAnsi="Garamond" w:cs="Times New Roman"/>
          <w:sz w:val="24"/>
          <w:szCs w:val="24"/>
        </w:rPr>
        <w:t>prirur</w:t>
      </w:r>
      <w:proofErr w:type="spellEnd"/>
      <w:r w:rsidRPr="000314BB">
        <w:rPr>
          <w:rFonts w:ascii="Garamond" w:hAnsi="Garamond" w:cs="Times New Roman"/>
          <w:sz w:val="24"/>
          <w:szCs w:val="24"/>
        </w:rPr>
        <w:t xml:space="preserve"> drejt një </w:t>
      </w:r>
      <w:proofErr w:type="spellStart"/>
      <w:r w:rsidRPr="000314BB">
        <w:rPr>
          <w:rFonts w:ascii="Garamond" w:hAnsi="Garamond" w:cs="Times New Roman"/>
          <w:sz w:val="24"/>
          <w:szCs w:val="24"/>
        </w:rPr>
        <w:t>marzhi</w:t>
      </w:r>
      <w:proofErr w:type="spellEnd"/>
      <w:r w:rsidRPr="000314BB">
        <w:rPr>
          <w:rFonts w:ascii="Garamond" w:hAnsi="Garamond" w:cs="Times New Roman"/>
          <w:sz w:val="24"/>
          <w:szCs w:val="24"/>
        </w:rPr>
        <w:t xml:space="preserve"> të lartë amortizimi, te qiramarrësi, krahas përgjegjësisë së mirëmbajtjes, transferohet edhe përgjegjësia për dëmet e shkaktuara nga ky send. Në rastin kur ndërtesa jepet me qira dhe si rezultat i përdorimit të objekteve të lidhura ngushtësisht me ndërtesën shkaktohet dëm, është posedimi i vazhdueshëm që “zhvendos” te qiramarrësi detyrimin për t’u përgjigjur për dëmin e shkaktuar </w:t>
      </w:r>
      <w:r w:rsidRPr="000314BB">
        <w:rPr>
          <w:rFonts w:ascii="Garamond" w:hAnsi="Garamond" w:cs="Times New Roman"/>
          <w:i/>
          <w:iCs/>
          <w:sz w:val="24"/>
          <w:szCs w:val="24"/>
        </w:rPr>
        <w:t>(shih paragrafin 26</w:t>
      </w:r>
      <w:r w:rsidR="00C82265">
        <w:rPr>
          <w:rFonts w:ascii="Garamond" w:hAnsi="Garamond" w:cs="Times New Roman"/>
          <w:i/>
          <w:iCs/>
          <w:sz w:val="24"/>
          <w:szCs w:val="24"/>
        </w:rPr>
        <w:t>,</w:t>
      </w:r>
      <w:r w:rsidRPr="000314BB">
        <w:rPr>
          <w:rFonts w:ascii="Garamond" w:hAnsi="Garamond" w:cs="Times New Roman"/>
          <w:i/>
          <w:iCs/>
          <w:sz w:val="24"/>
          <w:szCs w:val="24"/>
        </w:rPr>
        <w:t xml:space="preserve"> të vendimit të Gjykatës së Lartë). </w:t>
      </w:r>
      <w:r w:rsidRPr="000314BB">
        <w:rPr>
          <w:rFonts w:ascii="Garamond" w:hAnsi="Garamond" w:cs="Times New Roman"/>
          <w:sz w:val="24"/>
          <w:szCs w:val="24"/>
        </w:rPr>
        <w:t>Sipas Gjykatës së Lartë, në referim të pikës 24</w:t>
      </w:r>
      <w:r w:rsidR="00C82265">
        <w:rPr>
          <w:rFonts w:ascii="Garamond" w:hAnsi="Garamond" w:cs="Times New Roman"/>
          <w:sz w:val="24"/>
          <w:szCs w:val="24"/>
        </w:rPr>
        <w:t>,</w:t>
      </w:r>
      <w:r w:rsidRPr="000314BB">
        <w:rPr>
          <w:rFonts w:ascii="Garamond" w:hAnsi="Garamond" w:cs="Times New Roman"/>
          <w:sz w:val="24"/>
          <w:szCs w:val="24"/>
        </w:rPr>
        <w:t xml:space="preserve"> të nenit 3</w:t>
      </w:r>
      <w:r w:rsidR="00C82265">
        <w:rPr>
          <w:rFonts w:ascii="Garamond" w:hAnsi="Garamond" w:cs="Times New Roman"/>
          <w:sz w:val="24"/>
          <w:szCs w:val="24"/>
        </w:rPr>
        <w:t>,</w:t>
      </w:r>
      <w:r w:rsidRPr="000314BB">
        <w:rPr>
          <w:rFonts w:ascii="Garamond" w:hAnsi="Garamond" w:cs="Times New Roman"/>
          <w:sz w:val="24"/>
          <w:szCs w:val="24"/>
        </w:rPr>
        <w:t xml:space="preserve"> të ligjit nr. 10489/2011, përgjegjësia për dëmet e shkaktuara nga një instalim (sikundër është ashensori) sipas rastit, i takon titullarit të së drejtës së pronësisë mbi produktin ose personit që ka në gëzim të përkohshëm produktin, nëse ky i fundit mbi bazën e një marrëveshjeje me pronarin, ka marrë përsipër detyrimin e garantimit të përputhshmërisë së produktit me kërkesat e detyrueshme të sigurisë. Në momentin e ndodhjes së aksidentit përgjegjëse kanë qenë shoqëritë qiramarrëse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Sipas Gjykatës së Lartë, qiramarrësi, duke qenë në dijeni të parregullsisë së ashensorit ekzistues, ka </w:t>
      </w:r>
      <w:proofErr w:type="spellStart"/>
      <w:r w:rsidRPr="000314BB">
        <w:rPr>
          <w:rFonts w:ascii="Garamond" w:hAnsi="Garamond" w:cs="Times New Roman"/>
          <w:sz w:val="24"/>
          <w:szCs w:val="24"/>
        </w:rPr>
        <w:t>dakordësuar</w:t>
      </w:r>
      <w:proofErr w:type="spellEnd"/>
      <w:r w:rsidRPr="000314BB">
        <w:rPr>
          <w:rFonts w:ascii="Garamond" w:hAnsi="Garamond" w:cs="Times New Roman"/>
          <w:sz w:val="24"/>
          <w:szCs w:val="24"/>
        </w:rPr>
        <w:t xml:space="preserve"> me pronaren e ndërtesës, shoqërinë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që të ndërtonin një ashensor të ri, fakt për të cilin pronarja ka dhënë miratimin e tij. Gjykata e Lartë ka arsyetuar se gjykata e apelit, në ndryshim nga gjykata e shkallës së parë, nuk ka adresuar në përputhje me ligjin përgjegjësinë e subjektit që gëzon ndërtesën nëpërmjet një kontrate qiraje, në raport me dëmet e shkaktuara nga objektet e lidhura në mënyrë të qenësishme me ndërtesën </w:t>
      </w:r>
      <w:r w:rsidRPr="000314BB">
        <w:rPr>
          <w:rFonts w:ascii="Garamond" w:hAnsi="Garamond" w:cs="Times New Roman"/>
          <w:i/>
          <w:iCs/>
          <w:sz w:val="24"/>
          <w:szCs w:val="24"/>
        </w:rPr>
        <w:t>(shih paragrafët 29</w:t>
      </w:r>
      <w:r w:rsidR="00C82265">
        <w:rPr>
          <w:rFonts w:ascii="Garamond" w:hAnsi="Garamond" w:cs="Times New Roman"/>
          <w:i/>
          <w:iCs/>
          <w:sz w:val="24"/>
          <w:szCs w:val="24"/>
        </w:rPr>
        <w:t>–</w:t>
      </w:r>
      <w:r w:rsidRPr="000314BB">
        <w:rPr>
          <w:rFonts w:ascii="Garamond" w:hAnsi="Garamond" w:cs="Times New Roman"/>
          <w:i/>
          <w:iCs/>
          <w:sz w:val="24"/>
          <w:szCs w:val="24"/>
        </w:rPr>
        <w:t>32</w:t>
      </w:r>
      <w:r w:rsidR="00C82265">
        <w:rPr>
          <w:rFonts w:ascii="Garamond" w:hAnsi="Garamond" w:cs="Times New Roman"/>
          <w:i/>
          <w:iCs/>
          <w:sz w:val="24"/>
          <w:szCs w:val="24"/>
        </w:rPr>
        <w:t>,</w:t>
      </w:r>
      <w:r w:rsidRPr="000314BB">
        <w:rPr>
          <w:rFonts w:ascii="Garamond" w:hAnsi="Garamond" w:cs="Times New Roman"/>
          <w:i/>
          <w:iCs/>
          <w:sz w:val="24"/>
          <w:szCs w:val="24"/>
        </w:rPr>
        <w:t xml:space="preserve"> të vendimit </w:t>
      </w:r>
      <w:bookmarkStart w:id="0" w:name="_GoBack"/>
      <w:r w:rsidRPr="000314BB">
        <w:rPr>
          <w:rFonts w:ascii="Garamond" w:hAnsi="Garamond" w:cs="Times New Roman"/>
          <w:i/>
          <w:iCs/>
          <w:sz w:val="24"/>
          <w:szCs w:val="24"/>
        </w:rPr>
        <w:t>të Gjykatës</w:t>
      </w:r>
      <w:bookmarkEnd w:id="0"/>
      <w:r w:rsidRPr="000314BB">
        <w:rPr>
          <w:rFonts w:ascii="Garamond" w:hAnsi="Garamond" w:cs="Times New Roman"/>
          <w:i/>
          <w:iCs/>
          <w:sz w:val="24"/>
          <w:szCs w:val="24"/>
        </w:rPr>
        <w:t xml:space="preserve"> së Lartë).</w:t>
      </w:r>
    </w:p>
    <w:p w14:paraId="641F7346" w14:textId="4EE33C54" w:rsidR="007D5EC3" w:rsidRPr="000314BB" w:rsidRDefault="007D5EC3" w:rsidP="007D5EC3">
      <w:pPr>
        <w:pStyle w:val="ListParagraph"/>
        <w:tabs>
          <w:tab w:val="left" w:pos="900"/>
          <w:tab w:val="left" w:pos="1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lastRenderedPageBreak/>
        <w:t>34. Nisur nga sa më sipër, Gjykata konstaton se, ndonëse Gjykata e Lartë e ka bazuar analizën e saj mbi të njëjtat fakte dhe prova të administruara gjatë gjykimit në gjykatat e faktit, përfundimi i saj për përjashtimin e përgjegjësisë së pronares mbështetet në një interpretim të kontratave të qirasë, i cili nuk gjen mbështetje në përmbajtjen e tyre.</w:t>
      </w:r>
    </w:p>
    <w:p w14:paraId="25964023" w14:textId="525A43DD" w:rsidR="007D5EC3" w:rsidRPr="000314BB" w:rsidRDefault="007D5EC3" w:rsidP="007D5EC3">
      <w:pPr>
        <w:pStyle w:val="ListParagraph"/>
        <w:tabs>
          <w:tab w:val="left" w:pos="900"/>
          <w:tab w:val="left" w:pos="1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35. Në veçanti, Gjykata vëren se nga kontratat e qirasë nuk rezulton të jetë parashikuar ndonjë klauzolë, sipas së cilës qiramarrësja kishin marrë përsipër detyrimin për garantimin e përputhshmërisë së ashensorit ekzistues me kërkesat e detyrueshme të sigurisë, në kuptim të pikës 24</w:t>
      </w:r>
      <w:r w:rsidR="00C82265">
        <w:rPr>
          <w:rFonts w:ascii="Garamond" w:hAnsi="Garamond" w:cs="Times New Roman"/>
          <w:sz w:val="24"/>
          <w:szCs w:val="24"/>
        </w:rPr>
        <w:t>,</w:t>
      </w:r>
      <w:r w:rsidRPr="000314BB">
        <w:rPr>
          <w:rFonts w:ascii="Garamond" w:hAnsi="Garamond" w:cs="Times New Roman"/>
          <w:sz w:val="24"/>
          <w:szCs w:val="24"/>
        </w:rPr>
        <w:t xml:space="preserve"> të nenit 3</w:t>
      </w:r>
      <w:r w:rsidR="00C82265">
        <w:rPr>
          <w:rFonts w:ascii="Garamond" w:hAnsi="Garamond" w:cs="Times New Roman"/>
          <w:sz w:val="24"/>
          <w:szCs w:val="24"/>
        </w:rPr>
        <w:t>,</w:t>
      </w:r>
      <w:r w:rsidRPr="000314BB">
        <w:rPr>
          <w:rFonts w:ascii="Garamond" w:hAnsi="Garamond" w:cs="Times New Roman"/>
          <w:sz w:val="24"/>
          <w:szCs w:val="24"/>
        </w:rPr>
        <w:t xml:space="preserve"> të ligjit nr. 10489/2011. Po kështu, rezulton se ashensori ku ndodhi aksidenti ishte pjesë e godinës që prej vitit 1977 dhe jo një instalim i ri i realizuar nga qiramarrësja. Megjithatë, Gjykata e Lartë ka arritur në përfundimin se përgjegjësia ishte transferuar te qiramarrësja vetëm mbi bazën e posedimit dhe përdorimit të godinës, pa identifikuar bazën </w:t>
      </w:r>
      <w:proofErr w:type="spellStart"/>
      <w:r w:rsidRPr="000314BB">
        <w:rPr>
          <w:rFonts w:ascii="Garamond" w:hAnsi="Garamond" w:cs="Times New Roman"/>
          <w:sz w:val="24"/>
          <w:szCs w:val="24"/>
        </w:rPr>
        <w:t>kontraktore</w:t>
      </w:r>
      <w:proofErr w:type="spellEnd"/>
      <w:r w:rsidRPr="000314BB">
        <w:rPr>
          <w:rFonts w:ascii="Garamond" w:hAnsi="Garamond" w:cs="Times New Roman"/>
          <w:sz w:val="24"/>
          <w:szCs w:val="24"/>
        </w:rPr>
        <w:t xml:space="preserve"> ose ligjore që justifikonte një përfundim të tillë. Thënë ndryshe, ajo është mjaftuar me konkluzionin se posedimi dhe përdorimi i ndërtesës nga qiramarrëset sillnin zhvendosjen e përgjegjësisë për dëmin, pa analizuar nëse ky përfundim mbështetej në parashikimet konkrete të kontratave të qirasë, si dhe në rrethanën se ashensori përbënte një pjesë ekzistuese të godinës në pronësi të 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dhe se pronarja ka pasur mundësinë e parashikimit të pasojave që mund të vinin prej kësaj situate në kushtet kur nuk ishte montuar një ashensor i ri nga shoqëria qiramarrëse. </w:t>
      </w:r>
    </w:p>
    <w:p w14:paraId="10275449" w14:textId="648E5858" w:rsidR="007D5EC3" w:rsidRPr="000314BB" w:rsidRDefault="007D5EC3" w:rsidP="007D5EC3">
      <w:pPr>
        <w:pStyle w:val="ListParagraph"/>
        <w:tabs>
          <w:tab w:val="left" w:pos="900"/>
          <w:tab w:val="left" w:pos="1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36. Gjykata vëren gjithashtu se vetë Gjykata e Lartë ka pranuar se pronarja kishte dijeni për gjendjen e ashensorit ekzistues, pasi qiramarrësja kishte </w:t>
      </w:r>
      <w:proofErr w:type="spellStart"/>
      <w:r w:rsidRPr="000314BB">
        <w:rPr>
          <w:rFonts w:ascii="Garamond" w:hAnsi="Garamond" w:cs="Times New Roman"/>
          <w:sz w:val="24"/>
          <w:szCs w:val="24"/>
        </w:rPr>
        <w:t>dakordësuar</w:t>
      </w:r>
      <w:proofErr w:type="spellEnd"/>
      <w:r w:rsidRPr="000314BB">
        <w:rPr>
          <w:rFonts w:ascii="Garamond" w:hAnsi="Garamond" w:cs="Times New Roman"/>
          <w:sz w:val="24"/>
          <w:szCs w:val="24"/>
        </w:rPr>
        <w:t xml:space="preserve"> me të për ndërtimin e një ashensori të ri. Megjithatë, ajo nuk ka analizuar ndikimin që kjo rrethanë kishte në përcaktimin e përgjegjësisë së pronares dhe as nuk ka shpjeguar se përse miratimi për instalimin e një ashensori të ri konsiderohej i mjaftueshëm për të arritur në përfundimin se detyrimi për garantimin e sigurisë së ashensorit ekzistues ishte transferuar te qiramarrësit.</w:t>
      </w:r>
    </w:p>
    <w:p w14:paraId="4FD938A1" w14:textId="057E1F2F" w:rsidR="007D5EC3" w:rsidRPr="000314BB" w:rsidRDefault="007D5EC3" w:rsidP="007D5EC3">
      <w:pPr>
        <w:pStyle w:val="ListParagraph"/>
        <w:tabs>
          <w:tab w:val="left" w:pos="900"/>
          <w:tab w:val="left" w:pos="1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37. Bazuar në këtë analizë, Gjykata çmon se interpretimi që Gjykata e Lartë u ka bërë kontratave të qirasë nuk harmonizohet me përmbajtjen objektive të tyre, në kuptimin që nuk analizon në mënyrë shteruese detyrimet e të gjitha palëve në kontratat e qirasë, si dhe nuk mbështetet në faktet e pranuara prej saj dhe nga gjykatat e faktit. Në këto kushte, përfundimi për përjashtimin e përgjegjësisë së pronares nuk është rezultat i një analize të plotë dhe logjikisht të lidhur të dispozitave </w:t>
      </w:r>
      <w:proofErr w:type="spellStart"/>
      <w:r w:rsidRPr="000314BB">
        <w:rPr>
          <w:rFonts w:ascii="Garamond" w:hAnsi="Garamond" w:cs="Times New Roman"/>
          <w:sz w:val="24"/>
          <w:szCs w:val="24"/>
        </w:rPr>
        <w:t>kontraktore</w:t>
      </w:r>
      <w:proofErr w:type="spellEnd"/>
      <w:r w:rsidRPr="000314BB">
        <w:rPr>
          <w:rFonts w:ascii="Garamond" w:hAnsi="Garamond" w:cs="Times New Roman"/>
          <w:sz w:val="24"/>
          <w:szCs w:val="24"/>
        </w:rPr>
        <w:t xml:space="preserve"> dhe ligjore të zbatueshme.</w:t>
      </w:r>
    </w:p>
    <w:p w14:paraId="5B5E5699" w14:textId="6C461D15" w:rsidR="007D5EC3" w:rsidRPr="000314BB" w:rsidRDefault="007D5EC3" w:rsidP="007D5EC3">
      <w:pPr>
        <w:pStyle w:val="ListParagraph"/>
        <w:tabs>
          <w:tab w:val="left" w:pos="900"/>
          <w:tab w:val="left" w:pos="1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38. Gjykata vëren gjithashtu se në vendimin e saj Gjykata e Lartë ka arritur në përfundimin se përgjegjësia për dëmin zhvendosej te shoqëritë qiramarrëse, ndërsa nuk ka shpjeguar se përse, pavarësisht këtij përfundimi, e ka lënë në fuqi vendimin e gjykatës së shkallës së parë, i cili kishte refuzuar thirrjen e këtyre shoqërive në gjykim. Në këtë mënyrë, Gjykata e Lartë nuk i ka kthyer përgjigje pretendimit të kërkuesve për refuzimin, nga gjykata e shkallës së parë, të kërkesës për thirrjen në gjykim edhe të dy shoqërive qiramarrëse. Po kështu, Gjykata e Lartë, edhe pse ka prishur vendimin e gjykatës së apelit, nuk ka analizuar se përse është i gabuar arsyetimi i asaj gjykate (së apelit) në lidhje me përgjegjësinë solidare të </w:t>
      </w:r>
      <w:proofErr w:type="spellStart"/>
      <w:r w:rsidRPr="000314BB">
        <w:rPr>
          <w:rFonts w:ascii="Garamond" w:hAnsi="Garamond" w:cs="Times New Roman"/>
          <w:sz w:val="24"/>
          <w:szCs w:val="24"/>
        </w:rPr>
        <w:t>të</w:t>
      </w:r>
      <w:proofErr w:type="spellEnd"/>
      <w:r w:rsidRPr="000314BB">
        <w:rPr>
          <w:rFonts w:ascii="Garamond" w:hAnsi="Garamond" w:cs="Times New Roman"/>
          <w:sz w:val="24"/>
          <w:szCs w:val="24"/>
        </w:rPr>
        <w:t xml:space="preserve"> tria shoqërive (asaj pronare të godinës dhe dy shoqërive qiramarrëse) në shkaktimin e dëmit. </w:t>
      </w:r>
    </w:p>
    <w:p w14:paraId="4D2D0AD1" w14:textId="3EAD76BF" w:rsidR="007D5EC3" w:rsidRPr="000314BB" w:rsidRDefault="007D5EC3" w:rsidP="007D5EC3">
      <w:pPr>
        <w:pStyle w:val="ListParagraph"/>
        <w:tabs>
          <w:tab w:val="left" w:pos="900"/>
          <w:tab w:val="left" w:pos="1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 xml:space="preserve">39. Në këtë kuptim, Gjykata vlerëson se arsyetimi i Gjykatës së Lartë nuk plotëson standardin kushtetues të arsyetimit të vendimit gjyqësor. Interpretimi jo i plotë i kontratave të qirasë dhe mosdhënia e një përgjigjeje për përgjegjësinë solidare të shoqërive ka çuar në një zbatim të ligjit që nuk mbështetet në elementet objektive të çështjes dhe, për pasojë, në një vendimmarrje që paraqet elemente arbitrariteti në kuptim të nenit 42 të Kushtetutës dhe të jurisprudencës kushtetuese. Për rrjedhojë, pretendimi i kërkuesve për cenimin e së drejtës së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gjykatë të lidhur me standardin e arsyetimit të vendimit gjyqësor është i bazuar.</w:t>
      </w:r>
    </w:p>
    <w:p w14:paraId="5404C898" w14:textId="7271B1F9" w:rsidR="007D5EC3" w:rsidRPr="000314BB" w:rsidRDefault="007D5EC3" w:rsidP="007D5EC3">
      <w:pPr>
        <w:pStyle w:val="ListParagraph"/>
        <w:tabs>
          <w:tab w:val="left" w:pos="900"/>
          <w:tab w:val="left" w:pos="1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40. Në përfundim, Gjykata çmon se kërkesa është e bazuar, sipas arsyetimit të mësipërm, ndaj ajo pranohet.</w:t>
      </w:r>
    </w:p>
    <w:p w14:paraId="569052CC" w14:textId="77777777"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p>
    <w:p w14:paraId="79C5454E" w14:textId="77777777" w:rsidR="007D5EC3" w:rsidRPr="000314BB" w:rsidRDefault="007D5EC3" w:rsidP="007D5EC3">
      <w:pPr>
        <w:tabs>
          <w:tab w:val="left" w:pos="1080"/>
        </w:tabs>
        <w:spacing w:after="0" w:line="240" w:lineRule="auto"/>
        <w:ind w:firstLine="284"/>
        <w:jc w:val="center"/>
        <w:rPr>
          <w:rFonts w:ascii="Garamond" w:hAnsi="Garamond"/>
          <w:sz w:val="24"/>
          <w:szCs w:val="24"/>
        </w:rPr>
      </w:pPr>
      <w:r w:rsidRPr="000314BB">
        <w:rPr>
          <w:rFonts w:ascii="Garamond" w:hAnsi="Garamond" w:cs="Times New Roman"/>
          <w:bCs/>
          <w:sz w:val="24"/>
          <w:szCs w:val="24"/>
        </w:rPr>
        <w:t>PËR KËTO ARSYE,</w:t>
      </w:r>
    </w:p>
    <w:p w14:paraId="7E4DAF4C" w14:textId="77777777" w:rsidR="000314BB" w:rsidRPr="000314BB" w:rsidRDefault="000314BB" w:rsidP="007D5EC3">
      <w:pPr>
        <w:spacing w:after="0" w:line="240" w:lineRule="auto"/>
        <w:ind w:firstLine="284"/>
        <w:jc w:val="both"/>
        <w:rPr>
          <w:rFonts w:ascii="Garamond" w:hAnsi="Garamond" w:cs="Times New Roman"/>
          <w:sz w:val="24"/>
          <w:szCs w:val="24"/>
        </w:rPr>
      </w:pPr>
    </w:p>
    <w:p w14:paraId="2000C271" w14:textId="4364DF19" w:rsidR="007D5EC3" w:rsidRPr="000314BB" w:rsidRDefault="007D5EC3" w:rsidP="007D5EC3">
      <w:pPr>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 xml:space="preserve">Gjykata Kushtetuese, në mbështetje të neneve 131, pika 1, shkronja “f”, dhe 134, pika 1, shkronja “i”, të Kushtetutës, si dhe nenit </w:t>
      </w:r>
      <w:r w:rsidR="00C82265">
        <w:rPr>
          <w:rFonts w:ascii="Garamond" w:hAnsi="Garamond" w:cs="Times New Roman"/>
          <w:sz w:val="24"/>
          <w:szCs w:val="24"/>
        </w:rPr>
        <w:t>72, të ligjit nr. 8577, datë 10.</w:t>
      </w:r>
      <w:r w:rsidRPr="000314BB">
        <w:rPr>
          <w:rFonts w:ascii="Garamond" w:hAnsi="Garamond" w:cs="Times New Roman"/>
          <w:sz w:val="24"/>
          <w:szCs w:val="24"/>
        </w:rPr>
        <w:t>2.2000</w:t>
      </w:r>
      <w:r w:rsidR="00C82265">
        <w:rPr>
          <w:rFonts w:ascii="Garamond" w:hAnsi="Garamond" w:cs="Times New Roman"/>
          <w:sz w:val="24"/>
          <w:szCs w:val="24"/>
        </w:rPr>
        <w:t>,</w:t>
      </w:r>
      <w:r w:rsidRPr="000314BB">
        <w:rPr>
          <w:rFonts w:ascii="Garamond" w:hAnsi="Garamond" w:cs="Times New Roman"/>
          <w:sz w:val="24"/>
          <w:szCs w:val="24"/>
        </w:rPr>
        <w:t xml:space="preserve"> “Për organizimin dhe funksionimin e Gjykatës Kushtetuese të Republikës së Shqipërisë”, të ndryshuar, shumicë votash,</w:t>
      </w:r>
    </w:p>
    <w:p w14:paraId="58301B54" w14:textId="77777777" w:rsidR="007D5EC3" w:rsidRPr="000314BB" w:rsidRDefault="007D5EC3" w:rsidP="007D5EC3">
      <w:pPr>
        <w:spacing w:after="0" w:line="240" w:lineRule="auto"/>
        <w:ind w:firstLine="284"/>
        <w:jc w:val="both"/>
        <w:rPr>
          <w:rFonts w:ascii="Garamond" w:hAnsi="Garamond" w:cs="Times New Roman"/>
          <w:sz w:val="24"/>
          <w:szCs w:val="24"/>
        </w:rPr>
      </w:pPr>
    </w:p>
    <w:p w14:paraId="48953AC9" w14:textId="77777777" w:rsidR="007D5EC3" w:rsidRPr="000314BB" w:rsidRDefault="007D5EC3" w:rsidP="007D5EC3">
      <w:pPr>
        <w:spacing w:after="0" w:line="240" w:lineRule="auto"/>
        <w:ind w:firstLine="284"/>
        <w:jc w:val="both"/>
        <w:rPr>
          <w:rFonts w:ascii="Garamond" w:hAnsi="Garamond" w:cs="Times New Roman"/>
          <w:sz w:val="24"/>
          <w:szCs w:val="24"/>
        </w:rPr>
      </w:pPr>
    </w:p>
    <w:p w14:paraId="1FFCFF9F" w14:textId="3BB79FB5" w:rsidR="007D5EC3" w:rsidRPr="000314BB" w:rsidRDefault="007D5EC3" w:rsidP="007D5EC3">
      <w:pPr>
        <w:spacing w:after="0" w:line="240" w:lineRule="auto"/>
        <w:ind w:firstLine="284"/>
        <w:jc w:val="center"/>
        <w:rPr>
          <w:rFonts w:ascii="Garamond" w:hAnsi="Garamond" w:cs="Times New Roman"/>
          <w:bCs/>
          <w:sz w:val="24"/>
          <w:szCs w:val="24"/>
        </w:rPr>
      </w:pPr>
      <w:r w:rsidRPr="000314BB">
        <w:rPr>
          <w:rFonts w:ascii="Garamond" w:hAnsi="Garamond" w:cs="Times New Roman"/>
          <w:bCs/>
          <w:sz w:val="24"/>
          <w:szCs w:val="24"/>
        </w:rPr>
        <w:t>VENDOSI:</w:t>
      </w:r>
    </w:p>
    <w:p w14:paraId="7C842102" w14:textId="77777777" w:rsidR="000314BB" w:rsidRDefault="000314BB" w:rsidP="007D5EC3">
      <w:pPr>
        <w:pStyle w:val="ListParagraph"/>
        <w:spacing w:after="0" w:line="240" w:lineRule="auto"/>
        <w:ind w:left="0" w:firstLine="284"/>
        <w:jc w:val="both"/>
        <w:rPr>
          <w:rFonts w:ascii="Garamond" w:hAnsi="Garamond" w:cs="Times New Roman"/>
          <w:sz w:val="24"/>
          <w:szCs w:val="24"/>
        </w:rPr>
      </w:pPr>
    </w:p>
    <w:p w14:paraId="47E73EFE" w14:textId="6F37E0A1" w:rsidR="007D5EC3" w:rsidRPr="000314BB" w:rsidRDefault="007D5EC3" w:rsidP="007D5EC3">
      <w:pPr>
        <w:pStyle w:val="ListParagraph"/>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1. Pranimin</w:t>
      </w:r>
      <w:r w:rsidR="00E879FA">
        <w:rPr>
          <w:rFonts w:ascii="Garamond" w:hAnsi="Garamond" w:cs="Times New Roman"/>
          <w:sz w:val="24"/>
          <w:szCs w:val="24"/>
        </w:rPr>
        <w:t xml:space="preserve"> </w:t>
      </w:r>
      <w:r w:rsidRPr="000314BB">
        <w:rPr>
          <w:rFonts w:ascii="Garamond" w:hAnsi="Garamond" w:cs="Times New Roman"/>
          <w:sz w:val="24"/>
          <w:szCs w:val="24"/>
        </w:rPr>
        <w:t>e kërkesës.</w:t>
      </w:r>
    </w:p>
    <w:p w14:paraId="0D687403" w14:textId="45891DDD" w:rsidR="007D5EC3" w:rsidRPr="000314BB" w:rsidRDefault="007D5EC3" w:rsidP="007D5EC3">
      <w:pPr>
        <w:pStyle w:val="ListParagraph"/>
        <w:tabs>
          <w:tab w:val="left" w:pos="1080"/>
        </w:tabs>
        <w:spacing w:after="0" w:line="240" w:lineRule="auto"/>
        <w:ind w:left="0" w:firstLine="284"/>
        <w:jc w:val="both"/>
        <w:rPr>
          <w:rFonts w:ascii="Garamond" w:hAnsi="Garamond" w:cs="Times New Roman"/>
          <w:sz w:val="24"/>
          <w:szCs w:val="24"/>
        </w:rPr>
      </w:pPr>
      <w:r w:rsidRPr="000314BB">
        <w:rPr>
          <w:rFonts w:ascii="Garamond" w:hAnsi="Garamond" w:cs="Times New Roman"/>
          <w:sz w:val="24"/>
          <w:szCs w:val="24"/>
        </w:rPr>
        <w:t>2. Shfuqizimin e vendimit nr. 00-2024-5053 (700</w:t>
      </w:r>
      <w:r w:rsidR="00C82265">
        <w:rPr>
          <w:rFonts w:ascii="Garamond" w:hAnsi="Garamond" w:cs="Times New Roman"/>
          <w:sz w:val="24"/>
          <w:szCs w:val="24"/>
        </w:rPr>
        <w:t xml:space="preserve">), datë </w:t>
      </w:r>
      <w:r w:rsidRPr="000314BB">
        <w:rPr>
          <w:rFonts w:ascii="Garamond" w:hAnsi="Garamond" w:cs="Times New Roman"/>
          <w:sz w:val="24"/>
          <w:szCs w:val="24"/>
        </w:rPr>
        <w:t>4.12.2024</w:t>
      </w:r>
      <w:r w:rsidR="00C82265">
        <w:rPr>
          <w:rFonts w:ascii="Garamond" w:hAnsi="Garamond" w:cs="Times New Roman"/>
          <w:sz w:val="24"/>
          <w:szCs w:val="24"/>
        </w:rPr>
        <w:t>,</w:t>
      </w:r>
      <w:r w:rsidRPr="000314BB">
        <w:rPr>
          <w:rFonts w:ascii="Garamond" w:hAnsi="Garamond" w:cs="Times New Roman"/>
          <w:sz w:val="24"/>
          <w:szCs w:val="24"/>
        </w:rPr>
        <w:t xml:space="preserve"> të Kolegjit Civil të Gjykatës së Lartë, si të papajtueshëm me Kushtetutën e Republikës së Shqipërisë.</w:t>
      </w:r>
    </w:p>
    <w:p w14:paraId="7B37537B" w14:textId="42F9B32B" w:rsidR="007D5EC3" w:rsidRPr="000314BB" w:rsidRDefault="007D5EC3" w:rsidP="007D5EC3">
      <w:pPr>
        <w:pStyle w:val="ListParagraph"/>
        <w:spacing w:after="0" w:line="240" w:lineRule="auto"/>
        <w:ind w:left="0" w:firstLine="284"/>
        <w:rPr>
          <w:rFonts w:ascii="Garamond" w:hAnsi="Garamond" w:cs="Times New Roman"/>
          <w:sz w:val="24"/>
          <w:szCs w:val="24"/>
        </w:rPr>
      </w:pPr>
      <w:r w:rsidRPr="000314BB">
        <w:rPr>
          <w:rFonts w:ascii="Garamond" w:hAnsi="Garamond" w:cs="Times New Roman"/>
          <w:sz w:val="24"/>
          <w:szCs w:val="24"/>
        </w:rPr>
        <w:t>3. Dërgimin e çështjes për shqyrtim në Gjykatën e Lartë.</w:t>
      </w:r>
    </w:p>
    <w:p w14:paraId="148A7EF6" w14:textId="384B8399" w:rsidR="007D5EC3" w:rsidRDefault="007D5EC3" w:rsidP="007D5EC3">
      <w:pPr>
        <w:tabs>
          <w:tab w:val="left" w:pos="1800"/>
        </w:tabs>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Ky vendim është përfundimtar dhe hyn në fuqi ditën e botimit në Fletoren Zyrtare.</w:t>
      </w:r>
    </w:p>
    <w:p w14:paraId="44045607" w14:textId="77777777" w:rsidR="00C82265" w:rsidRPr="000314BB" w:rsidRDefault="00C82265" w:rsidP="007D5EC3">
      <w:pPr>
        <w:tabs>
          <w:tab w:val="left" w:pos="1800"/>
        </w:tabs>
        <w:spacing w:after="0" w:line="240" w:lineRule="auto"/>
        <w:ind w:firstLine="284"/>
        <w:jc w:val="both"/>
        <w:rPr>
          <w:rFonts w:ascii="Garamond" w:hAnsi="Garamond" w:cs="Times New Roman"/>
          <w:sz w:val="24"/>
          <w:szCs w:val="24"/>
        </w:rPr>
      </w:pPr>
    </w:p>
    <w:p w14:paraId="20355ECA" w14:textId="05A85D14" w:rsidR="007D5EC3" w:rsidRPr="000314BB" w:rsidRDefault="00C82265" w:rsidP="007D5EC3">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Marrë më 28.</w:t>
      </w:r>
      <w:r w:rsidR="007D5EC3" w:rsidRPr="000314BB">
        <w:rPr>
          <w:rFonts w:ascii="Garamond" w:hAnsi="Garamond" w:cs="Times New Roman"/>
          <w:b/>
          <w:bCs/>
          <w:sz w:val="24"/>
          <w:szCs w:val="24"/>
        </w:rPr>
        <w:t>5.2026</w:t>
      </w:r>
      <w:r>
        <w:rPr>
          <w:rFonts w:ascii="Garamond" w:hAnsi="Garamond" w:cs="Times New Roman"/>
          <w:b/>
          <w:bCs/>
          <w:sz w:val="24"/>
          <w:szCs w:val="24"/>
        </w:rPr>
        <w:t>.</w:t>
      </w:r>
    </w:p>
    <w:p w14:paraId="3A82206F" w14:textId="254C3FB3" w:rsidR="007D5EC3" w:rsidRPr="000314BB" w:rsidRDefault="00C82265" w:rsidP="007D5EC3">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Shpallur më 21.</w:t>
      </w:r>
      <w:r w:rsidR="007D5EC3" w:rsidRPr="000314BB">
        <w:rPr>
          <w:rFonts w:ascii="Garamond" w:hAnsi="Garamond" w:cs="Times New Roman"/>
          <w:b/>
          <w:bCs/>
          <w:sz w:val="24"/>
          <w:szCs w:val="24"/>
        </w:rPr>
        <w:t>7.2026</w:t>
      </w:r>
      <w:r>
        <w:rPr>
          <w:rFonts w:ascii="Garamond" w:hAnsi="Garamond" w:cs="Times New Roman"/>
          <w:b/>
          <w:bCs/>
          <w:sz w:val="24"/>
          <w:szCs w:val="24"/>
        </w:rPr>
        <w:t>.</w:t>
      </w:r>
    </w:p>
    <w:p w14:paraId="2D230CE1" w14:textId="73F340EF" w:rsidR="007D5EC3" w:rsidRDefault="007D5EC3" w:rsidP="007D5EC3">
      <w:pPr>
        <w:spacing w:after="0" w:line="240" w:lineRule="auto"/>
        <w:ind w:firstLine="284"/>
        <w:jc w:val="both"/>
        <w:rPr>
          <w:rFonts w:ascii="Garamond" w:hAnsi="Garamond" w:cs="Times New Roman"/>
          <w:b/>
          <w:bCs/>
          <w:sz w:val="24"/>
          <w:szCs w:val="24"/>
        </w:rPr>
      </w:pPr>
    </w:p>
    <w:p w14:paraId="560F10BA" w14:textId="7280C135" w:rsidR="000314BB" w:rsidRDefault="00C371EC" w:rsidP="007D5EC3">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 xml:space="preserve">Kryetare: </w:t>
      </w:r>
      <w:proofErr w:type="spellStart"/>
      <w:r w:rsidRPr="000314BB">
        <w:rPr>
          <w:rFonts w:ascii="Garamond" w:hAnsi="Garamond" w:cs="Times New Roman"/>
          <w:bCs/>
          <w:sz w:val="24"/>
          <w:szCs w:val="24"/>
        </w:rPr>
        <w:t>Fiona</w:t>
      </w:r>
      <w:proofErr w:type="spellEnd"/>
      <w:r w:rsidRPr="000314BB">
        <w:rPr>
          <w:rFonts w:ascii="Garamond" w:hAnsi="Garamond" w:cs="Times New Roman"/>
          <w:bCs/>
          <w:sz w:val="24"/>
          <w:szCs w:val="24"/>
        </w:rPr>
        <w:t xml:space="preserve"> </w:t>
      </w:r>
      <w:proofErr w:type="spellStart"/>
      <w:r w:rsidRPr="000314BB">
        <w:rPr>
          <w:rFonts w:ascii="Garamond" w:hAnsi="Garamond" w:cs="Times New Roman"/>
          <w:bCs/>
          <w:sz w:val="24"/>
          <w:szCs w:val="24"/>
        </w:rPr>
        <w:t>Papajorgji</w:t>
      </w:r>
      <w:proofErr w:type="spellEnd"/>
    </w:p>
    <w:p w14:paraId="255D4EAE" w14:textId="2E18F49A" w:rsidR="000314BB" w:rsidRDefault="00C371EC" w:rsidP="007D5EC3">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 xml:space="preserve">Anëtarë: </w:t>
      </w:r>
      <w:proofErr w:type="spellStart"/>
      <w:r w:rsidRPr="000314BB">
        <w:rPr>
          <w:rFonts w:ascii="Garamond" w:hAnsi="Garamond" w:cs="Times New Roman"/>
          <w:bCs/>
          <w:sz w:val="24"/>
          <w:szCs w:val="24"/>
        </w:rPr>
        <w:t>Sonila</w:t>
      </w:r>
      <w:proofErr w:type="spellEnd"/>
      <w:r w:rsidRPr="000314BB">
        <w:rPr>
          <w:rFonts w:ascii="Garamond" w:hAnsi="Garamond" w:cs="Times New Roman"/>
          <w:bCs/>
          <w:sz w:val="24"/>
          <w:szCs w:val="24"/>
        </w:rPr>
        <w:t xml:space="preserve"> Bejtja</w:t>
      </w:r>
      <w:r>
        <w:rPr>
          <w:rFonts w:ascii="Garamond" w:hAnsi="Garamond" w:cs="Times New Roman"/>
          <w:bCs/>
          <w:sz w:val="24"/>
          <w:szCs w:val="24"/>
        </w:rPr>
        <w:t>,</w:t>
      </w:r>
      <w:r w:rsidRPr="00C371EC">
        <w:rPr>
          <w:rFonts w:ascii="Garamond" w:hAnsi="Garamond" w:cs="Times New Roman"/>
          <w:bCs/>
          <w:sz w:val="24"/>
          <w:szCs w:val="24"/>
        </w:rPr>
        <w:t xml:space="preserve"> </w:t>
      </w:r>
      <w:proofErr w:type="spellStart"/>
      <w:r w:rsidRPr="000314BB">
        <w:rPr>
          <w:rFonts w:ascii="Garamond" w:hAnsi="Garamond" w:cs="Times New Roman"/>
          <w:bCs/>
          <w:sz w:val="24"/>
          <w:szCs w:val="24"/>
        </w:rPr>
        <w:t>Marsida</w:t>
      </w:r>
      <w:proofErr w:type="spellEnd"/>
      <w:r w:rsidRPr="000314BB">
        <w:rPr>
          <w:rFonts w:ascii="Garamond" w:hAnsi="Garamond" w:cs="Times New Roman"/>
          <w:bCs/>
          <w:sz w:val="24"/>
          <w:szCs w:val="24"/>
        </w:rPr>
        <w:t xml:space="preserve"> </w:t>
      </w:r>
      <w:proofErr w:type="spellStart"/>
      <w:r w:rsidRPr="000314BB">
        <w:rPr>
          <w:rFonts w:ascii="Garamond" w:hAnsi="Garamond" w:cs="Times New Roman"/>
          <w:bCs/>
          <w:sz w:val="24"/>
          <w:szCs w:val="24"/>
        </w:rPr>
        <w:t>Xhaferllari</w:t>
      </w:r>
      <w:proofErr w:type="spellEnd"/>
      <w:r>
        <w:rPr>
          <w:rFonts w:ascii="Garamond" w:hAnsi="Garamond" w:cs="Times New Roman"/>
          <w:bCs/>
          <w:sz w:val="24"/>
          <w:szCs w:val="24"/>
        </w:rPr>
        <w:t>,</w:t>
      </w:r>
      <w:r w:rsidRPr="00C371EC">
        <w:rPr>
          <w:rFonts w:ascii="Garamond" w:hAnsi="Garamond" w:cs="Times New Roman"/>
          <w:bCs/>
          <w:sz w:val="24"/>
          <w:szCs w:val="24"/>
        </w:rPr>
        <w:t xml:space="preserve"> </w:t>
      </w:r>
      <w:r w:rsidRPr="000314BB">
        <w:rPr>
          <w:rFonts w:ascii="Garamond" w:hAnsi="Garamond" w:cs="Times New Roman"/>
          <w:bCs/>
          <w:sz w:val="24"/>
          <w:szCs w:val="24"/>
        </w:rPr>
        <w:t>Genti Ibrahimi</w:t>
      </w:r>
      <w:r w:rsidR="00E879FA">
        <w:rPr>
          <w:rFonts w:ascii="Garamond" w:hAnsi="Garamond" w:cs="Times New Roman"/>
          <w:bCs/>
          <w:sz w:val="24"/>
          <w:szCs w:val="24"/>
        </w:rPr>
        <w:t>,</w:t>
      </w:r>
      <w:r w:rsidRPr="00C371EC">
        <w:rPr>
          <w:rFonts w:ascii="Garamond" w:hAnsi="Garamond" w:cs="Times New Roman"/>
          <w:bCs/>
          <w:sz w:val="24"/>
          <w:szCs w:val="24"/>
        </w:rPr>
        <w:t xml:space="preserve"> </w:t>
      </w:r>
      <w:proofErr w:type="spellStart"/>
      <w:r w:rsidRPr="000314BB">
        <w:rPr>
          <w:rFonts w:ascii="Garamond" w:hAnsi="Garamond" w:cs="Times New Roman"/>
          <w:bCs/>
          <w:sz w:val="24"/>
          <w:szCs w:val="24"/>
        </w:rPr>
        <w:t>Marjana</w:t>
      </w:r>
      <w:proofErr w:type="spellEnd"/>
      <w:r w:rsidRPr="000314BB">
        <w:rPr>
          <w:rFonts w:ascii="Garamond" w:hAnsi="Garamond" w:cs="Times New Roman"/>
          <w:bCs/>
          <w:sz w:val="24"/>
          <w:szCs w:val="24"/>
        </w:rPr>
        <w:t xml:space="preserve"> </w:t>
      </w:r>
      <w:proofErr w:type="spellStart"/>
      <w:r w:rsidRPr="000314BB">
        <w:rPr>
          <w:rFonts w:ascii="Garamond" w:hAnsi="Garamond" w:cs="Times New Roman"/>
          <w:bCs/>
          <w:sz w:val="24"/>
          <w:szCs w:val="24"/>
        </w:rPr>
        <w:t>Semini</w:t>
      </w:r>
      <w:proofErr w:type="spellEnd"/>
    </w:p>
    <w:p w14:paraId="27A3F924" w14:textId="682FF3F3" w:rsidR="000314BB" w:rsidRDefault="00C371EC" w:rsidP="007D5EC3">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Anëtarë kundër:</w:t>
      </w:r>
      <w:r w:rsidR="000C7009" w:rsidRPr="000C7009">
        <w:rPr>
          <w:rFonts w:ascii="Garamond" w:hAnsi="Garamond" w:cs="Times New Roman"/>
          <w:bCs/>
          <w:sz w:val="24"/>
          <w:szCs w:val="24"/>
        </w:rPr>
        <w:t xml:space="preserve"> </w:t>
      </w:r>
      <w:r w:rsidR="000C7009" w:rsidRPr="000314BB">
        <w:rPr>
          <w:rFonts w:ascii="Garamond" w:hAnsi="Garamond" w:cs="Times New Roman"/>
          <w:bCs/>
          <w:sz w:val="24"/>
          <w:szCs w:val="24"/>
        </w:rPr>
        <w:t>Ilir Toska</w:t>
      </w:r>
      <w:r w:rsidR="000C7009">
        <w:rPr>
          <w:rFonts w:ascii="Garamond" w:hAnsi="Garamond" w:cs="Times New Roman"/>
          <w:bCs/>
          <w:sz w:val="24"/>
          <w:szCs w:val="24"/>
        </w:rPr>
        <w:t>,</w:t>
      </w:r>
      <w:r w:rsidR="000C7009" w:rsidRPr="000C7009">
        <w:rPr>
          <w:rFonts w:ascii="Garamond" w:hAnsi="Garamond" w:cs="Times New Roman"/>
          <w:bCs/>
          <w:sz w:val="24"/>
          <w:szCs w:val="24"/>
        </w:rPr>
        <w:t xml:space="preserve"> </w:t>
      </w:r>
      <w:proofErr w:type="spellStart"/>
      <w:r w:rsidR="000C7009" w:rsidRPr="000314BB">
        <w:rPr>
          <w:rFonts w:ascii="Garamond" w:hAnsi="Garamond" w:cs="Times New Roman"/>
          <w:bCs/>
          <w:sz w:val="24"/>
          <w:szCs w:val="24"/>
        </w:rPr>
        <w:t>Sandër</w:t>
      </w:r>
      <w:proofErr w:type="spellEnd"/>
      <w:r w:rsidR="000C7009" w:rsidRPr="000314BB">
        <w:rPr>
          <w:rFonts w:ascii="Garamond" w:hAnsi="Garamond" w:cs="Times New Roman"/>
          <w:bCs/>
          <w:sz w:val="24"/>
          <w:szCs w:val="24"/>
        </w:rPr>
        <w:t xml:space="preserve"> Beci</w:t>
      </w:r>
      <w:r w:rsidR="000C7009">
        <w:rPr>
          <w:rFonts w:ascii="Garamond" w:hAnsi="Garamond" w:cs="Times New Roman"/>
          <w:bCs/>
          <w:sz w:val="24"/>
          <w:szCs w:val="24"/>
        </w:rPr>
        <w:t>,</w:t>
      </w:r>
      <w:r w:rsidR="000C7009" w:rsidRPr="000C7009">
        <w:rPr>
          <w:rFonts w:ascii="Garamond" w:hAnsi="Garamond" w:cs="Times New Roman"/>
          <w:bCs/>
          <w:sz w:val="24"/>
          <w:szCs w:val="24"/>
        </w:rPr>
        <w:t xml:space="preserve"> </w:t>
      </w:r>
      <w:proofErr w:type="spellStart"/>
      <w:r w:rsidR="000C7009" w:rsidRPr="000314BB">
        <w:rPr>
          <w:rFonts w:ascii="Garamond" w:hAnsi="Garamond" w:cs="Times New Roman"/>
          <w:bCs/>
          <w:sz w:val="24"/>
          <w:szCs w:val="24"/>
        </w:rPr>
        <w:t>Asim</w:t>
      </w:r>
      <w:proofErr w:type="spellEnd"/>
      <w:r w:rsidR="000C7009" w:rsidRPr="000314BB">
        <w:rPr>
          <w:rFonts w:ascii="Garamond" w:hAnsi="Garamond" w:cs="Times New Roman"/>
          <w:bCs/>
          <w:sz w:val="24"/>
          <w:szCs w:val="24"/>
        </w:rPr>
        <w:t xml:space="preserve"> </w:t>
      </w:r>
      <w:proofErr w:type="spellStart"/>
      <w:r w:rsidR="000C7009" w:rsidRPr="000314BB">
        <w:rPr>
          <w:rFonts w:ascii="Garamond" w:hAnsi="Garamond" w:cs="Times New Roman"/>
          <w:bCs/>
          <w:sz w:val="24"/>
          <w:szCs w:val="24"/>
        </w:rPr>
        <w:t>Vokshi</w:t>
      </w:r>
      <w:proofErr w:type="spellEnd"/>
    </w:p>
    <w:p w14:paraId="3FF730B2" w14:textId="77777777" w:rsidR="00C371EC" w:rsidRPr="000314BB" w:rsidRDefault="00C371EC" w:rsidP="007D5EC3">
      <w:pPr>
        <w:spacing w:after="0" w:line="240" w:lineRule="auto"/>
        <w:ind w:firstLine="284"/>
        <w:jc w:val="both"/>
        <w:rPr>
          <w:rFonts w:ascii="Garamond" w:hAnsi="Garamond" w:cs="Times New Roman"/>
          <w:b/>
          <w:bCs/>
          <w:sz w:val="24"/>
          <w:szCs w:val="24"/>
        </w:rPr>
      </w:pPr>
    </w:p>
    <w:p w14:paraId="29502147" w14:textId="77777777" w:rsidR="007D5EC3" w:rsidRPr="00C82265" w:rsidRDefault="007D5EC3" w:rsidP="007D5EC3">
      <w:pPr>
        <w:spacing w:after="0" w:line="240" w:lineRule="auto"/>
        <w:ind w:firstLine="284"/>
        <w:jc w:val="center"/>
        <w:rPr>
          <w:rFonts w:ascii="Garamond" w:hAnsi="Garamond"/>
          <w:bCs/>
          <w:sz w:val="24"/>
          <w:szCs w:val="24"/>
        </w:rPr>
      </w:pPr>
      <w:r w:rsidRPr="00C82265">
        <w:rPr>
          <w:rFonts w:ascii="Garamond" w:hAnsi="Garamond" w:cs="Times New Roman"/>
          <w:bCs/>
          <w:sz w:val="24"/>
          <w:szCs w:val="24"/>
        </w:rPr>
        <w:t>MENDIM PAKICE</w:t>
      </w:r>
    </w:p>
    <w:p w14:paraId="021968E1" w14:textId="77777777" w:rsidR="007D5EC3" w:rsidRPr="000314BB" w:rsidRDefault="007D5EC3" w:rsidP="007D5EC3">
      <w:pPr>
        <w:spacing w:after="0" w:line="240" w:lineRule="auto"/>
        <w:ind w:firstLine="284"/>
        <w:jc w:val="center"/>
        <w:rPr>
          <w:rFonts w:ascii="Garamond" w:hAnsi="Garamond"/>
          <w:b/>
          <w:bCs/>
          <w:sz w:val="24"/>
          <w:szCs w:val="24"/>
        </w:rPr>
      </w:pPr>
    </w:p>
    <w:p w14:paraId="23D9292D" w14:textId="2A80DC0E" w:rsidR="007D5EC3" w:rsidRPr="000314BB" w:rsidRDefault="007D5EC3" w:rsidP="007D5EC3">
      <w:pPr>
        <w:tabs>
          <w:tab w:val="left" w:pos="1080"/>
        </w:tabs>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 xml:space="preserve">1. Në gjykimin kushtetues të çështjes që u përket kërkuesve Fatmir Lala, Valbona Lala, Fatbardh Lala, </w:t>
      </w:r>
      <w:proofErr w:type="spellStart"/>
      <w:r w:rsidRPr="000314BB">
        <w:rPr>
          <w:rFonts w:ascii="Garamond" w:hAnsi="Garamond" w:cs="Times New Roman"/>
          <w:sz w:val="24"/>
          <w:szCs w:val="24"/>
        </w:rPr>
        <w:t>Griselda</w:t>
      </w:r>
      <w:proofErr w:type="spellEnd"/>
      <w:r w:rsidRPr="000314BB">
        <w:rPr>
          <w:rFonts w:ascii="Garamond" w:hAnsi="Garamond" w:cs="Times New Roman"/>
          <w:sz w:val="24"/>
          <w:szCs w:val="24"/>
        </w:rPr>
        <w:t xml:space="preserve"> Lala dhe </w:t>
      </w:r>
      <w:proofErr w:type="spellStart"/>
      <w:r w:rsidRPr="000314BB">
        <w:rPr>
          <w:rFonts w:ascii="Garamond" w:hAnsi="Garamond" w:cs="Times New Roman"/>
          <w:sz w:val="24"/>
          <w:szCs w:val="24"/>
        </w:rPr>
        <w:t>Ortigo</w:t>
      </w:r>
      <w:proofErr w:type="spellEnd"/>
      <w:r w:rsidRPr="000314BB">
        <w:rPr>
          <w:rFonts w:ascii="Garamond" w:hAnsi="Garamond" w:cs="Times New Roman"/>
          <w:sz w:val="24"/>
          <w:szCs w:val="24"/>
        </w:rPr>
        <w:t xml:space="preserve"> Lala, me objekt: “Shfuqizimin e</w:t>
      </w:r>
      <w:r w:rsidR="00E879FA">
        <w:rPr>
          <w:rFonts w:ascii="Garamond" w:hAnsi="Garamond" w:cs="Times New Roman"/>
          <w:sz w:val="24"/>
          <w:szCs w:val="24"/>
        </w:rPr>
        <w:t xml:space="preserve"> </w:t>
      </w:r>
      <w:r w:rsidRPr="000314BB">
        <w:rPr>
          <w:rFonts w:ascii="Garamond" w:hAnsi="Garamond" w:cs="Times New Roman"/>
          <w:sz w:val="24"/>
          <w:szCs w:val="24"/>
        </w:rPr>
        <w:t xml:space="preserve">vendimit nr. 00-2024-5053 (700), </w:t>
      </w:r>
      <w:r w:rsidR="00C82265">
        <w:rPr>
          <w:rFonts w:ascii="Garamond" w:hAnsi="Garamond" w:cs="Times New Roman"/>
          <w:sz w:val="24"/>
          <w:szCs w:val="24"/>
        </w:rPr>
        <w:t xml:space="preserve">datë </w:t>
      </w:r>
      <w:r w:rsidRPr="000314BB">
        <w:rPr>
          <w:rFonts w:ascii="Garamond" w:hAnsi="Garamond" w:cs="Times New Roman"/>
          <w:sz w:val="24"/>
          <w:szCs w:val="24"/>
        </w:rPr>
        <w:t>4.12.2024</w:t>
      </w:r>
      <w:r w:rsidR="00C82265">
        <w:rPr>
          <w:rFonts w:ascii="Garamond" w:hAnsi="Garamond" w:cs="Times New Roman"/>
          <w:sz w:val="24"/>
          <w:szCs w:val="24"/>
        </w:rPr>
        <w:t>,</w:t>
      </w:r>
      <w:r w:rsidRPr="000314BB">
        <w:rPr>
          <w:rFonts w:ascii="Garamond" w:hAnsi="Garamond" w:cs="Times New Roman"/>
          <w:sz w:val="24"/>
          <w:szCs w:val="24"/>
        </w:rPr>
        <w:t xml:space="preserve"> të Kolegjit Civil të Gjykatës së Lartë, si të papajtueshëm me Kushtetutën e Republikës së Shqipërisë”,</w:t>
      </w:r>
      <w:r w:rsidRPr="000314BB">
        <w:rPr>
          <w:rFonts w:ascii="Garamond" w:hAnsi="Garamond" w:cs="Times New Roman"/>
          <w:i/>
          <w:iCs/>
          <w:sz w:val="24"/>
          <w:szCs w:val="24"/>
        </w:rPr>
        <w:t xml:space="preserve"> </w:t>
      </w:r>
      <w:r w:rsidRPr="000314BB">
        <w:rPr>
          <w:rFonts w:ascii="Garamond" w:hAnsi="Garamond" w:cs="Times New Roman"/>
          <w:sz w:val="24"/>
          <w:szCs w:val="24"/>
        </w:rPr>
        <w:t xml:space="preserve">ne, gjyqtarët </w:t>
      </w:r>
      <w:proofErr w:type="spellStart"/>
      <w:r w:rsidRPr="000314BB">
        <w:rPr>
          <w:rFonts w:ascii="Garamond" w:hAnsi="Garamond" w:cs="Times New Roman"/>
          <w:sz w:val="24"/>
          <w:szCs w:val="24"/>
        </w:rPr>
        <w:t>Sandër</w:t>
      </w:r>
      <w:proofErr w:type="spellEnd"/>
      <w:r w:rsidRPr="000314BB">
        <w:rPr>
          <w:rFonts w:ascii="Garamond" w:hAnsi="Garamond" w:cs="Times New Roman"/>
          <w:sz w:val="24"/>
          <w:szCs w:val="24"/>
        </w:rPr>
        <w:t xml:space="preserve"> Beci, Ilir Toska dhe </w:t>
      </w:r>
      <w:proofErr w:type="spellStart"/>
      <w:r w:rsidRPr="000314BB">
        <w:rPr>
          <w:rFonts w:ascii="Garamond" w:hAnsi="Garamond" w:cs="Times New Roman"/>
          <w:sz w:val="24"/>
          <w:szCs w:val="24"/>
        </w:rPr>
        <w:t>Asim</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Vokshi</w:t>
      </w:r>
      <w:proofErr w:type="spellEnd"/>
      <w:r w:rsidRPr="000314BB">
        <w:rPr>
          <w:rFonts w:ascii="Garamond" w:hAnsi="Garamond" w:cs="Times New Roman"/>
          <w:sz w:val="24"/>
          <w:szCs w:val="24"/>
        </w:rPr>
        <w:t xml:space="preserve">, ndajmë qëndrim të ndryshëm nga shumica, pasi vlerësojmë se kërkesa duhej të ishte rrëzuar, mbështetur në argumentet që do të parashtrojmë në vijim. </w:t>
      </w:r>
    </w:p>
    <w:p w14:paraId="5D0D67FC" w14:textId="4CE69E7C" w:rsidR="007D5EC3" w:rsidRPr="000314BB" w:rsidRDefault="007D5EC3" w:rsidP="007D5EC3">
      <w:pPr>
        <w:tabs>
          <w:tab w:val="left" w:pos="1080"/>
        </w:tabs>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 xml:space="preserve">2. Përpara analizës së pretendimeve të ngritura në ankimin kushtetues individual të kërkuesve, e vlerësojmë të nevojshme të paraqesim, në mënyrë të përmbledhur, procesin gjyqësor ku është dhënë vendimi i kundërshtuar i Gjykatës së Lartë. Kështu, kërkuesit kanë vënë në lëvizje procesin gjyqësor me anë të një padie për shpërblimin e dëmit pasuror dhe </w:t>
      </w:r>
      <w:proofErr w:type="spellStart"/>
      <w:r w:rsidRPr="000314BB">
        <w:rPr>
          <w:rFonts w:ascii="Garamond" w:hAnsi="Garamond" w:cs="Times New Roman"/>
          <w:sz w:val="24"/>
          <w:szCs w:val="24"/>
        </w:rPr>
        <w:t>jopasuror</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jashtëkontraktor</w:t>
      </w:r>
      <w:proofErr w:type="spellEnd"/>
      <w:r w:rsidRPr="000314BB">
        <w:rPr>
          <w:rFonts w:ascii="Garamond" w:hAnsi="Garamond" w:cs="Times New Roman"/>
          <w:sz w:val="24"/>
          <w:szCs w:val="24"/>
        </w:rPr>
        <w:t xml:space="preserve"> të shkaktuar nga humbja e jetës të </w:t>
      </w:r>
      <w:proofErr w:type="spellStart"/>
      <w:r w:rsidRPr="000314BB">
        <w:rPr>
          <w:rFonts w:ascii="Garamond" w:hAnsi="Garamond" w:cs="Times New Roman"/>
          <w:sz w:val="24"/>
          <w:szCs w:val="24"/>
        </w:rPr>
        <w:t>të</w:t>
      </w:r>
      <w:proofErr w:type="spellEnd"/>
      <w:r w:rsidRPr="000314BB">
        <w:rPr>
          <w:rFonts w:ascii="Garamond" w:hAnsi="Garamond" w:cs="Times New Roman"/>
          <w:sz w:val="24"/>
          <w:szCs w:val="24"/>
        </w:rPr>
        <w:t xml:space="preserve"> afërmit të tyre të mitur, si pasojë e një aksidenti të ndodhur gjatë përdorimit të ashensorit të mallrave të instaluar në mjediset e një ndërtese të ish-ndërmarrjes së Plastikës, Shkozet, Durrës, në pronësi të subjektit të interesuar, 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Në kohën e ngjarjes, disa nga këto mjedise u ishin dhënë me qira shoqërive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Padinë e tyre kërkuesit e kanë drejtuar vetëm kundër shoqërisë pronare të objektit, e cila ka kundërshtuar legjitimimin e saj pasiv, duke pretenduar se mjediset ku kishte ndodhur aksidenti ishin në posedimin dhe në administrimin e shoqërive qiramarrëse. Ajo është mbështetur edhe në klauzolën e kontratës së qirasë së lidhur me shoqërinë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sipas së cilës kësaj të fundit i ishte dhënë e drejta të montonte, me shpenzimet e veta, një ashensor të ri për ngritjen e mallrave, duke pretenduar se kjo rrethanë tregonte dijeninë e qiramarrësit për parregullsinë e ashensorit ekzistues. Gjatë gjykimit, subjekti i interesuar ka kërkuar disa herë që në cilësinë e të paditurve të thirreshin edhe dy shoqëritë qiramarrëse, ndërsa kërkuesit fillimisht kanë mbajtur qëndrimin se </w:t>
      </w:r>
      <w:proofErr w:type="spellStart"/>
      <w:r w:rsidRPr="000314BB">
        <w:rPr>
          <w:rFonts w:ascii="Garamond" w:hAnsi="Garamond" w:cs="Times New Roman"/>
          <w:sz w:val="24"/>
          <w:szCs w:val="24"/>
        </w:rPr>
        <w:t>ndërgjyqësia</w:t>
      </w:r>
      <w:proofErr w:type="spellEnd"/>
      <w:r w:rsidRPr="000314BB">
        <w:rPr>
          <w:rFonts w:ascii="Garamond" w:hAnsi="Garamond" w:cs="Times New Roman"/>
          <w:sz w:val="24"/>
          <w:szCs w:val="24"/>
        </w:rPr>
        <w:t xml:space="preserve"> ishte ndërtuar drejt. Më pas, në fazën përfundimtare të gjykimit në gjykatën e</w:t>
      </w:r>
      <w:r w:rsidR="00E879FA">
        <w:rPr>
          <w:rFonts w:ascii="Garamond" w:hAnsi="Garamond" w:cs="Times New Roman"/>
          <w:sz w:val="24"/>
          <w:szCs w:val="24"/>
        </w:rPr>
        <w:t xml:space="preserve"> </w:t>
      </w:r>
      <w:r w:rsidRPr="000314BB">
        <w:rPr>
          <w:rFonts w:ascii="Garamond" w:hAnsi="Garamond" w:cs="Times New Roman"/>
          <w:sz w:val="24"/>
          <w:szCs w:val="24"/>
        </w:rPr>
        <w:t>shkallës së parë, edhe kërkuesit kanë kërkuar thirrjen e këtyre shoqërive në cilësinë e të paditurve, por kërkesa e tyre është rrëzuar, me arsyetimin se ata kishin qenë në dijeni të situatës juridike që në fillim të procesit, se nuk ishin paraqitur fakte ose rrethana të reja dhe se gjykimi, pas zhvillimit të 15 seancave dhe administrimit të provave, ishte në përfundim.</w:t>
      </w:r>
    </w:p>
    <w:p w14:paraId="665B07B6" w14:textId="71CDC364" w:rsidR="007D5EC3" w:rsidRPr="000314BB" w:rsidRDefault="007D5EC3" w:rsidP="007D5EC3">
      <w:pPr>
        <w:tabs>
          <w:tab w:val="left" w:pos="1080"/>
        </w:tabs>
        <w:spacing w:after="0" w:line="240" w:lineRule="auto"/>
        <w:ind w:firstLine="284"/>
        <w:jc w:val="both"/>
        <w:rPr>
          <w:rFonts w:ascii="Garamond" w:hAnsi="Garamond"/>
          <w:sz w:val="24"/>
          <w:szCs w:val="24"/>
        </w:rPr>
      </w:pPr>
      <w:r w:rsidRPr="000314BB">
        <w:rPr>
          <w:rFonts w:ascii="Garamond" w:hAnsi="Garamond" w:cs="Times New Roman"/>
          <w:sz w:val="24"/>
          <w:szCs w:val="24"/>
        </w:rPr>
        <w:t>3. Në përfundim të gjykimit, gjykata e shkallës së parë e ka rrëzuar padinë e kërkuesve, duke vlerësuar se nuk provoheshin veprime ose mosveprime të paligjshme të shoqërisë pronare të ndërtesës dhe as lidhja shkakësore ndërmjet sjelljes së saj dhe dëmit të ardhur. Sipas kësaj gjykate, në kohën e aksidentit kontratat e qirasë ishin në fuqi dhe mjediset ku kishte ndodhur ngjarja ishin në administrimin e shoqërive qiramarrëse. Nga përmbajtja e këtyre kontratave rezultonte se qiramarrësve u ishte njohur e drejta të kryenin punime plotësuese në objekt, ndërsa shoqërisë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edhe e drejta të montonte, me shpenzimet e veta, një ashensor për ngritjen e mallrave. Në këto rrethana, gjykata ka çmuar se vetëm cilësia e shoqërisë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si pronare e objektit, nuk mjaftonte për t’ia ngarkuar asaj përgjegjësinë për dëmin. Për rrjedhojë, ndonëse ekzistenca e dëmit nuk vihej në diskutim, nuk provoheshin në mënyrë </w:t>
      </w:r>
      <w:proofErr w:type="spellStart"/>
      <w:r w:rsidRPr="000314BB">
        <w:rPr>
          <w:rFonts w:ascii="Garamond" w:hAnsi="Garamond" w:cs="Times New Roman"/>
          <w:sz w:val="24"/>
          <w:szCs w:val="24"/>
        </w:rPr>
        <w:t>kumulative</w:t>
      </w:r>
      <w:proofErr w:type="spellEnd"/>
      <w:r w:rsidRPr="000314BB">
        <w:rPr>
          <w:rFonts w:ascii="Garamond" w:hAnsi="Garamond" w:cs="Times New Roman"/>
          <w:sz w:val="24"/>
          <w:szCs w:val="24"/>
        </w:rPr>
        <w:t xml:space="preserve"> kushtet </w:t>
      </w:r>
      <w:r w:rsidRPr="000314BB">
        <w:rPr>
          <w:rFonts w:ascii="Garamond" w:hAnsi="Garamond" w:cs="Times New Roman"/>
          <w:sz w:val="24"/>
          <w:szCs w:val="24"/>
        </w:rPr>
        <w:lastRenderedPageBreak/>
        <w:t xml:space="preserve">e përgjegjësisë civile </w:t>
      </w:r>
      <w:proofErr w:type="spellStart"/>
      <w:r w:rsidRPr="000314BB">
        <w:rPr>
          <w:rFonts w:ascii="Garamond" w:hAnsi="Garamond" w:cs="Times New Roman"/>
          <w:sz w:val="24"/>
          <w:szCs w:val="24"/>
        </w:rPr>
        <w:t>jashtëkontraktore</w:t>
      </w:r>
      <w:proofErr w:type="spellEnd"/>
      <w:r w:rsidRPr="000314BB">
        <w:rPr>
          <w:rFonts w:ascii="Garamond" w:hAnsi="Garamond" w:cs="Times New Roman"/>
          <w:sz w:val="24"/>
          <w:szCs w:val="24"/>
        </w:rPr>
        <w:t xml:space="preserve"> të parashikuara nga neni 608 i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-së, në veçanti sjellja e paligjshme e subjektit të interesuar dhe lidhja shkakësore e saj me pasojën e ardhur.</w:t>
      </w:r>
    </w:p>
    <w:p w14:paraId="4D43B0CD" w14:textId="5C6C97D3" w:rsidR="007D5EC3" w:rsidRPr="000314BB" w:rsidRDefault="007D5EC3" w:rsidP="007D5EC3">
      <w:pPr>
        <w:tabs>
          <w:tab w:val="left" w:pos="1080"/>
        </w:tabs>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 xml:space="preserve">4. Pas ankimit të kërkuesve, çështja është shqyrtuar nga gjykata e apelit, e cila ka vendosur ndryshimin e vendimit të gjykatës së shkallës së parë, pranimin e padisë dhe detyrimin e subjektit të interesuar për shpërblimin e dëmit pasuror dhe </w:t>
      </w:r>
      <w:proofErr w:type="spellStart"/>
      <w:r w:rsidRPr="000314BB">
        <w:rPr>
          <w:rFonts w:ascii="Garamond" w:hAnsi="Garamond" w:cs="Times New Roman"/>
          <w:sz w:val="24"/>
          <w:szCs w:val="24"/>
        </w:rPr>
        <w:t>jopasuror</w:t>
      </w:r>
      <w:proofErr w:type="spellEnd"/>
      <w:r w:rsidRPr="000314BB">
        <w:rPr>
          <w:rFonts w:ascii="Garamond" w:hAnsi="Garamond" w:cs="Times New Roman"/>
          <w:sz w:val="24"/>
          <w:szCs w:val="24"/>
        </w:rPr>
        <w:t xml:space="preserve"> të pësuar nga kërkuesit. Gjykata e apelit, në mënyrë të përmbledhur, ka arsyetuar se subjekti i interesuar legjitimohej në mënyrë pasive, pasi ishte pronar i ndërtesës dhe i ashensorit të instaluar në të, ndaj, në kuptim të nenit 623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-së, mbante përgjegjësi për dëmin e shkaktuar nga të metat e lidhura me ndërtimin ose mirëmbajtjen e tyre. Sipas saj, parashikimi i kontratës së qirasë, që i njihte shoqërisë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të drejtën për të montuar një ashensor të ri, nuk nënkuptonte se kjo shoqëri kishte marrë përsipër detyrimin për garantimin e përputhshmërisë së ashensorit ekzistues me kërkesat e detyrueshme të sigurisë. Për rrjedhojë, në mungesë të një marrëveshjeje që t’ia kalonte këtë detyrim qiramarrësit, subjekti i interesuar, si titullar i së drejtës së pronësisë mbi instalimin, konsiderohej personi përgjegjës në kuptim të</w:t>
      </w:r>
      <w:r w:rsidRPr="000314BB">
        <w:rPr>
          <w:rFonts w:ascii="Garamond" w:hAnsi="Garamond" w:cs="Times New Roman"/>
          <w:b/>
          <w:bCs/>
          <w:sz w:val="24"/>
          <w:szCs w:val="24"/>
        </w:rPr>
        <w:t xml:space="preserve"> </w:t>
      </w:r>
      <w:r w:rsidRPr="000314BB">
        <w:rPr>
          <w:rFonts w:ascii="Garamond" w:hAnsi="Garamond" w:cs="Times New Roman"/>
          <w:sz w:val="24"/>
          <w:szCs w:val="24"/>
        </w:rPr>
        <w:t xml:space="preserve">ligjit nr. 10489/2011 dhe </w:t>
      </w:r>
      <w:proofErr w:type="spellStart"/>
      <w:r w:rsidRPr="000314BB">
        <w:rPr>
          <w:rFonts w:ascii="Garamond" w:hAnsi="Garamond" w:cs="Times New Roman"/>
          <w:sz w:val="24"/>
          <w:szCs w:val="24"/>
        </w:rPr>
        <w:t>VKM</w:t>
      </w:r>
      <w:proofErr w:type="spellEnd"/>
      <w:r w:rsidRPr="000314BB">
        <w:rPr>
          <w:rFonts w:ascii="Garamond" w:hAnsi="Garamond" w:cs="Times New Roman"/>
          <w:sz w:val="24"/>
          <w:szCs w:val="24"/>
        </w:rPr>
        <w:t xml:space="preserve">-së nr. 1056/2015. Në mbështetje të aktit të ekspertimit, gjykata e apelit ka vlerësuar se ashensori përdorej jashtë kushteve teknike, nuk ishte mirëmbajtur prej vitesh dhe nuk iu ishte nënshtruar kontrolleve periodike, ndaj mosveprimi i paligjshëm i subjektit të interesuar konsistonte në </w:t>
      </w:r>
      <w:proofErr w:type="spellStart"/>
      <w:r w:rsidRPr="000314BB">
        <w:rPr>
          <w:rFonts w:ascii="Garamond" w:hAnsi="Garamond" w:cs="Times New Roman"/>
          <w:sz w:val="24"/>
          <w:szCs w:val="24"/>
        </w:rPr>
        <w:t>mosmarrjen</w:t>
      </w:r>
      <w:proofErr w:type="spellEnd"/>
      <w:r w:rsidRPr="000314BB">
        <w:rPr>
          <w:rFonts w:ascii="Garamond" w:hAnsi="Garamond" w:cs="Times New Roman"/>
          <w:sz w:val="24"/>
          <w:szCs w:val="24"/>
        </w:rPr>
        <w:t xml:space="preserve"> e masave të nevojshme të sigurimit teknik. </w:t>
      </w:r>
    </w:p>
    <w:p w14:paraId="38E28097" w14:textId="6EBB15B8" w:rsidR="007D5EC3" w:rsidRPr="000314BB" w:rsidRDefault="007D5EC3" w:rsidP="007D5EC3">
      <w:pPr>
        <w:tabs>
          <w:tab w:val="left" w:pos="1080"/>
        </w:tabs>
        <w:spacing w:after="0" w:line="240" w:lineRule="auto"/>
        <w:ind w:firstLine="284"/>
        <w:jc w:val="both"/>
        <w:rPr>
          <w:rFonts w:ascii="Garamond" w:hAnsi="Garamond"/>
          <w:sz w:val="24"/>
          <w:szCs w:val="24"/>
        </w:rPr>
      </w:pPr>
      <w:r w:rsidRPr="000314BB">
        <w:rPr>
          <w:rFonts w:ascii="Garamond" w:hAnsi="Garamond" w:cs="Times New Roman"/>
          <w:sz w:val="24"/>
          <w:szCs w:val="24"/>
        </w:rPr>
        <w:t>5. Gjykata e apelit ka vlerësuar</w:t>
      </w:r>
      <w:r w:rsidR="00C82265">
        <w:rPr>
          <w:rFonts w:ascii="Garamond" w:hAnsi="Garamond" w:cs="Times New Roman"/>
          <w:sz w:val="24"/>
          <w:szCs w:val="24"/>
        </w:rPr>
        <w:t>,</w:t>
      </w:r>
      <w:r w:rsidRPr="000314BB">
        <w:rPr>
          <w:rFonts w:ascii="Garamond" w:hAnsi="Garamond" w:cs="Times New Roman"/>
          <w:sz w:val="24"/>
          <w:szCs w:val="24"/>
        </w:rPr>
        <w:t xml:space="preserve"> gjithashtu</w:t>
      </w:r>
      <w:r w:rsidR="00C82265">
        <w:rPr>
          <w:rFonts w:ascii="Garamond" w:hAnsi="Garamond" w:cs="Times New Roman"/>
          <w:sz w:val="24"/>
          <w:szCs w:val="24"/>
        </w:rPr>
        <w:t>,</w:t>
      </w:r>
      <w:r w:rsidRPr="000314BB">
        <w:rPr>
          <w:rFonts w:ascii="Garamond" w:hAnsi="Garamond" w:cs="Times New Roman"/>
          <w:sz w:val="24"/>
          <w:szCs w:val="24"/>
        </w:rPr>
        <w:t xml:space="preserve"> se subjekti i interesuar kishte dijeni për gjendjen teknike të ashensorit, çka provohej, ndër të tjera, edhe nga parashikimi </w:t>
      </w:r>
      <w:proofErr w:type="spellStart"/>
      <w:r w:rsidRPr="000314BB">
        <w:rPr>
          <w:rFonts w:ascii="Garamond" w:hAnsi="Garamond" w:cs="Times New Roman"/>
          <w:sz w:val="24"/>
          <w:szCs w:val="24"/>
        </w:rPr>
        <w:t>kontraktor</w:t>
      </w:r>
      <w:proofErr w:type="spellEnd"/>
      <w:r w:rsidRPr="000314BB">
        <w:rPr>
          <w:rFonts w:ascii="Garamond" w:hAnsi="Garamond" w:cs="Times New Roman"/>
          <w:sz w:val="24"/>
          <w:szCs w:val="24"/>
        </w:rPr>
        <w:t xml:space="preserve"> për lejimin e instalimit të një ashensori të ri, por nuk kishte marrë masa për të parandaluar ardhjen e pasojës. Për rrjedhojë, ajo ka vlerësuar se plotësoheshin kushtet e përgjegjësisë civile </w:t>
      </w:r>
      <w:proofErr w:type="spellStart"/>
      <w:r w:rsidRPr="000314BB">
        <w:rPr>
          <w:rFonts w:ascii="Garamond" w:hAnsi="Garamond" w:cs="Times New Roman"/>
          <w:sz w:val="24"/>
          <w:szCs w:val="24"/>
        </w:rPr>
        <w:t>jashtëkontraktore</w:t>
      </w:r>
      <w:proofErr w:type="spellEnd"/>
      <w:r w:rsidRPr="000314BB">
        <w:rPr>
          <w:rFonts w:ascii="Garamond" w:hAnsi="Garamond" w:cs="Times New Roman"/>
          <w:sz w:val="24"/>
          <w:szCs w:val="24"/>
        </w:rPr>
        <w:t>, përfshirë lidhjen shkakësore, pasi</w:t>
      </w:r>
      <w:r w:rsidRPr="000314BB">
        <w:rPr>
          <w:rFonts w:ascii="Garamond" w:hAnsi="Garamond"/>
          <w:sz w:val="24"/>
          <w:szCs w:val="24"/>
        </w:rPr>
        <w:t xml:space="preserve"> </w:t>
      </w:r>
      <w:r w:rsidRPr="000314BB">
        <w:rPr>
          <w:rFonts w:ascii="Garamond" w:hAnsi="Garamond" w:cs="Times New Roman"/>
          <w:sz w:val="24"/>
          <w:szCs w:val="24"/>
        </w:rPr>
        <w:t>vdekja e të miturit ishte pasojë e drejtpërdrejtë e mosveprimit të subjektit të interesuar, i cili nuk kishte provuar se aksidenti ishte shkaktuar nga ndonjë veprim ose mosveprim tjetër. Megjithatë, duke qenë se mjediset u ishin dhënë me qira shoqërive “</w:t>
      </w:r>
      <w:proofErr w:type="spellStart"/>
      <w:r w:rsidRPr="000314BB">
        <w:rPr>
          <w:rFonts w:ascii="Garamond" w:hAnsi="Garamond" w:cs="Times New Roman"/>
          <w:sz w:val="24"/>
          <w:szCs w:val="24"/>
        </w:rPr>
        <w:t>Albantic</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dhe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gjykata e apelit, duke iu referuar nenit 626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-së, ka vlerësuar se të tria shoqëritë mbanin përgjegjësi solidare për dëmin e shkaktuar kërkuesve. Po kështu, në mbështetje të paragrafit të dytë të nenit 623 dhe paragrafit të parë</w:t>
      </w:r>
      <w:r w:rsidR="00E879FA">
        <w:rPr>
          <w:rFonts w:ascii="Garamond" w:hAnsi="Garamond" w:cs="Times New Roman"/>
          <w:sz w:val="24"/>
          <w:szCs w:val="24"/>
        </w:rPr>
        <w:t>,</w:t>
      </w:r>
      <w:r w:rsidRPr="000314BB">
        <w:rPr>
          <w:rFonts w:ascii="Garamond" w:hAnsi="Garamond" w:cs="Times New Roman"/>
          <w:sz w:val="24"/>
          <w:szCs w:val="24"/>
        </w:rPr>
        <w:t xml:space="preserve"> të nenit 627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-së, gjykata e apelit i ka njohur subjektit të interesuar të drejtën që, me padi regresi, t’u kërkonte shoqërive qiramarrëse pjesën e përgjegjësisë që u takonte, në përpjesëtim me shkallën e fajësisë të secilës dhe tërësinë e pasojave të ardhura.</w:t>
      </w:r>
    </w:p>
    <w:p w14:paraId="646BEBB5" w14:textId="6BCE85DF" w:rsidR="007D5EC3" w:rsidRPr="000314BB" w:rsidRDefault="007D5EC3" w:rsidP="007D5EC3">
      <w:pPr>
        <w:tabs>
          <w:tab w:val="left" w:pos="1080"/>
        </w:tabs>
        <w:spacing w:after="0" w:line="240" w:lineRule="auto"/>
        <w:ind w:firstLine="284"/>
        <w:jc w:val="both"/>
        <w:rPr>
          <w:rFonts w:ascii="Garamond" w:hAnsi="Garamond" w:cs="Times New Roman"/>
          <w:sz w:val="24"/>
          <w:szCs w:val="24"/>
        </w:rPr>
      </w:pPr>
      <w:r w:rsidRPr="000314BB">
        <w:rPr>
          <w:rFonts w:ascii="Garamond" w:hAnsi="Garamond" w:cs="Times New Roman"/>
          <w:sz w:val="24"/>
          <w:szCs w:val="24"/>
        </w:rPr>
        <w:t xml:space="preserve">6. Në vijim, për rekursin e subjektit të interesuar dhe </w:t>
      </w:r>
      <w:proofErr w:type="spellStart"/>
      <w:r w:rsidRPr="000314BB">
        <w:rPr>
          <w:rFonts w:ascii="Garamond" w:hAnsi="Garamond" w:cs="Times New Roman"/>
          <w:sz w:val="24"/>
          <w:szCs w:val="24"/>
        </w:rPr>
        <w:t>kundërrekursin</w:t>
      </w:r>
      <w:proofErr w:type="spellEnd"/>
      <w:r w:rsidRPr="000314BB">
        <w:rPr>
          <w:rFonts w:ascii="Garamond" w:hAnsi="Garamond" w:cs="Times New Roman"/>
          <w:sz w:val="24"/>
          <w:szCs w:val="24"/>
        </w:rPr>
        <w:t xml:space="preserve"> e kërkuesve, çështja është shqyrtuar nga Gjykata e Lartë, e cila ka prishur vendimin e gjykatës së apelit dhe ka lënë në fuqi vendimin e gjykatës së shkallës së parë. Në analizën e saj, Gjykata e Lartë është ndalur fillimisht në interpretimin e nenit 623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 xml:space="preserve">-së, duke vlerësuar se pronari i ndërtesës, si rregull, përgjigjet ndaj të </w:t>
      </w:r>
      <w:proofErr w:type="spellStart"/>
      <w:r w:rsidRPr="000314BB">
        <w:rPr>
          <w:rFonts w:ascii="Garamond" w:hAnsi="Garamond" w:cs="Times New Roman"/>
          <w:sz w:val="24"/>
          <w:szCs w:val="24"/>
        </w:rPr>
        <w:t>tretëve</w:t>
      </w:r>
      <w:proofErr w:type="spellEnd"/>
      <w:r w:rsidRPr="000314BB">
        <w:rPr>
          <w:rFonts w:ascii="Garamond" w:hAnsi="Garamond" w:cs="Times New Roman"/>
          <w:sz w:val="24"/>
          <w:szCs w:val="24"/>
        </w:rPr>
        <w:t xml:space="preserve"> për dëmet e shkaktuara nga të metat e elementeve strukturore të saj, si dhe të impianteve ose të objekteve të </w:t>
      </w:r>
      <w:proofErr w:type="spellStart"/>
      <w:r w:rsidRPr="000314BB">
        <w:rPr>
          <w:rFonts w:ascii="Garamond" w:hAnsi="Garamond" w:cs="Times New Roman"/>
          <w:sz w:val="24"/>
          <w:szCs w:val="24"/>
        </w:rPr>
        <w:t>inkorporuara</w:t>
      </w:r>
      <w:proofErr w:type="spellEnd"/>
      <w:r w:rsidRPr="000314BB">
        <w:rPr>
          <w:rFonts w:ascii="Garamond" w:hAnsi="Garamond" w:cs="Times New Roman"/>
          <w:sz w:val="24"/>
          <w:szCs w:val="24"/>
        </w:rPr>
        <w:t xml:space="preserve"> në mënyrë të përhershme në këto struktura, të cilat nuk kushtëzohen nga përdorimi i zakonshëm i sendit. Megjithatë, sipas saj, kur ndërtesa është dhënë me qira dhe dëmi shkaktohet nga përdorimi i objekteve të lidhura ngushtësisht me të, posedimi faktik dhe i vazhdueshëm mund të zhvendosë te qiramarrësi detyrimin për t’u përgjigjur për dëmin. Në veçanti, sipas saj, për një send si ashensori, i cili është në përdorim të vazhdueshëm dhe i nënshtrohet një shkalle të lartë amortizimi, te qiramarrësi, krahas përgjegjësisë për mirëmbajtjen, transferohet edhe përgjegjësia për dëmet e shkaktuara nga përdorimi i tij. Më tej, në analizë të neneve 802 dhe 805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 xml:space="preserve">-së, Gjykata e Lartë ka vlerësuar se lënia e ndërtesës dhe e objekteve të lidhura me të në posedimin dhe gëzimin e qetë e të pandërprerë të qiramarrësit nuk e zhvesh pronarin nga detyrimet që lidhen me kontrollin dhe mirëmbajtjen e strukturave përbërëse të saj, ndërsa qiramarrësi përgjigjet për mirëmbajtjen e zakonshme dhe duhet të njoftojë pronarin për riparimet që nuk janë në ngarkim të tij. </w:t>
      </w:r>
    </w:p>
    <w:p w14:paraId="1B3E6A34" w14:textId="06EE0358" w:rsidR="007D5EC3" w:rsidRPr="000314BB" w:rsidRDefault="007D5EC3" w:rsidP="007D5EC3">
      <w:pPr>
        <w:tabs>
          <w:tab w:val="left" w:pos="1080"/>
        </w:tabs>
        <w:spacing w:after="0" w:line="240" w:lineRule="auto"/>
        <w:ind w:firstLine="284"/>
        <w:jc w:val="both"/>
        <w:rPr>
          <w:rFonts w:ascii="Garamond" w:hAnsi="Garamond"/>
          <w:sz w:val="24"/>
          <w:szCs w:val="24"/>
        </w:rPr>
      </w:pPr>
      <w:r w:rsidRPr="000314BB">
        <w:rPr>
          <w:rFonts w:ascii="Garamond" w:hAnsi="Garamond" w:cs="Times New Roman"/>
          <w:sz w:val="24"/>
          <w:szCs w:val="24"/>
        </w:rPr>
        <w:t>7. Gjykata e Lartë në vijim ka interpretuar edhe pikën 24</w:t>
      </w:r>
      <w:r w:rsidR="00C82265">
        <w:rPr>
          <w:rFonts w:ascii="Garamond" w:hAnsi="Garamond" w:cs="Times New Roman"/>
          <w:sz w:val="24"/>
          <w:szCs w:val="24"/>
        </w:rPr>
        <w:t>,</w:t>
      </w:r>
      <w:r w:rsidRPr="000314BB">
        <w:rPr>
          <w:rFonts w:ascii="Garamond" w:hAnsi="Garamond" w:cs="Times New Roman"/>
          <w:sz w:val="24"/>
          <w:szCs w:val="24"/>
        </w:rPr>
        <w:t xml:space="preserve"> të nenit 3</w:t>
      </w:r>
      <w:r w:rsidR="00C82265">
        <w:rPr>
          <w:rFonts w:ascii="Garamond" w:hAnsi="Garamond" w:cs="Times New Roman"/>
          <w:sz w:val="24"/>
          <w:szCs w:val="24"/>
        </w:rPr>
        <w:t>,</w:t>
      </w:r>
      <w:r w:rsidRPr="000314BB">
        <w:rPr>
          <w:rFonts w:ascii="Garamond" w:hAnsi="Garamond" w:cs="Times New Roman"/>
          <w:sz w:val="24"/>
          <w:szCs w:val="24"/>
        </w:rPr>
        <w:t xml:space="preserve"> të ligjit nr. 10489/2011, duke vlerësuar se përgjegjësia për dëmet e shkaktuara nga një produkt ose instalim, sikurse është ashensori, i përket, sipas rastit, titullarit të së drejtës së pronësisë ose personit që e ka atë në gëzim të përkohshëm, nëse ky i fundit, mbi bazën e një marrëveshjeje me pronarin, ka marrë përsipër detyrimin për garantimin e përputhshmërisë së tij me kërkesat e detyrueshme të sigurisë. Në rastin konkret, ajo ka çmuar se, në kohën e ngjarjes, subjekti i interesuar ishte titullar vetëm </w:t>
      </w:r>
      <w:r w:rsidRPr="000314BB">
        <w:rPr>
          <w:rFonts w:ascii="Garamond" w:hAnsi="Garamond" w:cs="Times New Roman"/>
          <w:i/>
          <w:iCs/>
          <w:sz w:val="24"/>
          <w:szCs w:val="24"/>
        </w:rPr>
        <w:t xml:space="preserve">de </w:t>
      </w:r>
      <w:proofErr w:type="spellStart"/>
      <w:r w:rsidRPr="000314BB">
        <w:rPr>
          <w:rFonts w:ascii="Garamond" w:hAnsi="Garamond" w:cs="Times New Roman"/>
          <w:i/>
          <w:iCs/>
          <w:sz w:val="24"/>
          <w:szCs w:val="24"/>
        </w:rPr>
        <w:t>iure</w:t>
      </w:r>
      <w:proofErr w:type="spellEnd"/>
      <w:r w:rsidRPr="000314BB">
        <w:rPr>
          <w:rFonts w:ascii="Garamond" w:hAnsi="Garamond" w:cs="Times New Roman"/>
          <w:sz w:val="24"/>
          <w:szCs w:val="24"/>
        </w:rPr>
        <w:t xml:space="preserve"> i tagrit të </w:t>
      </w:r>
      <w:proofErr w:type="spellStart"/>
      <w:r w:rsidRPr="000314BB">
        <w:rPr>
          <w:rFonts w:ascii="Garamond" w:hAnsi="Garamond" w:cs="Times New Roman"/>
          <w:sz w:val="24"/>
          <w:szCs w:val="24"/>
        </w:rPr>
        <w:t>disponimit</w:t>
      </w:r>
      <w:proofErr w:type="spellEnd"/>
      <w:r w:rsidRPr="000314BB">
        <w:rPr>
          <w:rFonts w:ascii="Garamond" w:hAnsi="Garamond" w:cs="Times New Roman"/>
          <w:sz w:val="24"/>
          <w:szCs w:val="24"/>
        </w:rPr>
        <w:t xml:space="preserve"> të sendit objekt qiraje, ndërsa ndërtesa dhe objektet e lidhura me të posedoheshin de </w:t>
      </w:r>
      <w:r w:rsidRPr="000314BB">
        <w:rPr>
          <w:rFonts w:ascii="Garamond" w:hAnsi="Garamond" w:cs="Times New Roman"/>
          <w:sz w:val="24"/>
          <w:szCs w:val="24"/>
        </w:rPr>
        <w:lastRenderedPageBreak/>
        <w:t>facto prej një kohe të gjatë dhe të vazhdueshme nga shoqëritë qiramarrëse. Në këtë kuadër, Gjykata e Lartë ka marrë në konsideratë edhe efektin e klauzolës së kontratës së qirasë të lidhur me shoqërinë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sipas së cilës kësaj të fundit i ishte dhënë e drejta të montonte, me shpenzimet e veta, një ashensor të ri për ngritjen e mallrave. Nga kjo klauzolë ajo ka nxjerrë përfundimin se qiramarrësi kishte dijeni për parregullsinë e ashensorit ekzistues dhe kishte </w:t>
      </w:r>
      <w:proofErr w:type="spellStart"/>
      <w:r w:rsidRPr="000314BB">
        <w:rPr>
          <w:rFonts w:ascii="Garamond" w:hAnsi="Garamond" w:cs="Times New Roman"/>
          <w:sz w:val="24"/>
          <w:szCs w:val="24"/>
        </w:rPr>
        <w:t>dakordësuar</w:t>
      </w:r>
      <w:proofErr w:type="spellEnd"/>
      <w:r w:rsidRPr="000314BB">
        <w:rPr>
          <w:rFonts w:ascii="Garamond" w:hAnsi="Garamond" w:cs="Times New Roman"/>
          <w:sz w:val="24"/>
          <w:szCs w:val="24"/>
        </w:rPr>
        <w:t xml:space="preserve"> me pronarin montimin e një ashensori të ri, për të cilin ky i fundit kishte dhënë miratimin. Po kështu, në referim të </w:t>
      </w:r>
      <w:proofErr w:type="spellStart"/>
      <w:r w:rsidRPr="000314BB">
        <w:rPr>
          <w:rFonts w:ascii="Garamond" w:hAnsi="Garamond" w:cs="Times New Roman"/>
          <w:sz w:val="24"/>
          <w:szCs w:val="24"/>
        </w:rPr>
        <w:t>VKM</w:t>
      </w:r>
      <w:proofErr w:type="spellEnd"/>
      <w:r w:rsidRPr="000314BB">
        <w:rPr>
          <w:rFonts w:ascii="Garamond" w:hAnsi="Garamond" w:cs="Times New Roman"/>
          <w:sz w:val="24"/>
          <w:szCs w:val="24"/>
        </w:rPr>
        <w:t>-së nr. 1056/2015, Gjykata e Lartë ka evidentuar se regjistrimi dhe mirëmbajtja e ashensorit janë detyrime të personit përgjegjës, të përcaktuar sipas pikës 24</w:t>
      </w:r>
      <w:r w:rsidR="00C82265">
        <w:rPr>
          <w:rFonts w:ascii="Garamond" w:hAnsi="Garamond" w:cs="Times New Roman"/>
          <w:sz w:val="24"/>
          <w:szCs w:val="24"/>
        </w:rPr>
        <w:t>,</w:t>
      </w:r>
      <w:r w:rsidRPr="000314BB">
        <w:rPr>
          <w:rFonts w:ascii="Garamond" w:hAnsi="Garamond" w:cs="Times New Roman"/>
          <w:sz w:val="24"/>
          <w:szCs w:val="24"/>
        </w:rPr>
        <w:t xml:space="preserve"> të nenit 3</w:t>
      </w:r>
      <w:r w:rsidR="00C82265">
        <w:rPr>
          <w:rFonts w:ascii="Garamond" w:hAnsi="Garamond" w:cs="Times New Roman"/>
          <w:sz w:val="24"/>
          <w:szCs w:val="24"/>
        </w:rPr>
        <w:t>,</w:t>
      </w:r>
      <w:r w:rsidRPr="000314BB">
        <w:rPr>
          <w:rFonts w:ascii="Garamond" w:hAnsi="Garamond" w:cs="Times New Roman"/>
          <w:sz w:val="24"/>
          <w:szCs w:val="24"/>
        </w:rPr>
        <w:t xml:space="preserve"> të ligjit nr. 10489/2011.</w:t>
      </w:r>
    </w:p>
    <w:p w14:paraId="447D1280" w14:textId="2220DC62" w:rsidR="007D5EC3" w:rsidRPr="000314BB" w:rsidRDefault="007D5EC3" w:rsidP="007D5EC3">
      <w:pPr>
        <w:tabs>
          <w:tab w:val="left" w:pos="1080"/>
        </w:tabs>
        <w:spacing w:after="0" w:line="240" w:lineRule="auto"/>
        <w:ind w:firstLine="284"/>
        <w:jc w:val="both"/>
        <w:rPr>
          <w:rFonts w:ascii="Garamond" w:hAnsi="Garamond"/>
          <w:sz w:val="24"/>
          <w:szCs w:val="24"/>
        </w:rPr>
      </w:pPr>
      <w:r w:rsidRPr="000314BB">
        <w:rPr>
          <w:rFonts w:ascii="Garamond" w:hAnsi="Garamond" w:cs="Times New Roman"/>
          <w:sz w:val="24"/>
          <w:szCs w:val="24"/>
        </w:rPr>
        <w:t xml:space="preserve">8. Në përfundim, duke zbatuar në mënyrë të ndërthurur këto parashikime në raport me rrethanat konkrete të rastit, Gjykata e Lartë ka vlerësuar se, në mungesë të një sinjalizimi të posaçëm që kufizonte përdorimin e ashensorit vetëm për mallra, ai </w:t>
      </w:r>
      <w:proofErr w:type="spellStart"/>
      <w:r w:rsidRPr="000314BB">
        <w:rPr>
          <w:rFonts w:ascii="Garamond" w:hAnsi="Garamond" w:cs="Times New Roman"/>
          <w:sz w:val="24"/>
          <w:szCs w:val="24"/>
        </w:rPr>
        <w:t>prezumohej</w:t>
      </w:r>
      <w:proofErr w:type="spellEnd"/>
      <w:r w:rsidRPr="000314BB">
        <w:rPr>
          <w:rFonts w:ascii="Garamond" w:hAnsi="Garamond" w:cs="Times New Roman"/>
          <w:sz w:val="24"/>
          <w:szCs w:val="24"/>
        </w:rPr>
        <w:t xml:space="preserve"> se ishte vënë në shërbim të </w:t>
      </w:r>
      <w:proofErr w:type="spellStart"/>
      <w:r w:rsidRPr="000314BB">
        <w:rPr>
          <w:rFonts w:ascii="Garamond" w:hAnsi="Garamond" w:cs="Times New Roman"/>
          <w:sz w:val="24"/>
          <w:szCs w:val="24"/>
        </w:rPr>
        <w:t>të</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tretëve</w:t>
      </w:r>
      <w:proofErr w:type="spellEnd"/>
      <w:r w:rsidRPr="000314BB">
        <w:rPr>
          <w:rFonts w:ascii="Garamond" w:hAnsi="Garamond" w:cs="Times New Roman"/>
          <w:sz w:val="24"/>
          <w:szCs w:val="24"/>
        </w:rPr>
        <w:t xml:space="preserve"> ose të publikut. Ajo ka arritur në përfundimin se përgjegjësia për dëmin e shkaktuar nga të metat e instalimit i përkiste subjektit që kishte në posedim dhe gëzim ndërtesën ku ai ishte instaluar, për sa kohë mbi këtë subjekt rëndonte detyrimi për garantimin e përputhshmërisë së instalimit me kërkesat e detyrueshme të sigurisë dhe ai ushtronte, sipas kontratës së qirasë, pushtetin e gëzimit efektiv. Për rrjedhojë, Gjykata e Lartë ka çmuar se gjykata e apelit nuk kishte trajtuar në përputhje me ligjin përgjegjësinë e subjekteve që gëzonin ndërtesën nëpërmjet kontratave të qirasë dhe ka vlerësuar të bazuar përfundimin e gjykatës së shkallës së parë se nuk provoheshin veprime ose mosveprime të paligjshme të subjektit të interesuar dhe as lidhja shkakësore ndërmjet sjelljes së tij dhe dëmit të ardhur.</w:t>
      </w:r>
    </w:p>
    <w:p w14:paraId="0D3B8887" w14:textId="270D29F9" w:rsidR="007D5EC3" w:rsidRPr="000314BB" w:rsidRDefault="007D5EC3" w:rsidP="007D5EC3">
      <w:pPr>
        <w:tabs>
          <w:tab w:val="left" w:pos="1080"/>
        </w:tabs>
        <w:spacing w:after="0" w:line="240" w:lineRule="auto"/>
        <w:ind w:firstLine="284"/>
        <w:jc w:val="both"/>
        <w:rPr>
          <w:rFonts w:ascii="Garamond" w:hAnsi="Garamond"/>
          <w:sz w:val="24"/>
          <w:szCs w:val="24"/>
        </w:rPr>
      </w:pPr>
      <w:r w:rsidRPr="000314BB">
        <w:rPr>
          <w:rFonts w:ascii="Garamond" w:hAnsi="Garamond" w:cs="Times New Roman"/>
          <w:sz w:val="24"/>
          <w:szCs w:val="24"/>
        </w:rPr>
        <w:t xml:space="preserve">9. Në ankimin e tyre kushtetues individual, kërkuesit kanë pretenduar se Gjykata e Lartë ka cenuar të drejtën për proces të rregullt ligjor në drejtim të </w:t>
      </w:r>
      <w:r w:rsidRPr="000314BB">
        <w:rPr>
          <w:rFonts w:ascii="Garamond" w:hAnsi="Garamond" w:cs="Times New Roman"/>
          <w:i/>
          <w:iCs/>
          <w:sz w:val="24"/>
          <w:szCs w:val="24"/>
        </w:rPr>
        <w:t>së drejtës për t’u gjykuar nga një gjykatë e caktuar me ligj,</w:t>
      </w:r>
      <w:r w:rsidRPr="000314BB">
        <w:rPr>
          <w:rFonts w:ascii="Garamond" w:hAnsi="Garamond" w:cs="Times New Roman"/>
          <w:sz w:val="24"/>
          <w:szCs w:val="24"/>
        </w:rPr>
        <w:t xml:space="preserve"> pasi ka vepruar përtej kompetencave të saj si gjykatë ligji, duke rivlerësuar dhe </w:t>
      </w:r>
      <w:proofErr w:type="spellStart"/>
      <w:r w:rsidRPr="000314BB">
        <w:rPr>
          <w:rFonts w:ascii="Garamond" w:hAnsi="Garamond" w:cs="Times New Roman"/>
          <w:sz w:val="24"/>
          <w:szCs w:val="24"/>
        </w:rPr>
        <w:t>rikualifikuar</w:t>
      </w:r>
      <w:proofErr w:type="spellEnd"/>
      <w:r w:rsidRPr="000314BB">
        <w:rPr>
          <w:rFonts w:ascii="Garamond" w:hAnsi="Garamond" w:cs="Times New Roman"/>
          <w:sz w:val="24"/>
          <w:szCs w:val="24"/>
        </w:rPr>
        <w:t xml:space="preserve"> faktet e çështjes mbi bazën e të njëjtave prova të administruara nga gjykatat e faktit. Sipas tyre, Gjykata e Lartë e ka prishur vendimin e gjykatës së apelit dhe ka lënë në fuqi atë të gjykatës së shkallës së parë, jo për shkak të zbatimit të gabuar të ligjit material ose procedural, por duke i dhënë një vlerësim të ndryshëm rrethanave që lidheshin me administrimin e mjediseve dhe përgjegjësinë për dëmin. Po kështu, kërkuesit kanë pretenduar cenimin </w:t>
      </w:r>
      <w:r w:rsidRPr="000314BB">
        <w:rPr>
          <w:rFonts w:ascii="Garamond" w:hAnsi="Garamond" w:cs="Times New Roman"/>
          <w:i/>
          <w:iCs/>
          <w:sz w:val="24"/>
          <w:szCs w:val="24"/>
        </w:rPr>
        <w:t xml:space="preserve">e së drejtës së </w:t>
      </w:r>
      <w:proofErr w:type="spellStart"/>
      <w:r w:rsidRPr="000314BB">
        <w:rPr>
          <w:rFonts w:ascii="Garamond" w:hAnsi="Garamond" w:cs="Times New Roman"/>
          <w:i/>
          <w:iCs/>
          <w:sz w:val="24"/>
          <w:szCs w:val="24"/>
        </w:rPr>
        <w:t>aksesit</w:t>
      </w:r>
      <w:proofErr w:type="spellEnd"/>
      <w:r w:rsidRPr="000314BB">
        <w:rPr>
          <w:rFonts w:ascii="Garamond" w:hAnsi="Garamond" w:cs="Times New Roman"/>
          <w:i/>
          <w:iCs/>
          <w:sz w:val="24"/>
          <w:szCs w:val="24"/>
        </w:rPr>
        <w:t xml:space="preserve"> substancial në gjykatë</w:t>
      </w:r>
      <w:r w:rsidRPr="000314BB">
        <w:rPr>
          <w:rFonts w:ascii="Garamond" w:hAnsi="Garamond" w:cs="Times New Roman"/>
          <w:sz w:val="24"/>
          <w:szCs w:val="24"/>
        </w:rPr>
        <w:t xml:space="preserve"> të lidhur me </w:t>
      </w:r>
      <w:r w:rsidRPr="000314BB">
        <w:rPr>
          <w:rFonts w:ascii="Garamond" w:hAnsi="Garamond" w:cs="Times New Roman"/>
          <w:i/>
          <w:iCs/>
          <w:sz w:val="24"/>
          <w:szCs w:val="24"/>
        </w:rPr>
        <w:t>standardin e arsyetimit të vendimit gjyqësor</w:t>
      </w:r>
      <w:r w:rsidRPr="000314BB">
        <w:rPr>
          <w:rFonts w:ascii="Garamond" w:hAnsi="Garamond" w:cs="Times New Roman"/>
          <w:sz w:val="24"/>
          <w:szCs w:val="24"/>
        </w:rPr>
        <w:t xml:space="preserve">, pasi, sipas tyre, mënyra e </w:t>
      </w:r>
      <w:proofErr w:type="spellStart"/>
      <w:r w:rsidRPr="000314BB">
        <w:rPr>
          <w:rFonts w:ascii="Garamond" w:hAnsi="Garamond" w:cs="Times New Roman"/>
          <w:sz w:val="24"/>
          <w:szCs w:val="24"/>
        </w:rPr>
        <w:t>disponimit</w:t>
      </w:r>
      <w:proofErr w:type="spellEnd"/>
      <w:r w:rsidRPr="000314BB">
        <w:rPr>
          <w:rFonts w:ascii="Garamond" w:hAnsi="Garamond" w:cs="Times New Roman"/>
          <w:sz w:val="24"/>
          <w:szCs w:val="24"/>
        </w:rPr>
        <w:t xml:space="preserve"> të Gjykatës së Lartë u ka mohuar të drejtën për të kërkuar përcaktimin e përgjegjësisë dhe shpërblimin e dëmit të shkaktuar nga humbja e jetës të </w:t>
      </w:r>
      <w:proofErr w:type="spellStart"/>
      <w:r w:rsidRPr="000314BB">
        <w:rPr>
          <w:rFonts w:ascii="Garamond" w:hAnsi="Garamond" w:cs="Times New Roman"/>
          <w:sz w:val="24"/>
          <w:szCs w:val="24"/>
        </w:rPr>
        <w:t>të</w:t>
      </w:r>
      <w:proofErr w:type="spellEnd"/>
      <w:r w:rsidRPr="000314BB">
        <w:rPr>
          <w:rFonts w:ascii="Garamond" w:hAnsi="Garamond" w:cs="Times New Roman"/>
          <w:sz w:val="24"/>
          <w:szCs w:val="24"/>
        </w:rPr>
        <w:t xml:space="preserve"> afërmit të tyre. Në këtë drejtim, ata kanë parashtruar se, nëse Gjykata e Lartë do të vlerësonte se hetimi gjyqësor nuk ishte kryer në mënyrë të plotë, se çështja kërkonte hetime të mëtejshme ose që provat duhej të rivlerësoheshin për shkak të zbatimit të gabuar të dispozitave ligjore, ajo duhej ta kthente çështjen për rishqyrtim dhe jo të linte në fuqi vendimin e gjykatës së shkallës së parë. Po kështu, kërkuesit kanë pretenduar se Gjykata e Lartë nuk i ka dhënë përgjigje kundërshtimit të tyre për refuzimin nga gjykata e shkallës së parë të kërkesës për thirrjen në gjykim, në cilësinë e palëve të paditura, edhe të dy shoqërive qiramarrëse, kërkesë që, sipas tyre, mbështetej në nenin 161, shkronja “c”, të </w:t>
      </w:r>
      <w:proofErr w:type="spellStart"/>
      <w:r w:rsidRPr="000314BB">
        <w:rPr>
          <w:rFonts w:ascii="Garamond" w:hAnsi="Garamond" w:cs="Times New Roman"/>
          <w:sz w:val="24"/>
          <w:szCs w:val="24"/>
        </w:rPr>
        <w:t>KPC</w:t>
      </w:r>
      <w:proofErr w:type="spellEnd"/>
      <w:r w:rsidRPr="000314BB">
        <w:rPr>
          <w:rFonts w:ascii="Garamond" w:hAnsi="Garamond" w:cs="Times New Roman"/>
          <w:sz w:val="24"/>
          <w:szCs w:val="24"/>
        </w:rPr>
        <w:t xml:space="preserve">-së. Së fundi, kërkuesit kanë pretenduar gjithashtu cenimin e </w:t>
      </w:r>
      <w:r w:rsidRPr="000314BB">
        <w:rPr>
          <w:rFonts w:ascii="Garamond" w:hAnsi="Garamond" w:cs="Times New Roman"/>
          <w:i/>
          <w:iCs/>
          <w:sz w:val="24"/>
          <w:szCs w:val="24"/>
        </w:rPr>
        <w:t>parimit të sigurisë juridike dhe</w:t>
      </w:r>
      <w:r w:rsidR="00E879FA">
        <w:rPr>
          <w:rFonts w:ascii="Garamond" w:hAnsi="Garamond" w:cs="Times New Roman"/>
          <w:i/>
          <w:iCs/>
          <w:sz w:val="24"/>
          <w:szCs w:val="24"/>
        </w:rPr>
        <w:t xml:space="preserve"> </w:t>
      </w:r>
      <w:r w:rsidRPr="000314BB">
        <w:rPr>
          <w:rFonts w:ascii="Garamond" w:hAnsi="Garamond" w:cs="Times New Roman"/>
          <w:i/>
          <w:iCs/>
          <w:sz w:val="24"/>
          <w:szCs w:val="24"/>
        </w:rPr>
        <w:t>së drejtës së pronës</w:t>
      </w:r>
      <w:r w:rsidRPr="000314BB">
        <w:rPr>
          <w:rFonts w:ascii="Garamond" w:hAnsi="Garamond" w:cs="Times New Roman"/>
          <w:sz w:val="24"/>
          <w:szCs w:val="24"/>
        </w:rPr>
        <w:t>, duke i lidhur këto pretendime me prishjen e vendimit të gjykatës së apelit dhe humbjen e dëmshpërblimit të njohur prej tij.</w:t>
      </w:r>
    </w:p>
    <w:p w14:paraId="3FF15638" w14:textId="63A0E561"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10. Shumica, pasi i ka vlerësuar si haptazi të pabazuara pretendimet për cenimin e </w:t>
      </w:r>
      <w:r w:rsidRPr="000314BB">
        <w:rPr>
          <w:rFonts w:ascii="Garamond" w:hAnsi="Garamond" w:cs="Times New Roman"/>
          <w:i/>
          <w:iCs/>
          <w:sz w:val="24"/>
          <w:szCs w:val="24"/>
        </w:rPr>
        <w:t>parimit të sigurisë juridike dhe</w:t>
      </w:r>
      <w:r w:rsidR="00E879FA">
        <w:rPr>
          <w:rFonts w:ascii="Garamond" w:hAnsi="Garamond" w:cs="Times New Roman"/>
          <w:i/>
          <w:iCs/>
          <w:sz w:val="24"/>
          <w:szCs w:val="24"/>
        </w:rPr>
        <w:t xml:space="preserve"> </w:t>
      </w:r>
      <w:r w:rsidRPr="000314BB">
        <w:rPr>
          <w:rFonts w:ascii="Garamond" w:hAnsi="Garamond" w:cs="Times New Roman"/>
          <w:i/>
          <w:iCs/>
          <w:sz w:val="24"/>
          <w:szCs w:val="24"/>
        </w:rPr>
        <w:t>së drejtës së pronës</w:t>
      </w:r>
      <w:r w:rsidRPr="000314BB">
        <w:rPr>
          <w:rFonts w:ascii="Garamond" w:hAnsi="Garamond" w:cs="Times New Roman"/>
          <w:sz w:val="24"/>
          <w:szCs w:val="24"/>
        </w:rPr>
        <w:t xml:space="preserve">, ka çmuar se argumentet për cenimin e </w:t>
      </w:r>
      <w:r w:rsidRPr="000314BB">
        <w:rPr>
          <w:rFonts w:ascii="Garamond" w:hAnsi="Garamond" w:cs="Times New Roman"/>
          <w:i/>
          <w:iCs/>
          <w:sz w:val="24"/>
          <w:szCs w:val="24"/>
        </w:rPr>
        <w:t xml:space="preserve">së drejtës së </w:t>
      </w:r>
      <w:proofErr w:type="spellStart"/>
      <w:r w:rsidRPr="000314BB">
        <w:rPr>
          <w:rFonts w:ascii="Garamond" w:hAnsi="Garamond" w:cs="Times New Roman"/>
          <w:i/>
          <w:iCs/>
          <w:sz w:val="24"/>
          <w:szCs w:val="24"/>
        </w:rPr>
        <w:t>aksesit</w:t>
      </w:r>
      <w:proofErr w:type="spellEnd"/>
      <w:r w:rsidRPr="000314BB">
        <w:rPr>
          <w:rFonts w:ascii="Garamond" w:hAnsi="Garamond" w:cs="Times New Roman"/>
          <w:i/>
          <w:iCs/>
          <w:sz w:val="24"/>
          <w:szCs w:val="24"/>
        </w:rPr>
        <w:t xml:space="preserve"> substancial dhe të standardit të arsyetimit të vendimit</w:t>
      </w:r>
      <w:r w:rsidRPr="000314BB">
        <w:rPr>
          <w:rFonts w:ascii="Garamond" w:hAnsi="Garamond" w:cs="Times New Roman"/>
          <w:sz w:val="24"/>
          <w:szCs w:val="24"/>
        </w:rPr>
        <w:t xml:space="preserve"> ishin të ndërlidhura me pretendimin për cenimin e </w:t>
      </w:r>
      <w:r w:rsidRPr="000314BB">
        <w:rPr>
          <w:rFonts w:ascii="Garamond" w:hAnsi="Garamond" w:cs="Times New Roman"/>
          <w:i/>
          <w:iCs/>
          <w:sz w:val="24"/>
          <w:szCs w:val="24"/>
        </w:rPr>
        <w:t>së drejtës për t’u gjykuar nga një gjykatë e caktuar me ligj</w:t>
      </w:r>
      <w:r w:rsidRPr="000314BB">
        <w:rPr>
          <w:rFonts w:ascii="Garamond" w:hAnsi="Garamond" w:cs="Times New Roman"/>
          <w:sz w:val="24"/>
          <w:szCs w:val="24"/>
        </w:rPr>
        <w:t xml:space="preserve">. Për rrjedhojë, ajo ka vendosur t’i shqyrtojë ato në këndvështrim të së drejtës së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gjykatë të lidhur me standardin e arsyetimit të vendimit, si dhe të pasojave të mundshme për respektimin e së drejtës për t’u gjykuar nga një gjykatë e caktuar me ligj </w:t>
      </w:r>
      <w:r w:rsidRPr="000314BB">
        <w:rPr>
          <w:rFonts w:ascii="Garamond" w:hAnsi="Garamond" w:cs="Times New Roman"/>
          <w:i/>
          <w:iCs/>
          <w:sz w:val="24"/>
          <w:szCs w:val="24"/>
        </w:rPr>
        <w:t>(shih paragrafin 24 të vendimit).</w:t>
      </w:r>
      <w:r w:rsidRPr="000314BB">
        <w:rPr>
          <w:rFonts w:ascii="Garamond" w:hAnsi="Garamond" w:cs="Times New Roman"/>
          <w:sz w:val="24"/>
          <w:szCs w:val="24"/>
        </w:rPr>
        <w:t xml:space="preserve"> Në këtë drejtim, shumica ka përcaktuar se kontrolli kushtetues do të përqendrohej në verifikimin nëse interpretimi dhe zbatimi i ligjit nga Gjykata e Lartë përmbanin elemente arbitrariteti, si dhe nëse ajo e ka gjykuar çështjen pa krijuar dyshime edhe për respektimin e kompetencave të saj</w:t>
      </w:r>
      <w:r w:rsidRPr="000314BB">
        <w:rPr>
          <w:rFonts w:ascii="Garamond" w:hAnsi="Garamond" w:cs="Times New Roman"/>
          <w:i/>
          <w:iCs/>
          <w:sz w:val="24"/>
          <w:szCs w:val="24"/>
        </w:rPr>
        <w:t xml:space="preserve"> (shih paragrafin 29 të vendimit).</w:t>
      </w:r>
    </w:p>
    <w:p w14:paraId="28857E82" w14:textId="361163FE"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11. Në vijim, shumica ka vlerësuar se, ndonëse Gjykata e Lartë e ka bazuar analizën e saj mbi të njëjtat fakte dhe prova të administruara gjatë gjykimit në gjykatat e faktit, përfundimi i saj për përjashtimin e përgjegjësisë së pronarit mbështetet në një interpretim të kontratave të qirasë, i cili </w:t>
      </w:r>
      <w:r w:rsidRPr="000314BB">
        <w:rPr>
          <w:rFonts w:ascii="Garamond" w:hAnsi="Garamond" w:cs="Times New Roman"/>
          <w:sz w:val="24"/>
          <w:szCs w:val="24"/>
        </w:rPr>
        <w:lastRenderedPageBreak/>
        <w:t>nuk gjen mbështetje në përmbajtjen e tyre</w:t>
      </w:r>
      <w:r w:rsidRPr="000314BB">
        <w:rPr>
          <w:rFonts w:ascii="Garamond" w:hAnsi="Garamond" w:cs="Times New Roman"/>
          <w:i/>
          <w:iCs/>
          <w:sz w:val="24"/>
          <w:szCs w:val="24"/>
        </w:rPr>
        <w:t xml:space="preserve"> (shih paragrafin 34 të vendimit). </w:t>
      </w:r>
      <w:r w:rsidRPr="000314BB">
        <w:rPr>
          <w:rFonts w:ascii="Garamond" w:hAnsi="Garamond" w:cs="Times New Roman"/>
          <w:sz w:val="24"/>
          <w:szCs w:val="24"/>
        </w:rPr>
        <w:t>Sipas shumicës, nga këto kontrata nuk rezultonte që qiramarrësit të kishin marrë përsipër detyrimin për garantimin e përputhshmërisë së ashensorit ekzistues me kërkesat e detyrueshme të sigurisë, në kuptim të pikës 24</w:t>
      </w:r>
      <w:r w:rsidR="00E879FA">
        <w:rPr>
          <w:rFonts w:ascii="Garamond" w:hAnsi="Garamond" w:cs="Times New Roman"/>
          <w:sz w:val="24"/>
          <w:szCs w:val="24"/>
        </w:rPr>
        <w:t>,</w:t>
      </w:r>
      <w:r w:rsidRPr="000314BB">
        <w:rPr>
          <w:rFonts w:ascii="Garamond" w:hAnsi="Garamond" w:cs="Times New Roman"/>
          <w:sz w:val="24"/>
          <w:szCs w:val="24"/>
        </w:rPr>
        <w:t xml:space="preserve"> të nenit 3</w:t>
      </w:r>
      <w:r w:rsidR="00E879FA">
        <w:rPr>
          <w:rFonts w:ascii="Garamond" w:hAnsi="Garamond" w:cs="Times New Roman"/>
          <w:sz w:val="24"/>
          <w:szCs w:val="24"/>
        </w:rPr>
        <w:t>,</w:t>
      </w:r>
      <w:r w:rsidRPr="000314BB">
        <w:rPr>
          <w:rFonts w:ascii="Garamond" w:hAnsi="Garamond" w:cs="Times New Roman"/>
          <w:sz w:val="24"/>
          <w:szCs w:val="24"/>
        </w:rPr>
        <w:t xml:space="preserve"> të ligjit nr. 10489/2011. Po kështu, ashensori ku kishte ndodhur aksidenti ishte pjesë e ndërtesës që prej vitit 1977 dhe jo një instalim i ri i realizuar nga qiramarrësit. Megjithatë, sipas shumicës, Gjykata e Lartë ka arritur në përfundimin se përgjegjësia ishte transferuar tek ata vetëm mbi bazën e posedimit dhe përdorimit të ndërtesës, pa identifikuar bazën </w:t>
      </w:r>
      <w:proofErr w:type="spellStart"/>
      <w:r w:rsidRPr="000314BB">
        <w:rPr>
          <w:rFonts w:ascii="Garamond" w:hAnsi="Garamond" w:cs="Times New Roman"/>
          <w:sz w:val="24"/>
          <w:szCs w:val="24"/>
        </w:rPr>
        <w:t>kontraktore</w:t>
      </w:r>
      <w:proofErr w:type="spellEnd"/>
      <w:r w:rsidRPr="000314BB">
        <w:rPr>
          <w:rFonts w:ascii="Garamond" w:hAnsi="Garamond" w:cs="Times New Roman"/>
          <w:sz w:val="24"/>
          <w:szCs w:val="24"/>
        </w:rPr>
        <w:t xml:space="preserve"> ose ligjore që e justifikonte këtë përfundim dhe pa analizuar nëse ai mbështetej në parashikimet konkrete të kontratave të qirasë, si dhe në rrethanën se ashensori përbënte një pjesë ekzistuese të ndërtesës në pronësi të subjektit të interesuar dhe se ai ka pasur mundësinë e parashikimit të pasojave që mund të vinin prej kësaj situate në kushtet kur nuk ishte montuar një ashensor i ri nga qiramarrësi </w:t>
      </w:r>
      <w:r w:rsidRPr="000314BB">
        <w:rPr>
          <w:rFonts w:ascii="Garamond" w:hAnsi="Garamond" w:cs="Times New Roman"/>
          <w:i/>
          <w:iCs/>
          <w:sz w:val="24"/>
          <w:szCs w:val="24"/>
        </w:rPr>
        <w:t xml:space="preserve">(shih paragrafin 35 të vendimit). </w:t>
      </w:r>
    </w:p>
    <w:p w14:paraId="245304BD" w14:textId="5AC45749"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12. Shumica ka vënë në dukje gjithashtu se vetë Gjykata e Lartë ka pranuar dijeninë e pronarit për gjendjen e ashensorit ekzistues, për sa kohë qiramarrësi kishte </w:t>
      </w:r>
      <w:proofErr w:type="spellStart"/>
      <w:r w:rsidRPr="000314BB">
        <w:rPr>
          <w:rFonts w:ascii="Garamond" w:hAnsi="Garamond" w:cs="Times New Roman"/>
          <w:sz w:val="24"/>
          <w:szCs w:val="24"/>
        </w:rPr>
        <w:t>dakordësuar</w:t>
      </w:r>
      <w:proofErr w:type="spellEnd"/>
      <w:r w:rsidRPr="000314BB">
        <w:rPr>
          <w:rFonts w:ascii="Garamond" w:hAnsi="Garamond" w:cs="Times New Roman"/>
          <w:sz w:val="24"/>
          <w:szCs w:val="24"/>
        </w:rPr>
        <w:t xml:space="preserve"> me të ndërtimin e një ashensori të ri. Megjithatë, sipas shumicës, Gjykata e Lartë nuk ka analizuar ndikimin e kësaj rrethane në përcaktimin e përgjegjësisë së pronarit dhe as nuk ka shpjeguar se përse miratimi për instalimin e një ashensori të ri konsiderohej i mjaftueshëm për të arritur në përfundimin se detyrimi për garantimin e sigurisë së ashensorit ekzistues ishte transferuar te qiramarrësit </w:t>
      </w:r>
      <w:r w:rsidRPr="000314BB">
        <w:rPr>
          <w:rFonts w:ascii="Garamond" w:hAnsi="Garamond" w:cs="Times New Roman"/>
          <w:i/>
          <w:iCs/>
          <w:sz w:val="24"/>
          <w:szCs w:val="24"/>
        </w:rPr>
        <w:t>(shih paragrafin 36 të vendimit).</w:t>
      </w:r>
      <w:r w:rsidRPr="000314BB">
        <w:rPr>
          <w:rFonts w:ascii="Garamond" w:hAnsi="Garamond" w:cs="Times New Roman"/>
          <w:sz w:val="24"/>
          <w:szCs w:val="24"/>
        </w:rPr>
        <w:t xml:space="preserve"> Për rrjedhojë, sipas shumicës, interpretimi i kontratave të qirasë nga Gjykata e Lartë nuk harmonizohet me përmbajtjen objektive të tyre, në kuptimin që nuk analizon në mënyrë shteruese detyrimet e të gjitha palëve në ato kontrata, si dhe nuk mbështetet në faktet e pranuara prej saj dhe nga gjykatat e faktit, duke bërë që përfundimi për përjashtimin e përgjegjësisë së pronarit të mos jetë rezultat i një analize të plotë dhe logjikisht të lidhur të dispozitave </w:t>
      </w:r>
      <w:proofErr w:type="spellStart"/>
      <w:r w:rsidRPr="000314BB">
        <w:rPr>
          <w:rFonts w:ascii="Garamond" w:hAnsi="Garamond" w:cs="Times New Roman"/>
          <w:sz w:val="24"/>
          <w:szCs w:val="24"/>
        </w:rPr>
        <w:t>kontraktore</w:t>
      </w:r>
      <w:proofErr w:type="spellEnd"/>
      <w:r w:rsidRPr="000314BB">
        <w:rPr>
          <w:rFonts w:ascii="Garamond" w:hAnsi="Garamond" w:cs="Times New Roman"/>
          <w:sz w:val="24"/>
          <w:szCs w:val="24"/>
        </w:rPr>
        <w:t xml:space="preserve"> dhe ligjore të zbatueshme </w:t>
      </w:r>
      <w:r w:rsidRPr="000314BB">
        <w:rPr>
          <w:rFonts w:ascii="Garamond" w:hAnsi="Garamond" w:cs="Times New Roman"/>
          <w:i/>
          <w:iCs/>
          <w:sz w:val="24"/>
          <w:szCs w:val="24"/>
        </w:rPr>
        <w:t xml:space="preserve">(shih paragrafin 37 të vendimit). </w:t>
      </w:r>
    </w:p>
    <w:p w14:paraId="1FE99364" w14:textId="1CF30287"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13. Po kështu, shumica ka çmuar se Gjykata e Lartë, megjithëse ka arritur në përfundimin se përgjegjësia për dëmin zhvendosej te shoqëritë qiramarrëse, nuk ka shpjeguar se përse ka lënë në fuqi vendimin e gjykatës së shkallës së parë, i cili kishte refuzuar thirrjen e tyre në gjykim. Në këtë mënyrë, Gjykata e Lartë nuk i ka kthyer përgjigje pretendimit të kërkuesve për refuzimin nga gjykata e shkallës së parë të kërkesës për thirrjen në gjykim edhe të dy shoqërive qiramarrëse. Gjithashtu, Gjykata e Lartë, edhe pse ka prishur vendimin e gjykatës së apelit, nuk ka analizuar se përse është i gabuar arsyetimi i kësaj gjykate për përgjegjësinë solidare të shoqërisë pronare dhe të dy shoqërive qiramarrëse në shkaktimin e dëmit</w:t>
      </w:r>
      <w:r w:rsidRPr="000314BB">
        <w:rPr>
          <w:rFonts w:ascii="Garamond" w:hAnsi="Garamond" w:cs="Times New Roman"/>
          <w:i/>
          <w:iCs/>
          <w:sz w:val="24"/>
          <w:szCs w:val="24"/>
        </w:rPr>
        <w:t xml:space="preserve"> (shih paragrafin 38 të vendimit). </w:t>
      </w:r>
      <w:r w:rsidRPr="000314BB">
        <w:rPr>
          <w:rFonts w:ascii="Garamond" w:hAnsi="Garamond" w:cs="Times New Roman"/>
          <w:sz w:val="24"/>
          <w:szCs w:val="24"/>
        </w:rPr>
        <w:t xml:space="preserve">Për këto arsye, shumica ka arritur në përfundimin se interpretimi jo i plotë i kontratave të qirasë dhe mosdhënia e një përgjigjeje për përgjegjësinë solidare kanë çuar në një zbatim të ligjit që nuk mbështetet në elementet objektive të çështjes dhe, për pasojë, në një vendimmarrje me elemente arbitrariteti në kuptim të nenit 42 të Kushtetutës dhe të jurisprudencës kushtetuese. Për rrjedhojë, sipas shumicës, pretendimi i kërkuesve për cenimin e së drejtës së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gjykatë të lidhur me standardin e arsyetimit të vendimit gjyqësor është i bazuar</w:t>
      </w:r>
      <w:r w:rsidRPr="000314BB">
        <w:rPr>
          <w:rFonts w:ascii="Garamond" w:hAnsi="Garamond" w:cs="Times New Roman"/>
          <w:i/>
          <w:iCs/>
          <w:sz w:val="24"/>
          <w:szCs w:val="24"/>
        </w:rPr>
        <w:t xml:space="preserve"> (shih paragrafin 39 të vendimit).</w:t>
      </w:r>
    </w:p>
    <w:p w14:paraId="5EC816CD" w14:textId="469ED058"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14. Për shqyrtimin e pretendimeve kushtetuese të kërkuesve, vlerësojmë se pikënisja e analizës duhet të jetë përcaktimi i kufijve që burojnë nga natyra </w:t>
      </w:r>
      <w:proofErr w:type="spellStart"/>
      <w:r w:rsidRPr="000314BB">
        <w:rPr>
          <w:rFonts w:ascii="Garamond" w:hAnsi="Garamond" w:cs="Times New Roman"/>
          <w:sz w:val="24"/>
          <w:szCs w:val="24"/>
        </w:rPr>
        <w:t>subsidiare</w:t>
      </w:r>
      <w:proofErr w:type="spellEnd"/>
      <w:r w:rsidRPr="000314BB">
        <w:rPr>
          <w:rFonts w:ascii="Garamond" w:hAnsi="Garamond" w:cs="Times New Roman"/>
          <w:sz w:val="24"/>
          <w:szCs w:val="24"/>
        </w:rPr>
        <w:t xml:space="preserve"> e kontrollit kushtetues ndaj vendimeve gjyqësore, sipas standardeve të pranuara edhe nga shumica. Interpretimi i ligjit, përcaktimi i normave të zbatueshme dhe vlerësimi i pasojave juridike të fakteve të çështjes u përkasin, si rregull, gjykatave të juridiksionit të zakonshëm. Gjykata nuk vepron si një shkallë e katërt gjykimi dhe kontrolli kushtetues përligjet kur gabimi ligjor ose faktik është aq i dukshëm sa një gjykatë e kujdesshme nuk mund ta kishte bërë ose kur interpretimi i dhënë është arbitrar, haptazi i paarsyeshëm dhe, si i tillë, e bën gjykimin të padrejtë </w:t>
      </w:r>
      <w:r w:rsidR="00C82265">
        <w:rPr>
          <w:rFonts w:ascii="Garamond" w:hAnsi="Garamond" w:cs="Times New Roman"/>
          <w:i/>
          <w:iCs/>
          <w:sz w:val="24"/>
          <w:szCs w:val="24"/>
        </w:rPr>
        <w:t>(shih vendimet nr. 11, datë 11.</w:t>
      </w:r>
      <w:r w:rsidRPr="000314BB">
        <w:rPr>
          <w:rFonts w:ascii="Garamond" w:hAnsi="Garamond" w:cs="Times New Roman"/>
          <w:i/>
          <w:iCs/>
          <w:sz w:val="24"/>
          <w:szCs w:val="24"/>
        </w:rPr>
        <w:t>2.2026; nr. 59,</w:t>
      </w:r>
      <w:r w:rsidR="00C82265">
        <w:rPr>
          <w:rFonts w:ascii="Garamond" w:hAnsi="Garamond" w:cs="Times New Roman"/>
          <w:i/>
          <w:iCs/>
          <w:sz w:val="24"/>
          <w:szCs w:val="24"/>
        </w:rPr>
        <w:t xml:space="preserve"> datë 14.11.2023; nr. 29, datë </w:t>
      </w:r>
      <w:r w:rsidRPr="000314BB">
        <w:rPr>
          <w:rFonts w:ascii="Garamond" w:hAnsi="Garamond" w:cs="Times New Roman"/>
          <w:i/>
          <w:iCs/>
          <w:sz w:val="24"/>
          <w:szCs w:val="24"/>
        </w:rPr>
        <w:t>1.11.2022</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 xml:space="preserve"> Për rrjedhojë, çështja që shtrohet për vlerësim nuk është nëse interpretimi i dhënë nga Gjykata e Lartë ishte juridikisht më i drejti ndër disa interpretime të mundshme, por nëse ky interpretim kishte kapërcyer kufijtë e interpretimit gjyqësor të arsyeshëm, duke marrë karakter arbitrar dhe duke cenuar drejtësinë e procesit.</w:t>
      </w:r>
    </w:p>
    <w:p w14:paraId="3D1FAE82" w14:textId="3BF9590E" w:rsidR="007D5EC3" w:rsidRPr="000314BB" w:rsidRDefault="007D5EC3" w:rsidP="007D5EC3">
      <w:pPr>
        <w:tabs>
          <w:tab w:val="left" w:pos="1080"/>
        </w:tabs>
        <w:spacing w:after="0" w:line="240" w:lineRule="auto"/>
        <w:ind w:firstLine="284"/>
        <w:jc w:val="both"/>
        <w:rPr>
          <w:rFonts w:ascii="Garamond" w:hAnsi="Garamond" w:cs="Times New Roman"/>
          <w:i/>
          <w:iCs/>
          <w:sz w:val="24"/>
          <w:szCs w:val="24"/>
        </w:rPr>
      </w:pPr>
      <w:r w:rsidRPr="000314BB">
        <w:rPr>
          <w:rFonts w:ascii="Garamond" w:hAnsi="Garamond" w:cs="Times New Roman"/>
          <w:sz w:val="24"/>
          <w:szCs w:val="24"/>
        </w:rPr>
        <w:t xml:space="preserve">15. Për sa i përket së drejtës për t’u gjykuar nga një gjykatë e caktuar me ligj, jurisprudenca kushtetuese ka dalluar ndërmjet rivlerësimit të fakteve dhe provave, nga njëra anë, dhe kontrollit të zbatimit të ligjit mbi bazën faktike të përcaktuar gjatë gjykimeve të faktit, nga ana tjetër. Gjykata e Lartë nuk mund të përcaktojë fakte të reja, të bëjë vlerësim të ndryshëm të provave të </w:t>
      </w:r>
      <w:r w:rsidRPr="000314BB">
        <w:rPr>
          <w:rFonts w:ascii="Garamond" w:hAnsi="Garamond" w:cs="Times New Roman"/>
          <w:sz w:val="24"/>
          <w:szCs w:val="24"/>
        </w:rPr>
        <w:lastRenderedPageBreak/>
        <w:t>administruara ose të nxjerrë përfundime faktike të kundërta me ato të gjykatave të faktit.</w:t>
      </w:r>
      <w:r w:rsidRPr="000314BB">
        <w:rPr>
          <w:rFonts w:ascii="Garamond" w:hAnsi="Garamond" w:cs="Times New Roman"/>
          <w:b/>
          <w:bCs/>
          <w:sz w:val="24"/>
          <w:szCs w:val="24"/>
        </w:rPr>
        <w:t xml:space="preserve"> </w:t>
      </w:r>
      <w:r w:rsidRPr="000314BB">
        <w:rPr>
          <w:rFonts w:ascii="Garamond" w:hAnsi="Garamond" w:cs="Times New Roman"/>
          <w:sz w:val="24"/>
          <w:szCs w:val="24"/>
        </w:rPr>
        <w:t xml:space="preserve">Kur ajo çmon se provat e administruara nuk janë të mjaftueshme për zgjidhjen e çështjes ose që nevojiten vlerësime të mëtejshme faktike, nuk mund të marrë kompetencat e gjykatës së faktit, por duhet ta kthejë çështjen për rishqyrtim. Megjithatë, procesi nuk konsiderohet i parregullt kur ajo, mbi të njëjtat fakte dhe prova të vlerësuara gjatë gjykimeve të mëparshme, prish vendimin e gjykatës së apelit dhe e zgjidh çështjen përfundimisht për shkak të interpretimit ose zbatimit të gabuar të ligjit, me kusht që zgjidhja të mos kërkojë </w:t>
      </w:r>
      <w:proofErr w:type="spellStart"/>
      <w:r w:rsidRPr="000314BB">
        <w:rPr>
          <w:rFonts w:ascii="Garamond" w:hAnsi="Garamond" w:cs="Times New Roman"/>
          <w:sz w:val="24"/>
          <w:szCs w:val="24"/>
        </w:rPr>
        <w:t>ripërcaktimin</w:t>
      </w:r>
      <w:proofErr w:type="spellEnd"/>
      <w:r w:rsidRPr="000314BB">
        <w:rPr>
          <w:rFonts w:ascii="Garamond" w:hAnsi="Garamond" w:cs="Times New Roman"/>
          <w:sz w:val="24"/>
          <w:szCs w:val="24"/>
        </w:rPr>
        <w:t xml:space="preserve"> e fakteve ose rivlerësimin e provave. Në rastin kur gjykatat më të ulëta kanë mbajtur qëndrime të ndryshme për faktet thelbësore të çështjes, Gjykata e Lartë nuk mund të përzgjedhë se cili prej këtyre qëndrimeve duhet të merret për bazë dhe, mbi të, ta zgjidhë çështjen përfundimisht. Në këtë kuadër, kontrolli i saj mbetet i përqendruar në ligjshmërinë dhe </w:t>
      </w:r>
      <w:proofErr w:type="spellStart"/>
      <w:r w:rsidRPr="000314BB">
        <w:rPr>
          <w:rFonts w:ascii="Garamond" w:hAnsi="Garamond" w:cs="Times New Roman"/>
          <w:sz w:val="24"/>
          <w:szCs w:val="24"/>
        </w:rPr>
        <w:t>bazueshmërinë</w:t>
      </w:r>
      <w:proofErr w:type="spellEnd"/>
      <w:r w:rsidRPr="000314BB">
        <w:rPr>
          <w:rFonts w:ascii="Garamond" w:hAnsi="Garamond" w:cs="Times New Roman"/>
          <w:sz w:val="24"/>
          <w:szCs w:val="24"/>
        </w:rPr>
        <w:t xml:space="preserve"> e vendimeve të </w:t>
      </w:r>
      <w:proofErr w:type="spellStart"/>
      <w:r w:rsidRPr="000314BB">
        <w:rPr>
          <w:rFonts w:ascii="Garamond" w:hAnsi="Garamond" w:cs="Times New Roman"/>
          <w:sz w:val="24"/>
          <w:szCs w:val="24"/>
        </w:rPr>
        <w:t>ankimuara</w:t>
      </w:r>
      <w:proofErr w:type="spellEnd"/>
      <w:r w:rsidRPr="000314BB">
        <w:rPr>
          <w:rFonts w:ascii="Garamond" w:hAnsi="Garamond" w:cs="Times New Roman"/>
          <w:sz w:val="24"/>
          <w:szCs w:val="24"/>
        </w:rPr>
        <w:t xml:space="preserve"> </w:t>
      </w:r>
      <w:r w:rsidR="00C82265">
        <w:rPr>
          <w:rFonts w:ascii="Garamond" w:hAnsi="Garamond" w:cs="Times New Roman"/>
          <w:i/>
          <w:iCs/>
          <w:sz w:val="24"/>
          <w:szCs w:val="24"/>
        </w:rPr>
        <w:t>(shih vendimet nr. 14, datë 25.</w:t>
      </w:r>
      <w:r w:rsidRPr="000314BB">
        <w:rPr>
          <w:rFonts w:ascii="Garamond" w:hAnsi="Garamond" w:cs="Times New Roman"/>
          <w:i/>
          <w:iCs/>
          <w:sz w:val="24"/>
          <w:szCs w:val="24"/>
        </w:rPr>
        <w:t>3.2025;</w:t>
      </w:r>
      <w:r w:rsidRPr="000314BB">
        <w:rPr>
          <w:rFonts w:ascii="Garamond" w:hAnsi="Garamond" w:cs="Times New Roman"/>
          <w:b/>
          <w:bCs/>
          <w:i/>
          <w:iCs/>
          <w:sz w:val="24"/>
          <w:szCs w:val="24"/>
        </w:rPr>
        <w:t xml:space="preserve"> </w:t>
      </w:r>
      <w:r w:rsidR="00C82265">
        <w:rPr>
          <w:rFonts w:ascii="Garamond" w:hAnsi="Garamond" w:cs="Times New Roman"/>
          <w:i/>
          <w:iCs/>
          <w:sz w:val="24"/>
          <w:szCs w:val="24"/>
        </w:rPr>
        <w:t>nr. 15, datë 23.3.2023; nr. 10, datë 3.</w:t>
      </w:r>
      <w:r w:rsidRPr="000314BB">
        <w:rPr>
          <w:rFonts w:ascii="Garamond" w:hAnsi="Garamond" w:cs="Times New Roman"/>
          <w:i/>
          <w:iCs/>
          <w:sz w:val="24"/>
          <w:szCs w:val="24"/>
        </w:rPr>
        <w:t>4.2018</w:t>
      </w:r>
      <w:r w:rsidR="00C82265">
        <w:rPr>
          <w:rFonts w:ascii="Garamond" w:hAnsi="Garamond" w:cs="Times New Roman"/>
          <w:i/>
          <w:iCs/>
          <w:sz w:val="24"/>
          <w:szCs w:val="24"/>
        </w:rPr>
        <w:t>,</w:t>
      </w:r>
      <w:r w:rsidRPr="000314BB">
        <w:rPr>
          <w:rFonts w:ascii="Garamond" w:hAnsi="Garamond" w:cs="Times New Roman"/>
          <w:i/>
          <w:iCs/>
          <w:sz w:val="24"/>
          <w:szCs w:val="24"/>
        </w:rPr>
        <w:t xml:space="preserve"> të Gjykatës Kushtetuese).</w:t>
      </w:r>
    </w:p>
    <w:p w14:paraId="03768A9F" w14:textId="3A684A65"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16. Në rastin konkret, Gjykata e Lartë nuk ka administruar prova të reja dhe as ka përcaktuar fakte të reja</w:t>
      </w:r>
      <w:r w:rsidRPr="000314BB">
        <w:rPr>
          <w:rFonts w:ascii="Garamond" w:hAnsi="Garamond" w:cs="Times New Roman"/>
          <w:b/>
          <w:bCs/>
          <w:sz w:val="24"/>
          <w:szCs w:val="24"/>
        </w:rPr>
        <w:t xml:space="preserve"> </w:t>
      </w:r>
      <w:r w:rsidRPr="000314BB">
        <w:rPr>
          <w:rFonts w:ascii="Garamond" w:hAnsi="Garamond" w:cs="Times New Roman"/>
          <w:sz w:val="24"/>
          <w:szCs w:val="24"/>
        </w:rPr>
        <w:t xml:space="preserve">që nuk ishin shqyrtuar nga gjykatat më të ulëta. Cilësia e subjektit të interesuar si pronar i ndërtesës, ekzistenca dhe gjendja e ashensorit të mallrave, dhënia me qira e mjediseve, posedimi dhe përdorimi i mjediseve nga shoqëritë qiramarrëse për ushtrimin e veprimtarisë së tyre ekonomike, si dhe përmbajtja e klauzolës </w:t>
      </w:r>
      <w:proofErr w:type="spellStart"/>
      <w:r w:rsidRPr="000314BB">
        <w:rPr>
          <w:rFonts w:ascii="Garamond" w:hAnsi="Garamond" w:cs="Times New Roman"/>
          <w:sz w:val="24"/>
          <w:szCs w:val="24"/>
        </w:rPr>
        <w:t>kontraktore</w:t>
      </w:r>
      <w:proofErr w:type="spellEnd"/>
      <w:r w:rsidRPr="000314BB">
        <w:rPr>
          <w:rFonts w:ascii="Garamond" w:hAnsi="Garamond" w:cs="Times New Roman"/>
          <w:sz w:val="24"/>
          <w:szCs w:val="24"/>
        </w:rPr>
        <w:t xml:space="preserve"> për montimin e një ashensori të ri kanë qenë pjesë e bazës faktike dhe provuese të administruar në gjykimet e faktit. Mbi këtë bazë, Gjykata e Lartë ka shqyrtuar pasojat juridike që këto rrethana prodhonin në drejtim të përgjegjësisë civile, duke kontrolluar mënyrën sesi gjykata e apelit kishte</w:t>
      </w:r>
      <w:r w:rsidRPr="000314BB">
        <w:rPr>
          <w:rFonts w:ascii="Garamond" w:hAnsi="Garamond" w:cs="Times New Roman"/>
          <w:b/>
          <w:bCs/>
          <w:sz w:val="24"/>
          <w:szCs w:val="24"/>
        </w:rPr>
        <w:t xml:space="preserve"> </w:t>
      </w:r>
      <w:r w:rsidRPr="000314BB">
        <w:rPr>
          <w:rFonts w:ascii="Garamond" w:hAnsi="Garamond" w:cs="Times New Roman"/>
          <w:sz w:val="24"/>
          <w:szCs w:val="24"/>
        </w:rPr>
        <w:t xml:space="preserve">interpretuar dhe zbatuar nenet 623, 802 dhe 805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-së, pikën 24</w:t>
      </w:r>
      <w:r w:rsidR="00C82265">
        <w:rPr>
          <w:rFonts w:ascii="Garamond" w:hAnsi="Garamond" w:cs="Times New Roman"/>
          <w:sz w:val="24"/>
          <w:szCs w:val="24"/>
        </w:rPr>
        <w:t>,</w:t>
      </w:r>
      <w:r w:rsidRPr="000314BB">
        <w:rPr>
          <w:rFonts w:ascii="Garamond" w:hAnsi="Garamond" w:cs="Times New Roman"/>
          <w:sz w:val="24"/>
          <w:szCs w:val="24"/>
        </w:rPr>
        <w:t xml:space="preserve"> të nenit 3</w:t>
      </w:r>
      <w:r w:rsidR="00C82265">
        <w:rPr>
          <w:rFonts w:ascii="Garamond" w:hAnsi="Garamond" w:cs="Times New Roman"/>
          <w:sz w:val="24"/>
          <w:szCs w:val="24"/>
        </w:rPr>
        <w:t>,</w:t>
      </w:r>
      <w:r w:rsidRPr="000314BB">
        <w:rPr>
          <w:rFonts w:ascii="Garamond" w:hAnsi="Garamond" w:cs="Times New Roman"/>
          <w:sz w:val="24"/>
          <w:szCs w:val="24"/>
        </w:rPr>
        <w:t xml:space="preserve"> të ligjit nr. 10489/2011 dhe kuadrin nënligjor për sigurinë e ashensorëve. Për rrjedhojë, në vlerësimin tonë, Gjykata e Lartë nuk ka ndryshuar bazën faktike të mosmarrëveshjes, por u ka dhënë rrethanave të pranuara një cilësim juridik të ndryshëm nga gjykata e apelit, nëpërmjet interpretimit të ndërthurur të normave juridike të zbatueshme.</w:t>
      </w:r>
    </w:p>
    <w:p w14:paraId="75B09D9F" w14:textId="211D654D"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17. Vlerësojmë se rrethana që gjykatat e faktit kanë arritur në përfundime të ndryshme nuk nënkupton vetvetiu se Gjykata e Lartë, duke vlerësuar të drejtë zgjidhjen e dhënë nga gjykata e shkallës së parë, ka përzgjedhur ndërmjet dy varianteve faktike. Vendimet e këtyre gjykatave mbështeteshin, në thelb, në të njëjtën bazë faktike, ndërsa ndryshonin për pasojat juridike që buronin prej saj. Dallimi ndërmjet tyre lidhej, në thelb, me mënyrën sesi cilësia e pronarit, posedimi efektiv nga qiramarrësit, detyrimet për mirëmbajtjen dhe përmbajtja e kontratave të qirasë ndikonin në identifikimin e personit përgjegjës. Gjykata e Lartë ka pranuar bazën faktike të përcaktuar nga gjykatat e faktit dhe u ka dhënë rrethanave të pranuara një cilësim juridik që përputhej me zgjidhjen e gjykatës së shkallës së parë, duke vlerësuar se gjykata e apelit kishte interpretuar dhe zbatuar gabim ligjin. Në vlerësimin tonë, një mënyrë e tillë kontrolli është në pajtim me funksionin rishikues të</w:t>
      </w:r>
      <w:r w:rsidRPr="000314BB">
        <w:rPr>
          <w:rFonts w:ascii="Garamond" w:hAnsi="Garamond" w:cs="Times New Roman"/>
          <w:b/>
          <w:bCs/>
          <w:sz w:val="24"/>
          <w:szCs w:val="24"/>
        </w:rPr>
        <w:t xml:space="preserve"> </w:t>
      </w:r>
      <w:r w:rsidRPr="000314BB">
        <w:rPr>
          <w:rFonts w:ascii="Garamond" w:hAnsi="Garamond" w:cs="Times New Roman"/>
          <w:sz w:val="24"/>
          <w:szCs w:val="24"/>
        </w:rPr>
        <w:t>Gjykatës së Lartë si gjykatë ligji, për sa kohë zgjidhja e çështjes</w:t>
      </w:r>
      <w:r w:rsidRPr="000314BB">
        <w:rPr>
          <w:rFonts w:ascii="Garamond" w:hAnsi="Garamond" w:cs="Times New Roman"/>
          <w:b/>
          <w:bCs/>
          <w:sz w:val="24"/>
          <w:szCs w:val="24"/>
        </w:rPr>
        <w:t xml:space="preserve"> </w:t>
      </w:r>
      <w:r w:rsidRPr="000314BB">
        <w:rPr>
          <w:rFonts w:ascii="Garamond" w:hAnsi="Garamond" w:cs="Times New Roman"/>
          <w:sz w:val="24"/>
          <w:szCs w:val="24"/>
        </w:rPr>
        <w:t>nuk ka kërkuar një hetim të ri gjyqësor ose rivlerësim të provave, por verifikimin e cilësimit juridik të rrethanave të pranuara.</w:t>
      </w:r>
    </w:p>
    <w:p w14:paraId="139BCEE1" w14:textId="4AF61986"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18. Në këtë këndvështrim, në vlerësimin tonë, interpretimi i Gjykatës së Lartë nuk paraqitet i shkëputur nga normat dhe rrethanat e çështjes. Ajo ka pranuar, fillimisht, rregullin e përgjegjësisë së pronarit sipas nenit 623 të </w:t>
      </w:r>
      <w:proofErr w:type="spellStart"/>
      <w:r w:rsidRPr="000314BB">
        <w:rPr>
          <w:rFonts w:ascii="Garamond" w:hAnsi="Garamond" w:cs="Times New Roman"/>
          <w:sz w:val="24"/>
          <w:szCs w:val="24"/>
        </w:rPr>
        <w:t>KC</w:t>
      </w:r>
      <w:proofErr w:type="spellEnd"/>
      <w:r w:rsidRPr="000314BB">
        <w:rPr>
          <w:rFonts w:ascii="Garamond" w:hAnsi="Garamond" w:cs="Times New Roman"/>
          <w:sz w:val="24"/>
          <w:szCs w:val="24"/>
        </w:rPr>
        <w:t>-së. Më pas ka analizuar ndarjen e detyrimeve ndërmjet qiradhënësit dhe qiramarrësit sipas neneve 802 dhe 805 të këtij kodi, si dhe ka interpretuar konceptin e personit përgjegjës sipas pikës 24</w:t>
      </w:r>
      <w:r w:rsidR="00E879FA">
        <w:rPr>
          <w:rFonts w:ascii="Garamond" w:hAnsi="Garamond" w:cs="Times New Roman"/>
          <w:sz w:val="24"/>
          <w:szCs w:val="24"/>
        </w:rPr>
        <w:t>,</w:t>
      </w:r>
      <w:r w:rsidRPr="000314BB">
        <w:rPr>
          <w:rFonts w:ascii="Garamond" w:hAnsi="Garamond" w:cs="Times New Roman"/>
          <w:sz w:val="24"/>
          <w:szCs w:val="24"/>
        </w:rPr>
        <w:t xml:space="preserve"> të nenit 3</w:t>
      </w:r>
      <w:r w:rsidR="00E879FA">
        <w:rPr>
          <w:rFonts w:ascii="Garamond" w:hAnsi="Garamond" w:cs="Times New Roman"/>
          <w:sz w:val="24"/>
          <w:szCs w:val="24"/>
        </w:rPr>
        <w:t>,</w:t>
      </w:r>
      <w:r w:rsidRPr="000314BB">
        <w:rPr>
          <w:rFonts w:ascii="Garamond" w:hAnsi="Garamond" w:cs="Times New Roman"/>
          <w:sz w:val="24"/>
          <w:szCs w:val="24"/>
        </w:rPr>
        <w:t xml:space="preserve"> të ligjit nr. 10489/2011. Në vijim, ajo ka vlerësuar edhe efektin juridik të posedimit faktik të mjediseve, të përdorimit të vazhdueshëm të instalimit dhe të klauzolës </w:t>
      </w:r>
      <w:proofErr w:type="spellStart"/>
      <w:r w:rsidRPr="000314BB">
        <w:rPr>
          <w:rFonts w:ascii="Garamond" w:hAnsi="Garamond" w:cs="Times New Roman"/>
          <w:sz w:val="24"/>
          <w:szCs w:val="24"/>
        </w:rPr>
        <w:t>kontraktore</w:t>
      </w:r>
      <w:proofErr w:type="spellEnd"/>
      <w:r w:rsidRPr="000314BB">
        <w:rPr>
          <w:rFonts w:ascii="Garamond" w:hAnsi="Garamond" w:cs="Times New Roman"/>
          <w:sz w:val="24"/>
          <w:szCs w:val="24"/>
        </w:rPr>
        <w:t xml:space="preserve"> për montimin e një ashensori të ri. Mbi bazën e kësaj analize, Gjykata e Lartë ka arritur në përfundimin se, në rrethanat konkrete, përgjegjësia lidhej me subjektet që ushtronin pushtetin e gëzimit efektiv mbi mjediset dhe instalimin, mbi të cilat rëndonin detyrimet përkatëse të mirëmbajtjes dhe të sigurisë. Edhe nëse ky interpretim mund të ngrejë diskutime në planin e së drejtës civile, ai nuk rezulton të jetë haptazi i paarsyeshëm ose arbitrar në kuptimin kushtetues. Kontrolli kushtetues nuk synon të përcaktojë interpretimin më të përshtatshëm të ligjit të zakonshëm, por të verifikojë nëse interpretimi i dhënë ka kapërcyer kufijtë e interpretimit gjyqësor të arsyeshëm dhe ka cenuar drejtësinë e procesit.</w:t>
      </w:r>
    </w:p>
    <w:p w14:paraId="5B5C59CA" w14:textId="614ABC66"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19. Në funksion të vlerësimit të pretendimit për cenimin e së drejtës së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gjykatë të lidhur me standardin e arsyetimit të vendimit, çështja që shtrohet është nëse mungesa në kontratat e qirasë e një klauzole të shprehur për transferimin te qiramarrësit të detyrimit për garantimin e sigurisë së ashensorit ekzistues e bënte përfundimin e Gjykatës së Lartë të pambështetur ose arbitrar. Në vlerësimin tonë, një përfundim i tillë nuk mund të nxirret vetëm nga mungesa e një </w:t>
      </w:r>
      <w:r w:rsidRPr="000314BB">
        <w:rPr>
          <w:rFonts w:ascii="Garamond" w:hAnsi="Garamond" w:cs="Times New Roman"/>
          <w:sz w:val="24"/>
          <w:szCs w:val="24"/>
        </w:rPr>
        <w:lastRenderedPageBreak/>
        <w:t xml:space="preserve">parashikimi të shprehur </w:t>
      </w:r>
      <w:proofErr w:type="spellStart"/>
      <w:r w:rsidRPr="000314BB">
        <w:rPr>
          <w:rFonts w:ascii="Garamond" w:hAnsi="Garamond" w:cs="Times New Roman"/>
          <w:sz w:val="24"/>
          <w:szCs w:val="24"/>
        </w:rPr>
        <w:t>kontraktor</w:t>
      </w:r>
      <w:proofErr w:type="spellEnd"/>
      <w:r w:rsidRPr="000314BB">
        <w:rPr>
          <w:rFonts w:ascii="Garamond" w:hAnsi="Garamond" w:cs="Times New Roman"/>
          <w:sz w:val="24"/>
          <w:szCs w:val="24"/>
        </w:rPr>
        <w:t xml:space="preserve">. Gjykata e Lartë ka vlerësuar se detyrimet e qiramarrësve dhe përgjegjësia për dëmin duhej të përcaktoheshin nga interpretimi i ndërthurur i marrëdhënies së qirasë, i ndarjes ligjore të detyrimeve ndërmjet qiradhënësit dhe qiramarrësit, i posedimit dhe i administrimit faktik të mjediseve, i natyrës dhe përdorimit të instalimit, si dhe i dispozitave të legjislacionit për sigurinë e produkteve. Çështja nëse nga këto elemente mund të nxirrej, edhe në mënyrë të nënkuptuar, detyrimi i qiramarrësve për mirëmbajtjen dhe garantimin e sigurisë së instalimit i përkiste interpretimit të së drejtës së zakonshme. Për sa kohë Gjykata e Lartë ka paraqitur elementet juridike dhe faktike mbi të cilat e ka mbështetur këtë interpretim, mungesa e një klauzole të shprehur nuk është e mjaftueshme </w:t>
      </w:r>
      <w:proofErr w:type="spellStart"/>
      <w:r w:rsidRPr="000314BB">
        <w:rPr>
          <w:rFonts w:ascii="Garamond" w:hAnsi="Garamond" w:cs="Times New Roman"/>
          <w:i/>
          <w:iCs/>
          <w:sz w:val="24"/>
          <w:szCs w:val="24"/>
        </w:rPr>
        <w:t>per</w:t>
      </w:r>
      <w:proofErr w:type="spellEnd"/>
      <w:r w:rsidRPr="000314BB">
        <w:rPr>
          <w:rFonts w:ascii="Garamond" w:hAnsi="Garamond" w:cs="Times New Roman"/>
          <w:i/>
          <w:iCs/>
          <w:sz w:val="24"/>
          <w:szCs w:val="24"/>
        </w:rPr>
        <w:t xml:space="preserve"> se</w:t>
      </w:r>
      <w:r w:rsidRPr="000314BB">
        <w:rPr>
          <w:rFonts w:ascii="Garamond" w:hAnsi="Garamond" w:cs="Times New Roman"/>
          <w:sz w:val="24"/>
          <w:szCs w:val="24"/>
        </w:rPr>
        <w:t xml:space="preserve"> për ta konsideruar arsyetimin e saj haptazi të paarsyeshëm ose arbitrar në kuptimin kushtetues.</w:t>
      </w:r>
    </w:p>
    <w:p w14:paraId="00ED823D" w14:textId="58FE1E43"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20. Për sa i përket dijenisë së pronarit për gjendjen e ashensorit, vlerësojmë se kjo rrethanë nuk është lënë jashtë arsyetimit të Gjykatës së Lartë. Sipas jurisprudencës kushtetuese, detyrimi për respektimin e standardit të arsyetimit të vendimit nuk nënkupton dhënien e një përgjigjeje të detajuar për çdo pretendim të palëve, përveçse kur ai është përcaktues për zgjidhjen e çështjes, ndërsa shkalla e arsyetimit varet edhe nga natyra e vendimit </w:t>
      </w:r>
      <w:r w:rsidR="00E879FA">
        <w:rPr>
          <w:rFonts w:ascii="Garamond" w:hAnsi="Garamond" w:cs="Times New Roman"/>
          <w:i/>
          <w:iCs/>
          <w:sz w:val="24"/>
          <w:szCs w:val="24"/>
        </w:rPr>
        <w:t>(shih vendimet nr. 7, datë 20.2.2025; nr. 19, datë 7.</w:t>
      </w:r>
      <w:r w:rsidRPr="000314BB">
        <w:rPr>
          <w:rFonts w:ascii="Garamond" w:hAnsi="Garamond" w:cs="Times New Roman"/>
          <w:i/>
          <w:iCs/>
          <w:sz w:val="24"/>
          <w:szCs w:val="24"/>
        </w:rPr>
        <w:t>7.2022</w:t>
      </w:r>
      <w:r w:rsidR="00E879FA">
        <w:rPr>
          <w:rFonts w:ascii="Garamond" w:hAnsi="Garamond" w:cs="Times New Roman"/>
          <w:i/>
          <w:iCs/>
          <w:sz w:val="24"/>
          <w:szCs w:val="24"/>
        </w:rPr>
        <w:t>,</w:t>
      </w:r>
      <w:r w:rsidRPr="000314BB">
        <w:rPr>
          <w:rFonts w:ascii="Garamond" w:hAnsi="Garamond" w:cs="Times New Roman"/>
          <w:i/>
          <w:iCs/>
          <w:sz w:val="24"/>
          <w:szCs w:val="24"/>
        </w:rPr>
        <w:t xml:space="preserve"> të Gjykatës Kushtetuese).</w:t>
      </w:r>
      <w:r w:rsidRPr="000314BB">
        <w:rPr>
          <w:rFonts w:ascii="Garamond" w:hAnsi="Garamond" w:cs="Times New Roman"/>
          <w:sz w:val="24"/>
          <w:szCs w:val="24"/>
        </w:rPr>
        <w:t xml:space="preserve"> Në rastin konkret, Gjykata e Lartë ka analizuar klauzolën që lejonte shoqërinë “</w:t>
      </w:r>
      <w:proofErr w:type="spellStart"/>
      <w:r w:rsidRPr="000314BB">
        <w:rPr>
          <w:rFonts w:ascii="Garamond" w:hAnsi="Garamond" w:cs="Times New Roman"/>
          <w:sz w:val="24"/>
          <w:szCs w:val="24"/>
        </w:rPr>
        <w:t>Derrigal</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të montonte një ashensor të ri dhe prej saj ka nxjerrë përfundimin se qiramarrësi kishte dijeni për parregullsinë e ashensorit ekzistues dhe se ndërmjet tij dhe pronarit kishte një </w:t>
      </w:r>
      <w:proofErr w:type="spellStart"/>
      <w:r w:rsidRPr="000314BB">
        <w:rPr>
          <w:rFonts w:ascii="Garamond" w:hAnsi="Garamond" w:cs="Times New Roman"/>
          <w:sz w:val="24"/>
          <w:szCs w:val="24"/>
        </w:rPr>
        <w:t>dakordësi</w:t>
      </w:r>
      <w:proofErr w:type="spellEnd"/>
      <w:r w:rsidRPr="000314BB">
        <w:rPr>
          <w:rFonts w:ascii="Garamond" w:hAnsi="Garamond" w:cs="Times New Roman"/>
          <w:sz w:val="24"/>
          <w:szCs w:val="24"/>
        </w:rPr>
        <w:t xml:space="preserve"> për zëvendësimin e instalimit. Kjo rrethanë është vlerësuar së bashku me posedimin dhe përdorimin e vazhdueshëm të mjediseve, detyrimin e qiramarrësit për mirëmbajtjen e zakonshme, si dhe detyrimin për të njoftuar qiradhënësin për riparimet që nuk ishin në ngarkim të tij. Fakti që Gjykata e Lartë i ka dhënë dijenisë së pronarit dhe klauzolës </w:t>
      </w:r>
      <w:proofErr w:type="spellStart"/>
      <w:r w:rsidRPr="000314BB">
        <w:rPr>
          <w:rFonts w:ascii="Garamond" w:hAnsi="Garamond" w:cs="Times New Roman"/>
          <w:sz w:val="24"/>
          <w:szCs w:val="24"/>
        </w:rPr>
        <w:t>kontraktore</w:t>
      </w:r>
      <w:proofErr w:type="spellEnd"/>
      <w:r w:rsidRPr="000314BB">
        <w:rPr>
          <w:rFonts w:ascii="Garamond" w:hAnsi="Garamond" w:cs="Times New Roman"/>
          <w:sz w:val="24"/>
          <w:szCs w:val="24"/>
        </w:rPr>
        <w:t xml:space="preserve"> një pasojë juridike të ndryshme nga gjykata e apelit, nuk përbën, në vetvete, mungesë arsyetimi. Nga vendimi kuptohet se përse, në vlerësimin e saj, këto rrethana nuk mjaftonin për ta ngarkuar subjektin e interesuar me përgjegjësi për dëmin.</w:t>
      </w:r>
    </w:p>
    <w:p w14:paraId="32AA0832" w14:textId="2D23736C"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21. Po kështu, në vlerësimin tonë, përfundimi i Gjykatës së Lartë për mungesën e përgjegjësisë së shoqërisë pronare të ndërtesës përmban edhe përgjigjen thelbësore ndaj arsyetimit të gjykatës së apelit për përgjegjësinë solidare. Solidariteti i pranuar nga kjo e fundit mbështetej në premisën se edhe pronari ishte një nga subjektet përgjegjëse për shkaktimin e dëmit. Me përjashtimin e përgjegjësisë së pronarit, si rezultat i interpretimit të dispozitave ligjore dhe </w:t>
      </w:r>
      <w:proofErr w:type="spellStart"/>
      <w:r w:rsidRPr="000314BB">
        <w:rPr>
          <w:rFonts w:ascii="Garamond" w:hAnsi="Garamond" w:cs="Times New Roman"/>
          <w:sz w:val="24"/>
          <w:szCs w:val="24"/>
        </w:rPr>
        <w:t>kontraktore</w:t>
      </w:r>
      <w:proofErr w:type="spellEnd"/>
      <w:r w:rsidRPr="000314BB">
        <w:rPr>
          <w:rFonts w:ascii="Garamond" w:hAnsi="Garamond" w:cs="Times New Roman"/>
          <w:sz w:val="24"/>
          <w:szCs w:val="24"/>
        </w:rPr>
        <w:t xml:space="preserve">, binte edhe baza mbi të cilën ishte mbështetur përgjegjësia solidare e tij me qiramarrësit. Për rrjedhojë, </w:t>
      </w:r>
      <w:proofErr w:type="spellStart"/>
      <w:r w:rsidRPr="000314BB">
        <w:rPr>
          <w:rFonts w:ascii="Garamond" w:hAnsi="Garamond" w:cs="Times New Roman"/>
          <w:sz w:val="24"/>
          <w:szCs w:val="24"/>
        </w:rPr>
        <w:t>moszhvillimi</w:t>
      </w:r>
      <w:proofErr w:type="spellEnd"/>
      <w:r w:rsidRPr="000314BB">
        <w:rPr>
          <w:rFonts w:ascii="Garamond" w:hAnsi="Garamond" w:cs="Times New Roman"/>
          <w:sz w:val="24"/>
          <w:szCs w:val="24"/>
        </w:rPr>
        <w:t xml:space="preserve"> i një analize të veçantë për solidaritetin nuk e bën vendimin e Gjykatës së Lartë të paarsyetuar, për sa kohë mospranimi i këtij përfundimi del qartë nga arsyetimi i përgjithshëm dhe nga përjashtimi i një prej kushteve mbi të cilat ai ishte ndërtuar. </w:t>
      </w:r>
    </w:p>
    <w:p w14:paraId="40093C2F" w14:textId="62E10D1E" w:rsidR="007D5EC3" w:rsidRPr="000314BB" w:rsidRDefault="007D5EC3" w:rsidP="007D5EC3">
      <w:pPr>
        <w:tabs>
          <w:tab w:val="left" w:pos="1080"/>
        </w:tabs>
        <w:spacing w:after="0" w:line="240" w:lineRule="auto"/>
        <w:ind w:firstLine="284"/>
        <w:jc w:val="both"/>
        <w:rPr>
          <w:rFonts w:ascii="Garamond" w:hAnsi="Garamond" w:cs="Times New Roman"/>
          <w:i/>
          <w:iCs/>
          <w:sz w:val="24"/>
          <w:szCs w:val="24"/>
        </w:rPr>
      </w:pPr>
      <w:r w:rsidRPr="000314BB">
        <w:rPr>
          <w:rFonts w:ascii="Garamond" w:hAnsi="Garamond" w:cs="Times New Roman"/>
          <w:sz w:val="24"/>
          <w:szCs w:val="24"/>
        </w:rPr>
        <w:t xml:space="preserve">22. Për sa i përket pretendimit që lidhet me refuzimin nga gjykata e shkallës së parë të kërkesës për thirrjen në gjykim të shoqërive qiramarrëse, vlerësojmë se ai është ngritur në këndvështrim të së drejtës së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gjykatë të lidhur me standardin e arsyetimit të vendimit. Megjithatë, shqyrtimi i tij kërkon që të përcaktohet paraprakisht nëse kjo çështje përfshihej në kufijtë e shqyrtimit të Gjykatës së Lartë. Sipas nenit 473/a të </w:t>
      </w:r>
      <w:proofErr w:type="spellStart"/>
      <w:r w:rsidRPr="000314BB">
        <w:rPr>
          <w:rFonts w:ascii="Garamond" w:hAnsi="Garamond" w:cs="Times New Roman"/>
          <w:sz w:val="24"/>
          <w:szCs w:val="24"/>
        </w:rPr>
        <w:t>KPC</w:t>
      </w:r>
      <w:proofErr w:type="spellEnd"/>
      <w:r w:rsidRPr="000314BB">
        <w:rPr>
          <w:rFonts w:ascii="Garamond" w:hAnsi="Garamond" w:cs="Times New Roman"/>
          <w:sz w:val="24"/>
          <w:szCs w:val="24"/>
        </w:rPr>
        <w:t xml:space="preserve">-së, Gjykata e Lartë e shqyrton rekursin brenda kufijve të tij, përveçse kur ligji parashikon ndryshe. Ndërkohë, sipas nenit 477 të këtij kodi, pala kundër së cilës është paraqitur rekursi mund ta kundërshtojë atë me </w:t>
      </w:r>
      <w:proofErr w:type="spellStart"/>
      <w:r w:rsidRPr="000314BB">
        <w:rPr>
          <w:rFonts w:ascii="Garamond" w:hAnsi="Garamond" w:cs="Times New Roman"/>
          <w:sz w:val="24"/>
          <w:szCs w:val="24"/>
        </w:rPr>
        <w:t>kundërrekurs</w:t>
      </w:r>
      <w:proofErr w:type="spellEnd"/>
      <w:r w:rsidRPr="000314BB">
        <w:rPr>
          <w:rFonts w:ascii="Garamond" w:hAnsi="Garamond" w:cs="Times New Roman"/>
          <w:sz w:val="24"/>
          <w:szCs w:val="24"/>
        </w:rPr>
        <w:t xml:space="preserve">. Nga interpretimi i ndërthurur i këtyre dispozitave rezulton se kufijtë e shqyrtimit të çështjes nga Gjykata e Lartë përcaktohen nga shkaqet e rekursit, ndërsa </w:t>
      </w:r>
      <w:proofErr w:type="spellStart"/>
      <w:r w:rsidRPr="000314BB">
        <w:rPr>
          <w:rFonts w:ascii="Garamond" w:hAnsi="Garamond" w:cs="Times New Roman"/>
          <w:sz w:val="24"/>
          <w:szCs w:val="24"/>
        </w:rPr>
        <w:t>kundërrekursi</w:t>
      </w:r>
      <w:proofErr w:type="spellEnd"/>
      <w:r w:rsidRPr="000314BB">
        <w:rPr>
          <w:rFonts w:ascii="Garamond" w:hAnsi="Garamond" w:cs="Times New Roman"/>
          <w:sz w:val="24"/>
          <w:szCs w:val="24"/>
        </w:rPr>
        <w:t xml:space="preserve"> ka funksionin e kundërshtimit të tyre dhe nuk mund t’i zgjerojë kufijtë e shqyrtimit me çështje të tjera që nuk janë ngritur në rekurs. Kur pala synon të kundërshtojë në mënyrë të pavarur një pjesë të vendimit të gjykatës së apelit, një kundërshtim i tillë nuk mund të parashtrohet përmes </w:t>
      </w:r>
      <w:proofErr w:type="spellStart"/>
      <w:r w:rsidRPr="000314BB">
        <w:rPr>
          <w:rFonts w:ascii="Garamond" w:hAnsi="Garamond" w:cs="Times New Roman"/>
          <w:sz w:val="24"/>
          <w:szCs w:val="24"/>
        </w:rPr>
        <w:t>kundërrekursit</w:t>
      </w:r>
      <w:proofErr w:type="spellEnd"/>
      <w:r w:rsidRPr="000314BB">
        <w:rPr>
          <w:rFonts w:ascii="Garamond" w:hAnsi="Garamond" w:cs="Times New Roman"/>
          <w:sz w:val="24"/>
          <w:szCs w:val="24"/>
        </w:rPr>
        <w:t xml:space="preserve">, por u nënshtrohet rregullave që zbatohen për rekursin. Në këtë drejtim, jurisprudenca kushtetuese ka pohuar se neni 473/a i </w:t>
      </w:r>
      <w:proofErr w:type="spellStart"/>
      <w:r w:rsidRPr="000314BB">
        <w:rPr>
          <w:rFonts w:ascii="Garamond" w:hAnsi="Garamond" w:cs="Times New Roman"/>
          <w:sz w:val="24"/>
          <w:szCs w:val="24"/>
        </w:rPr>
        <w:t>KPC</w:t>
      </w:r>
      <w:proofErr w:type="spellEnd"/>
      <w:r w:rsidRPr="000314BB">
        <w:rPr>
          <w:rFonts w:ascii="Garamond" w:hAnsi="Garamond" w:cs="Times New Roman"/>
          <w:sz w:val="24"/>
          <w:szCs w:val="24"/>
        </w:rPr>
        <w:t xml:space="preserve">-së mishëron parimin procedural </w:t>
      </w:r>
      <w:proofErr w:type="spellStart"/>
      <w:r w:rsidRPr="000314BB">
        <w:rPr>
          <w:rFonts w:ascii="Garamond" w:hAnsi="Garamond" w:cs="Times New Roman"/>
          <w:i/>
          <w:iCs/>
          <w:sz w:val="24"/>
          <w:szCs w:val="24"/>
        </w:rPr>
        <w:t>non</w:t>
      </w:r>
      <w:proofErr w:type="spellEnd"/>
      <w:r w:rsidRPr="000314BB">
        <w:rPr>
          <w:rFonts w:ascii="Garamond" w:hAnsi="Garamond" w:cs="Times New Roman"/>
          <w:i/>
          <w:iCs/>
          <w:sz w:val="24"/>
          <w:szCs w:val="24"/>
        </w:rPr>
        <w:t xml:space="preserve"> ultra </w:t>
      </w:r>
      <w:proofErr w:type="spellStart"/>
      <w:r w:rsidRPr="000314BB">
        <w:rPr>
          <w:rFonts w:ascii="Garamond" w:hAnsi="Garamond" w:cs="Times New Roman"/>
          <w:i/>
          <w:iCs/>
          <w:sz w:val="24"/>
          <w:szCs w:val="24"/>
        </w:rPr>
        <w:t>petita</w:t>
      </w:r>
      <w:proofErr w:type="spellEnd"/>
      <w:r w:rsidRPr="000314BB">
        <w:rPr>
          <w:rFonts w:ascii="Garamond" w:hAnsi="Garamond" w:cs="Times New Roman"/>
          <w:i/>
          <w:iCs/>
          <w:sz w:val="24"/>
          <w:szCs w:val="24"/>
        </w:rPr>
        <w:t xml:space="preserve"> </w:t>
      </w:r>
      <w:proofErr w:type="spellStart"/>
      <w:r w:rsidRPr="000314BB">
        <w:rPr>
          <w:rFonts w:ascii="Garamond" w:hAnsi="Garamond" w:cs="Times New Roman"/>
          <w:i/>
          <w:iCs/>
          <w:sz w:val="24"/>
          <w:szCs w:val="24"/>
        </w:rPr>
        <w:t>partium</w:t>
      </w:r>
      <w:proofErr w:type="spellEnd"/>
      <w:r w:rsidRPr="000314BB">
        <w:rPr>
          <w:rFonts w:ascii="Garamond" w:hAnsi="Garamond" w:cs="Times New Roman"/>
          <w:sz w:val="24"/>
          <w:szCs w:val="24"/>
        </w:rPr>
        <w:t xml:space="preserve"> dhe përcakton kufijtë e juridiksionit rishikues të Gjykatës së Lartë. Sipas këtij parimi, ajo nuk mund të shqyrtojë çështje të ligjit që nuk janë ngritur në rekurs, përveç rasteve kur ligji parashikon shprehimisht ndryshe, ndërsa zgjerimi i shqyrtimit përtej këtyre kufijve mund të vërë në diskutim respektimin e së drejtës për t’u gjykuar nga një gjykatë e caktuar me ligj </w:t>
      </w:r>
      <w:r w:rsidR="00E879FA">
        <w:rPr>
          <w:rFonts w:ascii="Garamond" w:hAnsi="Garamond" w:cs="Times New Roman"/>
          <w:i/>
          <w:iCs/>
          <w:sz w:val="24"/>
          <w:szCs w:val="24"/>
        </w:rPr>
        <w:t xml:space="preserve">(shih vendimet nr. 39, datë 17.6.2025; nr. 55, datë </w:t>
      </w:r>
      <w:r w:rsidRPr="000314BB">
        <w:rPr>
          <w:rFonts w:ascii="Garamond" w:hAnsi="Garamond" w:cs="Times New Roman"/>
          <w:i/>
          <w:iCs/>
          <w:sz w:val="24"/>
          <w:szCs w:val="24"/>
        </w:rPr>
        <w:t>7.11.2023</w:t>
      </w:r>
      <w:r w:rsidR="00E879FA">
        <w:rPr>
          <w:rFonts w:ascii="Garamond" w:hAnsi="Garamond" w:cs="Times New Roman"/>
          <w:i/>
          <w:iCs/>
          <w:sz w:val="24"/>
          <w:szCs w:val="24"/>
        </w:rPr>
        <w:t>,</w:t>
      </w:r>
      <w:r w:rsidRPr="000314BB">
        <w:rPr>
          <w:rFonts w:ascii="Garamond" w:hAnsi="Garamond" w:cs="Times New Roman"/>
          <w:i/>
          <w:iCs/>
          <w:sz w:val="24"/>
          <w:szCs w:val="24"/>
        </w:rPr>
        <w:t xml:space="preserve"> të Gjykatës Kushtetuese).</w:t>
      </w:r>
    </w:p>
    <w:p w14:paraId="3D56AA22" w14:textId="0EF2D706"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23. Në rastin konkret, Gjykata e Lartë është vënë në lëvizje me rekursin e subjektit të interesuar, ndërsa kërkuesit e kanë kundërshtuar atë me </w:t>
      </w:r>
      <w:proofErr w:type="spellStart"/>
      <w:r w:rsidRPr="000314BB">
        <w:rPr>
          <w:rFonts w:ascii="Garamond" w:hAnsi="Garamond" w:cs="Times New Roman"/>
          <w:sz w:val="24"/>
          <w:szCs w:val="24"/>
        </w:rPr>
        <w:t>kundërrekurs</w:t>
      </w:r>
      <w:proofErr w:type="spellEnd"/>
      <w:r w:rsidRPr="000314BB">
        <w:rPr>
          <w:rFonts w:ascii="Garamond" w:hAnsi="Garamond" w:cs="Times New Roman"/>
          <w:sz w:val="24"/>
          <w:szCs w:val="24"/>
        </w:rPr>
        <w:t xml:space="preserve">. Në rekurs, subjekti i interesuar ka </w:t>
      </w:r>
      <w:r w:rsidRPr="000314BB">
        <w:rPr>
          <w:rFonts w:ascii="Garamond" w:hAnsi="Garamond" w:cs="Times New Roman"/>
          <w:sz w:val="24"/>
          <w:szCs w:val="24"/>
        </w:rPr>
        <w:lastRenderedPageBreak/>
        <w:t xml:space="preserve">kundërshtuar, ndër të tjera, formimin e </w:t>
      </w:r>
      <w:proofErr w:type="spellStart"/>
      <w:r w:rsidRPr="000314BB">
        <w:rPr>
          <w:rFonts w:ascii="Garamond" w:hAnsi="Garamond" w:cs="Times New Roman"/>
          <w:sz w:val="24"/>
          <w:szCs w:val="24"/>
        </w:rPr>
        <w:t>ndërgjyqësisë</w:t>
      </w:r>
      <w:proofErr w:type="spellEnd"/>
      <w:r w:rsidRPr="000314BB">
        <w:rPr>
          <w:rFonts w:ascii="Garamond" w:hAnsi="Garamond" w:cs="Times New Roman"/>
          <w:sz w:val="24"/>
          <w:szCs w:val="24"/>
        </w:rPr>
        <w:t xml:space="preserve"> dhe legjitimimin e tij pasiv. Me </w:t>
      </w:r>
      <w:proofErr w:type="spellStart"/>
      <w:r w:rsidRPr="000314BB">
        <w:rPr>
          <w:rFonts w:ascii="Garamond" w:hAnsi="Garamond" w:cs="Times New Roman"/>
          <w:sz w:val="24"/>
          <w:szCs w:val="24"/>
        </w:rPr>
        <w:t>kundërrekurs</w:t>
      </w:r>
      <w:proofErr w:type="spellEnd"/>
      <w:r w:rsidRPr="000314BB">
        <w:rPr>
          <w:rFonts w:ascii="Garamond" w:hAnsi="Garamond" w:cs="Times New Roman"/>
          <w:sz w:val="24"/>
          <w:szCs w:val="24"/>
        </w:rPr>
        <w:t xml:space="preserve">, kërkuesit kanë kundërshtuar, në funksion të rrëzimit të rekursit, këto shkaqe dhe kanë mbrojtur zgjidhjen e dhënë nga gjykata e apelit për përgjegjësinë e shoqërisë pronare. Për rrjedhojë, argumentet e tyre për refuzimin e thirrjes së shoqërive qiramarrëse mund të merreshin në konsideratë vetëm për aq sa shërbenin për kundërshtimin e shkaqeve të rekursit që lidheshin me legjitimimin pasiv dhe formimin e </w:t>
      </w:r>
      <w:proofErr w:type="spellStart"/>
      <w:r w:rsidRPr="000314BB">
        <w:rPr>
          <w:rFonts w:ascii="Garamond" w:hAnsi="Garamond" w:cs="Times New Roman"/>
          <w:sz w:val="24"/>
          <w:szCs w:val="24"/>
        </w:rPr>
        <w:t>ndërgjyqësisë</w:t>
      </w:r>
      <w:proofErr w:type="spellEnd"/>
      <w:r w:rsidRPr="000314BB">
        <w:rPr>
          <w:rFonts w:ascii="Garamond" w:hAnsi="Garamond" w:cs="Times New Roman"/>
          <w:sz w:val="24"/>
          <w:szCs w:val="24"/>
        </w:rPr>
        <w:t xml:space="preserve">. Nga ana tjetër, në vlerësimin tonë, në këndvështrim të së drejtës së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gjykatë të lidhur me standardin e arsyetimit të vendimit, këto argumente nuk mund ta investonin Gjykatën e Lartë për të shqyrtuar, si çështje autonome, ligjshmërinë e refuzimit të zgjerimit të </w:t>
      </w:r>
      <w:proofErr w:type="spellStart"/>
      <w:r w:rsidRPr="000314BB">
        <w:rPr>
          <w:rFonts w:ascii="Garamond" w:hAnsi="Garamond" w:cs="Times New Roman"/>
          <w:sz w:val="24"/>
          <w:szCs w:val="24"/>
        </w:rPr>
        <w:t>ndërgjyqësisë</w:t>
      </w:r>
      <w:proofErr w:type="spellEnd"/>
      <w:r w:rsidRPr="000314BB">
        <w:rPr>
          <w:rFonts w:ascii="Garamond" w:hAnsi="Garamond" w:cs="Times New Roman"/>
          <w:sz w:val="24"/>
          <w:szCs w:val="24"/>
        </w:rPr>
        <w:t xml:space="preserve"> nga gjykata e shkallës së parë, për sa kohë ligjshmëria e këtij refuzimi nuk ishte ngritur në rekurs si çështje më vete. Duhet mbajtur parasysh gjithashtu se shoqëritë qiramarrëse nuk kanë qenë palë në proces. Për këtë arsye, Gjykata e Lartë nuk mund të përcaktonte me efekt detyrues përgjegjësinë e tyre civile, por vetëm të vlerësonte, në funksion të kërkimit të ngritur ndaj palës së paditur, nëse rrethanat që lidheshin me posedimin dhe përdorimin e mjediseve nga këto shoqëri ndikonin në ekzistencën e përgjegjësisë së shoqërisë pronare. Në këtë kuptim, çështja e vendosur përpara Gjykatës së Lartë, për sa i përket këtij aspekti të mosmarrëveshjes, ishte nëse shoqëria “Pro-</w:t>
      </w:r>
      <w:proofErr w:type="spellStart"/>
      <w:r w:rsidRPr="000314BB">
        <w:rPr>
          <w:rFonts w:ascii="Garamond" w:hAnsi="Garamond" w:cs="Times New Roman"/>
          <w:sz w:val="24"/>
          <w:szCs w:val="24"/>
        </w:rPr>
        <w:t>Plast</w:t>
      </w:r>
      <w:proofErr w:type="spellEnd"/>
      <w:r w:rsidRPr="000314BB">
        <w:rPr>
          <w:rFonts w:ascii="Garamond" w:hAnsi="Garamond" w:cs="Times New Roman"/>
          <w:sz w:val="24"/>
          <w:szCs w:val="24"/>
        </w:rPr>
        <w:t xml:space="preserve">” </w:t>
      </w:r>
      <w:proofErr w:type="spellStart"/>
      <w:r w:rsidRPr="000314BB">
        <w:rPr>
          <w:rFonts w:ascii="Garamond" w:hAnsi="Garamond" w:cs="Times New Roman"/>
          <w:sz w:val="24"/>
          <w:szCs w:val="24"/>
        </w:rPr>
        <w:t>sh.p.k</w:t>
      </w:r>
      <w:proofErr w:type="spellEnd"/>
      <w:r w:rsidRPr="000314BB">
        <w:rPr>
          <w:rFonts w:ascii="Garamond" w:hAnsi="Garamond" w:cs="Times New Roman"/>
          <w:sz w:val="24"/>
          <w:szCs w:val="24"/>
        </w:rPr>
        <w:t xml:space="preserve">., ndaj së cilës ishte drejtuar padia, mbante përgjegjësi civile për dëmin. Për këtë kërkim Gjykata e Lartë ka dhënë përgjigje, duke interpretuar kushtet e përgjegjësisë civile dhe marrëdhëniet juridike ndërmjet pronarit dhe qiramarrësve. Për rrjedhojë, në vlerësimin tonë, mungesa e një përgjigjeje të posaçme nga Gjykata e Lartë për refuzimin, nga gjykata e shkallës së parë, të kërkesës për thirrjen e qiramarrësve nuk cenon të drejtën e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gjykatë të lidhur me standardin e arsyetimit të vendimit, pasi ligjshmëria e këtij refuzimi nuk përfshihej si çështje autonome në kufijtë e shqyrtimit të përcaktuar nga rekursi dhe nuk ishte përcaktuese për zgjidhjen e kërkimit të ngritur ndaj palës së paditur.</w:t>
      </w:r>
    </w:p>
    <w:p w14:paraId="40C9AE6C" w14:textId="6049B8B0" w:rsidR="007D5EC3" w:rsidRPr="000314BB" w:rsidRDefault="007D5EC3" w:rsidP="007D5EC3">
      <w:pPr>
        <w:tabs>
          <w:tab w:val="left" w:pos="1080"/>
        </w:tabs>
        <w:spacing w:after="0" w:line="240" w:lineRule="auto"/>
        <w:ind w:firstLine="284"/>
        <w:jc w:val="both"/>
        <w:rPr>
          <w:rFonts w:ascii="Garamond" w:hAnsi="Garamond"/>
          <w:i/>
          <w:iCs/>
          <w:sz w:val="24"/>
          <w:szCs w:val="24"/>
        </w:rPr>
      </w:pPr>
      <w:r w:rsidRPr="000314BB">
        <w:rPr>
          <w:rFonts w:ascii="Garamond" w:hAnsi="Garamond" w:cs="Times New Roman"/>
          <w:sz w:val="24"/>
          <w:szCs w:val="24"/>
        </w:rPr>
        <w:t xml:space="preserve">24. Në përfundim, vlerësojmë se Gjykata e Lartë ka vepruar brenda kompetencave të saj si gjykatë ligji, duke u mbështetur në faktet dhe në provat e administruara nga gjykatat e faktit, dhe duke vlerësuar pasojat juridike që ato prodhonin për përcaktimin e subjektit përgjegjës për dëmin e shkaktuar. Vendimi i saj paraqet në mënyrë të kuptueshme kuadrin ligjor, rrethanat e marra në konsideratë dhe lidhjen e tyre me përfundimin e arritur. Interpretimi i dhënë nga Gjykata e Lartë nuk paraqitet haptazi i gabuar, kontradiktor ose i tillë që një gjykatë e arsyeshme nuk mund ta kishte bërë. Verifikimi i përmbajtjes dhe i pasojave juridike të kontratave të qirasë, i peshës juridike të posedimit dhe administrimit të objektit, si dhe i mënyrës së plotësimit të kushteve të përgjegjësisë civile, për sa kohë nuk evidentohet një interpretim arbitrar, u përket gjykatave të juridiksionit të zakonshëm. Një kontroll kushtetues që do të përcaktonte vetë interpretimin juridik më të përshtatshëm të këtyre elementeve do ta vendoste Gjykatën në pozitën e një shkalle të katërt gjykimi, në kundërshtim me natyrën </w:t>
      </w:r>
      <w:proofErr w:type="spellStart"/>
      <w:r w:rsidRPr="000314BB">
        <w:rPr>
          <w:rFonts w:ascii="Garamond" w:hAnsi="Garamond" w:cs="Times New Roman"/>
          <w:sz w:val="24"/>
          <w:szCs w:val="24"/>
        </w:rPr>
        <w:t>subsidiare</w:t>
      </w:r>
      <w:proofErr w:type="spellEnd"/>
      <w:r w:rsidRPr="000314BB">
        <w:rPr>
          <w:rFonts w:ascii="Garamond" w:hAnsi="Garamond" w:cs="Times New Roman"/>
          <w:sz w:val="24"/>
          <w:szCs w:val="24"/>
        </w:rPr>
        <w:t xml:space="preserve"> të juridiksionit kushtetues. Për rrjedhojë, nuk rezulton se mënyra e shqyrtimit dhe e zgjidhjes së çështjes nga Gjykata e Lartë ka cenuar</w:t>
      </w:r>
      <w:r w:rsidRPr="000314BB">
        <w:rPr>
          <w:rFonts w:ascii="Garamond" w:hAnsi="Garamond" w:cs="Times New Roman"/>
          <w:b/>
          <w:bCs/>
          <w:sz w:val="24"/>
          <w:szCs w:val="24"/>
        </w:rPr>
        <w:t xml:space="preserve"> </w:t>
      </w:r>
      <w:r w:rsidRPr="000314BB">
        <w:rPr>
          <w:rFonts w:ascii="Garamond" w:hAnsi="Garamond" w:cs="Times New Roman"/>
          <w:sz w:val="24"/>
          <w:szCs w:val="24"/>
        </w:rPr>
        <w:t xml:space="preserve">të drejtën e kërkuesve për t’u gjykuar nga një gjykatë e caktuar me ligj ose të drejtën e </w:t>
      </w:r>
      <w:proofErr w:type="spellStart"/>
      <w:r w:rsidRPr="000314BB">
        <w:rPr>
          <w:rFonts w:ascii="Garamond" w:hAnsi="Garamond" w:cs="Times New Roman"/>
          <w:sz w:val="24"/>
          <w:szCs w:val="24"/>
        </w:rPr>
        <w:t>aksesit</w:t>
      </w:r>
      <w:proofErr w:type="spellEnd"/>
      <w:r w:rsidRPr="000314BB">
        <w:rPr>
          <w:rFonts w:ascii="Garamond" w:hAnsi="Garamond" w:cs="Times New Roman"/>
          <w:sz w:val="24"/>
          <w:szCs w:val="24"/>
        </w:rPr>
        <w:t xml:space="preserve"> në gjykatë të lidhur me standardin e arsyetimit të vendimit gjyqësor. Në këto kushte, mbajtëm qëndrimin se kërkesa duhej të ishte rrëzuar.</w:t>
      </w:r>
    </w:p>
    <w:p w14:paraId="1435376F" w14:textId="0B157DA2" w:rsidR="007D5EC3" w:rsidRDefault="007D5EC3" w:rsidP="007D5EC3">
      <w:pPr>
        <w:spacing w:after="0" w:line="240" w:lineRule="auto"/>
        <w:ind w:firstLine="284"/>
        <w:jc w:val="both"/>
        <w:rPr>
          <w:rFonts w:ascii="Garamond" w:hAnsi="Garamond"/>
          <w:b/>
          <w:bCs/>
          <w:sz w:val="24"/>
          <w:szCs w:val="24"/>
        </w:rPr>
      </w:pPr>
    </w:p>
    <w:p w14:paraId="4A3F2E81" w14:textId="27EEA92F" w:rsidR="000C7009" w:rsidRDefault="000C7009" w:rsidP="000C7009">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Anëtarë:</w:t>
      </w:r>
      <w:r w:rsidRPr="000C7009">
        <w:rPr>
          <w:rFonts w:ascii="Garamond" w:hAnsi="Garamond" w:cs="Times New Roman"/>
          <w:bCs/>
          <w:sz w:val="24"/>
          <w:szCs w:val="24"/>
        </w:rPr>
        <w:t xml:space="preserve"> </w:t>
      </w:r>
      <w:proofErr w:type="spellStart"/>
      <w:r w:rsidR="0016149E" w:rsidRPr="000314BB">
        <w:rPr>
          <w:rFonts w:ascii="Garamond" w:hAnsi="Garamond" w:cs="Times New Roman"/>
          <w:bCs/>
          <w:sz w:val="24"/>
          <w:szCs w:val="24"/>
        </w:rPr>
        <w:t>Asim</w:t>
      </w:r>
      <w:proofErr w:type="spellEnd"/>
      <w:r w:rsidR="0016149E" w:rsidRPr="000314BB">
        <w:rPr>
          <w:rFonts w:ascii="Garamond" w:hAnsi="Garamond" w:cs="Times New Roman"/>
          <w:bCs/>
          <w:sz w:val="24"/>
          <w:szCs w:val="24"/>
        </w:rPr>
        <w:t xml:space="preserve"> </w:t>
      </w:r>
      <w:proofErr w:type="spellStart"/>
      <w:r w:rsidR="0016149E" w:rsidRPr="000314BB">
        <w:rPr>
          <w:rFonts w:ascii="Garamond" w:hAnsi="Garamond" w:cs="Times New Roman"/>
          <w:bCs/>
          <w:sz w:val="24"/>
          <w:szCs w:val="24"/>
        </w:rPr>
        <w:t>Vokshi</w:t>
      </w:r>
      <w:proofErr w:type="spellEnd"/>
      <w:r w:rsidR="0016149E">
        <w:rPr>
          <w:rFonts w:ascii="Garamond" w:hAnsi="Garamond" w:cs="Times New Roman"/>
          <w:bCs/>
          <w:sz w:val="24"/>
          <w:szCs w:val="24"/>
        </w:rPr>
        <w:t>,</w:t>
      </w:r>
      <w:r w:rsidR="0016149E" w:rsidRPr="000314BB">
        <w:rPr>
          <w:rFonts w:ascii="Garamond" w:hAnsi="Garamond" w:cs="Times New Roman"/>
          <w:bCs/>
          <w:sz w:val="24"/>
          <w:szCs w:val="24"/>
        </w:rPr>
        <w:t xml:space="preserve"> </w:t>
      </w:r>
      <w:r w:rsidRPr="000314BB">
        <w:rPr>
          <w:rFonts w:ascii="Garamond" w:hAnsi="Garamond" w:cs="Times New Roman"/>
          <w:bCs/>
          <w:sz w:val="24"/>
          <w:szCs w:val="24"/>
        </w:rPr>
        <w:t>Ilir Toska</w:t>
      </w:r>
      <w:r>
        <w:rPr>
          <w:rFonts w:ascii="Garamond" w:hAnsi="Garamond" w:cs="Times New Roman"/>
          <w:bCs/>
          <w:sz w:val="24"/>
          <w:szCs w:val="24"/>
        </w:rPr>
        <w:t>,</w:t>
      </w:r>
      <w:r w:rsidRPr="000C7009">
        <w:rPr>
          <w:rFonts w:ascii="Garamond" w:hAnsi="Garamond" w:cs="Times New Roman"/>
          <w:bCs/>
          <w:sz w:val="24"/>
          <w:szCs w:val="24"/>
        </w:rPr>
        <w:t xml:space="preserve"> </w:t>
      </w:r>
      <w:proofErr w:type="spellStart"/>
      <w:r w:rsidRPr="000314BB">
        <w:rPr>
          <w:rFonts w:ascii="Garamond" w:hAnsi="Garamond" w:cs="Times New Roman"/>
          <w:bCs/>
          <w:sz w:val="24"/>
          <w:szCs w:val="24"/>
        </w:rPr>
        <w:t>Sandër</w:t>
      </w:r>
      <w:proofErr w:type="spellEnd"/>
      <w:r w:rsidRPr="000314BB">
        <w:rPr>
          <w:rFonts w:ascii="Garamond" w:hAnsi="Garamond" w:cs="Times New Roman"/>
          <w:bCs/>
          <w:sz w:val="24"/>
          <w:szCs w:val="24"/>
        </w:rPr>
        <w:t xml:space="preserve"> Beci</w:t>
      </w:r>
    </w:p>
    <w:p w14:paraId="52816CFE" w14:textId="77777777" w:rsidR="000C7009" w:rsidRPr="000314BB" w:rsidRDefault="000C7009" w:rsidP="007D5EC3">
      <w:pPr>
        <w:spacing w:after="0" w:line="240" w:lineRule="auto"/>
        <w:ind w:firstLine="284"/>
        <w:jc w:val="both"/>
        <w:rPr>
          <w:rFonts w:ascii="Garamond" w:hAnsi="Garamond"/>
          <w:b/>
          <w:bCs/>
          <w:sz w:val="24"/>
          <w:szCs w:val="24"/>
        </w:rPr>
      </w:pPr>
    </w:p>
    <w:sectPr w:rsidR="000C7009" w:rsidRPr="000314BB" w:rsidSect="00E734AE">
      <w:footerReference w:type="default" r:id="rId11"/>
      <w:pgSz w:w="11909" w:h="16834" w:code="9"/>
      <w:pgMar w:top="810" w:right="1440" w:bottom="990" w:left="1440" w:header="720" w:footer="165"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8E010" w14:textId="77777777" w:rsidR="002E30C8" w:rsidRDefault="002E30C8" w:rsidP="00F43D16">
      <w:pPr>
        <w:spacing w:after="0" w:line="240" w:lineRule="auto"/>
      </w:pPr>
      <w:r>
        <w:separator/>
      </w:r>
    </w:p>
  </w:endnote>
  <w:endnote w:type="continuationSeparator" w:id="0">
    <w:p w14:paraId="57B8E011" w14:textId="77777777" w:rsidR="002E30C8" w:rsidRDefault="002E30C8" w:rsidP="00F43D16">
      <w:pPr>
        <w:spacing w:after="0" w:line="240" w:lineRule="auto"/>
      </w:pPr>
      <w:r>
        <w:continuationSeparator/>
      </w:r>
    </w:p>
  </w:endnote>
  <w:endnote w:type="continuationNotice" w:id="1">
    <w:p w14:paraId="017E0E18" w14:textId="77777777" w:rsidR="00C378AA" w:rsidRDefault="00C378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8E013" w14:textId="7D115B3E" w:rsidR="002E30C8" w:rsidRPr="008F1437" w:rsidRDefault="002E30C8" w:rsidP="008F1437">
    <w:pPr>
      <w:pStyle w:val="Footer"/>
    </w:pPr>
    <w:r w:rsidRPr="008F1437">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8E00E" w14:textId="77777777" w:rsidR="002E30C8" w:rsidRDefault="002E30C8" w:rsidP="00F43D16">
      <w:pPr>
        <w:spacing w:after="0" w:line="240" w:lineRule="auto"/>
      </w:pPr>
      <w:r>
        <w:separator/>
      </w:r>
    </w:p>
  </w:footnote>
  <w:footnote w:type="continuationSeparator" w:id="0">
    <w:p w14:paraId="57B8E00F" w14:textId="77777777" w:rsidR="002E30C8" w:rsidRDefault="002E30C8" w:rsidP="00F43D16">
      <w:pPr>
        <w:spacing w:after="0" w:line="240" w:lineRule="auto"/>
      </w:pPr>
      <w:r>
        <w:continuationSeparator/>
      </w:r>
    </w:p>
  </w:footnote>
  <w:footnote w:type="continuationNotice" w:id="1">
    <w:p w14:paraId="67D4C6A3" w14:textId="77777777" w:rsidR="00C378AA" w:rsidRDefault="00C378AA">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2403"/>
    <w:multiLevelType w:val="hybridMultilevel"/>
    <w:tmpl w:val="2612F87E"/>
    <w:lvl w:ilvl="0" w:tplc="940E74B4">
      <w:start w:val="14"/>
      <w:numFmt w:val="decimal"/>
      <w:lvlText w:val="%1."/>
      <w:lvlJc w:val="left"/>
      <w:pPr>
        <w:ind w:left="1288"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163D3"/>
    <w:multiLevelType w:val="hybridMultilevel"/>
    <w:tmpl w:val="4EBABED2"/>
    <w:lvl w:ilvl="0" w:tplc="C62AB988">
      <w:start w:val="20"/>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3741FCC"/>
    <w:multiLevelType w:val="multilevel"/>
    <w:tmpl w:val="1DE430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33FFC"/>
    <w:multiLevelType w:val="multilevel"/>
    <w:tmpl w:val="A65EEB64"/>
    <w:lvl w:ilvl="0">
      <w:start w:val="13"/>
      <w:numFmt w:val="decimal"/>
      <w:lvlText w:val="%1."/>
      <w:lvlJc w:val="left"/>
      <w:pPr>
        <w:tabs>
          <w:tab w:val="num" w:pos="1440"/>
        </w:tabs>
        <w:ind w:left="1440" w:hanging="360"/>
      </w:pPr>
      <w:rPr>
        <w:rFonts w:hint="default"/>
        <w:b w:val="0"/>
        <w:i w:val="0"/>
      </w:rPr>
    </w:lvl>
    <w:lvl w:ilvl="1">
      <w:start w:val="1"/>
      <w:numFmt w:val="decimal"/>
      <w:isLgl/>
      <w:lvlText w:val="%1.%2."/>
      <w:lvlJc w:val="left"/>
      <w:pPr>
        <w:ind w:left="1500" w:hanging="4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15:restartNumberingAfterBreak="0">
    <w:nsid w:val="07853B8A"/>
    <w:multiLevelType w:val="multilevel"/>
    <w:tmpl w:val="2446093A"/>
    <w:lvl w:ilvl="0">
      <w:start w:val="28"/>
      <w:numFmt w:val="decimal"/>
      <w:lvlText w:val="%1."/>
      <w:lvlJc w:val="left"/>
      <w:pPr>
        <w:ind w:left="720" w:hanging="360"/>
      </w:pPr>
      <w:rPr>
        <w:rFonts w:ascii="Times New Roman" w:hAnsi="Times New Roman" w:cs="Times New Roman" w:hint="default"/>
        <w:i w:val="0"/>
        <w:color w:val="auto"/>
        <w:sz w:val="24"/>
        <w:szCs w:val="24"/>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0E8771FD"/>
    <w:multiLevelType w:val="hybridMultilevel"/>
    <w:tmpl w:val="8324875A"/>
    <w:lvl w:ilvl="0" w:tplc="46CC8FB0">
      <w:start w:val="2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2FA3593"/>
    <w:multiLevelType w:val="hybridMultilevel"/>
    <w:tmpl w:val="7ED0638E"/>
    <w:lvl w:ilvl="0" w:tplc="3580DA3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14622439"/>
    <w:multiLevelType w:val="multilevel"/>
    <w:tmpl w:val="D8B4F32A"/>
    <w:lvl w:ilvl="0">
      <w:start w:val="13"/>
      <w:numFmt w:val="decimal"/>
      <w:lvlText w:val="%1."/>
      <w:lvlJc w:val="left"/>
      <w:pPr>
        <w:ind w:left="480" w:hanging="480"/>
      </w:pPr>
      <w:rPr>
        <w:rFonts w:eastAsia="Times New Roman" w:hint="default"/>
        <w:color w:val="222222"/>
      </w:rPr>
    </w:lvl>
    <w:lvl w:ilvl="1">
      <w:start w:val="1"/>
      <w:numFmt w:val="decimal"/>
      <w:lvlText w:val="%1.%2."/>
      <w:lvlJc w:val="left"/>
      <w:pPr>
        <w:ind w:left="480" w:hanging="480"/>
      </w:pPr>
      <w:rPr>
        <w:rFonts w:eastAsia="Times New Roman" w:hint="default"/>
        <w:i w:val="0"/>
        <w:color w:val="222222"/>
      </w:rPr>
    </w:lvl>
    <w:lvl w:ilvl="2">
      <w:start w:val="1"/>
      <w:numFmt w:val="decimal"/>
      <w:lvlText w:val="%1.%2.%3."/>
      <w:lvlJc w:val="left"/>
      <w:pPr>
        <w:ind w:left="720" w:hanging="720"/>
      </w:pPr>
      <w:rPr>
        <w:rFonts w:eastAsia="Times New Roman" w:hint="default"/>
        <w:color w:val="222222"/>
      </w:rPr>
    </w:lvl>
    <w:lvl w:ilvl="3">
      <w:start w:val="1"/>
      <w:numFmt w:val="decimal"/>
      <w:lvlText w:val="%1.%2.%3.%4."/>
      <w:lvlJc w:val="left"/>
      <w:pPr>
        <w:ind w:left="720" w:hanging="720"/>
      </w:pPr>
      <w:rPr>
        <w:rFonts w:eastAsia="Times New Roman" w:hint="default"/>
        <w:color w:val="222222"/>
      </w:rPr>
    </w:lvl>
    <w:lvl w:ilvl="4">
      <w:start w:val="1"/>
      <w:numFmt w:val="decimal"/>
      <w:lvlText w:val="%1.%2.%3.%4.%5."/>
      <w:lvlJc w:val="left"/>
      <w:pPr>
        <w:ind w:left="1080" w:hanging="1080"/>
      </w:pPr>
      <w:rPr>
        <w:rFonts w:eastAsia="Times New Roman" w:hint="default"/>
        <w:color w:val="222222"/>
      </w:rPr>
    </w:lvl>
    <w:lvl w:ilvl="5">
      <w:start w:val="1"/>
      <w:numFmt w:val="decimal"/>
      <w:lvlText w:val="%1.%2.%3.%4.%5.%6."/>
      <w:lvlJc w:val="left"/>
      <w:pPr>
        <w:ind w:left="1080" w:hanging="1080"/>
      </w:pPr>
      <w:rPr>
        <w:rFonts w:eastAsia="Times New Roman" w:hint="default"/>
        <w:color w:val="222222"/>
      </w:rPr>
    </w:lvl>
    <w:lvl w:ilvl="6">
      <w:start w:val="1"/>
      <w:numFmt w:val="decimal"/>
      <w:lvlText w:val="%1.%2.%3.%4.%5.%6.%7."/>
      <w:lvlJc w:val="left"/>
      <w:pPr>
        <w:ind w:left="1440" w:hanging="1440"/>
      </w:pPr>
      <w:rPr>
        <w:rFonts w:eastAsia="Times New Roman" w:hint="default"/>
        <w:color w:val="222222"/>
      </w:rPr>
    </w:lvl>
    <w:lvl w:ilvl="7">
      <w:start w:val="1"/>
      <w:numFmt w:val="decimal"/>
      <w:lvlText w:val="%1.%2.%3.%4.%5.%6.%7.%8."/>
      <w:lvlJc w:val="left"/>
      <w:pPr>
        <w:ind w:left="1440" w:hanging="1440"/>
      </w:pPr>
      <w:rPr>
        <w:rFonts w:eastAsia="Times New Roman" w:hint="default"/>
        <w:color w:val="222222"/>
      </w:rPr>
    </w:lvl>
    <w:lvl w:ilvl="8">
      <w:start w:val="1"/>
      <w:numFmt w:val="decimal"/>
      <w:lvlText w:val="%1.%2.%3.%4.%5.%6.%7.%8.%9."/>
      <w:lvlJc w:val="left"/>
      <w:pPr>
        <w:ind w:left="1800" w:hanging="1800"/>
      </w:pPr>
      <w:rPr>
        <w:rFonts w:eastAsia="Times New Roman" w:hint="default"/>
        <w:color w:val="222222"/>
      </w:rPr>
    </w:lvl>
  </w:abstractNum>
  <w:abstractNum w:abstractNumId="8"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225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9" w15:restartNumberingAfterBreak="0">
    <w:nsid w:val="1C8D0CB4"/>
    <w:multiLevelType w:val="hybridMultilevel"/>
    <w:tmpl w:val="114CE9C0"/>
    <w:lvl w:ilvl="0" w:tplc="7C14831A">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0" w15:restartNumberingAfterBreak="0">
    <w:nsid w:val="242B3719"/>
    <w:multiLevelType w:val="multilevel"/>
    <w:tmpl w:val="2446093A"/>
    <w:lvl w:ilvl="0">
      <w:start w:val="28"/>
      <w:numFmt w:val="decimal"/>
      <w:lvlText w:val="%1."/>
      <w:lvlJc w:val="left"/>
      <w:pPr>
        <w:ind w:left="720" w:hanging="360"/>
      </w:pPr>
      <w:rPr>
        <w:rFonts w:ascii="Times New Roman" w:hAnsi="Times New Roman" w:cs="Times New Roman" w:hint="default"/>
        <w:i w:val="0"/>
        <w:color w:val="auto"/>
        <w:sz w:val="24"/>
        <w:szCs w:val="24"/>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98624C5"/>
    <w:multiLevelType w:val="hybridMultilevel"/>
    <w:tmpl w:val="BCC6A97C"/>
    <w:lvl w:ilvl="0" w:tplc="8B501C58">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2" w15:restartNumberingAfterBreak="0">
    <w:nsid w:val="310D0298"/>
    <w:multiLevelType w:val="multilevel"/>
    <w:tmpl w:val="1BC4A414"/>
    <w:lvl w:ilvl="0">
      <w:start w:val="12"/>
      <w:numFmt w:val="decimal"/>
      <w:lvlText w:val="%1."/>
      <w:lvlJc w:val="left"/>
      <w:pPr>
        <w:ind w:left="720" w:hanging="360"/>
      </w:pPr>
      <w:rPr>
        <w:rFonts w:ascii="Times New Roman" w:hAnsi="Times New Roman" w:cs="Times New Roman" w:hint="default"/>
        <w:i w:val="0"/>
        <w:color w:val="auto"/>
        <w:sz w:val="24"/>
        <w:szCs w:val="24"/>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7823208"/>
    <w:multiLevelType w:val="hybridMultilevel"/>
    <w:tmpl w:val="4A90DAAA"/>
    <w:lvl w:ilvl="0" w:tplc="8CD8C9E2">
      <w:start w:val="18"/>
      <w:numFmt w:val="decimal"/>
      <w:lvlText w:val="%1."/>
      <w:lvlJc w:val="left"/>
      <w:pPr>
        <w:ind w:left="1288" w:hanging="360"/>
      </w:pPr>
      <w:rPr>
        <w:rFonts w:hint="default"/>
        <w:i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38BB147A"/>
    <w:multiLevelType w:val="hybridMultilevel"/>
    <w:tmpl w:val="B71886AC"/>
    <w:lvl w:ilvl="0" w:tplc="37A62D3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F77915"/>
    <w:multiLevelType w:val="hybridMultilevel"/>
    <w:tmpl w:val="BCD84A18"/>
    <w:lvl w:ilvl="0" w:tplc="F1D88770">
      <w:start w:val="57"/>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4565FFD"/>
    <w:multiLevelType w:val="multilevel"/>
    <w:tmpl w:val="2DDA83D6"/>
    <w:lvl w:ilvl="0">
      <w:start w:val="9"/>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17" w15:restartNumberingAfterBreak="0">
    <w:nsid w:val="4F0B12B2"/>
    <w:multiLevelType w:val="hybridMultilevel"/>
    <w:tmpl w:val="AB5A19F4"/>
    <w:lvl w:ilvl="0" w:tplc="E466A97C">
      <w:start w:val="1"/>
      <w:numFmt w:val="decimal"/>
      <w:lvlText w:val="%1."/>
      <w:lvlJc w:val="left"/>
      <w:pPr>
        <w:ind w:left="1440" w:hanging="360"/>
      </w:pPr>
      <w:rPr>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8" w15:restartNumberingAfterBreak="0">
    <w:nsid w:val="56524B4F"/>
    <w:multiLevelType w:val="multilevel"/>
    <w:tmpl w:val="EED610C2"/>
    <w:lvl w:ilvl="0">
      <w:start w:val="10"/>
      <w:numFmt w:val="decimal"/>
      <w:lvlText w:val="%1."/>
      <w:lvlJc w:val="left"/>
      <w:pPr>
        <w:ind w:left="108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B935412"/>
    <w:multiLevelType w:val="multilevel"/>
    <w:tmpl w:val="5C6E623E"/>
    <w:lvl w:ilvl="0">
      <w:start w:val="22"/>
      <w:numFmt w:val="decimal"/>
      <w:lvlText w:val="%1."/>
      <w:lvlJc w:val="left"/>
      <w:pPr>
        <w:tabs>
          <w:tab w:val="num" w:pos="3479"/>
        </w:tabs>
        <w:ind w:left="3479" w:hanging="360"/>
      </w:pPr>
      <w:rPr>
        <w:rFonts w:ascii="Times New Roman" w:hAnsi="Times New Roman" w:cs="Times New Roman" w:hint="default"/>
        <w:b w:val="0"/>
        <w:i w:val="0"/>
        <w:strike w:val="0"/>
        <w:color w:val="auto"/>
        <w:sz w:val="24"/>
        <w:szCs w:val="24"/>
      </w:rPr>
    </w:lvl>
    <w:lvl w:ilvl="1">
      <w:start w:val="1"/>
      <w:numFmt w:val="decimal"/>
      <w:isLgl/>
      <w:lvlText w:val="%1.%2."/>
      <w:lvlJc w:val="left"/>
      <w:pPr>
        <w:ind w:left="1500" w:hanging="4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0" w15:restartNumberingAfterBreak="0">
    <w:nsid w:val="6B9504DD"/>
    <w:multiLevelType w:val="hybridMultilevel"/>
    <w:tmpl w:val="4516A898"/>
    <w:lvl w:ilvl="0" w:tplc="56C2A0CA">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A454CE"/>
    <w:multiLevelType w:val="multilevel"/>
    <w:tmpl w:val="92A0AB16"/>
    <w:lvl w:ilvl="0">
      <w:start w:val="14"/>
      <w:numFmt w:val="decimal"/>
      <w:lvlText w:val="%1."/>
      <w:lvlJc w:val="left"/>
      <w:pPr>
        <w:ind w:left="48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F83097"/>
    <w:multiLevelType w:val="hybridMultilevel"/>
    <w:tmpl w:val="9C46A97C"/>
    <w:lvl w:ilvl="0" w:tplc="73028902">
      <w:start w:val="27"/>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3" w15:restartNumberingAfterBreak="0">
    <w:nsid w:val="7DC259ED"/>
    <w:multiLevelType w:val="multilevel"/>
    <w:tmpl w:val="2AC8A178"/>
    <w:lvl w:ilvl="0">
      <w:start w:val="13"/>
      <w:numFmt w:val="decimal"/>
      <w:lvlText w:val="%1."/>
      <w:lvlJc w:val="left"/>
      <w:pPr>
        <w:ind w:left="720" w:hanging="360"/>
      </w:pPr>
      <w:rPr>
        <w:rFonts w:hint="default"/>
        <w:i w:val="0"/>
        <w:color w:val="auto"/>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FE268CE"/>
    <w:multiLevelType w:val="hybridMultilevel"/>
    <w:tmpl w:val="D5A4A2C4"/>
    <w:lvl w:ilvl="0" w:tplc="D18A428A">
      <w:start w:val="16"/>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1"/>
  </w:num>
  <w:num w:numId="2">
    <w:abstractNumId w:val="0"/>
  </w:num>
  <w:num w:numId="3">
    <w:abstractNumId w:val="12"/>
  </w:num>
  <w:num w:numId="4">
    <w:abstractNumId w:val="17"/>
  </w:num>
  <w:num w:numId="5">
    <w:abstractNumId w:val="9"/>
  </w:num>
  <w:num w:numId="6">
    <w:abstractNumId w:val="24"/>
  </w:num>
  <w:num w:numId="7">
    <w:abstractNumId w:val="6"/>
  </w:num>
  <w:num w:numId="8">
    <w:abstractNumId w:val="15"/>
  </w:num>
  <w:num w:numId="9">
    <w:abstractNumId w:val="16"/>
  </w:num>
  <w:num w:numId="10">
    <w:abstractNumId w:val="1"/>
  </w:num>
  <w:num w:numId="11">
    <w:abstractNumId w:val="13"/>
  </w:num>
  <w:num w:numId="12">
    <w:abstractNumId w:val="3"/>
  </w:num>
  <w:num w:numId="13">
    <w:abstractNumId w:val="19"/>
  </w:num>
  <w:num w:numId="14">
    <w:abstractNumId w:val="14"/>
  </w:num>
  <w:num w:numId="15">
    <w:abstractNumId w:val="23"/>
  </w:num>
  <w:num w:numId="16">
    <w:abstractNumId w:val="18"/>
  </w:num>
  <w:num w:numId="17">
    <w:abstractNumId w:val="22"/>
  </w:num>
  <w:num w:numId="18">
    <w:abstractNumId w:val="5"/>
  </w:num>
  <w:num w:numId="19">
    <w:abstractNumId w:val="10"/>
  </w:num>
  <w:num w:numId="20">
    <w:abstractNumId w:val="4"/>
  </w:num>
  <w:num w:numId="21">
    <w:abstractNumId w:val="2"/>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1"/>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85B"/>
    <w:rsid w:val="000003C5"/>
    <w:rsid w:val="00003D32"/>
    <w:rsid w:val="00004266"/>
    <w:rsid w:val="0001288A"/>
    <w:rsid w:val="00013B8C"/>
    <w:rsid w:val="0001502E"/>
    <w:rsid w:val="000161AF"/>
    <w:rsid w:val="000162BE"/>
    <w:rsid w:val="00016B4D"/>
    <w:rsid w:val="00021154"/>
    <w:rsid w:val="0002172F"/>
    <w:rsid w:val="0002567D"/>
    <w:rsid w:val="00026EF4"/>
    <w:rsid w:val="00027F6C"/>
    <w:rsid w:val="00030A02"/>
    <w:rsid w:val="000314BB"/>
    <w:rsid w:val="00032199"/>
    <w:rsid w:val="0003249C"/>
    <w:rsid w:val="00032A8B"/>
    <w:rsid w:val="00037577"/>
    <w:rsid w:val="00040138"/>
    <w:rsid w:val="00040926"/>
    <w:rsid w:val="000414BC"/>
    <w:rsid w:val="00041DD1"/>
    <w:rsid w:val="00043EEF"/>
    <w:rsid w:val="00044984"/>
    <w:rsid w:val="00045798"/>
    <w:rsid w:val="000457F2"/>
    <w:rsid w:val="00045A9F"/>
    <w:rsid w:val="00045BF3"/>
    <w:rsid w:val="00051114"/>
    <w:rsid w:val="000534A6"/>
    <w:rsid w:val="000543ED"/>
    <w:rsid w:val="000548EA"/>
    <w:rsid w:val="00057501"/>
    <w:rsid w:val="00057A0F"/>
    <w:rsid w:val="000620A9"/>
    <w:rsid w:val="0006215F"/>
    <w:rsid w:val="000633AE"/>
    <w:rsid w:val="00064137"/>
    <w:rsid w:val="00067AA3"/>
    <w:rsid w:val="0007066C"/>
    <w:rsid w:val="00070722"/>
    <w:rsid w:val="00071B48"/>
    <w:rsid w:val="00074D2B"/>
    <w:rsid w:val="00075729"/>
    <w:rsid w:val="000777B6"/>
    <w:rsid w:val="0008114E"/>
    <w:rsid w:val="000825DF"/>
    <w:rsid w:val="00090E7F"/>
    <w:rsid w:val="00091DB2"/>
    <w:rsid w:val="00092869"/>
    <w:rsid w:val="000A16BD"/>
    <w:rsid w:val="000A1F4A"/>
    <w:rsid w:val="000A382A"/>
    <w:rsid w:val="000A7977"/>
    <w:rsid w:val="000B477F"/>
    <w:rsid w:val="000B5501"/>
    <w:rsid w:val="000B5752"/>
    <w:rsid w:val="000C07DB"/>
    <w:rsid w:val="000C0DFB"/>
    <w:rsid w:val="000C2D06"/>
    <w:rsid w:val="000C34D0"/>
    <w:rsid w:val="000C382A"/>
    <w:rsid w:val="000C4E54"/>
    <w:rsid w:val="000C6415"/>
    <w:rsid w:val="000C7009"/>
    <w:rsid w:val="000D295B"/>
    <w:rsid w:val="000D33B7"/>
    <w:rsid w:val="000D43D8"/>
    <w:rsid w:val="000D582A"/>
    <w:rsid w:val="000E0D29"/>
    <w:rsid w:val="000E15C9"/>
    <w:rsid w:val="000E3410"/>
    <w:rsid w:val="000E3872"/>
    <w:rsid w:val="000E3A99"/>
    <w:rsid w:val="000E5EBD"/>
    <w:rsid w:val="000E63D9"/>
    <w:rsid w:val="000E6AEB"/>
    <w:rsid w:val="000F050B"/>
    <w:rsid w:val="000F2625"/>
    <w:rsid w:val="000F35CC"/>
    <w:rsid w:val="000F4AF6"/>
    <w:rsid w:val="00101AA6"/>
    <w:rsid w:val="0010371E"/>
    <w:rsid w:val="00106568"/>
    <w:rsid w:val="00106A95"/>
    <w:rsid w:val="001075EE"/>
    <w:rsid w:val="001126F4"/>
    <w:rsid w:val="00112B70"/>
    <w:rsid w:val="00113FD9"/>
    <w:rsid w:val="00114B23"/>
    <w:rsid w:val="00116087"/>
    <w:rsid w:val="001164FC"/>
    <w:rsid w:val="001166A2"/>
    <w:rsid w:val="00116A1E"/>
    <w:rsid w:val="00116EA1"/>
    <w:rsid w:val="00122533"/>
    <w:rsid w:val="00126905"/>
    <w:rsid w:val="001279FA"/>
    <w:rsid w:val="001344BA"/>
    <w:rsid w:val="001367F8"/>
    <w:rsid w:val="0014167F"/>
    <w:rsid w:val="00141B12"/>
    <w:rsid w:val="00142935"/>
    <w:rsid w:val="00142E82"/>
    <w:rsid w:val="00144E8A"/>
    <w:rsid w:val="00145672"/>
    <w:rsid w:val="00146094"/>
    <w:rsid w:val="00150C50"/>
    <w:rsid w:val="00152E5D"/>
    <w:rsid w:val="00154327"/>
    <w:rsid w:val="00160D85"/>
    <w:rsid w:val="0016149E"/>
    <w:rsid w:val="00163B8B"/>
    <w:rsid w:val="00167527"/>
    <w:rsid w:val="00171621"/>
    <w:rsid w:val="001741EF"/>
    <w:rsid w:val="001743F3"/>
    <w:rsid w:val="00174487"/>
    <w:rsid w:val="00175681"/>
    <w:rsid w:val="001803FE"/>
    <w:rsid w:val="0018184D"/>
    <w:rsid w:val="0018414B"/>
    <w:rsid w:val="00191954"/>
    <w:rsid w:val="00192DDF"/>
    <w:rsid w:val="00197B74"/>
    <w:rsid w:val="001A0D68"/>
    <w:rsid w:val="001A26EA"/>
    <w:rsid w:val="001A5C13"/>
    <w:rsid w:val="001A65D5"/>
    <w:rsid w:val="001B1366"/>
    <w:rsid w:val="001B13C4"/>
    <w:rsid w:val="001B1D13"/>
    <w:rsid w:val="001B6189"/>
    <w:rsid w:val="001B6D05"/>
    <w:rsid w:val="001B7565"/>
    <w:rsid w:val="001B7DD7"/>
    <w:rsid w:val="001C18FD"/>
    <w:rsid w:val="001C6632"/>
    <w:rsid w:val="001C6EE0"/>
    <w:rsid w:val="001D13B9"/>
    <w:rsid w:val="001D19D9"/>
    <w:rsid w:val="001D671E"/>
    <w:rsid w:val="001D714B"/>
    <w:rsid w:val="001E15BB"/>
    <w:rsid w:val="001E1F05"/>
    <w:rsid w:val="001E4242"/>
    <w:rsid w:val="001E65BA"/>
    <w:rsid w:val="001E73C4"/>
    <w:rsid w:val="001F0B02"/>
    <w:rsid w:val="001F3DA9"/>
    <w:rsid w:val="001F4F2A"/>
    <w:rsid w:val="001F5CA1"/>
    <w:rsid w:val="001F618D"/>
    <w:rsid w:val="00207C18"/>
    <w:rsid w:val="00214465"/>
    <w:rsid w:val="00216E5B"/>
    <w:rsid w:val="0021785B"/>
    <w:rsid w:val="00217B9E"/>
    <w:rsid w:val="00223D28"/>
    <w:rsid w:val="002243EA"/>
    <w:rsid w:val="00224D12"/>
    <w:rsid w:val="002256CE"/>
    <w:rsid w:val="00230707"/>
    <w:rsid w:val="00231B8B"/>
    <w:rsid w:val="00234453"/>
    <w:rsid w:val="00234CCC"/>
    <w:rsid w:val="002357B0"/>
    <w:rsid w:val="00242B09"/>
    <w:rsid w:val="00243F82"/>
    <w:rsid w:val="0024421F"/>
    <w:rsid w:val="0024564A"/>
    <w:rsid w:val="002458D0"/>
    <w:rsid w:val="00246075"/>
    <w:rsid w:val="00246412"/>
    <w:rsid w:val="00246D26"/>
    <w:rsid w:val="00250AAA"/>
    <w:rsid w:val="002630FD"/>
    <w:rsid w:val="002649D8"/>
    <w:rsid w:val="002679C5"/>
    <w:rsid w:val="00270635"/>
    <w:rsid w:val="0027068F"/>
    <w:rsid w:val="00270C3F"/>
    <w:rsid w:val="00273018"/>
    <w:rsid w:val="00275755"/>
    <w:rsid w:val="00276164"/>
    <w:rsid w:val="00281D65"/>
    <w:rsid w:val="00282B84"/>
    <w:rsid w:val="00283E3E"/>
    <w:rsid w:val="00284B8F"/>
    <w:rsid w:val="002854AD"/>
    <w:rsid w:val="00287DF1"/>
    <w:rsid w:val="00290CBD"/>
    <w:rsid w:val="0029176D"/>
    <w:rsid w:val="00291783"/>
    <w:rsid w:val="00293451"/>
    <w:rsid w:val="00293A77"/>
    <w:rsid w:val="002951FD"/>
    <w:rsid w:val="002A1FD2"/>
    <w:rsid w:val="002A6A9F"/>
    <w:rsid w:val="002B03BF"/>
    <w:rsid w:val="002B594B"/>
    <w:rsid w:val="002B5FC5"/>
    <w:rsid w:val="002C1756"/>
    <w:rsid w:val="002C196B"/>
    <w:rsid w:val="002C2068"/>
    <w:rsid w:val="002C2159"/>
    <w:rsid w:val="002C4044"/>
    <w:rsid w:val="002C4CAF"/>
    <w:rsid w:val="002C7F89"/>
    <w:rsid w:val="002D104C"/>
    <w:rsid w:val="002D2644"/>
    <w:rsid w:val="002D4133"/>
    <w:rsid w:val="002D7278"/>
    <w:rsid w:val="002E2DD3"/>
    <w:rsid w:val="002E2DE8"/>
    <w:rsid w:val="002E30C8"/>
    <w:rsid w:val="002E3393"/>
    <w:rsid w:val="002E3BB4"/>
    <w:rsid w:val="002E4E7A"/>
    <w:rsid w:val="002E5191"/>
    <w:rsid w:val="002E728F"/>
    <w:rsid w:val="002E7E95"/>
    <w:rsid w:val="002F0449"/>
    <w:rsid w:val="002F38E7"/>
    <w:rsid w:val="002F58A8"/>
    <w:rsid w:val="002F5F13"/>
    <w:rsid w:val="002F706B"/>
    <w:rsid w:val="002F709C"/>
    <w:rsid w:val="002F787A"/>
    <w:rsid w:val="00302AFE"/>
    <w:rsid w:val="00307561"/>
    <w:rsid w:val="003115AB"/>
    <w:rsid w:val="003148F2"/>
    <w:rsid w:val="00314E3F"/>
    <w:rsid w:val="00315483"/>
    <w:rsid w:val="00317C21"/>
    <w:rsid w:val="00322766"/>
    <w:rsid w:val="003335EC"/>
    <w:rsid w:val="0033639C"/>
    <w:rsid w:val="00337C09"/>
    <w:rsid w:val="00343C24"/>
    <w:rsid w:val="003443C0"/>
    <w:rsid w:val="00347352"/>
    <w:rsid w:val="003555DF"/>
    <w:rsid w:val="00355F77"/>
    <w:rsid w:val="00355FA0"/>
    <w:rsid w:val="00356F34"/>
    <w:rsid w:val="00357953"/>
    <w:rsid w:val="00360B74"/>
    <w:rsid w:val="0036561F"/>
    <w:rsid w:val="003711AF"/>
    <w:rsid w:val="00377CCD"/>
    <w:rsid w:val="00380D42"/>
    <w:rsid w:val="003827DB"/>
    <w:rsid w:val="003828EA"/>
    <w:rsid w:val="00382EB0"/>
    <w:rsid w:val="003853F7"/>
    <w:rsid w:val="003906FE"/>
    <w:rsid w:val="00392E48"/>
    <w:rsid w:val="003955B1"/>
    <w:rsid w:val="003A1DDE"/>
    <w:rsid w:val="003A1EB5"/>
    <w:rsid w:val="003A53D8"/>
    <w:rsid w:val="003A5659"/>
    <w:rsid w:val="003A685E"/>
    <w:rsid w:val="003A6F8F"/>
    <w:rsid w:val="003A7920"/>
    <w:rsid w:val="003B0B08"/>
    <w:rsid w:val="003B262D"/>
    <w:rsid w:val="003B3DAB"/>
    <w:rsid w:val="003B5438"/>
    <w:rsid w:val="003B5DBA"/>
    <w:rsid w:val="003B779B"/>
    <w:rsid w:val="003C10D4"/>
    <w:rsid w:val="003C1B62"/>
    <w:rsid w:val="003C2697"/>
    <w:rsid w:val="003C6075"/>
    <w:rsid w:val="003C6509"/>
    <w:rsid w:val="003D118C"/>
    <w:rsid w:val="003D5D6B"/>
    <w:rsid w:val="003D629E"/>
    <w:rsid w:val="003D639E"/>
    <w:rsid w:val="003D6CEE"/>
    <w:rsid w:val="003E08AB"/>
    <w:rsid w:val="003E7164"/>
    <w:rsid w:val="003F21DD"/>
    <w:rsid w:val="003F3623"/>
    <w:rsid w:val="003F50E3"/>
    <w:rsid w:val="00400CC7"/>
    <w:rsid w:val="004011C3"/>
    <w:rsid w:val="00413351"/>
    <w:rsid w:val="00413E7B"/>
    <w:rsid w:val="004151A8"/>
    <w:rsid w:val="0042045E"/>
    <w:rsid w:val="00421122"/>
    <w:rsid w:val="004274A1"/>
    <w:rsid w:val="00427D9F"/>
    <w:rsid w:val="00430FA6"/>
    <w:rsid w:val="004321B3"/>
    <w:rsid w:val="004347B4"/>
    <w:rsid w:val="004440B5"/>
    <w:rsid w:val="004444C9"/>
    <w:rsid w:val="004457E0"/>
    <w:rsid w:val="00446777"/>
    <w:rsid w:val="004471A8"/>
    <w:rsid w:val="00450FCF"/>
    <w:rsid w:val="004515DF"/>
    <w:rsid w:val="00455A4C"/>
    <w:rsid w:val="00455A9C"/>
    <w:rsid w:val="0045753D"/>
    <w:rsid w:val="00462FCF"/>
    <w:rsid w:val="0046406C"/>
    <w:rsid w:val="00471302"/>
    <w:rsid w:val="00471A08"/>
    <w:rsid w:val="00472F80"/>
    <w:rsid w:val="004756B4"/>
    <w:rsid w:val="00477A45"/>
    <w:rsid w:val="00481CF9"/>
    <w:rsid w:val="00481EF5"/>
    <w:rsid w:val="0048587A"/>
    <w:rsid w:val="0048737A"/>
    <w:rsid w:val="00487DAF"/>
    <w:rsid w:val="0049370E"/>
    <w:rsid w:val="00494AE9"/>
    <w:rsid w:val="00497A66"/>
    <w:rsid w:val="00497FBC"/>
    <w:rsid w:val="004A1C5A"/>
    <w:rsid w:val="004A310D"/>
    <w:rsid w:val="004A6AE3"/>
    <w:rsid w:val="004B12CD"/>
    <w:rsid w:val="004B287F"/>
    <w:rsid w:val="004B2CEE"/>
    <w:rsid w:val="004B4783"/>
    <w:rsid w:val="004B6A86"/>
    <w:rsid w:val="004B7130"/>
    <w:rsid w:val="004C245E"/>
    <w:rsid w:val="004C259E"/>
    <w:rsid w:val="004C7FA3"/>
    <w:rsid w:val="004D0490"/>
    <w:rsid w:val="004D15A2"/>
    <w:rsid w:val="004D408E"/>
    <w:rsid w:val="004D7E6B"/>
    <w:rsid w:val="004E43DC"/>
    <w:rsid w:val="004F0B69"/>
    <w:rsid w:val="004F1BAE"/>
    <w:rsid w:val="004F3255"/>
    <w:rsid w:val="004F4B34"/>
    <w:rsid w:val="00500D6A"/>
    <w:rsid w:val="00501491"/>
    <w:rsid w:val="005020A1"/>
    <w:rsid w:val="00506029"/>
    <w:rsid w:val="005064A5"/>
    <w:rsid w:val="005134DE"/>
    <w:rsid w:val="00514B56"/>
    <w:rsid w:val="00515473"/>
    <w:rsid w:val="0051556A"/>
    <w:rsid w:val="005163C8"/>
    <w:rsid w:val="00516530"/>
    <w:rsid w:val="00516DBF"/>
    <w:rsid w:val="00521439"/>
    <w:rsid w:val="00522293"/>
    <w:rsid w:val="005238AF"/>
    <w:rsid w:val="005265BD"/>
    <w:rsid w:val="00526804"/>
    <w:rsid w:val="00533307"/>
    <w:rsid w:val="005377E2"/>
    <w:rsid w:val="00537D79"/>
    <w:rsid w:val="005403E2"/>
    <w:rsid w:val="0054234F"/>
    <w:rsid w:val="00542EF8"/>
    <w:rsid w:val="005469CD"/>
    <w:rsid w:val="00546ED5"/>
    <w:rsid w:val="00550637"/>
    <w:rsid w:val="005540F6"/>
    <w:rsid w:val="005555A8"/>
    <w:rsid w:val="00563B80"/>
    <w:rsid w:val="00563DAA"/>
    <w:rsid w:val="005718FF"/>
    <w:rsid w:val="005725B1"/>
    <w:rsid w:val="00572F40"/>
    <w:rsid w:val="00573E5B"/>
    <w:rsid w:val="0057483A"/>
    <w:rsid w:val="00575746"/>
    <w:rsid w:val="00575CE6"/>
    <w:rsid w:val="00576784"/>
    <w:rsid w:val="00582877"/>
    <w:rsid w:val="00583471"/>
    <w:rsid w:val="00585B30"/>
    <w:rsid w:val="00590E9D"/>
    <w:rsid w:val="00590F78"/>
    <w:rsid w:val="005915D0"/>
    <w:rsid w:val="00593339"/>
    <w:rsid w:val="00593A26"/>
    <w:rsid w:val="005A5CD5"/>
    <w:rsid w:val="005A633E"/>
    <w:rsid w:val="005B17E1"/>
    <w:rsid w:val="005B3C37"/>
    <w:rsid w:val="005C1BEA"/>
    <w:rsid w:val="005C34A9"/>
    <w:rsid w:val="005C4826"/>
    <w:rsid w:val="005C5964"/>
    <w:rsid w:val="005C5989"/>
    <w:rsid w:val="005D0E42"/>
    <w:rsid w:val="005D32F0"/>
    <w:rsid w:val="005D35A6"/>
    <w:rsid w:val="005D5D08"/>
    <w:rsid w:val="005D7311"/>
    <w:rsid w:val="005D76ED"/>
    <w:rsid w:val="005E378B"/>
    <w:rsid w:val="005E4284"/>
    <w:rsid w:val="005E43BE"/>
    <w:rsid w:val="005F000D"/>
    <w:rsid w:val="005F1084"/>
    <w:rsid w:val="005F2BC0"/>
    <w:rsid w:val="005F2CFD"/>
    <w:rsid w:val="005F4A38"/>
    <w:rsid w:val="005F5899"/>
    <w:rsid w:val="005F6315"/>
    <w:rsid w:val="00606BFF"/>
    <w:rsid w:val="0061035F"/>
    <w:rsid w:val="00611537"/>
    <w:rsid w:val="0061218E"/>
    <w:rsid w:val="00612415"/>
    <w:rsid w:val="00612562"/>
    <w:rsid w:val="00617124"/>
    <w:rsid w:val="00617F69"/>
    <w:rsid w:val="006255BA"/>
    <w:rsid w:val="006260CB"/>
    <w:rsid w:val="00630026"/>
    <w:rsid w:val="00634F1F"/>
    <w:rsid w:val="00635931"/>
    <w:rsid w:val="00637E66"/>
    <w:rsid w:val="006408F9"/>
    <w:rsid w:val="00640E54"/>
    <w:rsid w:val="0064584E"/>
    <w:rsid w:val="00645B4C"/>
    <w:rsid w:val="006460AA"/>
    <w:rsid w:val="0065360B"/>
    <w:rsid w:val="0066096A"/>
    <w:rsid w:val="006629C7"/>
    <w:rsid w:val="00663209"/>
    <w:rsid w:val="006632DB"/>
    <w:rsid w:val="00664CDD"/>
    <w:rsid w:val="00665751"/>
    <w:rsid w:val="006670C2"/>
    <w:rsid w:val="0067031F"/>
    <w:rsid w:val="0067113B"/>
    <w:rsid w:val="006720F6"/>
    <w:rsid w:val="00672A4B"/>
    <w:rsid w:val="0067485E"/>
    <w:rsid w:val="00675559"/>
    <w:rsid w:val="00676D54"/>
    <w:rsid w:val="00677E15"/>
    <w:rsid w:val="00680970"/>
    <w:rsid w:val="00684140"/>
    <w:rsid w:val="006861F0"/>
    <w:rsid w:val="006877E7"/>
    <w:rsid w:val="006911A7"/>
    <w:rsid w:val="00691331"/>
    <w:rsid w:val="00691500"/>
    <w:rsid w:val="00696070"/>
    <w:rsid w:val="006A135F"/>
    <w:rsid w:val="006A391B"/>
    <w:rsid w:val="006A4A41"/>
    <w:rsid w:val="006A7A13"/>
    <w:rsid w:val="006B0EE0"/>
    <w:rsid w:val="006B0F06"/>
    <w:rsid w:val="006B24AD"/>
    <w:rsid w:val="006B33F3"/>
    <w:rsid w:val="006B3E7A"/>
    <w:rsid w:val="006B702C"/>
    <w:rsid w:val="006B70A1"/>
    <w:rsid w:val="006C07D6"/>
    <w:rsid w:val="006C0BF1"/>
    <w:rsid w:val="006C2365"/>
    <w:rsid w:val="006C3EFA"/>
    <w:rsid w:val="006C5961"/>
    <w:rsid w:val="006D025A"/>
    <w:rsid w:val="006D1DE9"/>
    <w:rsid w:val="006D3CFA"/>
    <w:rsid w:val="006D4E05"/>
    <w:rsid w:val="006D53D4"/>
    <w:rsid w:val="006D5C55"/>
    <w:rsid w:val="006E215E"/>
    <w:rsid w:val="006E2211"/>
    <w:rsid w:val="006E2345"/>
    <w:rsid w:val="006E2AB7"/>
    <w:rsid w:val="006E3D7F"/>
    <w:rsid w:val="006E44EF"/>
    <w:rsid w:val="006E4632"/>
    <w:rsid w:val="006E520F"/>
    <w:rsid w:val="006F0363"/>
    <w:rsid w:val="006F08A4"/>
    <w:rsid w:val="006F0BDA"/>
    <w:rsid w:val="006F324D"/>
    <w:rsid w:val="006F3370"/>
    <w:rsid w:val="006F6B2B"/>
    <w:rsid w:val="006F7DF2"/>
    <w:rsid w:val="007046EC"/>
    <w:rsid w:val="0070628B"/>
    <w:rsid w:val="007108F5"/>
    <w:rsid w:val="00710EAD"/>
    <w:rsid w:val="007125C3"/>
    <w:rsid w:val="00716920"/>
    <w:rsid w:val="0072024A"/>
    <w:rsid w:val="00722765"/>
    <w:rsid w:val="00722C7F"/>
    <w:rsid w:val="0072305F"/>
    <w:rsid w:val="00724BE8"/>
    <w:rsid w:val="00724CB3"/>
    <w:rsid w:val="007301A8"/>
    <w:rsid w:val="0073412B"/>
    <w:rsid w:val="00736760"/>
    <w:rsid w:val="00740F1F"/>
    <w:rsid w:val="00745840"/>
    <w:rsid w:val="00745FF7"/>
    <w:rsid w:val="00746D1B"/>
    <w:rsid w:val="00747DA6"/>
    <w:rsid w:val="00753DF4"/>
    <w:rsid w:val="00755C1A"/>
    <w:rsid w:val="00763E91"/>
    <w:rsid w:val="00766821"/>
    <w:rsid w:val="007676BB"/>
    <w:rsid w:val="007722E9"/>
    <w:rsid w:val="00774927"/>
    <w:rsid w:val="00775A0C"/>
    <w:rsid w:val="00776359"/>
    <w:rsid w:val="00783DED"/>
    <w:rsid w:val="00783F7F"/>
    <w:rsid w:val="007842E5"/>
    <w:rsid w:val="007854A7"/>
    <w:rsid w:val="007872E8"/>
    <w:rsid w:val="0079110F"/>
    <w:rsid w:val="0079279A"/>
    <w:rsid w:val="00793C24"/>
    <w:rsid w:val="00793C5F"/>
    <w:rsid w:val="00793F71"/>
    <w:rsid w:val="00794746"/>
    <w:rsid w:val="007954EB"/>
    <w:rsid w:val="00797AD0"/>
    <w:rsid w:val="007A21BE"/>
    <w:rsid w:val="007A4756"/>
    <w:rsid w:val="007A489B"/>
    <w:rsid w:val="007A631F"/>
    <w:rsid w:val="007B03FE"/>
    <w:rsid w:val="007B1A31"/>
    <w:rsid w:val="007B39EA"/>
    <w:rsid w:val="007B6D05"/>
    <w:rsid w:val="007B6D99"/>
    <w:rsid w:val="007C4C4B"/>
    <w:rsid w:val="007C4EB3"/>
    <w:rsid w:val="007C6C4A"/>
    <w:rsid w:val="007C6E60"/>
    <w:rsid w:val="007D21B4"/>
    <w:rsid w:val="007D5EC3"/>
    <w:rsid w:val="007E466D"/>
    <w:rsid w:val="007E47B9"/>
    <w:rsid w:val="007F610E"/>
    <w:rsid w:val="00800FF5"/>
    <w:rsid w:val="00802278"/>
    <w:rsid w:val="00802356"/>
    <w:rsid w:val="008055AD"/>
    <w:rsid w:val="00805EE4"/>
    <w:rsid w:val="008071D1"/>
    <w:rsid w:val="00814B36"/>
    <w:rsid w:val="00815F13"/>
    <w:rsid w:val="00816B6C"/>
    <w:rsid w:val="0082255D"/>
    <w:rsid w:val="00824B03"/>
    <w:rsid w:val="00827648"/>
    <w:rsid w:val="00827C12"/>
    <w:rsid w:val="00833BEA"/>
    <w:rsid w:val="008348D2"/>
    <w:rsid w:val="00835871"/>
    <w:rsid w:val="00840900"/>
    <w:rsid w:val="008457B3"/>
    <w:rsid w:val="00853FF1"/>
    <w:rsid w:val="00856CF7"/>
    <w:rsid w:val="00862BF7"/>
    <w:rsid w:val="00864ADB"/>
    <w:rsid w:val="0086533E"/>
    <w:rsid w:val="00865C37"/>
    <w:rsid w:val="00866225"/>
    <w:rsid w:val="008754C2"/>
    <w:rsid w:val="00876274"/>
    <w:rsid w:val="008772F9"/>
    <w:rsid w:val="00882C84"/>
    <w:rsid w:val="00884EB5"/>
    <w:rsid w:val="00887079"/>
    <w:rsid w:val="00891520"/>
    <w:rsid w:val="0089304F"/>
    <w:rsid w:val="00894CB7"/>
    <w:rsid w:val="0089714B"/>
    <w:rsid w:val="008A2A55"/>
    <w:rsid w:val="008A4AD1"/>
    <w:rsid w:val="008A4DAA"/>
    <w:rsid w:val="008A51D7"/>
    <w:rsid w:val="008A5994"/>
    <w:rsid w:val="008A5A56"/>
    <w:rsid w:val="008B2F02"/>
    <w:rsid w:val="008B30BE"/>
    <w:rsid w:val="008B3EDD"/>
    <w:rsid w:val="008B6162"/>
    <w:rsid w:val="008C0285"/>
    <w:rsid w:val="008C3C03"/>
    <w:rsid w:val="008C43A3"/>
    <w:rsid w:val="008D0C27"/>
    <w:rsid w:val="008D1024"/>
    <w:rsid w:val="008D1554"/>
    <w:rsid w:val="008D17EE"/>
    <w:rsid w:val="008D43E9"/>
    <w:rsid w:val="008D5077"/>
    <w:rsid w:val="008D75EF"/>
    <w:rsid w:val="008E3B0D"/>
    <w:rsid w:val="008E3F07"/>
    <w:rsid w:val="008F0E9B"/>
    <w:rsid w:val="008F1437"/>
    <w:rsid w:val="008F346B"/>
    <w:rsid w:val="00904710"/>
    <w:rsid w:val="009065B9"/>
    <w:rsid w:val="00914EDC"/>
    <w:rsid w:val="009231E7"/>
    <w:rsid w:val="009243E1"/>
    <w:rsid w:val="00926111"/>
    <w:rsid w:val="00926F25"/>
    <w:rsid w:val="00935537"/>
    <w:rsid w:val="00937C40"/>
    <w:rsid w:val="00937E85"/>
    <w:rsid w:val="00943F90"/>
    <w:rsid w:val="0094542F"/>
    <w:rsid w:val="00946785"/>
    <w:rsid w:val="00952590"/>
    <w:rsid w:val="00954490"/>
    <w:rsid w:val="00954796"/>
    <w:rsid w:val="009612E1"/>
    <w:rsid w:val="00965CF7"/>
    <w:rsid w:val="00970D73"/>
    <w:rsid w:val="00971545"/>
    <w:rsid w:val="00975A2D"/>
    <w:rsid w:val="0097728D"/>
    <w:rsid w:val="00984DB6"/>
    <w:rsid w:val="00987B90"/>
    <w:rsid w:val="00990C78"/>
    <w:rsid w:val="00996EE6"/>
    <w:rsid w:val="009A0C71"/>
    <w:rsid w:val="009A227C"/>
    <w:rsid w:val="009A3AD9"/>
    <w:rsid w:val="009A40B3"/>
    <w:rsid w:val="009A7B7A"/>
    <w:rsid w:val="009A7FBA"/>
    <w:rsid w:val="009B3709"/>
    <w:rsid w:val="009B6DD0"/>
    <w:rsid w:val="009C18A8"/>
    <w:rsid w:val="009C1A2F"/>
    <w:rsid w:val="009C2687"/>
    <w:rsid w:val="009C5489"/>
    <w:rsid w:val="009D0353"/>
    <w:rsid w:val="009D1716"/>
    <w:rsid w:val="009D480E"/>
    <w:rsid w:val="009D73F2"/>
    <w:rsid w:val="009E03AA"/>
    <w:rsid w:val="009E0698"/>
    <w:rsid w:val="009E15FE"/>
    <w:rsid w:val="009E29A3"/>
    <w:rsid w:val="009E36F6"/>
    <w:rsid w:val="009E73FC"/>
    <w:rsid w:val="009F134D"/>
    <w:rsid w:val="009F28B1"/>
    <w:rsid w:val="009F66D6"/>
    <w:rsid w:val="00A01E0C"/>
    <w:rsid w:val="00A02F28"/>
    <w:rsid w:val="00A03DDB"/>
    <w:rsid w:val="00A0649F"/>
    <w:rsid w:val="00A06FA4"/>
    <w:rsid w:val="00A10C70"/>
    <w:rsid w:val="00A119A6"/>
    <w:rsid w:val="00A12E16"/>
    <w:rsid w:val="00A157D8"/>
    <w:rsid w:val="00A217F6"/>
    <w:rsid w:val="00A2205E"/>
    <w:rsid w:val="00A242F7"/>
    <w:rsid w:val="00A24FB9"/>
    <w:rsid w:val="00A347F9"/>
    <w:rsid w:val="00A4078F"/>
    <w:rsid w:val="00A50F62"/>
    <w:rsid w:val="00A5256F"/>
    <w:rsid w:val="00A5698A"/>
    <w:rsid w:val="00A575F0"/>
    <w:rsid w:val="00A60890"/>
    <w:rsid w:val="00A624D8"/>
    <w:rsid w:val="00A6284C"/>
    <w:rsid w:val="00A63224"/>
    <w:rsid w:val="00A6488B"/>
    <w:rsid w:val="00A668C2"/>
    <w:rsid w:val="00A66C74"/>
    <w:rsid w:val="00A73FD7"/>
    <w:rsid w:val="00A74D65"/>
    <w:rsid w:val="00A75998"/>
    <w:rsid w:val="00A77070"/>
    <w:rsid w:val="00A83848"/>
    <w:rsid w:val="00A90139"/>
    <w:rsid w:val="00A903D5"/>
    <w:rsid w:val="00A9347A"/>
    <w:rsid w:val="00A942B9"/>
    <w:rsid w:val="00AA262F"/>
    <w:rsid w:val="00AA38E1"/>
    <w:rsid w:val="00AA6286"/>
    <w:rsid w:val="00AB244B"/>
    <w:rsid w:val="00AB56AF"/>
    <w:rsid w:val="00AB62A2"/>
    <w:rsid w:val="00AB74E1"/>
    <w:rsid w:val="00AC0818"/>
    <w:rsid w:val="00AC0C88"/>
    <w:rsid w:val="00AC14FD"/>
    <w:rsid w:val="00AC2592"/>
    <w:rsid w:val="00AC34E9"/>
    <w:rsid w:val="00AC69E1"/>
    <w:rsid w:val="00AC7B65"/>
    <w:rsid w:val="00AD2AFF"/>
    <w:rsid w:val="00AD458A"/>
    <w:rsid w:val="00AD5BE9"/>
    <w:rsid w:val="00AD6BBA"/>
    <w:rsid w:val="00AE1527"/>
    <w:rsid w:val="00AE66BC"/>
    <w:rsid w:val="00AE7715"/>
    <w:rsid w:val="00AF44FB"/>
    <w:rsid w:val="00AF6887"/>
    <w:rsid w:val="00B008CC"/>
    <w:rsid w:val="00B023CF"/>
    <w:rsid w:val="00B0336A"/>
    <w:rsid w:val="00B0784D"/>
    <w:rsid w:val="00B10033"/>
    <w:rsid w:val="00B10C35"/>
    <w:rsid w:val="00B13647"/>
    <w:rsid w:val="00B136C4"/>
    <w:rsid w:val="00B14548"/>
    <w:rsid w:val="00B162F5"/>
    <w:rsid w:val="00B1798C"/>
    <w:rsid w:val="00B17E84"/>
    <w:rsid w:val="00B20552"/>
    <w:rsid w:val="00B21512"/>
    <w:rsid w:val="00B269F2"/>
    <w:rsid w:val="00B30291"/>
    <w:rsid w:val="00B3092F"/>
    <w:rsid w:val="00B31ACF"/>
    <w:rsid w:val="00B3230E"/>
    <w:rsid w:val="00B328D7"/>
    <w:rsid w:val="00B3388B"/>
    <w:rsid w:val="00B33BA3"/>
    <w:rsid w:val="00B34B4A"/>
    <w:rsid w:val="00B3603D"/>
    <w:rsid w:val="00B42884"/>
    <w:rsid w:val="00B613F9"/>
    <w:rsid w:val="00B6638D"/>
    <w:rsid w:val="00B66C5D"/>
    <w:rsid w:val="00B672C0"/>
    <w:rsid w:val="00B67B6A"/>
    <w:rsid w:val="00B7049D"/>
    <w:rsid w:val="00B72AA3"/>
    <w:rsid w:val="00B72CC8"/>
    <w:rsid w:val="00B7319F"/>
    <w:rsid w:val="00B77760"/>
    <w:rsid w:val="00B77B69"/>
    <w:rsid w:val="00B80302"/>
    <w:rsid w:val="00B81552"/>
    <w:rsid w:val="00B8253F"/>
    <w:rsid w:val="00B902AB"/>
    <w:rsid w:val="00B938BE"/>
    <w:rsid w:val="00B942F7"/>
    <w:rsid w:val="00B94936"/>
    <w:rsid w:val="00BA144D"/>
    <w:rsid w:val="00BA7187"/>
    <w:rsid w:val="00BA7452"/>
    <w:rsid w:val="00BA7909"/>
    <w:rsid w:val="00BA7AB0"/>
    <w:rsid w:val="00BB1ABE"/>
    <w:rsid w:val="00BB2295"/>
    <w:rsid w:val="00BB3FCB"/>
    <w:rsid w:val="00BB5E9B"/>
    <w:rsid w:val="00BB66DE"/>
    <w:rsid w:val="00BB7687"/>
    <w:rsid w:val="00BD42CE"/>
    <w:rsid w:val="00BD464B"/>
    <w:rsid w:val="00BD4939"/>
    <w:rsid w:val="00BE20C8"/>
    <w:rsid w:val="00BE2663"/>
    <w:rsid w:val="00BE3900"/>
    <w:rsid w:val="00BE4992"/>
    <w:rsid w:val="00BE5701"/>
    <w:rsid w:val="00BE5BBE"/>
    <w:rsid w:val="00BE7905"/>
    <w:rsid w:val="00BF09FF"/>
    <w:rsid w:val="00BF3377"/>
    <w:rsid w:val="00BF597C"/>
    <w:rsid w:val="00BF72DB"/>
    <w:rsid w:val="00C002E1"/>
    <w:rsid w:val="00C02814"/>
    <w:rsid w:val="00C02A48"/>
    <w:rsid w:val="00C053BF"/>
    <w:rsid w:val="00C10BFB"/>
    <w:rsid w:val="00C114D1"/>
    <w:rsid w:val="00C115E7"/>
    <w:rsid w:val="00C119BC"/>
    <w:rsid w:val="00C1427E"/>
    <w:rsid w:val="00C207F9"/>
    <w:rsid w:val="00C232E2"/>
    <w:rsid w:val="00C24699"/>
    <w:rsid w:val="00C31529"/>
    <w:rsid w:val="00C31852"/>
    <w:rsid w:val="00C32395"/>
    <w:rsid w:val="00C32B0B"/>
    <w:rsid w:val="00C32B80"/>
    <w:rsid w:val="00C33016"/>
    <w:rsid w:val="00C34749"/>
    <w:rsid w:val="00C36E66"/>
    <w:rsid w:val="00C371EC"/>
    <w:rsid w:val="00C371F7"/>
    <w:rsid w:val="00C378AA"/>
    <w:rsid w:val="00C43B94"/>
    <w:rsid w:val="00C43BAC"/>
    <w:rsid w:val="00C444B6"/>
    <w:rsid w:val="00C46ACB"/>
    <w:rsid w:val="00C46CB3"/>
    <w:rsid w:val="00C476AC"/>
    <w:rsid w:val="00C506BF"/>
    <w:rsid w:val="00C5287C"/>
    <w:rsid w:val="00C52F16"/>
    <w:rsid w:val="00C54C53"/>
    <w:rsid w:val="00C552A8"/>
    <w:rsid w:val="00C6112C"/>
    <w:rsid w:val="00C61193"/>
    <w:rsid w:val="00C67A4C"/>
    <w:rsid w:val="00C70166"/>
    <w:rsid w:val="00C7329C"/>
    <w:rsid w:val="00C7752A"/>
    <w:rsid w:val="00C82265"/>
    <w:rsid w:val="00C842FF"/>
    <w:rsid w:val="00C855D6"/>
    <w:rsid w:val="00C85BC8"/>
    <w:rsid w:val="00C861FC"/>
    <w:rsid w:val="00C86C09"/>
    <w:rsid w:val="00C86FF3"/>
    <w:rsid w:val="00C90716"/>
    <w:rsid w:val="00C9159E"/>
    <w:rsid w:val="00C916FF"/>
    <w:rsid w:val="00C91E51"/>
    <w:rsid w:val="00C92502"/>
    <w:rsid w:val="00C942BA"/>
    <w:rsid w:val="00C94D6E"/>
    <w:rsid w:val="00C96730"/>
    <w:rsid w:val="00C977C8"/>
    <w:rsid w:val="00CA2BA4"/>
    <w:rsid w:val="00CA7318"/>
    <w:rsid w:val="00CB1205"/>
    <w:rsid w:val="00CB1E59"/>
    <w:rsid w:val="00CC1192"/>
    <w:rsid w:val="00CC159C"/>
    <w:rsid w:val="00CC3B7A"/>
    <w:rsid w:val="00CD1ACA"/>
    <w:rsid w:val="00CD5C34"/>
    <w:rsid w:val="00CD6C7D"/>
    <w:rsid w:val="00CE0CDB"/>
    <w:rsid w:val="00CE1A2B"/>
    <w:rsid w:val="00CE5BD8"/>
    <w:rsid w:val="00CF34C6"/>
    <w:rsid w:val="00CF5039"/>
    <w:rsid w:val="00CF5298"/>
    <w:rsid w:val="00CF52E5"/>
    <w:rsid w:val="00CF6C6D"/>
    <w:rsid w:val="00CF79BB"/>
    <w:rsid w:val="00D01B3E"/>
    <w:rsid w:val="00D0428A"/>
    <w:rsid w:val="00D06F69"/>
    <w:rsid w:val="00D07046"/>
    <w:rsid w:val="00D11CA0"/>
    <w:rsid w:val="00D129E6"/>
    <w:rsid w:val="00D14D0D"/>
    <w:rsid w:val="00D16C77"/>
    <w:rsid w:val="00D21668"/>
    <w:rsid w:val="00D2213C"/>
    <w:rsid w:val="00D22DB9"/>
    <w:rsid w:val="00D23F3E"/>
    <w:rsid w:val="00D269BD"/>
    <w:rsid w:val="00D26DDA"/>
    <w:rsid w:val="00D27C7A"/>
    <w:rsid w:val="00D27D9B"/>
    <w:rsid w:val="00D31DAF"/>
    <w:rsid w:val="00D35CE7"/>
    <w:rsid w:val="00D4063B"/>
    <w:rsid w:val="00D437CC"/>
    <w:rsid w:val="00D43C3A"/>
    <w:rsid w:val="00D550BC"/>
    <w:rsid w:val="00D55287"/>
    <w:rsid w:val="00D562BE"/>
    <w:rsid w:val="00D60299"/>
    <w:rsid w:val="00D6170C"/>
    <w:rsid w:val="00D62963"/>
    <w:rsid w:val="00D63FF1"/>
    <w:rsid w:val="00D645C5"/>
    <w:rsid w:val="00D65CF2"/>
    <w:rsid w:val="00D7038F"/>
    <w:rsid w:val="00D7219C"/>
    <w:rsid w:val="00D724CC"/>
    <w:rsid w:val="00D74F93"/>
    <w:rsid w:val="00D75524"/>
    <w:rsid w:val="00D80C90"/>
    <w:rsid w:val="00D821ED"/>
    <w:rsid w:val="00D903D2"/>
    <w:rsid w:val="00D91C41"/>
    <w:rsid w:val="00D927B4"/>
    <w:rsid w:val="00D9290B"/>
    <w:rsid w:val="00D94EC7"/>
    <w:rsid w:val="00D958D1"/>
    <w:rsid w:val="00DA270D"/>
    <w:rsid w:val="00DA2B58"/>
    <w:rsid w:val="00DA6D97"/>
    <w:rsid w:val="00DB0BB6"/>
    <w:rsid w:val="00DB436F"/>
    <w:rsid w:val="00DB6881"/>
    <w:rsid w:val="00DC17E4"/>
    <w:rsid w:val="00DC2D5E"/>
    <w:rsid w:val="00DC2E6B"/>
    <w:rsid w:val="00DC33A9"/>
    <w:rsid w:val="00DC5517"/>
    <w:rsid w:val="00DC765B"/>
    <w:rsid w:val="00DD0160"/>
    <w:rsid w:val="00DD3529"/>
    <w:rsid w:val="00DD60DD"/>
    <w:rsid w:val="00DE0909"/>
    <w:rsid w:val="00DE0C56"/>
    <w:rsid w:val="00DE1E12"/>
    <w:rsid w:val="00DE3D13"/>
    <w:rsid w:val="00DE4D60"/>
    <w:rsid w:val="00DE58AA"/>
    <w:rsid w:val="00DE59DF"/>
    <w:rsid w:val="00DE5E9C"/>
    <w:rsid w:val="00DE7F20"/>
    <w:rsid w:val="00DF0907"/>
    <w:rsid w:val="00DF139C"/>
    <w:rsid w:val="00DF18D3"/>
    <w:rsid w:val="00DF271C"/>
    <w:rsid w:val="00DF388D"/>
    <w:rsid w:val="00DF3C78"/>
    <w:rsid w:val="00DF62B4"/>
    <w:rsid w:val="00DF6489"/>
    <w:rsid w:val="00DF745F"/>
    <w:rsid w:val="00E022DA"/>
    <w:rsid w:val="00E025D2"/>
    <w:rsid w:val="00E03F54"/>
    <w:rsid w:val="00E0492D"/>
    <w:rsid w:val="00E06F05"/>
    <w:rsid w:val="00E07A7B"/>
    <w:rsid w:val="00E07DEE"/>
    <w:rsid w:val="00E11E3F"/>
    <w:rsid w:val="00E1464C"/>
    <w:rsid w:val="00E20D82"/>
    <w:rsid w:val="00E20FA3"/>
    <w:rsid w:val="00E213C6"/>
    <w:rsid w:val="00E26A84"/>
    <w:rsid w:val="00E278A0"/>
    <w:rsid w:val="00E317E9"/>
    <w:rsid w:val="00E322A0"/>
    <w:rsid w:val="00E328A3"/>
    <w:rsid w:val="00E40EFA"/>
    <w:rsid w:val="00E425DF"/>
    <w:rsid w:val="00E43E11"/>
    <w:rsid w:val="00E46CFF"/>
    <w:rsid w:val="00E5194A"/>
    <w:rsid w:val="00E5250D"/>
    <w:rsid w:val="00E52C2F"/>
    <w:rsid w:val="00E53A79"/>
    <w:rsid w:val="00E53E8A"/>
    <w:rsid w:val="00E54FF9"/>
    <w:rsid w:val="00E557A2"/>
    <w:rsid w:val="00E559E4"/>
    <w:rsid w:val="00E60B05"/>
    <w:rsid w:val="00E61F51"/>
    <w:rsid w:val="00E64F47"/>
    <w:rsid w:val="00E673E4"/>
    <w:rsid w:val="00E734AE"/>
    <w:rsid w:val="00E774A0"/>
    <w:rsid w:val="00E832CE"/>
    <w:rsid w:val="00E848BA"/>
    <w:rsid w:val="00E879FA"/>
    <w:rsid w:val="00E87FD6"/>
    <w:rsid w:val="00E90277"/>
    <w:rsid w:val="00E91525"/>
    <w:rsid w:val="00E92085"/>
    <w:rsid w:val="00E94153"/>
    <w:rsid w:val="00E941D3"/>
    <w:rsid w:val="00EA0CDD"/>
    <w:rsid w:val="00EA64EA"/>
    <w:rsid w:val="00EB0B1D"/>
    <w:rsid w:val="00EB193D"/>
    <w:rsid w:val="00EB33A4"/>
    <w:rsid w:val="00EB4FB8"/>
    <w:rsid w:val="00EB5863"/>
    <w:rsid w:val="00EB5FD6"/>
    <w:rsid w:val="00EC31A7"/>
    <w:rsid w:val="00EC5018"/>
    <w:rsid w:val="00EC6927"/>
    <w:rsid w:val="00ED1D20"/>
    <w:rsid w:val="00ED3746"/>
    <w:rsid w:val="00ED460D"/>
    <w:rsid w:val="00EE03E5"/>
    <w:rsid w:val="00EE246B"/>
    <w:rsid w:val="00EE2E03"/>
    <w:rsid w:val="00EE419A"/>
    <w:rsid w:val="00EE575A"/>
    <w:rsid w:val="00EE59EE"/>
    <w:rsid w:val="00EF12DE"/>
    <w:rsid w:val="00EF1860"/>
    <w:rsid w:val="00EF2C91"/>
    <w:rsid w:val="00EF2DF3"/>
    <w:rsid w:val="00EF60BD"/>
    <w:rsid w:val="00EF6511"/>
    <w:rsid w:val="00F009B3"/>
    <w:rsid w:val="00F01712"/>
    <w:rsid w:val="00F0209E"/>
    <w:rsid w:val="00F021D9"/>
    <w:rsid w:val="00F0238C"/>
    <w:rsid w:val="00F02BE1"/>
    <w:rsid w:val="00F0308C"/>
    <w:rsid w:val="00F0727F"/>
    <w:rsid w:val="00F073EB"/>
    <w:rsid w:val="00F07C61"/>
    <w:rsid w:val="00F14FC7"/>
    <w:rsid w:val="00F16051"/>
    <w:rsid w:val="00F17F64"/>
    <w:rsid w:val="00F2595B"/>
    <w:rsid w:val="00F25D82"/>
    <w:rsid w:val="00F27E3B"/>
    <w:rsid w:val="00F306F6"/>
    <w:rsid w:val="00F30A75"/>
    <w:rsid w:val="00F33CEC"/>
    <w:rsid w:val="00F35584"/>
    <w:rsid w:val="00F3714D"/>
    <w:rsid w:val="00F43D16"/>
    <w:rsid w:val="00F43E40"/>
    <w:rsid w:val="00F450B4"/>
    <w:rsid w:val="00F47535"/>
    <w:rsid w:val="00F53439"/>
    <w:rsid w:val="00F54C56"/>
    <w:rsid w:val="00F575A4"/>
    <w:rsid w:val="00F576E3"/>
    <w:rsid w:val="00F620EA"/>
    <w:rsid w:val="00F66753"/>
    <w:rsid w:val="00F668C3"/>
    <w:rsid w:val="00F71339"/>
    <w:rsid w:val="00F71C7B"/>
    <w:rsid w:val="00F72AA4"/>
    <w:rsid w:val="00F76021"/>
    <w:rsid w:val="00F7673C"/>
    <w:rsid w:val="00F77FC6"/>
    <w:rsid w:val="00F82A9D"/>
    <w:rsid w:val="00F9211C"/>
    <w:rsid w:val="00F95D83"/>
    <w:rsid w:val="00F97C46"/>
    <w:rsid w:val="00FA57B2"/>
    <w:rsid w:val="00FA6E90"/>
    <w:rsid w:val="00FA797F"/>
    <w:rsid w:val="00FB1D00"/>
    <w:rsid w:val="00FB1D50"/>
    <w:rsid w:val="00FB2A6E"/>
    <w:rsid w:val="00FB2DC2"/>
    <w:rsid w:val="00FB7EF5"/>
    <w:rsid w:val="00FC0374"/>
    <w:rsid w:val="00FC26FA"/>
    <w:rsid w:val="00FC35DD"/>
    <w:rsid w:val="00FC622E"/>
    <w:rsid w:val="00FD3360"/>
    <w:rsid w:val="00FD3C46"/>
    <w:rsid w:val="00FD5839"/>
    <w:rsid w:val="00FD66D3"/>
    <w:rsid w:val="00FE04B8"/>
    <w:rsid w:val="00FE1536"/>
    <w:rsid w:val="00FE1959"/>
    <w:rsid w:val="00FE3644"/>
    <w:rsid w:val="00FE44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B8DF64"/>
  <w15:chartTrackingRefBased/>
  <w15:docId w15:val="{3DC9D120-4BE4-44B7-8BA4-8BF12088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8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178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85B"/>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21785B"/>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99"/>
    <w:qFormat/>
    <w:locked/>
    <w:rsid w:val="0021785B"/>
  </w:style>
  <w:style w:type="paragraph" w:styleId="BodyText">
    <w:name w:val="Body Text"/>
    <w:basedOn w:val="Normal"/>
    <w:link w:val="BodyTextChar"/>
    <w:uiPriority w:val="99"/>
    <w:unhideWhenUsed/>
    <w:rsid w:val="0021785B"/>
    <w:pPr>
      <w:spacing w:after="120"/>
    </w:pPr>
  </w:style>
  <w:style w:type="character" w:customStyle="1" w:styleId="BodyTextChar">
    <w:name w:val="Body Text Char"/>
    <w:basedOn w:val="DefaultParagraphFont"/>
    <w:link w:val="BodyText"/>
    <w:uiPriority w:val="99"/>
    <w:rsid w:val="0021785B"/>
  </w:style>
  <w:style w:type="character" w:styleId="CommentReference">
    <w:name w:val="annotation reference"/>
    <w:basedOn w:val="DefaultParagraphFont"/>
    <w:uiPriority w:val="99"/>
    <w:semiHidden/>
    <w:unhideWhenUsed/>
    <w:rsid w:val="000548EA"/>
    <w:rPr>
      <w:sz w:val="16"/>
      <w:szCs w:val="16"/>
    </w:rPr>
  </w:style>
  <w:style w:type="paragraph" w:styleId="CommentText">
    <w:name w:val="annotation text"/>
    <w:basedOn w:val="Normal"/>
    <w:link w:val="CommentTextChar"/>
    <w:uiPriority w:val="99"/>
    <w:semiHidden/>
    <w:unhideWhenUsed/>
    <w:rsid w:val="000548EA"/>
    <w:pPr>
      <w:spacing w:line="240" w:lineRule="auto"/>
    </w:pPr>
    <w:rPr>
      <w:sz w:val="20"/>
      <w:szCs w:val="20"/>
    </w:rPr>
  </w:style>
  <w:style w:type="character" w:customStyle="1" w:styleId="CommentTextChar">
    <w:name w:val="Comment Text Char"/>
    <w:basedOn w:val="DefaultParagraphFont"/>
    <w:link w:val="CommentText"/>
    <w:uiPriority w:val="99"/>
    <w:semiHidden/>
    <w:rsid w:val="000548EA"/>
    <w:rPr>
      <w:sz w:val="20"/>
      <w:szCs w:val="20"/>
    </w:rPr>
  </w:style>
  <w:style w:type="paragraph" w:styleId="CommentSubject">
    <w:name w:val="annotation subject"/>
    <w:basedOn w:val="CommentText"/>
    <w:next w:val="CommentText"/>
    <w:link w:val="CommentSubjectChar"/>
    <w:uiPriority w:val="99"/>
    <w:semiHidden/>
    <w:unhideWhenUsed/>
    <w:rsid w:val="000548EA"/>
    <w:rPr>
      <w:b/>
      <w:bCs/>
    </w:rPr>
  </w:style>
  <w:style w:type="character" w:customStyle="1" w:styleId="CommentSubjectChar">
    <w:name w:val="Comment Subject Char"/>
    <w:basedOn w:val="CommentTextChar"/>
    <w:link w:val="CommentSubject"/>
    <w:uiPriority w:val="99"/>
    <w:semiHidden/>
    <w:rsid w:val="000548EA"/>
    <w:rPr>
      <w:b/>
      <w:bCs/>
      <w:sz w:val="20"/>
      <w:szCs w:val="20"/>
    </w:rPr>
  </w:style>
  <w:style w:type="paragraph" w:styleId="BalloonText">
    <w:name w:val="Balloon Text"/>
    <w:basedOn w:val="Normal"/>
    <w:link w:val="BalloonTextChar"/>
    <w:uiPriority w:val="99"/>
    <w:semiHidden/>
    <w:unhideWhenUsed/>
    <w:rsid w:val="000548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48EA"/>
    <w:rPr>
      <w:rFonts w:ascii="Segoe UI" w:hAnsi="Segoe UI" w:cs="Segoe UI"/>
      <w:sz w:val="18"/>
      <w:szCs w:val="18"/>
    </w:rPr>
  </w:style>
  <w:style w:type="paragraph" w:styleId="Header">
    <w:name w:val="header"/>
    <w:basedOn w:val="Normal"/>
    <w:link w:val="HeaderChar"/>
    <w:uiPriority w:val="99"/>
    <w:unhideWhenUsed/>
    <w:rsid w:val="00F43D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D16"/>
  </w:style>
  <w:style w:type="paragraph" w:styleId="BodyTextIndent2">
    <w:name w:val="Body Text Indent 2"/>
    <w:basedOn w:val="Normal"/>
    <w:link w:val="BodyTextIndent2Char"/>
    <w:uiPriority w:val="99"/>
    <w:semiHidden/>
    <w:unhideWhenUsed/>
    <w:rsid w:val="002C2068"/>
    <w:pPr>
      <w:spacing w:after="120" w:line="480" w:lineRule="auto"/>
      <w:ind w:left="360"/>
    </w:pPr>
  </w:style>
  <w:style w:type="character" w:customStyle="1" w:styleId="BodyTextIndent2Char">
    <w:name w:val="Body Text Indent 2 Char"/>
    <w:basedOn w:val="DefaultParagraphFont"/>
    <w:link w:val="BodyTextIndent2"/>
    <w:uiPriority w:val="99"/>
    <w:semiHidden/>
    <w:rsid w:val="002C2068"/>
  </w:style>
  <w:style w:type="paragraph" w:customStyle="1" w:styleId="isselectedend">
    <w:name w:val="isselectedend"/>
    <w:basedOn w:val="Normal"/>
    <w:rsid w:val="00521439"/>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521439"/>
    <w:rPr>
      <w:b/>
      <w:bCs/>
    </w:rPr>
  </w:style>
  <w:style w:type="paragraph" w:styleId="NormalWeb">
    <w:name w:val="Normal (Web)"/>
    <w:basedOn w:val="Normal"/>
    <w:uiPriority w:val="99"/>
    <w:semiHidden/>
    <w:unhideWhenUsed/>
    <w:rsid w:val="00521439"/>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Emphasis">
    <w:name w:val="Emphasis"/>
    <w:basedOn w:val="DefaultParagraphFont"/>
    <w:uiPriority w:val="20"/>
    <w:qFormat/>
    <w:rsid w:val="004E43DC"/>
    <w:rPr>
      <w:i/>
      <w:iCs/>
    </w:rPr>
  </w:style>
  <w:style w:type="table" w:styleId="TableGrid">
    <w:name w:val="Table Grid"/>
    <w:basedOn w:val="TableNormal"/>
    <w:uiPriority w:val="39"/>
    <w:rsid w:val="00031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196995">
      <w:bodyDiv w:val="1"/>
      <w:marLeft w:val="0"/>
      <w:marRight w:val="0"/>
      <w:marTop w:val="0"/>
      <w:marBottom w:val="0"/>
      <w:divBdr>
        <w:top w:val="none" w:sz="0" w:space="0" w:color="auto"/>
        <w:left w:val="none" w:sz="0" w:space="0" w:color="auto"/>
        <w:bottom w:val="none" w:sz="0" w:space="0" w:color="auto"/>
        <w:right w:val="none" w:sz="0" w:space="0" w:color="auto"/>
      </w:divBdr>
    </w:div>
    <w:div w:id="621810893">
      <w:bodyDiv w:val="1"/>
      <w:marLeft w:val="0"/>
      <w:marRight w:val="0"/>
      <w:marTop w:val="0"/>
      <w:marBottom w:val="0"/>
      <w:divBdr>
        <w:top w:val="none" w:sz="0" w:space="0" w:color="auto"/>
        <w:left w:val="none" w:sz="0" w:space="0" w:color="auto"/>
        <w:bottom w:val="none" w:sz="0" w:space="0" w:color="auto"/>
        <w:right w:val="none" w:sz="0" w:space="0" w:color="auto"/>
      </w:divBdr>
    </w:div>
    <w:div w:id="1428649058">
      <w:bodyDiv w:val="1"/>
      <w:marLeft w:val="0"/>
      <w:marRight w:val="0"/>
      <w:marTop w:val="0"/>
      <w:marBottom w:val="0"/>
      <w:divBdr>
        <w:top w:val="none" w:sz="0" w:space="0" w:color="auto"/>
        <w:left w:val="none" w:sz="0" w:space="0" w:color="auto"/>
        <w:bottom w:val="none" w:sz="0" w:space="0" w:color="auto"/>
        <w:right w:val="none" w:sz="0" w:space="0" w:color="auto"/>
      </w:divBdr>
    </w:div>
    <w:div w:id="1922252631">
      <w:bodyDiv w:val="1"/>
      <w:marLeft w:val="0"/>
      <w:marRight w:val="0"/>
      <w:marTop w:val="0"/>
      <w:marBottom w:val="0"/>
      <w:divBdr>
        <w:top w:val="none" w:sz="0" w:space="0" w:color="auto"/>
        <w:left w:val="none" w:sz="0" w:space="0" w:color="auto"/>
        <w:bottom w:val="none" w:sz="0" w:space="0" w:color="auto"/>
        <w:right w:val="none" w:sz="0" w:space="0" w:color="auto"/>
      </w:divBdr>
    </w:div>
    <w:div w:id="210950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57FC4B4640A442AA2024367B6B17B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Nr_x002e__x0020_akti>
    <Data_x0020_e_x0020_Krijimit xmlns="0e656187-b300-4fb0-8bf4-3a50f872073c">2026-07-27T09:05:59Z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2026-07-24T00:00:00Z</Date_x0020_protokolli>
    <Titulli xmlns="0e656187-b300-4fb0-8bf4-3a50f872073c">Me objekt shfuqizimin e vendimit nr. 00-2024-5053 (700), datë 4.12.2024 të Kolegjit Civil të Gjykatës së Lartë, si i papajtueshëm me Kushtetutën e Republikës së Shqipërisë.</Titulli>
    <Modifikuesi xmlns="0e656187-b300-4fb0-8bf4-3a50f872073c">ermira.bukaci</Modifikuesi>
    <Nr_x002e__x0020_prot_x0020_QBZ xmlns="0e656187-b300-4fb0-8bf4-3a50f872073c">1672/1</Nr_x002e__x0020_prot_x0020_QBZ>
    <Data_x0020_e_x0020_Modifikimit xmlns="0e656187-b300-4fb0-8bf4-3a50f872073c">2026-07-27T11:40:24Z</Data_x0020_e_x0020_Modifikimit>
    <Dekretuar xmlns="0e656187-b300-4fb0-8bf4-3a50f872073c">false</Dekretuar>
    <Data xmlns="0e656187-b300-4fb0-8bf4-3a50f872073c">2026-05-28T00:00:00Z</Data>
    <Nr_x002e__x0020_protokolli_x0020_i_x0020_aktit xmlns="0e656187-b300-4fb0-8bf4-3a50f872073c">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437A8-5F90-44D1-8D64-B756B69A412B}">
  <ds:schemaRefs>
    <ds:schemaRef ds:uri="http://schemas.microsoft.com/sharepoint/v3/contenttype/forms"/>
  </ds:schemaRefs>
</ds:datastoreItem>
</file>

<file path=customXml/itemProps2.xml><?xml version="1.0" encoding="utf-8"?>
<ds:datastoreItem xmlns:ds="http://schemas.openxmlformats.org/officeDocument/2006/customXml" ds:itemID="{4FC2327C-60BA-440C-848C-664AAD9BD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EF972D7-9B97-47C0-924C-6E82B5FDD644}">
  <ds:schemaRefs>
    <ds:schemaRef ds:uri="0e656187-b300-4fb0-8bf4-3a50f872073c"/>
    <ds:schemaRef ds:uri="http://schemas.microsoft.com/office/2006/documentManagement/types"/>
    <ds:schemaRef ds:uri="http://www.w3.org/XML/1998/namespace"/>
    <ds:schemaRef ds:uri="http://schemas.openxmlformats.org/package/2006/metadata/core-properties"/>
    <ds:schemaRef ds:uri="http://purl.org/dc/terms/"/>
    <ds:schemaRef ds:uri="http://schemas.microsoft.com/office/2006/metadata/properties"/>
    <ds:schemaRef ds:uri="http://purl.org/dc/dcmitype/"/>
    <ds:schemaRef ds:uri="http://purl.org/dc/elements/1.1/"/>
  </ds:schemaRefs>
</ds:datastoreItem>
</file>

<file path=customXml/itemProps4.xml><?xml version="1.0" encoding="utf-8"?>
<ds:datastoreItem xmlns:ds="http://schemas.openxmlformats.org/officeDocument/2006/customXml" ds:itemID="{25BC675D-AC43-4ED5-B518-58E74A77D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11391</Words>
  <Characters>64929</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Me objekt shfuqizimin e vendimit nr. 00-2024-5053 (700), datë 4.12.2024 të Kolegjit Civil të Gjykatës së Lartë, si i papajtueshëm me Kushtetutën e Republikës së Shqipërisë.</vt:lpstr>
    </vt:vector>
  </TitlesOfParts>
  <Company>User</Company>
  <LinksUpToDate>false</LinksUpToDate>
  <CharactersWithSpaces>76168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00-2024-5053 (700), datë 4.12.2024 të Kolegjit Civil të Gjykatës së Lartë, si i papajtueshëm me Kushtetutën e Republikës së Shqipërisë.</dc:title>
  <dc:creator>Jonida Kondili</dc:creator>
  <cp:lastModifiedBy>fjora.cahani</cp:lastModifiedBy>
  <cp:revision>11</cp:revision>
  <cp:lastPrinted>2026-07-14T06:53:00Z</cp:lastPrinted>
  <dcterms:created xsi:type="dcterms:W3CDTF">2026-07-27T07:19:00Z</dcterms:created>
  <dcterms:modified xsi:type="dcterms:W3CDTF">2026-07-28T07:53:00Z</dcterms:modified>
</cp:coreProperties>
</file>