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98243" w14:textId="77777777"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VENDIM</w:t>
      </w:r>
    </w:p>
    <w:p w14:paraId="4866F604" w14:textId="77777777"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Nr. 65, datë 2.6.2026</w:t>
      </w:r>
    </w:p>
    <w:p w14:paraId="07758DB0" w14:textId="77777777"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0F8E1B4" w14:textId="3FB3E5B7" w:rsidR="00A552BA" w:rsidRPr="00A91B21" w:rsidRDefault="00A552BA" w:rsidP="00A91B21">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NË E</w:t>
      </w:r>
      <w:r w:rsidR="00A91B21" w:rsidRPr="00A91B21">
        <w:rPr>
          <w:rFonts w:ascii="Garamond" w:eastAsiaTheme="minorHAnsi" w:hAnsi="Garamond" w:cs="Times New Roman"/>
          <w:b/>
          <w:bCs/>
          <w:color w:val="000000"/>
          <w:sz w:val="24"/>
          <w:szCs w:val="24"/>
        </w:rPr>
        <w:t>MËR TË REPUBLIKËS SË SHQIPËRISË</w:t>
      </w:r>
    </w:p>
    <w:p w14:paraId="56F77F98" w14:textId="77777777" w:rsidR="00A552BA" w:rsidRPr="00A91B21" w:rsidRDefault="00A552BA" w:rsidP="00A552BA">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6FE6D5D0" w14:textId="77777777" w:rsidR="00A552BA" w:rsidRPr="00A91B21" w:rsidRDefault="00A552BA"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D7711E" w:rsidRPr="00A91B21" w14:paraId="0B188C85" w14:textId="77777777" w:rsidTr="00D7711E">
        <w:tc>
          <w:tcPr>
            <w:tcW w:w="2405" w:type="dxa"/>
          </w:tcPr>
          <w:p w14:paraId="78A1373F" w14:textId="73807704" w:rsidR="00D7711E" w:rsidRPr="00A91B21" w:rsidRDefault="00D7711E" w:rsidP="009E0692">
            <w:pPr>
              <w:autoSpaceDE w:val="0"/>
              <w:autoSpaceDN w:val="0"/>
              <w:adjustRightInd w:val="0"/>
              <w:jc w:val="both"/>
              <w:rPr>
                <w:rFonts w:ascii="Garamond" w:eastAsiaTheme="minorHAnsi" w:hAnsi="Garamond" w:cs="Times New Roman"/>
                <w:color w:val="000000"/>
                <w:sz w:val="24"/>
                <w:szCs w:val="24"/>
              </w:rPr>
            </w:pPr>
            <w:proofErr w:type="spellStart"/>
            <w:r w:rsidRPr="00A91B21">
              <w:rPr>
                <w:rFonts w:ascii="Garamond" w:eastAsiaTheme="minorHAnsi" w:hAnsi="Garamond" w:cs="Times New Roman"/>
                <w:color w:val="000000"/>
                <w:sz w:val="24"/>
                <w:szCs w:val="24"/>
              </w:rPr>
              <w:t>Fiona</w:t>
            </w:r>
            <w:proofErr w:type="spellEnd"/>
            <w:r w:rsidRPr="00A91B21">
              <w:rPr>
                <w:rFonts w:ascii="Garamond" w:eastAsiaTheme="minorHAnsi" w:hAnsi="Garamond" w:cs="Times New Roman"/>
                <w:color w:val="000000"/>
                <w:sz w:val="24"/>
                <w:szCs w:val="24"/>
              </w:rPr>
              <w:t xml:space="preserve"> </w:t>
            </w:r>
            <w:proofErr w:type="spellStart"/>
            <w:r w:rsidRPr="00A91B21">
              <w:rPr>
                <w:rFonts w:ascii="Garamond" w:eastAsiaTheme="minorHAnsi" w:hAnsi="Garamond" w:cs="Times New Roman"/>
                <w:color w:val="000000"/>
                <w:sz w:val="24"/>
                <w:szCs w:val="24"/>
              </w:rPr>
              <w:t>Papajorgji</w:t>
            </w:r>
            <w:proofErr w:type="spellEnd"/>
            <w:r w:rsidR="00A91B21">
              <w:rPr>
                <w:rFonts w:ascii="Garamond" w:eastAsiaTheme="minorHAnsi" w:hAnsi="Garamond" w:cs="Times New Roman"/>
                <w:color w:val="000000"/>
                <w:sz w:val="24"/>
                <w:szCs w:val="24"/>
              </w:rPr>
              <w:t>,</w:t>
            </w:r>
          </w:p>
        </w:tc>
        <w:tc>
          <w:tcPr>
            <w:tcW w:w="1418" w:type="dxa"/>
          </w:tcPr>
          <w:p w14:paraId="5BD164E5" w14:textId="78039393" w:rsidR="00D7711E" w:rsidRPr="00A91B21" w:rsidRDefault="00A91B21" w:rsidP="00A91B21">
            <w:pPr>
              <w:autoSpaceDE w:val="0"/>
              <w:autoSpaceDN w:val="0"/>
              <w:adjustRightInd w:val="0"/>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 kryetare</w:t>
            </w:r>
            <w:r>
              <w:rPr>
                <w:rFonts w:ascii="Garamond" w:eastAsiaTheme="minorHAnsi" w:hAnsi="Garamond" w:cs="Times New Roman"/>
                <w:color w:val="000000"/>
                <w:sz w:val="24"/>
                <w:szCs w:val="24"/>
              </w:rPr>
              <w:t>;</w:t>
            </w:r>
          </w:p>
        </w:tc>
      </w:tr>
      <w:tr w:rsidR="00D7711E" w:rsidRPr="00A91B21" w14:paraId="16265B42" w14:textId="77777777" w:rsidTr="00D7711E">
        <w:tc>
          <w:tcPr>
            <w:tcW w:w="2405" w:type="dxa"/>
          </w:tcPr>
          <w:p w14:paraId="47D3904D" w14:textId="2262D6FB" w:rsidR="00D7711E" w:rsidRPr="00A91B21" w:rsidRDefault="00D7711E" w:rsidP="009E0692">
            <w:pPr>
              <w:autoSpaceDE w:val="0"/>
              <w:autoSpaceDN w:val="0"/>
              <w:adjustRightInd w:val="0"/>
              <w:rPr>
                <w:rFonts w:ascii="Garamond" w:eastAsiaTheme="minorHAnsi" w:hAnsi="Garamond" w:cs="Times New Roman"/>
                <w:color w:val="000000"/>
                <w:sz w:val="24"/>
                <w:szCs w:val="24"/>
              </w:rPr>
            </w:pPr>
            <w:proofErr w:type="spellStart"/>
            <w:r w:rsidRPr="00A91B21">
              <w:rPr>
                <w:rFonts w:ascii="Garamond" w:eastAsiaTheme="minorHAnsi" w:hAnsi="Garamond" w:cs="Times New Roman"/>
                <w:color w:val="000000"/>
                <w:sz w:val="24"/>
                <w:szCs w:val="24"/>
              </w:rPr>
              <w:t>Marsida</w:t>
            </w:r>
            <w:proofErr w:type="spellEnd"/>
            <w:r w:rsidRPr="00A91B21">
              <w:rPr>
                <w:rFonts w:ascii="Garamond" w:eastAsiaTheme="minorHAnsi" w:hAnsi="Garamond" w:cs="Times New Roman"/>
                <w:color w:val="000000"/>
                <w:sz w:val="24"/>
                <w:szCs w:val="24"/>
              </w:rPr>
              <w:t xml:space="preserve"> </w:t>
            </w:r>
            <w:proofErr w:type="spellStart"/>
            <w:r w:rsidRPr="00A91B21">
              <w:rPr>
                <w:rFonts w:ascii="Garamond" w:eastAsiaTheme="minorHAnsi" w:hAnsi="Garamond" w:cs="Times New Roman"/>
                <w:color w:val="000000"/>
                <w:sz w:val="24"/>
                <w:szCs w:val="24"/>
              </w:rPr>
              <w:t>Xhaferllari</w:t>
            </w:r>
            <w:proofErr w:type="spellEnd"/>
            <w:r w:rsidR="00A91B21">
              <w:rPr>
                <w:rFonts w:ascii="Garamond" w:eastAsiaTheme="minorHAnsi" w:hAnsi="Garamond" w:cs="Times New Roman"/>
                <w:color w:val="000000"/>
                <w:sz w:val="24"/>
                <w:szCs w:val="24"/>
              </w:rPr>
              <w:t>,</w:t>
            </w:r>
          </w:p>
        </w:tc>
        <w:tc>
          <w:tcPr>
            <w:tcW w:w="1418" w:type="dxa"/>
          </w:tcPr>
          <w:p w14:paraId="1A53A67A" w14:textId="0B710361" w:rsidR="00D7711E" w:rsidRPr="00A91B21" w:rsidRDefault="00A91B21" w:rsidP="00A91B21">
            <w:pPr>
              <w:autoSpaceDE w:val="0"/>
              <w:autoSpaceDN w:val="0"/>
              <w:adjustRightInd w:val="0"/>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 </w:t>
            </w:r>
            <w:r>
              <w:rPr>
                <w:rFonts w:ascii="Garamond" w:eastAsiaTheme="minorHAnsi" w:hAnsi="Garamond" w:cs="Times New Roman"/>
                <w:color w:val="000000"/>
                <w:sz w:val="24"/>
                <w:szCs w:val="24"/>
              </w:rPr>
              <w:t>anëtare;</w:t>
            </w:r>
          </w:p>
        </w:tc>
      </w:tr>
      <w:tr w:rsidR="00D7711E" w:rsidRPr="00A91B21" w14:paraId="122D0BD5" w14:textId="77777777" w:rsidTr="00D7711E">
        <w:tc>
          <w:tcPr>
            <w:tcW w:w="2405" w:type="dxa"/>
          </w:tcPr>
          <w:p w14:paraId="5887AAA6" w14:textId="44DE1ED8" w:rsidR="00D7711E" w:rsidRPr="00A91B21" w:rsidRDefault="00D7711E" w:rsidP="009E0692">
            <w:pPr>
              <w:autoSpaceDE w:val="0"/>
              <w:autoSpaceDN w:val="0"/>
              <w:adjustRightInd w:val="0"/>
              <w:rPr>
                <w:rFonts w:ascii="Garamond" w:eastAsiaTheme="minorHAnsi" w:hAnsi="Garamond" w:cs="Times New Roman"/>
                <w:color w:val="000000"/>
                <w:sz w:val="24"/>
                <w:szCs w:val="24"/>
              </w:rPr>
            </w:pPr>
            <w:proofErr w:type="spellStart"/>
            <w:r w:rsidRPr="00A91B21">
              <w:rPr>
                <w:rFonts w:ascii="Garamond" w:eastAsiaTheme="minorHAnsi" w:hAnsi="Garamond" w:cs="Times New Roman"/>
                <w:color w:val="000000"/>
                <w:sz w:val="24"/>
                <w:szCs w:val="24"/>
              </w:rPr>
              <w:t>Sonila</w:t>
            </w:r>
            <w:proofErr w:type="spellEnd"/>
            <w:r w:rsidRPr="00A91B21">
              <w:rPr>
                <w:rFonts w:ascii="Garamond" w:eastAsiaTheme="minorHAnsi" w:hAnsi="Garamond" w:cs="Times New Roman"/>
                <w:color w:val="000000"/>
                <w:sz w:val="24"/>
                <w:szCs w:val="24"/>
              </w:rPr>
              <w:t xml:space="preserve"> Bejtja</w:t>
            </w:r>
            <w:r w:rsidR="00A91B21">
              <w:rPr>
                <w:rFonts w:ascii="Garamond" w:eastAsiaTheme="minorHAnsi" w:hAnsi="Garamond" w:cs="Times New Roman"/>
                <w:color w:val="000000"/>
                <w:sz w:val="24"/>
                <w:szCs w:val="24"/>
              </w:rPr>
              <w:t>,</w:t>
            </w:r>
          </w:p>
        </w:tc>
        <w:tc>
          <w:tcPr>
            <w:tcW w:w="1418" w:type="dxa"/>
          </w:tcPr>
          <w:p w14:paraId="67AA7A91" w14:textId="561C0CD4" w:rsidR="00D7711E" w:rsidRPr="00A91B21" w:rsidRDefault="00A91B21" w:rsidP="00A91B21">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w:t>
            </w:r>
            <w:r w:rsidRPr="00A91B21">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D7711E" w:rsidRPr="00A91B21" w14:paraId="5E64E128" w14:textId="77777777" w:rsidTr="00D7711E">
        <w:tc>
          <w:tcPr>
            <w:tcW w:w="2405" w:type="dxa"/>
          </w:tcPr>
          <w:p w14:paraId="652BA738" w14:textId="18521F22" w:rsidR="00D7711E" w:rsidRPr="00A91B21" w:rsidRDefault="00D7711E" w:rsidP="009E0692">
            <w:pPr>
              <w:autoSpaceDE w:val="0"/>
              <w:autoSpaceDN w:val="0"/>
              <w:adjustRightInd w:val="0"/>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Ilir Toska</w:t>
            </w:r>
            <w:r w:rsidR="00A91B21">
              <w:rPr>
                <w:rFonts w:ascii="Garamond" w:eastAsiaTheme="minorHAnsi" w:hAnsi="Garamond" w:cs="Times New Roman"/>
                <w:color w:val="000000"/>
                <w:sz w:val="24"/>
                <w:szCs w:val="24"/>
              </w:rPr>
              <w:t>,</w:t>
            </w:r>
          </w:p>
        </w:tc>
        <w:tc>
          <w:tcPr>
            <w:tcW w:w="1418" w:type="dxa"/>
          </w:tcPr>
          <w:p w14:paraId="56BAFC10" w14:textId="5EDAF3AD" w:rsidR="00D7711E" w:rsidRPr="00A91B21" w:rsidRDefault="00A91B21" w:rsidP="00A91B21">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anëtar;</w:t>
            </w:r>
          </w:p>
        </w:tc>
      </w:tr>
      <w:tr w:rsidR="00D7711E" w:rsidRPr="00A91B21" w14:paraId="4E72980E" w14:textId="77777777" w:rsidTr="00D7711E">
        <w:tc>
          <w:tcPr>
            <w:tcW w:w="2405" w:type="dxa"/>
          </w:tcPr>
          <w:p w14:paraId="5F1E9239" w14:textId="21812CF3" w:rsidR="00D7711E" w:rsidRPr="00A91B21" w:rsidRDefault="00D7711E" w:rsidP="009E0692">
            <w:pPr>
              <w:autoSpaceDE w:val="0"/>
              <w:autoSpaceDN w:val="0"/>
              <w:adjustRightInd w:val="0"/>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Genti Ibrahimi</w:t>
            </w:r>
            <w:r w:rsidR="00A91B21">
              <w:rPr>
                <w:rFonts w:ascii="Garamond" w:eastAsiaTheme="minorHAnsi" w:hAnsi="Garamond" w:cs="Times New Roman"/>
                <w:color w:val="000000"/>
                <w:sz w:val="24"/>
                <w:szCs w:val="24"/>
              </w:rPr>
              <w:t>,</w:t>
            </w:r>
          </w:p>
        </w:tc>
        <w:tc>
          <w:tcPr>
            <w:tcW w:w="1418" w:type="dxa"/>
          </w:tcPr>
          <w:p w14:paraId="32DC749E" w14:textId="37C8AD07" w:rsidR="00D7711E" w:rsidRPr="00A91B21" w:rsidRDefault="00A91B21" w:rsidP="00A91B21">
            <w:pPr>
              <w:autoSpaceDE w:val="0"/>
              <w:autoSpaceDN w:val="0"/>
              <w:adjustRightInd w:val="0"/>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 </w:t>
            </w:r>
            <w:r>
              <w:rPr>
                <w:rFonts w:ascii="Garamond" w:eastAsiaTheme="minorHAnsi" w:hAnsi="Garamond" w:cs="Times New Roman"/>
                <w:color w:val="000000"/>
                <w:sz w:val="24"/>
                <w:szCs w:val="24"/>
              </w:rPr>
              <w:t>anëtar;</w:t>
            </w:r>
          </w:p>
        </w:tc>
      </w:tr>
      <w:tr w:rsidR="00D7711E" w:rsidRPr="00A91B21" w14:paraId="272907E3" w14:textId="77777777" w:rsidTr="00D7711E">
        <w:tc>
          <w:tcPr>
            <w:tcW w:w="2405" w:type="dxa"/>
          </w:tcPr>
          <w:p w14:paraId="1D4035F1" w14:textId="73A638B2" w:rsidR="00D7711E" w:rsidRPr="00A91B21" w:rsidRDefault="00D7711E" w:rsidP="009E0692">
            <w:pPr>
              <w:autoSpaceDE w:val="0"/>
              <w:autoSpaceDN w:val="0"/>
              <w:adjustRightInd w:val="0"/>
              <w:rPr>
                <w:rFonts w:ascii="Garamond" w:eastAsiaTheme="minorHAnsi" w:hAnsi="Garamond" w:cs="Times New Roman"/>
                <w:color w:val="000000"/>
                <w:sz w:val="24"/>
                <w:szCs w:val="24"/>
              </w:rPr>
            </w:pPr>
            <w:proofErr w:type="spellStart"/>
            <w:r w:rsidRPr="00A91B21">
              <w:rPr>
                <w:rFonts w:ascii="Garamond" w:eastAsiaTheme="minorHAnsi" w:hAnsi="Garamond" w:cs="Times New Roman"/>
                <w:color w:val="000000"/>
                <w:sz w:val="24"/>
                <w:szCs w:val="24"/>
              </w:rPr>
              <w:t>Marjana</w:t>
            </w:r>
            <w:proofErr w:type="spellEnd"/>
            <w:r w:rsidRPr="00A91B21">
              <w:rPr>
                <w:rFonts w:ascii="Garamond" w:eastAsiaTheme="minorHAnsi" w:hAnsi="Garamond" w:cs="Times New Roman"/>
                <w:color w:val="000000"/>
                <w:sz w:val="24"/>
                <w:szCs w:val="24"/>
              </w:rPr>
              <w:t xml:space="preserve"> </w:t>
            </w:r>
            <w:proofErr w:type="spellStart"/>
            <w:r w:rsidRPr="00A91B21">
              <w:rPr>
                <w:rFonts w:ascii="Garamond" w:eastAsiaTheme="minorHAnsi" w:hAnsi="Garamond" w:cs="Times New Roman"/>
                <w:color w:val="000000"/>
                <w:sz w:val="24"/>
                <w:szCs w:val="24"/>
              </w:rPr>
              <w:t>Semini</w:t>
            </w:r>
            <w:proofErr w:type="spellEnd"/>
            <w:r w:rsidR="00A91B21">
              <w:rPr>
                <w:rFonts w:ascii="Garamond" w:eastAsiaTheme="minorHAnsi" w:hAnsi="Garamond" w:cs="Times New Roman"/>
                <w:color w:val="000000"/>
                <w:sz w:val="24"/>
                <w:szCs w:val="24"/>
              </w:rPr>
              <w:t>,</w:t>
            </w:r>
          </w:p>
        </w:tc>
        <w:tc>
          <w:tcPr>
            <w:tcW w:w="1418" w:type="dxa"/>
          </w:tcPr>
          <w:p w14:paraId="436224C2" w14:textId="1A6C4978" w:rsidR="00D7711E" w:rsidRPr="00A91B21" w:rsidRDefault="00A91B21" w:rsidP="00A91B21">
            <w:pPr>
              <w:autoSpaceDE w:val="0"/>
              <w:autoSpaceDN w:val="0"/>
              <w:adjustRightInd w:val="0"/>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 anëtare</w:t>
            </w:r>
            <w:r>
              <w:rPr>
                <w:rFonts w:ascii="Garamond" w:eastAsiaTheme="minorHAnsi" w:hAnsi="Garamond" w:cs="Times New Roman"/>
                <w:color w:val="000000"/>
                <w:sz w:val="24"/>
                <w:szCs w:val="24"/>
              </w:rPr>
              <w:t>;</w:t>
            </w:r>
          </w:p>
        </w:tc>
      </w:tr>
      <w:tr w:rsidR="00D7711E" w:rsidRPr="00A91B21" w14:paraId="7E1829CF" w14:textId="77777777" w:rsidTr="00D7711E">
        <w:tc>
          <w:tcPr>
            <w:tcW w:w="2405" w:type="dxa"/>
          </w:tcPr>
          <w:p w14:paraId="6C204809" w14:textId="4AD9FD60" w:rsidR="00D7711E" w:rsidRPr="00A91B21" w:rsidRDefault="00D7711E" w:rsidP="009E0692">
            <w:pPr>
              <w:autoSpaceDE w:val="0"/>
              <w:autoSpaceDN w:val="0"/>
              <w:adjustRightInd w:val="0"/>
              <w:jc w:val="both"/>
              <w:rPr>
                <w:rFonts w:ascii="Garamond" w:eastAsiaTheme="minorHAnsi" w:hAnsi="Garamond" w:cs="Times New Roman"/>
                <w:color w:val="000000"/>
                <w:sz w:val="24"/>
                <w:szCs w:val="24"/>
              </w:rPr>
            </w:pPr>
            <w:proofErr w:type="spellStart"/>
            <w:r w:rsidRPr="00A91B21">
              <w:rPr>
                <w:rFonts w:ascii="Garamond" w:eastAsiaTheme="minorHAnsi" w:hAnsi="Garamond" w:cs="Times New Roman"/>
                <w:color w:val="000000"/>
                <w:sz w:val="24"/>
                <w:szCs w:val="24"/>
              </w:rPr>
              <w:t>Asim</w:t>
            </w:r>
            <w:proofErr w:type="spellEnd"/>
            <w:r w:rsidRPr="00A91B21">
              <w:rPr>
                <w:rFonts w:ascii="Garamond" w:eastAsiaTheme="minorHAnsi" w:hAnsi="Garamond" w:cs="Times New Roman"/>
                <w:color w:val="000000"/>
                <w:sz w:val="24"/>
                <w:szCs w:val="24"/>
              </w:rPr>
              <w:t xml:space="preserve"> </w:t>
            </w:r>
            <w:proofErr w:type="spellStart"/>
            <w:r w:rsidRPr="00A91B21">
              <w:rPr>
                <w:rFonts w:ascii="Garamond" w:eastAsiaTheme="minorHAnsi" w:hAnsi="Garamond" w:cs="Times New Roman"/>
                <w:color w:val="000000"/>
                <w:sz w:val="24"/>
                <w:szCs w:val="24"/>
              </w:rPr>
              <w:t>Vokshi</w:t>
            </w:r>
            <w:proofErr w:type="spellEnd"/>
            <w:r w:rsidR="00A91B21">
              <w:rPr>
                <w:rFonts w:ascii="Garamond" w:eastAsiaTheme="minorHAnsi" w:hAnsi="Garamond" w:cs="Times New Roman"/>
                <w:color w:val="000000"/>
                <w:sz w:val="24"/>
                <w:szCs w:val="24"/>
              </w:rPr>
              <w:t>,</w:t>
            </w:r>
          </w:p>
        </w:tc>
        <w:tc>
          <w:tcPr>
            <w:tcW w:w="1418" w:type="dxa"/>
          </w:tcPr>
          <w:p w14:paraId="2D78606E" w14:textId="29F5FC50" w:rsidR="00D7711E" w:rsidRPr="00A91B21" w:rsidRDefault="00A91B21" w:rsidP="00A91B21">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w:t>
            </w:r>
            <w:r w:rsidRPr="00A91B21">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D7711E" w:rsidRPr="00A91B21" w14:paraId="1AF90FE8" w14:textId="77777777" w:rsidTr="00D7711E">
        <w:tc>
          <w:tcPr>
            <w:tcW w:w="2405" w:type="dxa"/>
          </w:tcPr>
          <w:p w14:paraId="0008DFD7" w14:textId="27DA1754" w:rsidR="00D7711E" w:rsidRPr="00A91B21" w:rsidRDefault="00D7711E" w:rsidP="009E0692">
            <w:pPr>
              <w:autoSpaceDE w:val="0"/>
              <w:autoSpaceDN w:val="0"/>
              <w:adjustRightInd w:val="0"/>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 </w:t>
            </w:r>
            <w:proofErr w:type="spellStart"/>
            <w:r w:rsidRPr="00A91B21">
              <w:rPr>
                <w:rFonts w:ascii="Garamond" w:eastAsiaTheme="minorHAnsi" w:hAnsi="Garamond" w:cs="Times New Roman"/>
                <w:color w:val="000000"/>
                <w:sz w:val="24"/>
                <w:szCs w:val="24"/>
              </w:rPr>
              <w:t>Sandër</w:t>
            </w:r>
            <w:proofErr w:type="spellEnd"/>
            <w:r w:rsidRPr="00A91B21">
              <w:rPr>
                <w:rFonts w:ascii="Garamond" w:eastAsiaTheme="minorHAnsi" w:hAnsi="Garamond" w:cs="Times New Roman"/>
                <w:color w:val="000000"/>
                <w:sz w:val="24"/>
                <w:szCs w:val="24"/>
              </w:rPr>
              <w:t xml:space="preserve"> Beci</w:t>
            </w:r>
            <w:r w:rsidR="00A91B21">
              <w:rPr>
                <w:rFonts w:ascii="Garamond" w:eastAsiaTheme="minorHAnsi" w:hAnsi="Garamond" w:cs="Times New Roman"/>
                <w:color w:val="000000"/>
                <w:sz w:val="24"/>
                <w:szCs w:val="24"/>
              </w:rPr>
              <w:t>,</w:t>
            </w:r>
          </w:p>
        </w:tc>
        <w:tc>
          <w:tcPr>
            <w:tcW w:w="1418" w:type="dxa"/>
          </w:tcPr>
          <w:p w14:paraId="6F7FF579" w14:textId="53E21C7F" w:rsidR="00D7711E" w:rsidRPr="00A91B21" w:rsidRDefault="00A91B21" w:rsidP="00A91B21">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 xml:space="preserve"> </w:t>
            </w:r>
            <w:r w:rsidRPr="00A91B21">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bl>
    <w:p w14:paraId="37D11514" w14:textId="305C3BBC" w:rsidR="00A552BA" w:rsidRPr="00A91B21" w:rsidRDefault="00A552BA"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me sekre</w:t>
      </w:r>
      <w:r w:rsidR="00A91B21">
        <w:rPr>
          <w:rFonts w:ascii="Garamond" w:eastAsiaTheme="minorHAnsi" w:hAnsi="Garamond" w:cs="Times New Roman"/>
          <w:color w:val="000000"/>
          <w:sz w:val="24"/>
          <w:szCs w:val="24"/>
        </w:rPr>
        <w:t xml:space="preserve">tare </w:t>
      </w:r>
      <w:proofErr w:type="spellStart"/>
      <w:r w:rsidR="00A91B21">
        <w:rPr>
          <w:rFonts w:ascii="Garamond" w:eastAsiaTheme="minorHAnsi" w:hAnsi="Garamond" w:cs="Times New Roman"/>
          <w:color w:val="000000"/>
          <w:sz w:val="24"/>
          <w:szCs w:val="24"/>
        </w:rPr>
        <w:t>Farisja</w:t>
      </w:r>
      <w:proofErr w:type="spellEnd"/>
      <w:r w:rsidR="00A91B21">
        <w:rPr>
          <w:rFonts w:ascii="Garamond" w:eastAsiaTheme="minorHAnsi" w:hAnsi="Garamond" w:cs="Times New Roman"/>
          <w:color w:val="000000"/>
          <w:sz w:val="24"/>
          <w:szCs w:val="24"/>
        </w:rPr>
        <w:t xml:space="preserve"> </w:t>
      </w:r>
      <w:proofErr w:type="spellStart"/>
      <w:r w:rsidR="00A91B21">
        <w:rPr>
          <w:rFonts w:ascii="Garamond" w:eastAsiaTheme="minorHAnsi" w:hAnsi="Garamond" w:cs="Times New Roman"/>
          <w:color w:val="000000"/>
          <w:sz w:val="24"/>
          <w:szCs w:val="24"/>
        </w:rPr>
        <w:t>Idrizaj</w:t>
      </w:r>
      <w:proofErr w:type="spellEnd"/>
      <w:r w:rsidR="00A91B21">
        <w:rPr>
          <w:rFonts w:ascii="Garamond" w:eastAsiaTheme="minorHAnsi" w:hAnsi="Garamond" w:cs="Times New Roman"/>
          <w:color w:val="000000"/>
          <w:sz w:val="24"/>
          <w:szCs w:val="24"/>
        </w:rPr>
        <w:t>, në datën 2.</w:t>
      </w:r>
      <w:r w:rsidRPr="00A91B21">
        <w:rPr>
          <w:rFonts w:ascii="Garamond" w:eastAsiaTheme="minorHAnsi" w:hAnsi="Garamond" w:cs="Times New Roman"/>
          <w:color w:val="000000"/>
          <w:sz w:val="24"/>
          <w:szCs w:val="24"/>
        </w:rPr>
        <w:t>6.2026</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mori në shqyrtim në seancë plenare mbi bazë të dokumenteve kërkesën nr. 5 (Z) 2025 të Regjistrit Themeltar, që u përket:</w:t>
      </w:r>
    </w:p>
    <w:p w14:paraId="23855D10" w14:textId="1F2702DC" w:rsidR="00A552BA" w:rsidRPr="00A91B21" w:rsidRDefault="00A552BA" w:rsidP="00A552BA">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bCs/>
          <w:color w:val="000000"/>
          <w:sz w:val="24"/>
          <w:szCs w:val="24"/>
        </w:rPr>
        <w:t xml:space="preserve">KËRKUESE: </w:t>
      </w:r>
      <w:r w:rsidR="00A91B21" w:rsidRPr="00A91B21">
        <w:rPr>
          <w:rFonts w:ascii="Garamond" w:eastAsiaTheme="minorHAnsi" w:hAnsi="Garamond" w:cs="Times New Roman"/>
          <w:bCs/>
          <w:color w:val="000000"/>
          <w:sz w:val="24"/>
          <w:szCs w:val="24"/>
        </w:rPr>
        <w:t xml:space="preserve">Shoqëria </w:t>
      </w:r>
      <w:r w:rsidRPr="00A91B21">
        <w:rPr>
          <w:rFonts w:ascii="Garamond" w:eastAsiaTheme="minorHAnsi" w:hAnsi="Garamond" w:cs="Times New Roman"/>
          <w:bCs/>
          <w:color w:val="000000"/>
          <w:sz w:val="24"/>
          <w:szCs w:val="24"/>
        </w:rPr>
        <w:t>“</w:t>
      </w:r>
      <w:r w:rsidR="00A91B21" w:rsidRPr="00A91B21">
        <w:rPr>
          <w:rFonts w:ascii="Garamond" w:eastAsiaTheme="minorHAnsi" w:hAnsi="Garamond" w:cs="Times New Roman"/>
          <w:bCs/>
          <w:color w:val="000000"/>
          <w:sz w:val="24"/>
          <w:szCs w:val="24"/>
        </w:rPr>
        <w:t>Zyra e</w:t>
      </w:r>
      <w:r w:rsidRPr="00A91B21">
        <w:rPr>
          <w:rFonts w:ascii="Garamond" w:eastAsiaTheme="minorHAnsi" w:hAnsi="Garamond" w:cs="Times New Roman"/>
          <w:bCs/>
          <w:color w:val="000000"/>
          <w:sz w:val="24"/>
          <w:szCs w:val="24"/>
        </w:rPr>
        <w:t xml:space="preserve"> </w:t>
      </w:r>
      <w:r w:rsidR="00A91B21" w:rsidRPr="00A91B21">
        <w:rPr>
          <w:rFonts w:ascii="Garamond" w:eastAsiaTheme="minorHAnsi" w:hAnsi="Garamond" w:cs="Times New Roman"/>
          <w:bCs/>
          <w:color w:val="000000"/>
          <w:sz w:val="24"/>
          <w:szCs w:val="24"/>
        </w:rPr>
        <w:t xml:space="preserve">Përmbarimit Privat </w:t>
      </w:r>
      <w:r w:rsidRPr="00A91B21">
        <w:rPr>
          <w:rFonts w:ascii="Garamond" w:eastAsiaTheme="minorHAnsi" w:hAnsi="Garamond" w:cs="Times New Roman"/>
          <w:bCs/>
          <w:color w:val="000000"/>
          <w:sz w:val="24"/>
          <w:szCs w:val="24"/>
        </w:rPr>
        <w:t xml:space="preserve">ARB” </w:t>
      </w:r>
      <w:proofErr w:type="spellStart"/>
      <w:r w:rsidR="00A91B21" w:rsidRPr="00A91B21">
        <w:rPr>
          <w:rFonts w:ascii="Garamond" w:eastAsiaTheme="minorHAnsi" w:hAnsi="Garamond" w:cs="Times New Roman"/>
          <w:bCs/>
          <w:color w:val="000000"/>
          <w:sz w:val="24"/>
          <w:szCs w:val="24"/>
        </w:rPr>
        <w:t>sh.p.k</w:t>
      </w:r>
      <w:proofErr w:type="spellEnd"/>
      <w:r w:rsidRPr="00A91B21">
        <w:rPr>
          <w:rFonts w:ascii="Garamond" w:eastAsiaTheme="minorHAnsi" w:hAnsi="Garamond" w:cs="Times New Roman"/>
          <w:bCs/>
          <w:color w:val="000000"/>
          <w:sz w:val="24"/>
          <w:szCs w:val="24"/>
        </w:rPr>
        <w:t>.</w:t>
      </w:r>
      <w:r w:rsidRPr="00A91B21">
        <w:rPr>
          <w:rFonts w:ascii="Garamond" w:eastAsiaTheme="minorHAnsi" w:hAnsi="Garamond" w:cs="Times New Roman"/>
          <w:color w:val="000000"/>
          <w:sz w:val="24"/>
          <w:szCs w:val="24"/>
        </w:rPr>
        <w:t>, përfaqësuar nga administratori Alban Ruli.</w:t>
      </w:r>
    </w:p>
    <w:p w14:paraId="6B35B0B5" w14:textId="77777777" w:rsidR="00A552BA" w:rsidRPr="00A91B21" w:rsidRDefault="00A552BA" w:rsidP="00A552BA">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A91B21">
        <w:rPr>
          <w:rFonts w:ascii="Garamond" w:eastAsiaTheme="minorHAnsi" w:hAnsi="Garamond" w:cs="Times New Roman"/>
          <w:bCs/>
          <w:color w:val="000000"/>
          <w:sz w:val="24"/>
          <w:szCs w:val="24"/>
        </w:rPr>
        <w:t>SUBJEKTE TË INTERESUARA:</w:t>
      </w:r>
    </w:p>
    <w:p w14:paraId="05C8EFE4" w14:textId="0DF38AFF" w:rsidR="00A552BA" w:rsidRPr="00A91B21" w:rsidRDefault="00A91B21"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bCs/>
          <w:color w:val="000000"/>
          <w:sz w:val="24"/>
          <w:szCs w:val="24"/>
        </w:rPr>
        <w:t xml:space="preserve">Banka Kombëtare Tregtare </w:t>
      </w:r>
      <w:proofErr w:type="spellStart"/>
      <w:r w:rsidRPr="00A91B21">
        <w:rPr>
          <w:rFonts w:ascii="Garamond" w:eastAsiaTheme="minorHAnsi" w:hAnsi="Garamond" w:cs="Times New Roman"/>
          <w:bCs/>
          <w:color w:val="000000"/>
          <w:sz w:val="24"/>
          <w:szCs w:val="24"/>
        </w:rPr>
        <w:t>sh.a</w:t>
      </w:r>
      <w:proofErr w:type="spellEnd"/>
      <w:r w:rsidR="00A552BA" w:rsidRPr="00A91B21">
        <w:rPr>
          <w:rFonts w:ascii="Garamond" w:eastAsiaTheme="minorHAnsi" w:hAnsi="Garamond" w:cs="Times New Roman"/>
          <w:bCs/>
          <w:color w:val="000000"/>
          <w:sz w:val="24"/>
          <w:szCs w:val="24"/>
        </w:rPr>
        <w:t xml:space="preserve">., </w:t>
      </w:r>
      <w:r w:rsidR="00A552BA" w:rsidRPr="00A91B21">
        <w:rPr>
          <w:rFonts w:ascii="Garamond" w:eastAsiaTheme="minorHAnsi" w:hAnsi="Garamond" w:cs="Times New Roman"/>
          <w:color w:val="000000"/>
          <w:sz w:val="24"/>
          <w:szCs w:val="24"/>
        </w:rPr>
        <w:t>në mungesë.</w:t>
      </w:r>
    </w:p>
    <w:p w14:paraId="08A7B31B" w14:textId="4F7295B7" w:rsidR="00A552BA" w:rsidRPr="00A91B21" w:rsidRDefault="00A91B21" w:rsidP="00A552BA">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A91B21">
        <w:rPr>
          <w:rFonts w:ascii="Garamond" w:eastAsiaTheme="minorHAnsi" w:hAnsi="Garamond" w:cs="Times New Roman"/>
          <w:bCs/>
          <w:color w:val="000000"/>
          <w:sz w:val="24"/>
          <w:szCs w:val="24"/>
        </w:rPr>
        <w:t xml:space="preserve">Korporata </w:t>
      </w:r>
      <w:proofErr w:type="spellStart"/>
      <w:r w:rsidRPr="00A91B21">
        <w:rPr>
          <w:rFonts w:ascii="Garamond" w:eastAsiaTheme="minorHAnsi" w:hAnsi="Garamond" w:cs="Times New Roman"/>
          <w:bCs/>
          <w:color w:val="000000"/>
          <w:sz w:val="24"/>
          <w:szCs w:val="24"/>
        </w:rPr>
        <w:t>Elektroenergjetike</w:t>
      </w:r>
      <w:proofErr w:type="spellEnd"/>
      <w:r w:rsidRPr="00A91B21">
        <w:rPr>
          <w:rFonts w:ascii="Garamond" w:eastAsiaTheme="minorHAnsi" w:hAnsi="Garamond" w:cs="Times New Roman"/>
          <w:bCs/>
          <w:color w:val="000000"/>
          <w:sz w:val="24"/>
          <w:szCs w:val="24"/>
        </w:rPr>
        <w:t xml:space="preserve"> Shqiptare </w:t>
      </w:r>
      <w:proofErr w:type="spellStart"/>
      <w:r w:rsidRPr="00A91B21">
        <w:rPr>
          <w:rFonts w:ascii="Garamond" w:eastAsiaTheme="minorHAnsi" w:hAnsi="Garamond" w:cs="Times New Roman"/>
          <w:bCs/>
          <w:color w:val="000000"/>
          <w:sz w:val="24"/>
          <w:szCs w:val="24"/>
        </w:rPr>
        <w:t>sh.a</w:t>
      </w:r>
      <w:proofErr w:type="spellEnd"/>
      <w:r w:rsidRPr="00A91B21">
        <w:rPr>
          <w:rFonts w:ascii="Garamond" w:eastAsiaTheme="minorHAnsi" w:hAnsi="Garamond" w:cs="Times New Roman"/>
          <w:bCs/>
          <w:color w:val="000000"/>
          <w:sz w:val="24"/>
          <w:szCs w:val="24"/>
        </w:rPr>
        <w:t>.</w:t>
      </w:r>
      <w:r w:rsidRPr="00A91B21">
        <w:rPr>
          <w:rFonts w:ascii="Garamond" w:eastAsiaTheme="minorHAnsi" w:hAnsi="Garamond" w:cs="Times New Roman"/>
          <w:color w:val="000000"/>
          <w:sz w:val="24"/>
          <w:szCs w:val="24"/>
        </w:rPr>
        <w:t>,</w:t>
      </w:r>
      <w:r w:rsidRPr="00A91B21">
        <w:rPr>
          <w:rFonts w:ascii="Garamond" w:eastAsiaTheme="minorHAnsi" w:hAnsi="Garamond" w:cs="Times New Roman"/>
          <w:bCs/>
          <w:color w:val="000000"/>
          <w:sz w:val="24"/>
          <w:szCs w:val="24"/>
        </w:rPr>
        <w:t xml:space="preserve"> </w:t>
      </w:r>
      <w:r w:rsidR="00A552BA" w:rsidRPr="00A91B21">
        <w:rPr>
          <w:rFonts w:ascii="Garamond" w:eastAsiaTheme="minorHAnsi" w:hAnsi="Garamond" w:cs="Times New Roman"/>
          <w:color w:val="000000"/>
          <w:sz w:val="24"/>
          <w:szCs w:val="24"/>
        </w:rPr>
        <w:t>në mungesë.</w:t>
      </w:r>
      <w:r w:rsidR="00A552BA" w:rsidRPr="00A91B21">
        <w:rPr>
          <w:rFonts w:ascii="Garamond" w:eastAsiaTheme="minorHAnsi" w:hAnsi="Garamond" w:cs="Times New Roman"/>
          <w:bCs/>
          <w:color w:val="000000"/>
          <w:sz w:val="24"/>
          <w:szCs w:val="24"/>
        </w:rPr>
        <w:t xml:space="preserve"> </w:t>
      </w:r>
    </w:p>
    <w:p w14:paraId="1531467F" w14:textId="0EF3D908" w:rsidR="00A552BA" w:rsidRPr="00A91B21" w:rsidRDefault="00A552BA" w:rsidP="00A552BA">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A91B21">
        <w:rPr>
          <w:rFonts w:ascii="Garamond" w:eastAsiaTheme="minorHAnsi" w:hAnsi="Garamond" w:cs="Times New Roman"/>
          <w:bCs/>
          <w:color w:val="000000"/>
          <w:sz w:val="24"/>
          <w:szCs w:val="24"/>
        </w:rPr>
        <w:t>OBJEKTI: Rihapja e procesit/ve gjyqësor/e r</w:t>
      </w:r>
      <w:r w:rsidR="00A91B21">
        <w:rPr>
          <w:rFonts w:ascii="Garamond" w:eastAsiaTheme="minorHAnsi" w:hAnsi="Garamond" w:cs="Times New Roman"/>
          <w:bCs/>
          <w:color w:val="000000"/>
          <w:sz w:val="24"/>
          <w:szCs w:val="24"/>
        </w:rPr>
        <w:t>eferuar vendimeve nr. 34, datë 1.11.2021, nr. 57, datë 20.</w:t>
      </w:r>
      <w:r w:rsidRPr="00A91B21">
        <w:rPr>
          <w:rFonts w:ascii="Garamond" w:eastAsiaTheme="minorHAnsi" w:hAnsi="Garamond" w:cs="Times New Roman"/>
          <w:bCs/>
          <w:color w:val="000000"/>
          <w:sz w:val="24"/>
          <w:szCs w:val="24"/>
        </w:rPr>
        <w:t>5.2022 dhe nr. 80, datë 21.11.2024</w:t>
      </w:r>
      <w:r w:rsidR="00A91B21">
        <w:rPr>
          <w:rFonts w:ascii="Garamond" w:eastAsiaTheme="minorHAnsi" w:hAnsi="Garamond" w:cs="Times New Roman"/>
          <w:bCs/>
          <w:color w:val="000000"/>
          <w:sz w:val="24"/>
          <w:szCs w:val="24"/>
        </w:rPr>
        <w:t>,</w:t>
      </w:r>
      <w:r w:rsidRPr="00A91B21">
        <w:rPr>
          <w:rFonts w:ascii="Garamond" w:eastAsiaTheme="minorHAnsi" w:hAnsi="Garamond" w:cs="Times New Roman"/>
          <w:bCs/>
          <w:color w:val="000000"/>
          <w:sz w:val="24"/>
          <w:szCs w:val="24"/>
        </w:rPr>
        <w:t xml:space="preserve"> të Gjykatës Kushtetuese (individualisht identifikuar si vendimet nr. 34/2021, nr. 57/2022 dhe nr. 80/2024 dhe/ose bashkërisht vendimet e viteve 2021/2022/2004). </w:t>
      </w:r>
    </w:p>
    <w:p w14:paraId="1E6A26FE" w14:textId="60979F09" w:rsidR="00A552BA" w:rsidRPr="00A91B21" w:rsidRDefault="00A91B21" w:rsidP="00A552BA">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Pr>
          <w:rFonts w:ascii="Garamond" w:eastAsiaTheme="minorHAnsi" w:hAnsi="Garamond" w:cs="Times New Roman"/>
          <w:bCs/>
          <w:color w:val="000000"/>
          <w:sz w:val="24"/>
          <w:szCs w:val="24"/>
        </w:rPr>
        <w:t xml:space="preserve"> </w:t>
      </w:r>
      <w:r w:rsidR="00A552BA" w:rsidRPr="00A91B21">
        <w:rPr>
          <w:rFonts w:ascii="Garamond" w:eastAsiaTheme="minorHAnsi" w:hAnsi="Garamond" w:cs="Times New Roman"/>
          <w:bCs/>
          <w:color w:val="000000"/>
          <w:sz w:val="24"/>
          <w:szCs w:val="24"/>
        </w:rPr>
        <w:t>Shfuqizimi i vendimeve nr. 34, da</w:t>
      </w:r>
      <w:r>
        <w:rPr>
          <w:rFonts w:ascii="Garamond" w:eastAsiaTheme="minorHAnsi" w:hAnsi="Garamond" w:cs="Times New Roman"/>
          <w:bCs/>
          <w:color w:val="000000"/>
          <w:sz w:val="24"/>
          <w:szCs w:val="24"/>
        </w:rPr>
        <w:t>të 1.11.2021, nr. 57, datë 20.</w:t>
      </w:r>
      <w:r w:rsidR="00A552BA" w:rsidRPr="00A91B21">
        <w:rPr>
          <w:rFonts w:ascii="Garamond" w:eastAsiaTheme="minorHAnsi" w:hAnsi="Garamond" w:cs="Times New Roman"/>
          <w:bCs/>
          <w:color w:val="000000"/>
          <w:sz w:val="24"/>
          <w:szCs w:val="24"/>
        </w:rPr>
        <w:t>5.2022 dhe nr. 80, datë 21.11.2024</w:t>
      </w:r>
      <w:r>
        <w:rPr>
          <w:rFonts w:ascii="Garamond" w:eastAsiaTheme="minorHAnsi" w:hAnsi="Garamond" w:cs="Times New Roman"/>
          <w:bCs/>
          <w:color w:val="000000"/>
          <w:sz w:val="24"/>
          <w:szCs w:val="24"/>
        </w:rPr>
        <w:t>,</w:t>
      </w:r>
      <w:r w:rsidR="00A552BA" w:rsidRPr="00A91B21">
        <w:rPr>
          <w:rFonts w:ascii="Garamond" w:eastAsiaTheme="minorHAnsi" w:hAnsi="Garamond" w:cs="Times New Roman"/>
          <w:bCs/>
          <w:color w:val="000000"/>
          <w:sz w:val="24"/>
          <w:szCs w:val="24"/>
        </w:rPr>
        <w:t xml:space="preserve"> të Gjykatës Kushtetuese dhe pranimi i kërkesës. </w:t>
      </w:r>
    </w:p>
    <w:p w14:paraId="6966A23B" w14:textId="72ECC555" w:rsidR="00A552BA" w:rsidRPr="00A91B21" w:rsidRDefault="00A91B21" w:rsidP="00A552BA">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Pr>
          <w:rFonts w:ascii="Garamond" w:eastAsiaTheme="minorHAnsi" w:hAnsi="Garamond" w:cs="Times New Roman"/>
          <w:bCs/>
          <w:color w:val="000000"/>
          <w:sz w:val="24"/>
          <w:szCs w:val="24"/>
        </w:rPr>
        <w:t xml:space="preserve"> </w:t>
      </w:r>
      <w:r w:rsidR="00A552BA" w:rsidRPr="00A91B21">
        <w:rPr>
          <w:rFonts w:ascii="Garamond" w:eastAsiaTheme="minorHAnsi" w:hAnsi="Garamond" w:cs="Times New Roman"/>
          <w:bCs/>
          <w:color w:val="000000"/>
          <w:sz w:val="24"/>
          <w:szCs w:val="24"/>
        </w:rPr>
        <w:t xml:space="preserve">Konstatimi i mungesës së një mjeti efektiv për konstatimin, dëmshpërblimin dhe përjashtimin e procedurave të sipërpërmendura. </w:t>
      </w:r>
    </w:p>
    <w:p w14:paraId="216AA7F9" w14:textId="492B74D2" w:rsidR="00A552BA" w:rsidRPr="00A91B21" w:rsidRDefault="00A91B21" w:rsidP="00A552BA">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Pr>
          <w:rFonts w:ascii="Garamond" w:eastAsiaTheme="minorHAnsi" w:hAnsi="Garamond" w:cs="Times New Roman"/>
          <w:bCs/>
          <w:color w:val="000000"/>
          <w:sz w:val="24"/>
          <w:szCs w:val="24"/>
        </w:rPr>
        <w:t xml:space="preserve"> </w:t>
      </w:r>
      <w:r w:rsidR="00A552BA" w:rsidRPr="00A91B21">
        <w:rPr>
          <w:rFonts w:ascii="Garamond" w:eastAsiaTheme="minorHAnsi" w:hAnsi="Garamond" w:cs="Times New Roman"/>
          <w:bCs/>
          <w:color w:val="000000"/>
          <w:sz w:val="24"/>
          <w:szCs w:val="24"/>
        </w:rPr>
        <w:t xml:space="preserve">Konstatimi i statusit “viktimë” përgjatë procesit/eve gjyqësor/e, si pasojë dhe rrjedhojë </w:t>
      </w:r>
      <w:proofErr w:type="spellStart"/>
      <w:r w:rsidR="00A552BA" w:rsidRPr="00A91B21">
        <w:rPr>
          <w:rFonts w:ascii="Garamond" w:eastAsiaTheme="minorHAnsi" w:hAnsi="Garamond" w:cs="Times New Roman"/>
          <w:bCs/>
          <w:color w:val="000000"/>
          <w:sz w:val="24"/>
          <w:szCs w:val="24"/>
        </w:rPr>
        <w:t>direkte</w:t>
      </w:r>
      <w:proofErr w:type="spellEnd"/>
      <w:r w:rsidR="00A552BA" w:rsidRPr="00A91B21">
        <w:rPr>
          <w:rFonts w:ascii="Garamond" w:eastAsiaTheme="minorHAnsi" w:hAnsi="Garamond" w:cs="Times New Roman"/>
          <w:bCs/>
          <w:color w:val="000000"/>
          <w:sz w:val="24"/>
          <w:szCs w:val="24"/>
        </w:rPr>
        <w:t xml:space="preserve"> e shkeljes së </w:t>
      </w:r>
      <w:proofErr w:type="spellStart"/>
      <w:r w:rsidR="00A552BA" w:rsidRPr="00A91B21">
        <w:rPr>
          <w:rFonts w:ascii="Garamond" w:eastAsiaTheme="minorHAnsi" w:hAnsi="Garamond" w:cs="Times New Roman"/>
          <w:bCs/>
          <w:color w:val="000000"/>
          <w:sz w:val="24"/>
          <w:szCs w:val="24"/>
        </w:rPr>
        <w:t>aksesit</w:t>
      </w:r>
      <w:proofErr w:type="spellEnd"/>
      <w:r w:rsidR="00A552BA" w:rsidRPr="00A91B21">
        <w:rPr>
          <w:rFonts w:ascii="Garamond" w:eastAsiaTheme="minorHAnsi" w:hAnsi="Garamond" w:cs="Times New Roman"/>
          <w:bCs/>
          <w:color w:val="000000"/>
          <w:sz w:val="24"/>
          <w:szCs w:val="24"/>
        </w:rPr>
        <w:t xml:space="preserve"> në një gjykatë të krijuar më ligj dhe afatit të arsyeshëm në përputhje me çështjen “</w:t>
      </w:r>
      <w:proofErr w:type="spellStart"/>
      <w:r w:rsidR="00A552BA" w:rsidRPr="00A91B21">
        <w:rPr>
          <w:rFonts w:ascii="Garamond" w:eastAsiaTheme="minorHAnsi" w:hAnsi="Garamond" w:cs="Times New Roman"/>
          <w:bCs/>
          <w:color w:val="000000"/>
          <w:sz w:val="24"/>
          <w:szCs w:val="24"/>
        </w:rPr>
        <w:t>Scordino</w:t>
      </w:r>
      <w:proofErr w:type="spellEnd"/>
      <w:r w:rsidR="00A552BA" w:rsidRPr="00A91B21">
        <w:rPr>
          <w:rFonts w:ascii="Garamond" w:eastAsiaTheme="minorHAnsi" w:hAnsi="Garamond" w:cs="Times New Roman"/>
          <w:bCs/>
          <w:color w:val="000000"/>
          <w:sz w:val="24"/>
          <w:szCs w:val="24"/>
        </w:rPr>
        <w:t xml:space="preserve"> kundër Italisë”. </w:t>
      </w:r>
    </w:p>
    <w:p w14:paraId="7DE100F5" w14:textId="0030AAA9" w:rsidR="00A552BA" w:rsidRPr="00A91B21" w:rsidRDefault="00A552BA" w:rsidP="00A552BA">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A91B21">
        <w:rPr>
          <w:rFonts w:ascii="Garamond" w:eastAsiaTheme="minorHAnsi" w:hAnsi="Garamond" w:cs="Times New Roman"/>
          <w:bCs/>
          <w:color w:val="000000"/>
          <w:sz w:val="24"/>
          <w:szCs w:val="24"/>
        </w:rPr>
        <w:t xml:space="preserve">BAZA LIGJORE: Nenet 17, pika 2, 42, 116, pika 1, shkronja “b”, 122 dhe 131, shkronja “f”, të Kushtetutës së Republikës së Shqipërisë </w:t>
      </w:r>
      <w:r w:rsidRPr="00A91B21">
        <w:rPr>
          <w:rFonts w:ascii="Garamond" w:eastAsiaTheme="minorHAnsi" w:hAnsi="Garamond" w:cs="Times New Roman"/>
          <w:bCs/>
          <w:i/>
          <w:iCs/>
          <w:color w:val="000000"/>
          <w:sz w:val="24"/>
          <w:szCs w:val="24"/>
        </w:rPr>
        <w:t>(Kushtetuta)</w:t>
      </w:r>
      <w:r w:rsidRPr="00A91B21">
        <w:rPr>
          <w:rFonts w:ascii="Garamond" w:eastAsiaTheme="minorHAnsi" w:hAnsi="Garamond" w:cs="Times New Roman"/>
          <w:bCs/>
          <w:color w:val="000000"/>
          <w:sz w:val="24"/>
          <w:szCs w:val="24"/>
        </w:rPr>
        <w:t xml:space="preserve">; nenet 6, 13, 19 dhe 46 të Konventës Evropiane për të Drejtat e Njeriut </w:t>
      </w:r>
      <w:r w:rsidRPr="00A91B21">
        <w:rPr>
          <w:rFonts w:ascii="Garamond" w:eastAsiaTheme="minorHAnsi" w:hAnsi="Garamond" w:cs="Times New Roman"/>
          <w:bCs/>
          <w:i/>
          <w:iCs/>
          <w:color w:val="000000"/>
          <w:sz w:val="24"/>
          <w:szCs w:val="24"/>
        </w:rPr>
        <w:t>(KEDNJ)</w:t>
      </w:r>
      <w:r w:rsidRPr="00A91B21">
        <w:rPr>
          <w:rFonts w:ascii="Garamond" w:eastAsiaTheme="minorHAnsi" w:hAnsi="Garamond" w:cs="Times New Roman"/>
          <w:bCs/>
          <w:color w:val="000000"/>
          <w:sz w:val="24"/>
          <w:szCs w:val="24"/>
        </w:rPr>
        <w:t>; neni 71/c</w:t>
      </w:r>
      <w:r w:rsidR="00A91B21">
        <w:rPr>
          <w:rFonts w:ascii="Garamond" w:eastAsiaTheme="minorHAnsi" w:hAnsi="Garamond" w:cs="Times New Roman"/>
          <w:bCs/>
          <w:color w:val="000000"/>
          <w:sz w:val="24"/>
          <w:szCs w:val="24"/>
        </w:rPr>
        <w:t>,</w:t>
      </w:r>
      <w:r w:rsidRPr="00A91B21">
        <w:rPr>
          <w:rFonts w:ascii="Garamond" w:eastAsiaTheme="minorHAnsi" w:hAnsi="Garamond" w:cs="Times New Roman"/>
          <w:bCs/>
          <w:color w:val="000000"/>
          <w:sz w:val="24"/>
          <w:szCs w:val="24"/>
        </w:rPr>
        <w:t xml:space="preserve"> i li</w:t>
      </w:r>
      <w:r w:rsidR="00A91B21">
        <w:rPr>
          <w:rFonts w:ascii="Garamond" w:eastAsiaTheme="minorHAnsi" w:hAnsi="Garamond" w:cs="Times New Roman"/>
          <w:bCs/>
          <w:color w:val="000000"/>
          <w:sz w:val="24"/>
          <w:szCs w:val="24"/>
        </w:rPr>
        <w:t>gjit nr. 8577, datë 10.</w:t>
      </w:r>
      <w:r w:rsidRPr="00A91B21">
        <w:rPr>
          <w:rFonts w:ascii="Garamond" w:eastAsiaTheme="minorHAnsi" w:hAnsi="Garamond" w:cs="Times New Roman"/>
          <w:bCs/>
          <w:color w:val="000000"/>
          <w:sz w:val="24"/>
          <w:szCs w:val="24"/>
        </w:rPr>
        <w:t>2.2000</w:t>
      </w:r>
      <w:r w:rsidR="00A91B21">
        <w:rPr>
          <w:rFonts w:ascii="Garamond" w:eastAsiaTheme="minorHAnsi" w:hAnsi="Garamond" w:cs="Times New Roman"/>
          <w:bCs/>
          <w:color w:val="000000"/>
          <w:sz w:val="24"/>
          <w:szCs w:val="24"/>
        </w:rPr>
        <w:t>,</w:t>
      </w:r>
      <w:r w:rsidRPr="00A91B21">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A91B21">
        <w:rPr>
          <w:rFonts w:ascii="Garamond" w:eastAsiaTheme="minorHAnsi" w:hAnsi="Garamond" w:cs="Times New Roman"/>
          <w:bCs/>
          <w:i/>
          <w:iCs/>
          <w:color w:val="000000"/>
          <w:sz w:val="24"/>
          <w:szCs w:val="24"/>
        </w:rPr>
        <w:t xml:space="preserve">(Ligji Organik i Gjykatës). </w:t>
      </w:r>
    </w:p>
    <w:p w14:paraId="3BEEA1A1" w14:textId="77777777" w:rsidR="00A552BA" w:rsidRPr="00A91B21" w:rsidRDefault="00A552BA" w:rsidP="00A552BA">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4BDB45D9" w14:textId="77777777"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91B21">
        <w:rPr>
          <w:rFonts w:ascii="Garamond" w:eastAsiaTheme="minorHAnsi" w:hAnsi="Garamond" w:cs="Times New Roman"/>
          <w:bCs/>
          <w:color w:val="000000"/>
          <w:sz w:val="24"/>
          <w:szCs w:val="24"/>
        </w:rPr>
        <w:t>GJYKATA KUSHTETUESE,</w:t>
      </w:r>
    </w:p>
    <w:p w14:paraId="43D8E3DE" w14:textId="77777777" w:rsidR="00D7711E" w:rsidRPr="00A91B21" w:rsidRDefault="00D7711E"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6136721" w14:textId="24B80D09" w:rsidR="00A552BA" w:rsidRPr="00A91B21" w:rsidRDefault="00A552BA"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pasi dëgjoi relatorin e çështjes </w:t>
      </w:r>
      <w:proofErr w:type="spellStart"/>
      <w:r w:rsidRPr="00A91B21">
        <w:rPr>
          <w:rFonts w:ascii="Garamond" w:eastAsiaTheme="minorHAnsi" w:hAnsi="Garamond" w:cs="Times New Roman"/>
          <w:color w:val="000000"/>
          <w:sz w:val="24"/>
          <w:szCs w:val="24"/>
        </w:rPr>
        <w:t>Sandër</w:t>
      </w:r>
      <w:proofErr w:type="spellEnd"/>
      <w:r w:rsidRPr="00A91B21">
        <w:rPr>
          <w:rFonts w:ascii="Garamond" w:eastAsiaTheme="minorHAnsi" w:hAnsi="Garamond" w:cs="Times New Roman"/>
          <w:color w:val="000000"/>
          <w:sz w:val="24"/>
          <w:szCs w:val="24"/>
        </w:rPr>
        <w:t xml:space="preserve"> Beci, mori në shqyrtim parashtrimet me shkrim të kërkueses, shoqërisë “Zyra e Përmbarimit Privat ARB” </w:t>
      </w:r>
      <w:proofErr w:type="spellStart"/>
      <w:r w:rsidRPr="00A91B21">
        <w:rPr>
          <w:rFonts w:ascii="Garamond" w:eastAsiaTheme="minorHAnsi" w:hAnsi="Garamond" w:cs="Times New Roman"/>
          <w:color w:val="000000"/>
          <w:sz w:val="24"/>
          <w:szCs w:val="24"/>
        </w:rPr>
        <w:t>sh.p.k</w:t>
      </w:r>
      <w:proofErr w:type="spellEnd"/>
      <w:r w:rsidRPr="00A91B21">
        <w:rPr>
          <w:rFonts w:ascii="Garamond" w:eastAsiaTheme="minorHAnsi" w:hAnsi="Garamond" w:cs="Times New Roman"/>
          <w:color w:val="000000"/>
          <w:sz w:val="24"/>
          <w:szCs w:val="24"/>
        </w:rPr>
        <w:t xml:space="preserve">. </w:t>
      </w:r>
      <w:r w:rsidRPr="00A91B21">
        <w:rPr>
          <w:rFonts w:ascii="Garamond" w:eastAsiaTheme="minorHAnsi" w:hAnsi="Garamond" w:cs="Times New Roman"/>
          <w:i/>
          <w:iCs/>
          <w:color w:val="000000"/>
          <w:sz w:val="24"/>
          <w:szCs w:val="24"/>
        </w:rPr>
        <w:t>(kërkuesja)</w:t>
      </w:r>
      <w:r w:rsidRPr="00A91B21">
        <w:rPr>
          <w:rFonts w:ascii="Garamond" w:eastAsiaTheme="minorHAnsi" w:hAnsi="Garamond" w:cs="Times New Roman"/>
          <w:color w:val="000000"/>
          <w:sz w:val="24"/>
          <w:szCs w:val="24"/>
        </w:rPr>
        <w:t xml:space="preserve">, e cila ka kërkuar pranimin e kërkesës, konstatoi mungesën e prapësimeve me shkrim të subjekteve të interesuara, Bankës Kombëtare Tregtare </w:t>
      </w:r>
      <w:proofErr w:type="spellStart"/>
      <w:r w:rsidRPr="00A91B21">
        <w:rPr>
          <w:rFonts w:ascii="Garamond" w:eastAsiaTheme="minorHAnsi" w:hAnsi="Garamond" w:cs="Times New Roman"/>
          <w:color w:val="000000"/>
          <w:sz w:val="24"/>
          <w:szCs w:val="24"/>
        </w:rPr>
        <w:t>sh.a</w:t>
      </w:r>
      <w:proofErr w:type="spellEnd"/>
      <w:r w:rsidRPr="00A91B21">
        <w:rPr>
          <w:rFonts w:ascii="Garamond" w:eastAsiaTheme="minorHAnsi" w:hAnsi="Garamond" w:cs="Times New Roman"/>
          <w:color w:val="000000"/>
          <w:sz w:val="24"/>
          <w:szCs w:val="24"/>
        </w:rPr>
        <w:t>. (</w:t>
      </w:r>
      <w:r w:rsidRPr="00A91B21">
        <w:rPr>
          <w:rFonts w:ascii="Garamond" w:eastAsiaTheme="minorHAnsi" w:hAnsi="Garamond" w:cs="Times New Roman"/>
          <w:i/>
          <w:iCs/>
          <w:color w:val="000000"/>
          <w:sz w:val="24"/>
          <w:szCs w:val="24"/>
        </w:rPr>
        <w:t>BKT</w:t>
      </w:r>
      <w:r w:rsidRPr="00A91B21">
        <w:rPr>
          <w:rFonts w:ascii="Garamond" w:eastAsiaTheme="minorHAnsi" w:hAnsi="Garamond" w:cs="Times New Roman"/>
          <w:color w:val="000000"/>
          <w:sz w:val="24"/>
          <w:szCs w:val="24"/>
        </w:rPr>
        <w:t xml:space="preserve">) dhe Korporatës </w:t>
      </w:r>
      <w:proofErr w:type="spellStart"/>
      <w:r w:rsidRPr="00A91B21">
        <w:rPr>
          <w:rFonts w:ascii="Garamond" w:eastAsiaTheme="minorHAnsi" w:hAnsi="Garamond" w:cs="Times New Roman"/>
          <w:color w:val="000000"/>
          <w:sz w:val="24"/>
          <w:szCs w:val="24"/>
        </w:rPr>
        <w:t>Elektroenergjetike</w:t>
      </w:r>
      <w:proofErr w:type="spellEnd"/>
      <w:r w:rsidRPr="00A91B21">
        <w:rPr>
          <w:rFonts w:ascii="Garamond" w:eastAsiaTheme="minorHAnsi" w:hAnsi="Garamond" w:cs="Times New Roman"/>
          <w:color w:val="000000"/>
          <w:sz w:val="24"/>
          <w:szCs w:val="24"/>
        </w:rPr>
        <w:t xml:space="preserve"> Shqiptare </w:t>
      </w:r>
      <w:proofErr w:type="spellStart"/>
      <w:r w:rsidRPr="00A91B21">
        <w:rPr>
          <w:rFonts w:ascii="Garamond" w:eastAsiaTheme="minorHAnsi" w:hAnsi="Garamond" w:cs="Times New Roman"/>
          <w:color w:val="000000"/>
          <w:sz w:val="24"/>
          <w:szCs w:val="24"/>
        </w:rPr>
        <w:t>sh.a</w:t>
      </w:r>
      <w:proofErr w:type="spellEnd"/>
      <w:r w:rsidRPr="00A91B21">
        <w:rPr>
          <w:rFonts w:ascii="Garamond" w:eastAsiaTheme="minorHAnsi" w:hAnsi="Garamond" w:cs="Times New Roman"/>
          <w:color w:val="000000"/>
          <w:sz w:val="24"/>
          <w:szCs w:val="24"/>
        </w:rPr>
        <w:t>. (</w:t>
      </w:r>
      <w:r w:rsidRPr="00A91B21">
        <w:rPr>
          <w:rFonts w:ascii="Garamond" w:eastAsiaTheme="minorHAnsi" w:hAnsi="Garamond" w:cs="Times New Roman"/>
          <w:i/>
          <w:iCs/>
          <w:color w:val="000000"/>
          <w:sz w:val="24"/>
          <w:szCs w:val="24"/>
        </w:rPr>
        <w:t>KESH</w:t>
      </w:r>
      <w:r w:rsidRPr="00A91B21">
        <w:rPr>
          <w:rFonts w:ascii="Garamond" w:eastAsiaTheme="minorHAnsi" w:hAnsi="Garamond" w:cs="Times New Roman"/>
          <w:color w:val="000000"/>
          <w:sz w:val="24"/>
          <w:szCs w:val="24"/>
        </w:rPr>
        <w:t xml:space="preserve">), si dhe diskutoi çështjen në tërësi, </w:t>
      </w:r>
    </w:p>
    <w:p w14:paraId="216839E7" w14:textId="77777777" w:rsidR="00A552BA" w:rsidRPr="00A91B21" w:rsidRDefault="00A552BA"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 </w:t>
      </w:r>
    </w:p>
    <w:p w14:paraId="36820F63" w14:textId="26C69632" w:rsidR="00A552BA" w:rsidRPr="001257FC" w:rsidRDefault="00A552BA" w:rsidP="00A552BA">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1257FC">
        <w:rPr>
          <w:rFonts w:ascii="Garamond" w:eastAsiaTheme="minorHAnsi" w:hAnsi="Garamond" w:cs="Times New Roman"/>
          <w:bCs/>
          <w:color w:val="000000"/>
          <w:sz w:val="24"/>
          <w:szCs w:val="24"/>
        </w:rPr>
        <w:t>VËREN:</w:t>
      </w:r>
    </w:p>
    <w:p w14:paraId="14191AE3" w14:textId="77777777" w:rsidR="00D7711E" w:rsidRPr="00A91B21" w:rsidRDefault="00D7711E" w:rsidP="00A552BA">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69512D8" w14:textId="72AA8E11" w:rsidR="00A552BA" w:rsidRPr="00A91B21" w:rsidRDefault="00A552BA" w:rsidP="00A552BA">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I</w:t>
      </w:r>
    </w:p>
    <w:p w14:paraId="1000C60F" w14:textId="77777777" w:rsidR="00A552BA" w:rsidRPr="00A91B21" w:rsidRDefault="00A552BA" w:rsidP="00A552BA">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Rrethanat e çështjes</w:t>
      </w:r>
    </w:p>
    <w:p w14:paraId="6AE6672D" w14:textId="77777777" w:rsidR="00D7711E" w:rsidRPr="00A91B21" w:rsidRDefault="00D7711E"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8BADBE9" w14:textId="52F75E5C"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lastRenderedPageBreak/>
        <w:t>1. Kërkuesja ka lidhur kontratë shërbimi me KESH-in për ekzekutimin e vendimit “Për lëshimin e urdhrit të ekzekutimit” nr. 9031 akti, datë 13.9.2012</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të Gjykatës së Rrethit Gjyqësor Tiranë (</w:t>
      </w:r>
      <w:r w:rsidRPr="00A91B21">
        <w:rPr>
          <w:rFonts w:ascii="Garamond" w:eastAsiaTheme="minorHAnsi" w:hAnsi="Garamond" w:cs="Times New Roman"/>
          <w:i/>
          <w:iCs/>
          <w:color w:val="000000"/>
          <w:sz w:val="24"/>
          <w:szCs w:val="24"/>
        </w:rPr>
        <w:t>urdhri i ekzekutimit</w:t>
      </w:r>
      <w:r w:rsidRPr="00A91B21">
        <w:rPr>
          <w:rFonts w:ascii="Garamond" w:eastAsiaTheme="minorHAnsi" w:hAnsi="Garamond" w:cs="Times New Roman"/>
          <w:color w:val="000000"/>
          <w:sz w:val="24"/>
          <w:szCs w:val="24"/>
        </w:rPr>
        <w:t xml:space="preserve">), për faturën tatimore të shitjes nr. 248/2012 dhe nr. 254/2012, e cila ka korrigjuar të parën. Në bazë të asaj kontrate kërkuesja ka filluar procedurën për ekzekutimin e urdhrit të ekzekutimit në favor të KESH-it si kreditor me </w:t>
      </w:r>
      <w:proofErr w:type="spellStart"/>
      <w:r w:rsidRPr="00A91B21">
        <w:rPr>
          <w:rFonts w:ascii="Garamond" w:eastAsiaTheme="minorHAnsi" w:hAnsi="Garamond" w:cs="Times New Roman"/>
          <w:color w:val="000000"/>
          <w:sz w:val="24"/>
          <w:szCs w:val="24"/>
        </w:rPr>
        <w:t>debitore</w:t>
      </w:r>
      <w:proofErr w:type="spellEnd"/>
      <w:r w:rsidRPr="00A91B21">
        <w:rPr>
          <w:rFonts w:ascii="Garamond" w:eastAsiaTheme="minorHAnsi" w:hAnsi="Garamond" w:cs="Times New Roman"/>
          <w:color w:val="000000"/>
          <w:sz w:val="24"/>
          <w:szCs w:val="24"/>
        </w:rPr>
        <w:t xml:space="preserve"> shoqërinë “CEZ Shpërndarje” </w:t>
      </w:r>
      <w:proofErr w:type="spellStart"/>
      <w:r w:rsidRPr="00A91B21">
        <w:rPr>
          <w:rFonts w:ascii="Garamond" w:eastAsiaTheme="minorHAnsi" w:hAnsi="Garamond" w:cs="Times New Roman"/>
          <w:color w:val="000000"/>
          <w:sz w:val="24"/>
          <w:szCs w:val="24"/>
        </w:rPr>
        <w:t>sh.a</w:t>
      </w:r>
      <w:proofErr w:type="spellEnd"/>
      <w:r w:rsidRPr="00A91B21">
        <w:rPr>
          <w:rFonts w:ascii="Garamond" w:eastAsiaTheme="minorHAnsi" w:hAnsi="Garamond" w:cs="Times New Roman"/>
          <w:color w:val="000000"/>
          <w:sz w:val="24"/>
          <w:szCs w:val="24"/>
        </w:rPr>
        <w:t xml:space="preserve">. Pas lajmërimit për ekzekutimin vullnetar të urdhrit të ekzekutimit, kërkuesja ka lëshuar urdhrin për vënien e </w:t>
      </w:r>
      <w:proofErr w:type="spellStart"/>
      <w:r w:rsidRPr="00A91B21">
        <w:rPr>
          <w:rFonts w:ascii="Garamond" w:eastAsiaTheme="minorHAnsi" w:hAnsi="Garamond" w:cs="Times New Roman"/>
          <w:color w:val="000000"/>
          <w:sz w:val="24"/>
          <w:szCs w:val="24"/>
        </w:rPr>
        <w:t>sekuestros</w:t>
      </w:r>
      <w:proofErr w:type="spellEnd"/>
      <w:r w:rsidRPr="00A91B21">
        <w:rPr>
          <w:rFonts w:ascii="Garamond" w:eastAsiaTheme="minorHAnsi" w:hAnsi="Garamond" w:cs="Times New Roman"/>
          <w:color w:val="000000"/>
          <w:sz w:val="24"/>
          <w:szCs w:val="24"/>
        </w:rPr>
        <w:t xml:space="preserve"> </w:t>
      </w:r>
      <w:proofErr w:type="spellStart"/>
      <w:r w:rsidRPr="00A91B21">
        <w:rPr>
          <w:rFonts w:ascii="Garamond" w:eastAsiaTheme="minorHAnsi" w:hAnsi="Garamond" w:cs="Times New Roman"/>
          <w:color w:val="000000"/>
          <w:sz w:val="24"/>
          <w:szCs w:val="24"/>
        </w:rPr>
        <w:t>konservative</w:t>
      </w:r>
      <w:proofErr w:type="spellEnd"/>
      <w:r w:rsidRPr="00A91B21">
        <w:rPr>
          <w:rFonts w:ascii="Garamond" w:eastAsiaTheme="minorHAnsi" w:hAnsi="Garamond" w:cs="Times New Roman"/>
          <w:color w:val="000000"/>
          <w:sz w:val="24"/>
          <w:szCs w:val="24"/>
        </w:rPr>
        <w:t xml:space="preserve"> drejtuar bankave të nivelit të dytë. </w:t>
      </w:r>
    </w:p>
    <w:p w14:paraId="03931E70" w14:textId="24D4309F"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2. Kërkuesja ka pretenduar se BKT-ja nuk ka përmbushur urdhërimet e saj për debitimin e llogarisë së debitorit në atë bankë, me qëllim pengimin e zbatimit të urdhrit të ekzekutimi</w:t>
      </w:r>
      <w:r w:rsidR="00A91B21">
        <w:rPr>
          <w:rFonts w:ascii="Garamond" w:eastAsiaTheme="minorHAnsi" w:hAnsi="Garamond" w:cs="Times New Roman"/>
          <w:color w:val="000000"/>
          <w:sz w:val="24"/>
          <w:szCs w:val="24"/>
        </w:rPr>
        <w:t>t. Në këto kushte, në datën 28.</w:t>
      </w:r>
      <w:r w:rsidRPr="00A91B21">
        <w:rPr>
          <w:rFonts w:ascii="Garamond" w:eastAsiaTheme="minorHAnsi" w:hAnsi="Garamond" w:cs="Times New Roman"/>
          <w:color w:val="000000"/>
          <w:sz w:val="24"/>
          <w:szCs w:val="24"/>
        </w:rPr>
        <w:t xml:space="preserve">5.2014, ajo ka paditur në gjykatë BKT-në, ndaj së cilës ka kërkuar shpërblim për dëmin pasuror e </w:t>
      </w:r>
      <w:proofErr w:type="spellStart"/>
      <w:r w:rsidRPr="00A91B21">
        <w:rPr>
          <w:rFonts w:ascii="Garamond" w:eastAsiaTheme="minorHAnsi" w:hAnsi="Garamond" w:cs="Times New Roman"/>
          <w:color w:val="000000"/>
          <w:sz w:val="24"/>
          <w:szCs w:val="24"/>
        </w:rPr>
        <w:t>jopasuror</w:t>
      </w:r>
      <w:proofErr w:type="spellEnd"/>
      <w:r w:rsidRPr="00A91B21">
        <w:rPr>
          <w:rFonts w:ascii="Garamond" w:eastAsiaTheme="minorHAnsi" w:hAnsi="Garamond" w:cs="Times New Roman"/>
          <w:color w:val="000000"/>
          <w:sz w:val="24"/>
          <w:szCs w:val="24"/>
        </w:rPr>
        <w:t xml:space="preserve"> të pësuar, për fitimin e munguar, si dhe për kamatat ligjore përkatëse sipas normës </w:t>
      </w:r>
      <w:proofErr w:type="spellStart"/>
      <w:r w:rsidRPr="00A91B21">
        <w:rPr>
          <w:rFonts w:ascii="Garamond" w:eastAsiaTheme="minorHAnsi" w:hAnsi="Garamond" w:cs="Times New Roman"/>
          <w:color w:val="000000"/>
          <w:sz w:val="24"/>
          <w:szCs w:val="24"/>
        </w:rPr>
        <w:t>Tribor</w:t>
      </w:r>
      <w:proofErr w:type="spellEnd"/>
      <w:r w:rsidRPr="00A91B21">
        <w:rPr>
          <w:rFonts w:ascii="Garamond" w:eastAsiaTheme="minorHAnsi" w:hAnsi="Garamond" w:cs="Times New Roman"/>
          <w:color w:val="000000"/>
          <w:sz w:val="24"/>
          <w:szCs w:val="24"/>
        </w:rPr>
        <w:t xml:space="preserve"> njëditor të vendosur nga Banka e Shqipërisë, deri në datën e ekzekutimit të vendimit të gjykatës. Kërkimin për dëmin pasuror kërkuesja e ka bazuar në </w:t>
      </w:r>
      <w:proofErr w:type="spellStart"/>
      <w:r w:rsidRPr="00A91B21">
        <w:rPr>
          <w:rFonts w:ascii="Garamond" w:eastAsiaTheme="minorHAnsi" w:hAnsi="Garamond" w:cs="Times New Roman"/>
          <w:color w:val="000000"/>
          <w:sz w:val="24"/>
          <w:szCs w:val="24"/>
        </w:rPr>
        <w:t>moskontraktimet</w:t>
      </w:r>
      <w:proofErr w:type="spellEnd"/>
      <w:r w:rsidRPr="00A91B21">
        <w:rPr>
          <w:rFonts w:ascii="Garamond" w:eastAsiaTheme="minorHAnsi" w:hAnsi="Garamond" w:cs="Times New Roman"/>
          <w:color w:val="000000"/>
          <w:sz w:val="24"/>
          <w:szCs w:val="24"/>
        </w:rPr>
        <w:t xml:space="preserve"> e mëtejshme të saj nga KESH-i dhe kompania tjetër e sistemit energjetik, Operatori i Sistemit të Transmetimit (</w:t>
      </w:r>
      <w:r w:rsidRPr="00A91B21">
        <w:rPr>
          <w:rFonts w:ascii="Garamond" w:eastAsiaTheme="minorHAnsi" w:hAnsi="Garamond" w:cs="Times New Roman"/>
          <w:i/>
          <w:iCs/>
          <w:color w:val="000000"/>
          <w:sz w:val="24"/>
          <w:szCs w:val="24"/>
        </w:rPr>
        <w:t>OST</w:t>
      </w:r>
      <w:r w:rsidRPr="00A91B21">
        <w:rPr>
          <w:rFonts w:ascii="Garamond" w:eastAsiaTheme="minorHAnsi" w:hAnsi="Garamond" w:cs="Times New Roman"/>
          <w:color w:val="000000"/>
          <w:sz w:val="24"/>
          <w:szCs w:val="24"/>
        </w:rPr>
        <w:t>).</w:t>
      </w:r>
      <w:r w:rsidR="00A91B21">
        <w:rPr>
          <w:rFonts w:ascii="Garamond" w:eastAsiaTheme="minorHAnsi" w:hAnsi="Garamond" w:cs="Times New Roman"/>
          <w:color w:val="000000"/>
          <w:sz w:val="24"/>
          <w:szCs w:val="24"/>
        </w:rPr>
        <w:t xml:space="preserve"> </w:t>
      </w:r>
    </w:p>
    <w:p w14:paraId="3E036948" w14:textId="49CCDE86"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3. Gjykata e Rrethit Gjyqësor Tiranë, me vendimin nr.</w:t>
      </w:r>
      <w:r w:rsidR="00A91B21">
        <w:rPr>
          <w:rFonts w:ascii="Garamond" w:eastAsiaTheme="minorHAnsi" w:hAnsi="Garamond" w:cs="Times New Roman"/>
          <w:color w:val="000000"/>
          <w:sz w:val="24"/>
          <w:szCs w:val="24"/>
        </w:rPr>
        <w:t xml:space="preserve"> 3048, datë 15.</w:t>
      </w:r>
      <w:r w:rsidRPr="00A91B21">
        <w:rPr>
          <w:rFonts w:ascii="Garamond" w:eastAsiaTheme="minorHAnsi" w:hAnsi="Garamond" w:cs="Times New Roman"/>
          <w:color w:val="000000"/>
          <w:sz w:val="24"/>
          <w:szCs w:val="24"/>
        </w:rPr>
        <w:t xml:space="preserve">4.2015, ka vendosur rrëzimin e kërkesëpadisë së kërkueses, pasi nuk u vërtetua ekzistenca e ndonjë dëmi pasuror që t’i ketë ardhur asaj nga i padituri. Ajo gjykatë, ndër të tjera, ka arsyetuar se pretendimi për </w:t>
      </w:r>
      <w:proofErr w:type="spellStart"/>
      <w:r w:rsidRPr="00A91B21">
        <w:rPr>
          <w:rFonts w:ascii="Garamond" w:eastAsiaTheme="minorHAnsi" w:hAnsi="Garamond" w:cs="Times New Roman"/>
          <w:color w:val="000000"/>
          <w:sz w:val="24"/>
          <w:szCs w:val="24"/>
        </w:rPr>
        <w:t>moslidhjen</w:t>
      </w:r>
      <w:proofErr w:type="spellEnd"/>
      <w:r w:rsidRPr="00A91B21">
        <w:rPr>
          <w:rFonts w:ascii="Garamond" w:eastAsiaTheme="minorHAnsi" w:hAnsi="Garamond" w:cs="Times New Roman"/>
          <w:color w:val="000000"/>
          <w:sz w:val="24"/>
          <w:szCs w:val="24"/>
        </w:rPr>
        <w:t xml:space="preserve"> e</w:t>
      </w:r>
      <w:r w:rsidR="00A91B21">
        <w:rPr>
          <w:rFonts w:ascii="Garamond" w:eastAsiaTheme="minorHAnsi" w:hAnsi="Garamond" w:cs="Times New Roman"/>
          <w:color w:val="000000"/>
          <w:sz w:val="24"/>
          <w:szCs w:val="24"/>
        </w:rPr>
        <w:t xml:space="preserve"> </w:t>
      </w:r>
      <w:r w:rsidRPr="00A91B21">
        <w:rPr>
          <w:rFonts w:ascii="Garamond" w:eastAsiaTheme="minorHAnsi" w:hAnsi="Garamond" w:cs="Times New Roman"/>
          <w:color w:val="000000"/>
          <w:sz w:val="24"/>
          <w:szCs w:val="24"/>
        </w:rPr>
        <w:t xml:space="preserve">kontratave të mëtejshme, në kushtet kur nuk është vërtetuar asnjëherë se ka ekzistuar një vullnet i tillë nga pala tjetër </w:t>
      </w:r>
      <w:proofErr w:type="spellStart"/>
      <w:r w:rsidRPr="00A91B21">
        <w:rPr>
          <w:rFonts w:ascii="Garamond" w:eastAsiaTheme="minorHAnsi" w:hAnsi="Garamond" w:cs="Times New Roman"/>
          <w:color w:val="000000"/>
          <w:sz w:val="24"/>
          <w:szCs w:val="24"/>
        </w:rPr>
        <w:t>kontraktore</w:t>
      </w:r>
      <w:proofErr w:type="spellEnd"/>
      <w:r w:rsidRPr="00A91B21">
        <w:rPr>
          <w:rFonts w:ascii="Garamond" w:eastAsiaTheme="minorHAnsi" w:hAnsi="Garamond" w:cs="Times New Roman"/>
          <w:color w:val="000000"/>
          <w:sz w:val="24"/>
          <w:szCs w:val="24"/>
        </w:rPr>
        <w:t xml:space="preserve">, është i pabazuar në ligj dhe bie në kundërshtim me parimin e lirisë </w:t>
      </w:r>
      <w:proofErr w:type="spellStart"/>
      <w:r w:rsidRPr="00A91B21">
        <w:rPr>
          <w:rFonts w:ascii="Garamond" w:eastAsiaTheme="minorHAnsi" w:hAnsi="Garamond" w:cs="Times New Roman"/>
          <w:color w:val="000000"/>
          <w:sz w:val="24"/>
          <w:szCs w:val="24"/>
        </w:rPr>
        <w:t>kontraktore</w:t>
      </w:r>
      <w:proofErr w:type="spellEnd"/>
      <w:r w:rsidRPr="00A91B21">
        <w:rPr>
          <w:rFonts w:ascii="Garamond" w:eastAsiaTheme="minorHAnsi" w:hAnsi="Garamond" w:cs="Times New Roman"/>
          <w:color w:val="000000"/>
          <w:sz w:val="24"/>
          <w:szCs w:val="24"/>
        </w:rPr>
        <w:t>.</w:t>
      </w:r>
    </w:p>
    <w:p w14:paraId="23EACAA5" w14:textId="0BE9ECD8"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4. Për ankimin e kërkueses, Gjykata e Apelit Tiranë, me vendimin nr. 944, da</w:t>
      </w:r>
      <w:r w:rsidR="00A91B21">
        <w:rPr>
          <w:rFonts w:ascii="Garamond" w:eastAsiaTheme="minorHAnsi" w:hAnsi="Garamond" w:cs="Times New Roman"/>
          <w:color w:val="000000"/>
          <w:sz w:val="24"/>
          <w:szCs w:val="24"/>
        </w:rPr>
        <w:t>të 21.</w:t>
      </w:r>
      <w:r w:rsidRPr="00A91B21">
        <w:rPr>
          <w:rFonts w:ascii="Garamond" w:eastAsiaTheme="minorHAnsi" w:hAnsi="Garamond" w:cs="Times New Roman"/>
          <w:color w:val="000000"/>
          <w:sz w:val="24"/>
          <w:szCs w:val="24"/>
        </w:rPr>
        <w:t>4.2016, ka vendosur lënien në fuqi të vendimit të gjykatës së shkallës së parë. Kundër vendimit të g</w:t>
      </w:r>
      <w:r w:rsidR="00A91B21">
        <w:rPr>
          <w:rFonts w:ascii="Garamond" w:eastAsiaTheme="minorHAnsi" w:hAnsi="Garamond" w:cs="Times New Roman"/>
          <w:color w:val="000000"/>
          <w:sz w:val="24"/>
          <w:szCs w:val="24"/>
        </w:rPr>
        <w:t>jykatës së apelit, në datën 20.</w:t>
      </w:r>
      <w:r w:rsidRPr="00A91B21">
        <w:rPr>
          <w:rFonts w:ascii="Garamond" w:eastAsiaTheme="minorHAnsi" w:hAnsi="Garamond" w:cs="Times New Roman"/>
          <w:color w:val="000000"/>
          <w:sz w:val="24"/>
          <w:szCs w:val="24"/>
        </w:rPr>
        <w:t xml:space="preserve">5.2016, kërkuesja ka ushtruar rekurs. Çështja është regjistruar në Gjykatën e Lartë me nr. 11118-02028-00-2016, datë </w:t>
      </w:r>
      <w:r w:rsidR="00A91B21">
        <w:rPr>
          <w:rFonts w:ascii="Garamond" w:eastAsiaTheme="minorHAnsi" w:hAnsi="Garamond" w:cs="Times New Roman"/>
          <w:color w:val="000000"/>
          <w:sz w:val="24"/>
          <w:szCs w:val="24"/>
        </w:rPr>
        <w:t>15.</w:t>
      </w:r>
      <w:r w:rsidRPr="00A91B21">
        <w:rPr>
          <w:rFonts w:ascii="Garamond" w:eastAsiaTheme="minorHAnsi" w:hAnsi="Garamond" w:cs="Times New Roman"/>
          <w:color w:val="000000"/>
          <w:sz w:val="24"/>
          <w:szCs w:val="24"/>
        </w:rPr>
        <w:t xml:space="preserve">6.2016. </w:t>
      </w:r>
    </w:p>
    <w:p w14:paraId="016CED78" w14:textId="6A5E9F62"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5. Në datën 14.12.2020</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kërkuesja ka paraqitur në Gjykatën e Lartë kërkesë për konstatimin e shkeljes së afatit të arsyeshëm dhe përshpejtimin e procedurave në gjykimin e çështjes civile në fjalë, bazuar në nenet 399/1 e vijues të Kodit të Procedurës Civile (</w:t>
      </w:r>
      <w:r w:rsidRPr="00A91B21">
        <w:rPr>
          <w:rFonts w:ascii="Garamond" w:eastAsiaTheme="minorHAnsi" w:hAnsi="Garamond" w:cs="Times New Roman"/>
          <w:i/>
          <w:iCs/>
          <w:color w:val="000000"/>
          <w:sz w:val="24"/>
          <w:szCs w:val="24"/>
        </w:rPr>
        <w:t>KPC</w:t>
      </w:r>
      <w:r w:rsidRPr="00A91B21">
        <w:rPr>
          <w:rFonts w:ascii="Garamond" w:eastAsiaTheme="minorHAnsi" w:hAnsi="Garamond" w:cs="Times New Roman"/>
          <w:color w:val="000000"/>
          <w:sz w:val="24"/>
          <w:szCs w:val="24"/>
        </w:rPr>
        <w:t xml:space="preserve">). Me shkresën nr. 3102/1 </w:t>
      </w:r>
      <w:proofErr w:type="spellStart"/>
      <w:r w:rsidRPr="00A91B21">
        <w:rPr>
          <w:rFonts w:ascii="Garamond" w:eastAsiaTheme="minorHAnsi" w:hAnsi="Garamond" w:cs="Times New Roman"/>
          <w:color w:val="000000"/>
          <w:sz w:val="24"/>
          <w:szCs w:val="24"/>
        </w:rPr>
        <w:t>prot</w:t>
      </w:r>
      <w:proofErr w:type="spellEnd"/>
      <w:r w:rsidRPr="00A91B21">
        <w:rPr>
          <w:rFonts w:ascii="Garamond" w:eastAsiaTheme="minorHAnsi" w:hAnsi="Garamond" w:cs="Times New Roman"/>
          <w:color w:val="000000"/>
          <w:sz w:val="24"/>
          <w:szCs w:val="24"/>
        </w:rPr>
        <w:t>., datë 21.12.2020</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“Kthim përgjigjeje për konstatim shkeljeje afati të arsyeshëm”, kancelari i Gjykatës së Lartë ka njoftuar kërkuesen se kërkesa e saj nuk ishte nënshkruar nga një avokat i pajisur me akt përfaqësimi, sipas nenit 474 të KPC-së dhe, në këto kushte, e ka kthyer atë pa veprime për të bërë plotësimet përkatëse. Në datën 30.12.2020</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kërkuesja ka paraqitur sërish në Gjykatën e Lartë një kërkesë me të njëjtin objekt dhe përmbajtje si ajo e datës 14.12.2020, të nënshkruar si nga administratori i shoqërisë, ashtu edhe nga një avokat. Ajo kërkesë është regjistruar me nr. 7 regjistri dhe 30.12.2020</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datë regjistrimi. </w:t>
      </w:r>
    </w:p>
    <w:p w14:paraId="4ADEB9AF" w14:textId="474A98E0"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6. Në përgjigje të kërkesës për informacion të kërkueses, me shkresën nr. 1008/1 </w:t>
      </w:r>
      <w:proofErr w:type="spellStart"/>
      <w:r w:rsidRPr="00A91B21">
        <w:rPr>
          <w:rFonts w:ascii="Garamond" w:eastAsiaTheme="minorHAnsi" w:hAnsi="Garamond" w:cs="Times New Roman"/>
          <w:color w:val="000000"/>
          <w:sz w:val="24"/>
          <w:szCs w:val="24"/>
        </w:rPr>
        <w:t>prot</w:t>
      </w:r>
      <w:proofErr w:type="spellEnd"/>
      <w:r w:rsidRPr="00A91B21">
        <w:rPr>
          <w:rFonts w:ascii="Garamond" w:eastAsiaTheme="minorHAnsi" w:hAnsi="Garamond" w:cs="Times New Roman"/>
          <w:color w:val="000000"/>
          <w:sz w:val="24"/>
          <w:szCs w:val="24"/>
        </w:rPr>
        <w:t>., da</w:t>
      </w:r>
      <w:r w:rsidR="00A91B21">
        <w:rPr>
          <w:rFonts w:ascii="Garamond" w:eastAsiaTheme="minorHAnsi" w:hAnsi="Garamond" w:cs="Times New Roman"/>
          <w:color w:val="000000"/>
          <w:sz w:val="24"/>
          <w:szCs w:val="24"/>
        </w:rPr>
        <w:t>të 1.</w:t>
      </w:r>
      <w:r w:rsidRPr="00A91B21">
        <w:rPr>
          <w:rFonts w:ascii="Garamond" w:eastAsiaTheme="minorHAnsi" w:hAnsi="Garamond" w:cs="Times New Roman"/>
          <w:color w:val="000000"/>
          <w:sz w:val="24"/>
          <w:szCs w:val="24"/>
        </w:rPr>
        <w:t>4.2021</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të kancelarit të Gjykatës së Lartë, ajo është njoftuar se të dyja çështjet e saj ishin në fazën e studimit për t’u shqyrtuar në dhomën e këshillimit nga Kolegji Civil i Gjykatës së Lartë.</w:t>
      </w:r>
    </w:p>
    <w:p w14:paraId="5D86450B" w14:textId="2E56768A"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7. Duke pretenduar se Gjykata e Lartë ishte në vonesë si për shqyrtimin e çështjes civile, ashtu edhe për shqyrtimin e kërkesës së saj për konstatimin e shkeljes së afatit të ars</w:t>
      </w:r>
      <w:r w:rsidR="00A91B21">
        <w:rPr>
          <w:rFonts w:ascii="Garamond" w:eastAsiaTheme="minorHAnsi" w:hAnsi="Garamond" w:cs="Times New Roman"/>
          <w:color w:val="000000"/>
          <w:sz w:val="24"/>
          <w:szCs w:val="24"/>
        </w:rPr>
        <w:t>yeshëm, kërkuesja, në datën 21.</w:t>
      </w:r>
      <w:r w:rsidRPr="00A91B21">
        <w:rPr>
          <w:rFonts w:ascii="Garamond" w:eastAsiaTheme="minorHAnsi" w:hAnsi="Garamond" w:cs="Times New Roman"/>
          <w:color w:val="000000"/>
          <w:sz w:val="24"/>
          <w:szCs w:val="24"/>
        </w:rPr>
        <w:t>4.2021, ka paraqitur ankim kushtetues individual në Gjykatën Kushtetuese (</w:t>
      </w:r>
      <w:r w:rsidRPr="00A91B21">
        <w:rPr>
          <w:rFonts w:ascii="Garamond" w:eastAsiaTheme="minorHAnsi" w:hAnsi="Garamond" w:cs="Times New Roman"/>
          <w:i/>
          <w:iCs/>
          <w:color w:val="000000"/>
          <w:sz w:val="24"/>
          <w:szCs w:val="24"/>
        </w:rPr>
        <w:t>Gjykata</w:t>
      </w:r>
      <w:r w:rsidR="00A91B21">
        <w:rPr>
          <w:rFonts w:ascii="Garamond" w:eastAsiaTheme="minorHAnsi" w:hAnsi="Garamond" w:cs="Times New Roman"/>
          <w:color w:val="000000"/>
          <w:sz w:val="24"/>
          <w:szCs w:val="24"/>
        </w:rPr>
        <w:t xml:space="preserve">), duke kërkuar: </w:t>
      </w:r>
      <w:r w:rsidRPr="00A91B21">
        <w:rPr>
          <w:rFonts w:ascii="Garamond" w:eastAsiaTheme="minorHAnsi" w:hAnsi="Garamond" w:cs="Times New Roman"/>
          <w:color w:val="000000"/>
          <w:sz w:val="24"/>
          <w:szCs w:val="24"/>
        </w:rPr>
        <w:t>i</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konstatimin e cenimit të </w:t>
      </w:r>
      <w:proofErr w:type="spellStart"/>
      <w:r w:rsidRPr="00A91B21">
        <w:rPr>
          <w:rFonts w:ascii="Garamond" w:eastAsiaTheme="minorHAnsi" w:hAnsi="Garamond" w:cs="Times New Roman"/>
          <w:color w:val="000000"/>
          <w:sz w:val="24"/>
          <w:szCs w:val="24"/>
        </w:rPr>
        <w:t>aksesit</w:t>
      </w:r>
      <w:proofErr w:type="spellEnd"/>
      <w:r w:rsidRPr="00A91B21">
        <w:rPr>
          <w:rFonts w:ascii="Garamond" w:eastAsiaTheme="minorHAnsi" w:hAnsi="Garamond" w:cs="Times New Roman"/>
          <w:color w:val="000000"/>
          <w:sz w:val="24"/>
          <w:szCs w:val="24"/>
        </w:rPr>
        <w:t xml:space="preserve"> nga </w:t>
      </w:r>
      <w:r w:rsidR="00A91B21">
        <w:rPr>
          <w:rFonts w:ascii="Garamond" w:eastAsiaTheme="minorHAnsi" w:hAnsi="Garamond" w:cs="Times New Roman"/>
          <w:color w:val="000000"/>
          <w:sz w:val="24"/>
          <w:szCs w:val="24"/>
        </w:rPr>
        <w:t xml:space="preserve">një gjykatë e caktuar me ligj; </w:t>
      </w:r>
      <w:proofErr w:type="spellStart"/>
      <w:r w:rsidR="00A91B21">
        <w:rPr>
          <w:rFonts w:ascii="Garamond" w:eastAsiaTheme="minorHAnsi" w:hAnsi="Garamond" w:cs="Times New Roman"/>
          <w:color w:val="000000"/>
          <w:sz w:val="24"/>
          <w:szCs w:val="24"/>
        </w:rPr>
        <w:t>ii</w:t>
      </w:r>
      <w:proofErr w:type="spellEnd"/>
      <w:r w:rsidR="00A91B21">
        <w:rPr>
          <w:rFonts w:ascii="Garamond" w:eastAsiaTheme="minorHAnsi" w:hAnsi="Garamond" w:cs="Times New Roman"/>
          <w:color w:val="000000"/>
          <w:sz w:val="24"/>
          <w:szCs w:val="24"/>
        </w:rPr>
        <w:t xml:space="preserve">. </w:t>
      </w:r>
      <w:r w:rsidRPr="00A91B21">
        <w:rPr>
          <w:rFonts w:ascii="Garamond" w:eastAsiaTheme="minorHAnsi" w:hAnsi="Garamond" w:cs="Times New Roman"/>
          <w:color w:val="000000"/>
          <w:sz w:val="24"/>
          <w:szCs w:val="24"/>
        </w:rPr>
        <w:t>konstatimin e shkeljes së afatit të arsyeshëm dhe përshpejtimin e procedurave në gjykimin e çështjes civile, dhe shqyrtimin e kërkesës për konstatimin e shkeljes së afatit të arsyes</w:t>
      </w:r>
      <w:r w:rsidR="00A91B21">
        <w:rPr>
          <w:rFonts w:ascii="Garamond" w:eastAsiaTheme="minorHAnsi" w:hAnsi="Garamond" w:cs="Times New Roman"/>
          <w:color w:val="000000"/>
          <w:sz w:val="24"/>
          <w:szCs w:val="24"/>
        </w:rPr>
        <w:t xml:space="preserve">hëm; </w:t>
      </w:r>
      <w:proofErr w:type="spellStart"/>
      <w:r w:rsidR="00A91B21">
        <w:rPr>
          <w:rFonts w:ascii="Garamond" w:eastAsiaTheme="minorHAnsi" w:hAnsi="Garamond" w:cs="Times New Roman"/>
          <w:color w:val="000000"/>
          <w:sz w:val="24"/>
          <w:szCs w:val="24"/>
        </w:rPr>
        <w:t>iii</w:t>
      </w:r>
      <w:proofErr w:type="spellEnd"/>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konstatimin e mungesës së një mjeti efektiv për konstatimin, dëmshpërblimin dhe përshpejtimin e procedurave të sipërpërmendura (</w:t>
      </w:r>
      <w:r w:rsidRPr="00A91B21">
        <w:rPr>
          <w:rFonts w:ascii="Garamond" w:eastAsiaTheme="minorHAnsi" w:hAnsi="Garamond" w:cs="Times New Roman"/>
          <w:i/>
          <w:iCs/>
          <w:color w:val="000000"/>
          <w:sz w:val="24"/>
          <w:szCs w:val="24"/>
        </w:rPr>
        <w:t>kërkesa nr. 1</w:t>
      </w:r>
      <w:r w:rsidRPr="00A91B21">
        <w:rPr>
          <w:rFonts w:ascii="Garamond" w:eastAsiaTheme="minorHAnsi" w:hAnsi="Garamond" w:cs="Times New Roman"/>
          <w:color w:val="000000"/>
          <w:sz w:val="24"/>
          <w:szCs w:val="24"/>
        </w:rPr>
        <w:t>).</w:t>
      </w:r>
    </w:p>
    <w:p w14:paraId="03138D78" w14:textId="5FBC3984" w:rsidR="00A552BA" w:rsidRPr="00A91B21" w:rsidRDefault="00A552BA" w:rsidP="00A552BA">
      <w:pPr>
        <w:tabs>
          <w:tab w:val="left" w:pos="9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8. Gjy</w:t>
      </w:r>
      <w:r w:rsidR="00A91B21">
        <w:rPr>
          <w:rFonts w:ascii="Garamond" w:eastAsiaTheme="minorHAnsi" w:hAnsi="Garamond" w:cs="Times New Roman"/>
          <w:color w:val="000000"/>
          <w:sz w:val="24"/>
          <w:szCs w:val="24"/>
        </w:rPr>
        <w:t xml:space="preserve">kata, me vendimin nr. 34, datë </w:t>
      </w:r>
      <w:r w:rsidRPr="00A91B21">
        <w:rPr>
          <w:rFonts w:ascii="Garamond" w:eastAsiaTheme="minorHAnsi" w:hAnsi="Garamond" w:cs="Times New Roman"/>
          <w:color w:val="000000"/>
          <w:sz w:val="24"/>
          <w:szCs w:val="24"/>
        </w:rPr>
        <w:t xml:space="preserve">1.11.2021, ka vendosur rrëzimin e kërkesës, duke arsyetuar se nuk ka rezultuar që kërkuesja të ketë pësuar dëm pasuror nga veprimet e palës së paditur, për të cilat pretendon se kanë shkaktuar </w:t>
      </w:r>
      <w:proofErr w:type="spellStart"/>
      <w:r w:rsidRPr="00A91B21">
        <w:rPr>
          <w:rFonts w:ascii="Garamond" w:eastAsiaTheme="minorHAnsi" w:hAnsi="Garamond" w:cs="Times New Roman"/>
          <w:color w:val="000000"/>
          <w:sz w:val="24"/>
          <w:szCs w:val="24"/>
        </w:rPr>
        <w:t>moslidhjen</w:t>
      </w:r>
      <w:proofErr w:type="spellEnd"/>
      <w:r w:rsidRPr="00A91B21">
        <w:rPr>
          <w:rFonts w:ascii="Garamond" w:eastAsiaTheme="minorHAnsi" w:hAnsi="Garamond" w:cs="Times New Roman"/>
          <w:color w:val="000000"/>
          <w:sz w:val="24"/>
          <w:szCs w:val="24"/>
        </w:rPr>
        <w:t xml:space="preserve"> në vijimësi të kontratave të mëtejshme të shërbimit me shoqëritë KESH dhe OST. Në përfundim, Gjykata ka vlerësuar se edhe pse duket se deri diku ka një </w:t>
      </w:r>
      <w:proofErr w:type="spellStart"/>
      <w:r w:rsidRPr="00A91B21">
        <w:rPr>
          <w:rFonts w:ascii="Garamond" w:eastAsiaTheme="minorHAnsi" w:hAnsi="Garamond" w:cs="Times New Roman"/>
          <w:color w:val="000000"/>
          <w:sz w:val="24"/>
          <w:szCs w:val="24"/>
        </w:rPr>
        <w:t>tejzgjatje</w:t>
      </w:r>
      <w:proofErr w:type="spellEnd"/>
      <w:r w:rsidRPr="00A91B21">
        <w:rPr>
          <w:rFonts w:ascii="Garamond" w:eastAsiaTheme="minorHAnsi" w:hAnsi="Garamond" w:cs="Times New Roman"/>
          <w:color w:val="000000"/>
          <w:sz w:val="24"/>
          <w:szCs w:val="24"/>
        </w:rPr>
        <w:t xml:space="preserve"> të procesit, duke konsideruar rrethanat e çështjes, </w:t>
      </w:r>
      <w:proofErr w:type="spellStart"/>
      <w:r w:rsidRPr="00A91B21">
        <w:rPr>
          <w:rFonts w:ascii="Garamond" w:eastAsiaTheme="minorHAnsi" w:hAnsi="Garamond" w:cs="Times New Roman"/>
          <w:color w:val="000000"/>
          <w:sz w:val="24"/>
          <w:szCs w:val="24"/>
        </w:rPr>
        <w:t>kompleksitetin</w:t>
      </w:r>
      <w:proofErr w:type="spellEnd"/>
      <w:r w:rsidRPr="00A91B21">
        <w:rPr>
          <w:rFonts w:ascii="Garamond" w:eastAsiaTheme="minorHAnsi" w:hAnsi="Garamond" w:cs="Times New Roman"/>
          <w:color w:val="000000"/>
          <w:sz w:val="24"/>
          <w:szCs w:val="24"/>
        </w:rPr>
        <w:t xml:space="preserve"> e saj, rrezikun në </w:t>
      </w:r>
      <w:r w:rsidRPr="00A91B21">
        <w:rPr>
          <w:rFonts w:ascii="Garamond" w:eastAsiaTheme="minorHAnsi" w:hAnsi="Garamond" w:cs="Times New Roman"/>
          <w:color w:val="000000"/>
          <w:sz w:val="24"/>
          <w:szCs w:val="24"/>
        </w:rPr>
        <w:lastRenderedPageBreak/>
        <w:t xml:space="preserve">një shkallë jo të konsiderueshme për interesin e kërkueses, si dhe numrin e lartë të çështjeve në Gjykatën e Lartë në pritje për t’u gjykuar nga një numër i reduktuar gjyqtarësh, nuk ka cenim të së drejtës për një proces të rregullt ligjor si pasojë e </w:t>
      </w:r>
      <w:proofErr w:type="spellStart"/>
      <w:r w:rsidRPr="00A91B21">
        <w:rPr>
          <w:rFonts w:ascii="Garamond" w:eastAsiaTheme="minorHAnsi" w:hAnsi="Garamond" w:cs="Times New Roman"/>
          <w:color w:val="000000"/>
          <w:sz w:val="24"/>
          <w:szCs w:val="24"/>
        </w:rPr>
        <w:t>mosshqyrtimit</w:t>
      </w:r>
      <w:proofErr w:type="spellEnd"/>
      <w:r w:rsidRPr="00A91B21">
        <w:rPr>
          <w:rFonts w:ascii="Garamond" w:eastAsiaTheme="minorHAnsi" w:hAnsi="Garamond" w:cs="Times New Roman"/>
          <w:color w:val="000000"/>
          <w:sz w:val="24"/>
          <w:szCs w:val="24"/>
        </w:rPr>
        <w:t xml:space="preserve"> të çështjes brenda një afati të arsyeshëm.</w:t>
      </w:r>
      <w:r w:rsidR="00A91B21">
        <w:rPr>
          <w:rFonts w:ascii="Garamond" w:eastAsiaTheme="minorHAnsi" w:hAnsi="Garamond" w:cs="Times New Roman"/>
          <w:color w:val="000000"/>
          <w:sz w:val="24"/>
          <w:szCs w:val="24"/>
        </w:rPr>
        <w:t xml:space="preserve"> </w:t>
      </w:r>
    </w:p>
    <w:p w14:paraId="2026D93C" w14:textId="71966CB8"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9. Pas hyrjes në fuqi të vendimit, Kolegji Civil i Gjykatës së Lartë, me vendimin nr. 7, datë 16.12.2021, ka vendosur rrëzimin e kërkesës për konstatimin e shkeljes së afatit të arsyeshëm të paraqitur nga kërkuesja, duke argumentuar, ndër të tjera, se tejkalimi i afatit ligjor për shqyrtimin e rekursit të saj është rrjedhojë e disa rrethanave që përbëjnë pamundësi objektive. </w:t>
      </w:r>
    </w:p>
    <w:p w14:paraId="0D68A5D3" w14:textId="76554E67" w:rsidR="00A552BA" w:rsidRPr="00A91B21" w:rsidRDefault="00A91B21"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10. Në datën 7.</w:t>
      </w:r>
      <w:r w:rsidR="00A552BA" w:rsidRPr="00A91B21">
        <w:rPr>
          <w:rFonts w:ascii="Garamond" w:eastAsiaTheme="minorHAnsi" w:hAnsi="Garamond" w:cs="Times New Roman"/>
          <w:color w:val="000000"/>
          <w:sz w:val="24"/>
          <w:szCs w:val="24"/>
        </w:rPr>
        <w:t>3.2022</w:t>
      </w:r>
      <w:r>
        <w:rPr>
          <w:rFonts w:ascii="Garamond" w:eastAsiaTheme="minorHAnsi" w:hAnsi="Garamond" w:cs="Times New Roman"/>
          <w:color w:val="000000"/>
          <w:sz w:val="24"/>
          <w:szCs w:val="24"/>
        </w:rPr>
        <w:t>,</w:t>
      </w:r>
      <w:r w:rsidR="00A552BA" w:rsidRPr="00A91B21">
        <w:rPr>
          <w:rFonts w:ascii="Garamond" w:eastAsiaTheme="minorHAnsi" w:hAnsi="Garamond" w:cs="Times New Roman"/>
          <w:color w:val="000000"/>
          <w:sz w:val="24"/>
          <w:szCs w:val="24"/>
        </w:rPr>
        <w:t xml:space="preserve"> kërkuesja i është drejtuar sërish Gjykatës me ankim kushtetues individual për shfuqizimin e vendimit nr. 7, datë 16.12.2021</w:t>
      </w:r>
      <w:r>
        <w:rPr>
          <w:rFonts w:ascii="Garamond" w:eastAsiaTheme="minorHAnsi" w:hAnsi="Garamond" w:cs="Times New Roman"/>
          <w:color w:val="000000"/>
          <w:sz w:val="24"/>
          <w:szCs w:val="24"/>
        </w:rPr>
        <w:t>,</w:t>
      </w:r>
      <w:r w:rsidR="00A552BA" w:rsidRPr="00A91B21">
        <w:rPr>
          <w:rFonts w:ascii="Garamond" w:eastAsiaTheme="minorHAnsi" w:hAnsi="Garamond" w:cs="Times New Roman"/>
          <w:color w:val="000000"/>
          <w:sz w:val="24"/>
          <w:szCs w:val="24"/>
        </w:rPr>
        <w:t xml:space="preserve"> të Gjykatës së Lartë, si të papajtueshëm me Kushtetutën, si dhe kthimin e çështjes për rishqyrtim nga një tjetër trup gjykues i Gjykatës së Lartë (</w:t>
      </w:r>
      <w:r w:rsidR="00A552BA" w:rsidRPr="00A91B21">
        <w:rPr>
          <w:rFonts w:ascii="Garamond" w:eastAsiaTheme="minorHAnsi" w:hAnsi="Garamond" w:cs="Times New Roman"/>
          <w:i/>
          <w:iCs/>
          <w:color w:val="000000"/>
          <w:sz w:val="24"/>
          <w:szCs w:val="24"/>
        </w:rPr>
        <w:t>kërkesa nr. 2</w:t>
      </w:r>
      <w:r w:rsidR="00A552BA" w:rsidRPr="00A91B21">
        <w:rPr>
          <w:rFonts w:ascii="Garamond" w:eastAsiaTheme="minorHAnsi" w:hAnsi="Garamond" w:cs="Times New Roman"/>
          <w:color w:val="000000"/>
          <w:sz w:val="24"/>
          <w:szCs w:val="24"/>
        </w:rPr>
        <w:t>).</w:t>
      </w:r>
      <w:r>
        <w:rPr>
          <w:rFonts w:ascii="Garamond" w:eastAsiaTheme="minorHAnsi" w:hAnsi="Garamond" w:cs="Times New Roman"/>
          <w:color w:val="000000"/>
          <w:sz w:val="24"/>
          <w:szCs w:val="24"/>
        </w:rPr>
        <w:t xml:space="preserve"> </w:t>
      </w:r>
    </w:p>
    <w:p w14:paraId="02AE3DAA" w14:textId="0691B884"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11. Mbledhja e Gjyqtarëve të Gjykatë</w:t>
      </w:r>
      <w:r w:rsidR="00A91B21">
        <w:rPr>
          <w:rFonts w:ascii="Garamond" w:eastAsiaTheme="minorHAnsi" w:hAnsi="Garamond" w:cs="Times New Roman"/>
          <w:color w:val="000000"/>
          <w:sz w:val="24"/>
          <w:szCs w:val="24"/>
        </w:rPr>
        <w:t>s, me vendimin nr. 57, datë 20.</w:t>
      </w:r>
      <w:r w:rsidRPr="00A91B21">
        <w:rPr>
          <w:rFonts w:ascii="Garamond" w:eastAsiaTheme="minorHAnsi" w:hAnsi="Garamond" w:cs="Times New Roman"/>
          <w:color w:val="000000"/>
          <w:sz w:val="24"/>
          <w:szCs w:val="24"/>
        </w:rPr>
        <w:t xml:space="preserve">5.2022, ka vendosur </w:t>
      </w:r>
      <w:proofErr w:type="spellStart"/>
      <w:r w:rsidRPr="00A91B21">
        <w:rPr>
          <w:rFonts w:ascii="Garamond" w:eastAsiaTheme="minorHAnsi" w:hAnsi="Garamond" w:cs="Times New Roman"/>
          <w:color w:val="000000"/>
          <w:sz w:val="24"/>
          <w:szCs w:val="24"/>
        </w:rPr>
        <w:t>moskalimin</w:t>
      </w:r>
      <w:proofErr w:type="spellEnd"/>
      <w:r w:rsidRPr="00A91B21">
        <w:rPr>
          <w:rFonts w:ascii="Garamond" w:eastAsiaTheme="minorHAnsi" w:hAnsi="Garamond" w:cs="Times New Roman"/>
          <w:color w:val="000000"/>
          <w:sz w:val="24"/>
          <w:szCs w:val="24"/>
        </w:rPr>
        <w:t xml:space="preserve"> e çështjes për shqyrtim në seancë plenare, bazuar në shkronjën “dh” të pikës 2 të nenit 31/a të Ligjit Organik të Gjykatës, sipas së cilës Mbledhja e Gjyqtarëve të Gjykatës vlerësoi se për pretendimet e paraqitura Gjykata kishte dhënë përgjigje. Në nxjerrjen e këtij përfundimi, Mbledhja e Gjyqtarëve evidentoi se</w:t>
      </w:r>
      <w:r w:rsidRPr="00A91B21">
        <w:rPr>
          <w:rFonts w:ascii="Garamond" w:eastAsiaTheme="minorHAnsi" w:hAnsi="Garamond" w:cs="Calibri"/>
          <w:color w:val="000000"/>
          <w:sz w:val="24"/>
          <w:szCs w:val="24"/>
        </w:rPr>
        <w:t xml:space="preserve"> </w:t>
      </w:r>
      <w:r w:rsidRPr="00A91B21">
        <w:rPr>
          <w:rFonts w:ascii="Garamond" w:eastAsiaTheme="minorHAnsi" w:hAnsi="Garamond" w:cs="Times New Roman"/>
          <w:color w:val="000000"/>
          <w:sz w:val="24"/>
          <w:szCs w:val="24"/>
        </w:rPr>
        <w:t>vendimi i kundërshtuar, ndonëse përbënte rrethanë të re, duke qenë se ishte dhënë pas vendimit të kësaj Gjykate, ishte konsideruar se nuk përbënte shkak që ankimi kushtetues individual i ri të kalonte për shqyrtim në seancë plenare. Sipas Mbledhjes së Gjyqtarëve, kërkuesja nuk ka paraqitur ndonjë argument që të tregonte ndryshimin e situatës dhe të interesit të saj nga koha e dh</w:t>
      </w:r>
      <w:r w:rsidR="00A91B21">
        <w:rPr>
          <w:rFonts w:ascii="Garamond" w:eastAsiaTheme="minorHAnsi" w:hAnsi="Garamond" w:cs="Times New Roman"/>
          <w:color w:val="000000"/>
          <w:sz w:val="24"/>
          <w:szCs w:val="24"/>
        </w:rPr>
        <w:t xml:space="preserve">ënies së vendimit nr. 34, datë </w:t>
      </w:r>
      <w:r w:rsidRPr="00A91B21">
        <w:rPr>
          <w:rFonts w:ascii="Garamond" w:eastAsiaTheme="minorHAnsi" w:hAnsi="Garamond" w:cs="Times New Roman"/>
          <w:color w:val="000000"/>
          <w:sz w:val="24"/>
          <w:szCs w:val="24"/>
        </w:rPr>
        <w:t>1.11.2021</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nga kjo Gjykatë. Në këtë situatë, Mbledhja e Gjyqtarëve ka çmuar se në rastin konkret nuk ekziston ndonjë fakt ose rrethanë e ndodhur pas dhënies së vendimit të mëparshëm të Gjykatës, me rëndësi të mjaftueshme për të ndryshuar arsyet në themel të vendimmarrjes së mëparshme të saj.</w:t>
      </w:r>
    </w:p>
    <w:p w14:paraId="71804419" w14:textId="45F39C45" w:rsidR="00A552BA" w:rsidRPr="00A91B21" w:rsidRDefault="00A91B21"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12. Në datën 25.</w:t>
      </w:r>
      <w:r w:rsidR="00A552BA" w:rsidRPr="00A91B21">
        <w:rPr>
          <w:rFonts w:ascii="Garamond" w:eastAsiaTheme="minorHAnsi" w:hAnsi="Garamond" w:cs="Times New Roman"/>
          <w:color w:val="000000"/>
          <w:sz w:val="24"/>
          <w:szCs w:val="24"/>
        </w:rPr>
        <w:t>4.2024</w:t>
      </w:r>
      <w:r>
        <w:rPr>
          <w:rFonts w:ascii="Garamond" w:eastAsiaTheme="minorHAnsi" w:hAnsi="Garamond" w:cs="Times New Roman"/>
          <w:color w:val="000000"/>
          <w:sz w:val="24"/>
          <w:szCs w:val="24"/>
        </w:rPr>
        <w:t>,</w:t>
      </w:r>
      <w:r w:rsidR="00A552BA" w:rsidRPr="00A91B21">
        <w:rPr>
          <w:rFonts w:ascii="Garamond" w:eastAsiaTheme="minorHAnsi" w:hAnsi="Garamond" w:cs="Times New Roman"/>
          <w:color w:val="000000"/>
          <w:sz w:val="24"/>
          <w:szCs w:val="24"/>
        </w:rPr>
        <w:t xml:space="preserve"> kërkuesja ka paraqitur në Gjykatën e Lartë një kërkesë të re për konstatimin e shkeljes së afatit të arsyeshëm dhe përshpejtimin e procedurave në gjykimin e çështjes civile në fjalë, ku, ndër të tjera, ka kërkuar edhe konstatimin e statusit të viktimës gjatë procesit gjyqësor dhe shpërblimin e dëmit, si rrjedhojë e drejtpërdrejtë e shkeljes së afatit të arsyeshëm. Me s</w:t>
      </w:r>
      <w:r>
        <w:rPr>
          <w:rFonts w:ascii="Garamond" w:eastAsiaTheme="minorHAnsi" w:hAnsi="Garamond" w:cs="Times New Roman"/>
          <w:color w:val="000000"/>
          <w:sz w:val="24"/>
          <w:szCs w:val="24"/>
        </w:rPr>
        <w:t xml:space="preserve">hkresën nr. 2087/1 </w:t>
      </w:r>
      <w:proofErr w:type="spellStart"/>
      <w:r>
        <w:rPr>
          <w:rFonts w:ascii="Garamond" w:eastAsiaTheme="minorHAnsi" w:hAnsi="Garamond" w:cs="Times New Roman"/>
          <w:color w:val="000000"/>
          <w:sz w:val="24"/>
          <w:szCs w:val="24"/>
        </w:rPr>
        <w:t>prot</w:t>
      </w:r>
      <w:proofErr w:type="spellEnd"/>
      <w:r>
        <w:rPr>
          <w:rFonts w:ascii="Garamond" w:eastAsiaTheme="minorHAnsi" w:hAnsi="Garamond" w:cs="Times New Roman"/>
          <w:color w:val="000000"/>
          <w:sz w:val="24"/>
          <w:szCs w:val="24"/>
        </w:rPr>
        <w:t>., datë 3.</w:t>
      </w:r>
      <w:r w:rsidR="00A552BA" w:rsidRPr="00A91B21">
        <w:rPr>
          <w:rFonts w:ascii="Garamond" w:eastAsiaTheme="minorHAnsi" w:hAnsi="Garamond" w:cs="Times New Roman"/>
          <w:color w:val="000000"/>
          <w:sz w:val="24"/>
          <w:szCs w:val="24"/>
        </w:rPr>
        <w:t>5.2024</w:t>
      </w:r>
      <w:r>
        <w:rPr>
          <w:rFonts w:ascii="Garamond" w:eastAsiaTheme="minorHAnsi" w:hAnsi="Garamond" w:cs="Times New Roman"/>
          <w:color w:val="000000"/>
          <w:sz w:val="24"/>
          <w:szCs w:val="24"/>
        </w:rPr>
        <w:t>,</w:t>
      </w:r>
      <w:r w:rsidR="00A552BA" w:rsidRPr="00A91B21">
        <w:rPr>
          <w:rFonts w:ascii="Garamond" w:eastAsiaTheme="minorHAnsi" w:hAnsi="Garamond" w:cs="Times New Roman"/>
          <w:color w:val="000000"/>
          <w:sz w:val="24"/>
          <w:szCs w:val="24"/>
        </w:rPr>
        <w:t xml:space="preserve"> “Për plotësim kërkese”, kancelari i Gjykatës së Lartë e ka njoftuar kërkuesen se kërkesa e saj nuk ishte nënshkruar nga një avokat përfaqësues dhe e ka kthyer atë për plotësimin e të metave brenda 7 ditëve nga dita e nesërme e marrjes d</w:t>
      </w:r>
      <w:r>
        <w:rPr>
          <w:rFonts w:ascii="Garamond" w:eastAsiaTheme="minorHAnsi" w:hAnsi="Garamond" w:cs="Times New Roman"/>
          <w:color w:val="000000"/>
          <w:sz w:val="24"/>
          <w:szCs w:val="24"/>
        </w:rPr>
        <w:t>ijeni të shkresës. Në datën 8.</w:t>
      </w:r>
      <w:r w:rsidR="00A552BA" w:rsidRPr="00A91B21">
        <w:rPr>
          <w:rFonts w:ascii="Garamond" w:eastAsiaTheme="minorHAnsi" w:hAnsi="Garamond" w:cs="Times New Roman"/>
          <w:color w:val="000000"/>
          <w:sz w:val="24"/>
          <w:szCs w:val="24"/>
        </w:rPr>
        <w:t>5.2024</w:t>
      </w:r>
      <w:r>
        <w:rPr>
          <w:rFonts w:ascii="Garamond" w:eastAsiaTheme="minorHAnsi" w:hAnsi="Garamond" w:cs="Times New Roman"/>
          <w:color w:val="000000"/>
          <w:sz w:val="24"/>
          <w:szCs w:val="24"/>
        </w:rPr>
        <w:t>,</w:t>
      </w:r>
      <w:r w:rsidR="00A552BA" w:rsidRPr="00A91B21">
        <w:rPr>
          <w:rFonts w:ascii="Garamond" w:eastAsiaTheme="minorHAnsi" w:hAnsi="Garamond" w:cs="Times New Roman"/>
          <w:color w:val="000000"/>
          <w:sz w:val="24"/>
          <w:szCs w:val="24"/>
        </w:rPr>
        <w:t xml:space="preserve"> kërkuesja ka par</w:t>
      </w:r>
      <w:r>
        <w:rPr>
          <w:rFonts w:ascii="Garamond" w:eastAsiaTheme="minorHAnsi" w:hAnsi="Garamond" w:cs="Times New Roman"/>
          <w:color w:val="000000"/>
          <w:sz w:val="24"/>
          <w:szCs w:val="24"/>
        </w:rPr>
        <w:t>aqitur shkresën nr. 2289, datë 8.</w:t>
      </w:r>
      <w:r w:rsidR="00A552BA" w:rsidRPr="00A91B21">
        <w:rPr>
          <w:rFonts w:ascii="Garamond" w:eastAsiaTheme="minorHAnsi" w:hAnsi="Garamond" w:cs="Times New Roman"/>
          <w:color w:val="000000"/>
          <w:sz w:val="24"/>
          <w:szCs w:val="24"/>
        </w:rPr>
        <w:t>5.2024</w:t>
      </w:r>
      <w:r>
        <w:rPr>
          <w:rFonts w:ascii="Garamond" w:eastAsiaTheme="minorHAnsi" w:hAnsi="Garamond" w:cs="Times New Roman"/>
          <w:color w:val="000000"/>
          <w:sz w:val="24"/>
          <w:szCs w:val="24"/>
        </w:rPr>
        <w:t>,</w:t>
      </w:r>
      <w:r w:rsidR="00A552BA" w:rsidRPr="00A91B21">
        <w:rPr>
          <w:rFonts w:ascii="Garamond" w:eastAsiaTheme="minorHAnsi" w:hAnsi="Garamond" w:cs="Times New Roman"/>
          <w:color w:val="000000"/>
          <w:sz w:val="24"/>
          <w:szCs w:val="24"/>
        </w:rPr>
        <w:t xml:space="preserve"> “Kthim përgjigje” dhe bashkëlidhur saj ka dërgu</w:t>
      </w:r>
      <w:r>
        <w:rPr>
          <w:rFonts w:ascii="Garamond" w:eastAsiaTheme="minorHAnsi" w:hAnsi="Garamond" w:cs="Times New Roman"/>
          <w:color w:val="000000"/>
          <w:sz w:val="24"/>
          <w:szCs w:val="24"/>
        </w:rPr>
        <w:t>ar edhe autorizimin e datës 7.</w:t>
      </w:r>
      <w:r w:rsidR="00A552BA" w:rsidRPr="00A91B21">
        <w:rPr>
          <w:rFonts w:ascii="Garamond" w:eastAsiaTheme="minorHAnsi" w:hAnsi="Garamond" w:cs="Times New Roman"/>
          <w:color w:val="000000"/>
          <w:sz w:val="24"/>
          <w:szCs w:val="24"/>
        </w:rPr>
        <w:t>5.2024</w:t>
      </w:r>
      <w:r>
        <w:rPr>
          <w:rFonts w:ascii="Garamond" w:eastAsiaTheme="minorHAnsi" w:hAnsi="Garamond" w:cs="Times New Roman"/>
          <w:color w:val="000000"/>
          <w:sz w:val="24"/>
          <w:szCs w:val="24"/>
        </w:rPr>
        <w:t>,</w:t>
      </w:r>
      <w:r w:rsidR="00A552BA" w:rsidRPr="00A91B21">
        <w:rPr>
          <w:rFonts w:ascii="Garamond" w:eastAsiaTheme="minorHAnsi" w:hAnsi="Garamond" w:cs="Times New Roman"/>
          <w:color w:val="000000"/>
          <w:sz w:val="24"/>
          <w:szCs w:val="24"/>
        </w:rPr>
        <w:t xml:space="preserve"> të administratorit të saj për caktimin e përfaqësuesit ligjor përpara Gjykatës së Lartë. Në të njëjtën datë kërkuesja ka paraqitur në atë gjykatë një kërkesë me të njëjtin objekt dhe përmbajtje </w:t>
      </w:r>
      <w:r>
        <w:rPr>
          <w:rFonts w:ascii="Garamond" w:eastAsiaTheme="minorHAnsi" w:hAnsi="Garamond" w:cs="Times New Roman"/>
          <w:color w:val="000000"/>
          <w:sz w:val="24"/>
          <w:szCs w:val="24"/>
        </w:rPr>
        <w:t>si ajo e datës 25.</w:t>
      </w:r>
      <w:r w:rsidR="00A552BA" w:rsidRPr="00A91B21">
        <w:rPr>
          <w:rFonts w:ascii="Garamond" w:eastAsiaTheme="minorHAnsi" w:hAnsi="Garamond" w:cs="Times New Roman"/>
          <w:color w:val="000000"/>
          <w:sz w:val="24"/>
          <w:szCs w:val="24"/>
        </w:rPr>
        <w:t>4.2024, të nënshkruar nga administratori i shoqërisë, ndërkohë që në të rezulton emri i përfaqësuesit ligjor të saj, por jo nënshkrimi i tij. Kërkesa është regjistruar me nr. 22</w:t>
      </w:r>
      <w:r>
        <w:rPr>
          <w:rFonts w:ascii="Garamond" w:eastAsiaTheme="minorHAnsi" w:hAnsi="Garamond" w:cs="Times New Roman"/>
          <w:color w:val="000000"/>
          <w:sz w:val="24"/>
          <w:szCs w:val="24"/>
        </w:rPr>
        <w:t>89 regjistri, datë regjistrimi 8.</w:t>
      </w:r>
      <w:r w:rsidR="00A552BA" w:rsidRPr="00A91B21">
        <w:rPr>
          <w:rFonts w:ascii="Garamond" w:eastAsiaTheme="minorHAnsi" w:hAnsi="Garamond" w:cs="Times New Roman"/>
          <w:color w:val="000000"/>
          <w:sz w:val="24"/>
          <w:szCs w:val="24"/>
        </w:rPr>
        <w:t xml:space="preserve">5.2024. </w:t>
      </w:r>
    </w:p>
    <w:p w14:paraId="60C16CC4" w14:textId="0538F033"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13. Ndërkohë që kërkesa ishte duke u shqyrtuar në Gjykatën e Lartë, kërkuesja i është drejtuar përsëri Gjykatës, duke paraqitur ankimin kushtetues individual, objekt shqyrtimi, i cili</w:t>
      </w:r>
      <w:r w:rsidR="00A91B21">
        <w:rPr>
          <w:rFonts w:ascii="Garamond" w:eastAsiaTheme="minorHAnsi" w:hAnsi="Garamond" w:cs="Times New Roman"/>
          <w:color w:val="000000"/>
          <w:sz w:val="24"/>
          <w:szCs w:val="24"/>
        </w:rPr>
        <w:t xml:space="preserve"> është regjistruar në datën 27.</w:t>
      </w:r>
      <w:r w:rsidRPr="00A91B21">
        <w:rPr>
          <w:rFonts w:ascii="Garamond" w:eastAsiaTheme="minorHAnsi" w:hAnsi="Garamond" w:cs="Times New Roman"/>
          <w:color w:val="000000"/>
          <w:sz w:val="24"/>
          <w:szCs w:val="24"/>
        </w:rPr>
        <w:t>5.2024 (</w:t>
      </w:r>
      <w:r w:rsidRPr="00A91B21">
        <w:rPr>
          <w:rFonts w:ascii="Garamond" w:eastAsiaTheme="minorHAnsi" w:hAnsi="Garamond" w:cs="Times New Roman"/>
          <w:i/>
          <w:iCs/>
          <w:color w:val="000000"/>
          <w:sz w:val="24"/>
          <w:szCs w:val="24"/>
        </w:rPr>
        <w:t>kërkesa nr. 3</w:t>
      </w:r>
      <w:r w:rsidRPr="00A91B21">
        <w:rPr>
          <w:rFonts w:ascii="Garamond" w:eastAsiaTheme="minorHAnsi" w:hAnsi="Garamond" w:cs="Times New Roman"/>
          <w:color w:val="000000"/>
          <w:sz w:val="24"/>
          <w:szCs w:val="24"/>
        </w:rPr>
        <w:t>).</w:t>
      </w:r>
    </w:p>
    <w:p w14:paraId="77768B84" w14:textId="5F707D35"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14. Pas paraqitjes së ankimit kushtetues individual, Gjykata e Lartë, me vend</w:t>
      </w:r>
      <w:r w:rsidR="00A91B21">
        <w:rPr>
          <w:rFonts w:ascii="Garamond" w:eastAsiaTheme="minorHAnsi" w:hAnsi="Garamond" w:cs="Times New Roman"/>
          <w:color w:val="000000"/>
          <w:sz w:val="24"/>
          <w:szCs w:val="24"/>
        </w:rPr>
        <w:t>imin nr. 00-2024-2292, datë 30.</w:t>
      </w:r>
      <w:r w:rsidRPr="00A91B21">
        <w:rPr>
          <w:rFonts w:ascii="Garamond" w:eastAsiaTheme="minorHAnsi" w:hAnsi="Garamond" w:cs="Times New Roman"/>
          <w:color w:val="000000"/>
          <w:sz w:val="24"/>
          <w:szCs w:val="24"/>
        </w:rPr>
        <w:t>5.2024, ka vendosur rrëzimin e kërkesës për konstatimin e shkeljes së afatit të arsyeshëm, me argumentin se mosveprimi i asaj gjykate nuk ka ndodhur për shkaqe subjektive, pasi nuk vërehet ndonjë zvarritje e qëllimshme e procesit ose qëndrime abuzive të gjyqtarit relator. Për më tepër, ai kolegj ka evidentuar se çështja e kërkueses nuk përfshihet në rastet e parashikuar</w:t>
      </w:r>
      <w:r w:rsidR="00A91B21">
        <w:rPr>
          <w:rFonts w:ascii="Garamond" w:eastAsiaTheme="minorHAnsi" w:hAnsi="Garamond" w:cs="Times New Roman"/>
          <w:color w:val="000000"/>
          <w:sz w:val="24"/>
          <w:szCs w:val="24"/>
        </w:rPr>
        <w:t>a nga vendimi nr. 178, datë 30.</w:t>
      </w:r>
      <w:r w:rsidRPr="00A91B21">
        <w:rPr>
          <w:rFonts w:ascii="Garamond" w:eastAsiaTheme="minorHAnsi" w:hAnsi="Garamond" w:cs="Times New Roman"/>
          <w:color w:val="000000"/>
          <w:sz w:val="24"/>
          <w:szCs w:val="24"/>
        </w:rPr>
        <w:t>5.2019</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i Këshillit të Lartë Gjyqësor “Për kalendarin e shqyrtimit të çështjeve në gjykatën e apelit” dhe se kërkuesja nuk ka sjellë asnjë argument nëse çështja konkrete paraqet ndonjë specifikë ose rrethanë të veçantë që të justifikojë shqyrtimin e saj me përparësi, jashtë rendit kronologjik. Ndërkohë ka sqaruar se Kolegji Civil ka filluar të shqyrtojë çështjet e regjistruara në vitin 2016 dhe se në vijim do të shqyrtohet edhe çështja objekt kërkese, sipas rendit kronologjik.</w:t>
      </w:r>
    </w:p>
    <w:p w14:paraId="19D351DF" w14:textId="47D0DDDD"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lastRenderedPageBreak/>
        <w:t xml:space="preserve">15. Gjykata, me vendimin nr. 80, datë 21.11.2024, ka vendosur rrëzimin e kërkesës nr. 3 bazuar në nenin 73, pika 4, të Ligjit Organik të Gjykatës për </w:t>
      </w:r>
      <w:proofErr w:type="spellStart"/>
      <w:r w:rsidRPr="00A91B21">
        <w:rPr>
          <w:rFonts w:ascii="Garamond" w:eastAsiaTheme="minorHAnsi" w:hAnsi="Garamond" w:cs="Times New Roman"/>
          <w:color w:val="000000"/>
          <w:sz w:val="24"/>
          <w:szCs w:val="24"/>
        </w:rPr>
        <w:t>mosformim</w:t>
      </w:r>
      <w:proofErr w:type="spellEnd"/>
      <w:r w:rsidRPr="00A91B21">
        <w:rPr>
          <w:rFonts w:ascii="Garamond" w:eastAsiaTheme="minorHAnsi" w:hAnsi="Garamond" w:cs="Times New Roman"/>
          <w:color w:val="000000"/>
          <w:sz w:val="24"/>
          <w:szCs w:val="24"/>
        </w:rPr>
        <w:t xml:space="preserve"> të shumicës prej 5 gjyqtarësh. Sipas njërit qëndrim, kërkesa duhej pranuar, pasi koha e gjykimit të çështjes së kërkueses ka qenë thelbësore në drejtim të njohjes dhe ushtrimit të së drejtës së pretenduar nga ajo, ndaj </w:t>
      </w:r>
      <w:proofErr w:type="spellStart"/>
      <w:r w:rsidRPr="00A91B21">
        <w:rPr>
          <w:rFonts w:ascii="Garamond" w:eastAsiaTheme="minorHAnsi" w:hAnsi="Garamond" w:cs="Times New Roman"/>
          <w:color w:val="000000"/>
          <w:sz w:val="24"/>
          <w:szCs w:val="24"/>
        </w:rPr>
        <w:t>tejzgjatja</w:t>
      </w:r>
      <w:proofErr w:type="spellEnd"/>
      <w:r w:rsidRPr="00A91B21">
        <w:rPr>
          <w:rFonts w:ascii="Garamond" w:eastAsiaTheme="minorHAnsi" w:hAnsi="Garamond" w:cs="Times New Roman"/>
          <w:color w:val="000000"/>
          <w:sz w:val="24"/>
          <w:szCs w:val="24"/>
        </w:rPr>
        <w:t xml:space="preserve"> e gjykimit në Gjykatën e Lartë ka bërë që pretendimet e saj, edhe nëse njihen </w:t>
      </w:r>
      <w:proofErr w:type="spellStart"/>
      <w:r w:rsidRPr="00A91B21">
        <w:rPr>
          <w:rFonts w:ascii="Garamond" w:eastAsiaTheme="minorHAnsi" w:hAnsi="Garamond" w:cs="Times New Roman"/>
          <w:color w:val="000000"/>
          <w:sz w:val="24"/>
          <w:szCs w:val="24"/>
        </w:rPr>
        <w:t>gjyqësisht</w:t>
      </w:r>
      <w:proofErr w:type="spellEnd"/>
      <w:r w:rsidRPr="00A91B21">
        <w:rPr>
          <w:rFonts w:ascii="Garamond" w:eastAsiaTheme="minorHAnsi" w:hAnsi="Garamond" w:cs="Times New Roman"/>
          <w:color w:val="000000"/>
          <w:sz w:val="24"/>
          <w:szCs w:val="24"/>
        </w:rPr>
        <w:t xml:space="preserve">, të mbeten pa vlerë. Në këtë kuptim, çështja ka tejkaluar një kufi kohor të arsyeshëm në aspektin kushtetues. Sipas qëndrimit tjetër, kërkesa duhej rrëzuar, pasi, nuk ka rezultuar që kërkuesja të ketë pësuar dëm pasuror nga veprimet e palës së paditur, për të cilat pretendon se kanë shkaktuar </w:t>
      </w:r>
      <w:proofErr w:type="spellStart"/>
      <w:r w:rsidRPr="00A91B21">
        <w:rPr>
          <w:rFonts w:ascii="Garamond" w:eastAsiaTheme="minorHAnsi" w:hAnsi="Garamond" w:cs="Times New Roman"/>
          <w:color w:val="000000"/>
          <w:sz w:val="24"/>
          <w:szCs w:val="24"/>
        </w:rPr>
        <w:t>moslidhjen</w:t>
      </w:r>
      <w:proofErr w:type="spellEnd"/>
      <w:r w:rsidRPr="00A91B21">
        <w:rPr>
          <w:rFonts w:ascii="Garamond" w:eastAsiaTheme="minorHAnsi" w:hAnsi="Garamond" w:cs="Times New Roman"/>
          <w:color w:val="000000"/>
          <w:sz w:val="24"/>
          <w:szCs w:val="24"/>
        </w:rPr>
        <w:t xml:space="preserve"> në vijimësi të kontratave të mëtejshme të shërbimit. Në këtë kuptim, edhe pse ka një </w:t>
      </w:r>
      <w:proofErr w:type="spellStart"/>
      <w:r w:rsidRPr="00A91B21">
        <w:rPr>
          <w:rFonts w:ascii="Garamond" w:eastAsiaTheme="minorHAnsi" w:hAnsi="Garamond" w:cs="Times New Roman"/>
          <w:color w:val="000000"/>
          <w:sz w:val="24"/>
          <w:szCs w:val="24"/>
        </w:rPr>
        <w:t>tejzgjatje</w:t>
      </w:r>
      <w:proofErr w:type="spellEnd"/>
      <w:r w:rsidRPr="00A91B21">
        <w:rPr>
          <w:rFonts w:ascii="Garamond" w:eastAsiaTheme="minorHAnsi" w:hAnsi="Garamond" w:cs="Times New Roman"/>
          <w:color w:val="000000"/>
          <w:sz w:val="24"/>
          <w:szCs w:val="24"/>
        </w:rPr>
        <w:t xml:space="preserve"> të procesit, duke pasur parasysh rrethanat e çështjes, </w:t>
      </w:r>
      <w:proofErr w:type="spellStart"/>
      <w:r w:rsidRPr="00A91B21">
        <w:rPr>
          <w:rFonts w:ascii="Garamond" w:eastAsiaTheme="minorHAnsi" w:hAnsi="Garamond" w:cs="Times New Roman"/>
          <w:color w:val="000000"/>
          <w:sz w:val="24"/>
          <w:szCs w:val="24"/>
        </w:rPr>
        <w:t>kompleksitetin</w:t>
      </w:r>
      <w:proofErr w:type="spellEnd"/>
      <w:r w:rsidRPr="00A91B21">
        <w:rPr>
          <w:rFonts w:ascii="Garamond" w:eastAsiaTheme="minorHAnsi" w:hAnsi="Garamond" w:cs="Times New Roman"/>
          <w:color w:val="000000"/>
          <w:sz w:val="24"/>
          <w:szCs w:val="24"/>
        </w:rPr>
        <w:t xml:space="preserve"> e saj, rrezikun në një shkallë jo të konsiderueshme për interesin e kërkueses, numrin e lartë të çështjeve në Gjykatën e Lartë në pritje për t’u gjykuar, si dhe faktin se ajo gjykatë ka planifikuar shqyrtimin në dhomën e këshillimit të saj, nuk ka cenim të së drejtës për një proces të rregullt ligjor si pasojë e </w:t>
      </w:r>
      <w:proofErr w:type="spellStart"/>
      <w:r w:rsidRPr="00A91B21">
        <w:rPr>
          <w:rFonts w:ascii="Garamond" w:eastAsiaTheme="minorHAnsi" w:hAnsi="Garamond" w:cs="Times New Roman"/>
          <w:color w:val="000000"/>
          <w:sz w:val="24"/>
          <w:szCs w:val="24"/>
        </w:rPr>
        <w:t>mosshqyrtimit</w:t>
      </w:r>
      <w:proofErr w:type="spellEnd"/>
      <w:r w:rsidRPr="00A91B21">
        <w:rPr>
          <w:rFonts w:ascii="Garamond" w:eastAsiaTheme="minorHAnsi" w:hAnsi="Garamond" w:cs="Times New Roman"/>
          <w:color w:val="000000"/>
          <w:sz w:val="24"/>
          <w:szCs w:val="24"/>
        </w:rPr>
        <w:t xml:space="preserve"> të çështjes brenda një afati të arsyeshëm.</w:t>
      </w:r>
    </w:p>
    <w:p w14:paraId="5AF8A8DC" w14:textId="489194EA"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16. Ndërkohë, Gjykata e Lartë, me vendimin nr. 00-2024-4933, datë 27.11.2024, ka gjykuar themelin e çështjes duke vendosur mospranimin e rekursit, pasi ai është bërë për shkaqe të ndryshme nga ato të parashikuara në nenin 472 të KPC-së. Ndaj këtij vendimi kërkuesja ka ushtruar ankim kushtetues individual dhe Kolegji i Gjykatës</w:t>
      </w:r>
      <w:r w:rsidR="00A91B21">
        <w:rPr>
          <w:rFonts w:ascii="Garamond" w:eastAsiaTheme="minorHAnsi" w:hAnsi="Garamond" w:cs="Times New Roman"/>
          <w:color w:val="000000"/>
          <w:sz w:val="24"/>
          <w:szCs w:val="24"/>
        </w:rPr>
        <w:t>, me vendimin nr. 162, datë 19.</w:t>
      </w:r>
      <w:r w:rsidRPr="00A91B21">
        <w:rPr>
          <w:rFonts w:ascii="Garamond" w:eastAsiaTheme="minorHAnsi" w:hAnsi="Garamond" w:cs="Times New Roman"/>
          <w:color w:val="000000"/>
          <w:sz w:val="24"/>
          <w:szCs w:val="24"/>
        </w:rPr>
        <w:t xml:space="preserve">6.2025, ka vendosur </w:t>
      </w:r>
      <w:proofErr w:type="spellStart"/>
      <w:r w:rsidRPr="00A91B21">
        <w:rPr>
          <w:rFonts w:ascii="Garamond" w:eastAsiaTheme="minorHAnsi" w:hAnsi="Garamond" w:cs="Times New Roman"/>
          <w:color w:val="000000"/>
          <w:sz w:val="24"/>
          <w:szCs w:val="24"/>
        </w:rPr>
        <w:t>moskalimin</w:t>
      </w:r>
      <w:proofErr w:type="spellEnd"/>
      <w:r w:rsidRPr="00A91B21">
        <w:rPr>
          <w:rFonts w:ascii="Garamond" w:eastAsiaTheme="minorHAnsi" w:hAnsi="Garamond" w:cs="Times New Roman"/>
          <w:color w:val="000000"/>
          <w:sz w:val="24"/>
          <w:szCs w:val="24"/>
        </w:rPr>
        <w:t xml:space="preserve"> e çështjes për shqyrtim në seancë plenare. </w:t>
      </w:r>
    </w:p>
    <w:p w14:paraId="1072D964" w14:textId="3E4A6723"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17. Për vendimin nr. 80, datë 21.11.2024</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të Gjykatës, kërkuesja ka paraqitur ankim në Gjykatën Evropiane për të Drejtat </w:t>
      </w:r>
      <w:r w:rsidR="00A91B21">
        <w:rPr>
          <w:rFonts w:ascii="Garamond" w:eastAsiaTheme="minorHAnsi" w:hAnsi="Garamond" w:cs="Times New Roman"/>
          <w:color w:val="000000"/>
          <w:sz w:val="24"/>
          <w:szCs w:val="24"/>
        </w:rPr>
        <w:t>e Njeriut. Në datën 27.</w:t>
      </w:r>
      <w:r w:rsidRPr="00A91B21">
        <w:rPr>
          <w:rFonts w:ascii="Garamond" w:eastAsiaTheme="minorHAnsi" w:hAnsi="Garamond" w:cs="Times New Roman"/>
          <w:color w:val="000000"/>
          <w:sz w:val="24"/>
          <w:szCs w:val="24"/>
        </w:rPr>
        <w:t>5.2025</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GJEDNJ-ja ka marrë vendim për çështjen e kërkuesit dhe për disa çështje të tjera (kërkesat nr. 39860/19 dhe 3 të tjera), botuar në Fle</w:t>
      </w:r>
      <w:r w:rsidR="00A91B21">
        <w:rPr>
          <w:rFonts w:ascii="Garamond" w:eastAsiaTheme="minorHAnsi" w:hAnsi="Garamond" w:cs="Times New Roman"/>
          <w:color w:val="000000"/>
          <w:sz w:val="24"/>
          <w:szCs w:val="24"/>
        </w:rPr>
        <w:t>toren Zyrtare nr. 163, datë 15.</w:t>
      </w:r>
      <w:r w:rsidRPr="00A91B21">
        <w:rPr>
          <w:rFonts w:ascii="Garamond" w:eastAsiaTheme="minorHAnsi" w:hAnsi="Garamond" w:cs="Times New Roman"/>
          <w:color w:val="000000"/>
          <w:sz w:val="24"/>
          <w:szCs w:val="24"/>
        </w:rPr>
        <w:t>9.2025, duke vendosur se në këtë rast është shkelur neni 6, paragrafi 1, i KEDNJ-së, duke gjetur shkelje të afatit të arsyeshëm dhe duke i akorduar edhe dëmshpërblimin përkatës.</w:t>
      </w:r>
    </w:p>
    <w:p w14:paraId="210A8029" w14:textId="45D5AE0C"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18. Në datën 15.10.2025</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kërkuesja ka paraqitur ankim kushtetues individual në Gjykatë, sipas objektit të tij. Kolegji i Gjykatës, në datën 23.12.2025, ka vendosur kalimin e çështjes për shqyrtim në seancë plenare mbi bazë të dokumenteve.</w:t>
      </w:r>
    </w:p>
    <w:p w14:paraId="2AE36C87" w14:textId="77777777" w:rsidR="00A552BA" w:rsidRPr="00A91B21" w:rsidRDefault="00A552BA" w:rsidP="00A552BA">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471570E" w14:textId="77777777"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II</w:t>
      </w:r>
    </w:p>
    <w:p w14:paraId="0B257427" w14:textId="77777777"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Pretendimet në Gjykatën Kushtetuese</w:t>
      </w:r>
    </w:p>
    <w:p w14:paraId="405A24A5" w14:textId="77777777" w:rsidR="00D7711E" w:rsidRPr="00A91B21" w:rsidRDefault="00D7711E" w:rsidP="00A552BA">
      <w:pPr>
        <w:tabs>
          <w:tab w:val="left" w:pos="11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
    <w:p w14:paraId="36E5BB42" w14:textId="3A2795BE" w:rsidR="00A552BA" w:rsidRPr="00A91B21" w:rsidRDefault="00A552BA" w:rsidP="00A552BA">
      <w:pPr>
        <w:tabs>
          <w:tab w:val="left" w:pos="11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i/>
          <w:iCs/>
          <w:color w:val="000000"/>
          <w:sz w:val="24"/>
          <w:szCs w:val="24"/>
        </w:rPr>
        <w:t xml:space="preserve">19. </w:t>
      </w:r>
      <w:r w:rsidRPr="00A91B21">
        <w:rPr>
          <w:rFonts w:ascii="Garamond" w:eastAsiaTheme="minorHAnsi" w:hAnsi="Garamond" w:cs="Times New Roman"/>
          <w:b/>
          <w:bCs/>
          <w:i/>
          <w:iCs/>
          <w:color w:val="000000"/>
          <w:sz w:val="24"/>
          <w:szCs w:val="24"/>
        </w:rPr>
        <w:t>Kërkuesi</w:t>
      </w:r>
      <w:r w:rsidRPr="00A91B21">
        <w:rPr>
          <w:rFonts w:ascii="Garamond" w:eastAsiaTheme="minorHAnsi" w:hAnsi="Garamond" w:cs="Times New Roman"/>
          <w:b/>
          <w:bCs/>
          <w:color w:val="000000"/>
          <w:sz w:val="24"/>
          <w:szCs w:val="24"/>
        </w:rPr>
        <w:t>,</w:t>
      </w:r>
      <w:r w:rsidRPr="00A91B21">
        <w:rPr>
          <w:rFonts w:ascii="Garamond" w:eastAsiaTheme="minorHAnsi" w:hAnsi="Garamond" w:cs="Times New Roman"/>
          <w:color w:val="000000"/>
          <w:sz w:val="24"/>
          <w:szCs w:val="24"/>
        </w:rPr>
        <w:t xml:space="preserve"> në mënyrë të përmbledhur, ka parashtruar se referuar vendimit të GJEDNJ-së në çështjen ARB </w:t>
      </w:r>
      <w:proofErr w:type="spellStart"/>
      <w:r w:rsidRPr="00A91B21">
        <w:rPr>
          <w:rFonts w:ascii="Garamond" w:eastAsiaTheme="minorHAnsi" w:hAnsi="Garamond" w:cs="Times New Roman"/>
          <w:color w:val="000000"/>
          <w:sz w:val="24"/>
          <w:szCs w:val="24"/>
        </w:rPr>
        <w:t>sh.p.k</w:t>
      </w:r>
      <w:proofErr w:type="spellEnd"/>
      <w:r w:rsidRPr="00A91B21">
        <w:rPr>
          <w:rFonts w:ascii="Garamond" w:eastAsiaTheme="minorHAnsi" w:hAnsi="Garamond" w:cs="Times New Roman"/>
          <w:color w:val="000000"/>
          <w:sz w:val="24"/>
          <w:szCs w:val="24"/>
        </w:rPr>
        <w:t>. dhe të tjerë kundër Shqipërisë, duke u bazuar në nenin 71/c të Ligjit Organik të Gjykatës, duhet të shf</w:t>
      </w:r>
      <w:r w:rsidR="00A91B21">
        <w:rPr>
          <w:rFonts w:ascii="Garamond" w:eastAsiaTheme="minorHAnsi" w:hAnsi="Garamond" w:cs="Times New Roman"/>
          <w:color w:val="000000"/>
          <w:sz w:val="24"/>
          <w:szCs w:val="24"/>
        </w:rPr>
        <w:t xml:space="preserve">uqizohen vendimet nr. 34, datë </w:t>
      </w:r>
      <w:r w:rsidRPr="00A91B21">
        <w:rPr>
          <w:rFonts w:ascii="Garamond" w:eastAsiaTheme="minorHAnsi" w:hAnsi="Garamond" w:cs="Times New Roman"/>
          <w:color w:val="000000"/>
          <w:sz w:val="24"/>
          <w:szCs w:val="24"/>
        </w:rPr>
        <w:t>1.11.2021, nr. 57, da</w:t>
      </w:r>
      <w:r w:rsidR="00A91B21">
        <w:rPr>
          <w:rFonts w:ascii="Garamond" w:eastAsiaTheme="minorHAnsi" w:hAnsi="Garamond" w:cs="Times New Roman"/>
          <w:color w:val="000000"/>
          <w:sz w:val="24"/>
          <w:szCs w:val="24"/>
        </w:rPr>
        <w:t>të 20.</w:t>
      </w:r>
      <w:r w:rsidRPr="00A91B21">
        <w:rPr>
          <w:rFonts w:ascii="Garamond" w:eastAsiaTheme="minorHAnsi" w:hAnsi="Garamond" w:cs="Times New Roman"/>
          <w:color w:val="000000"/>
          <w:sz w:val="24"/>
          <w:szCs w:val="24"/>
        </w:rPr>
        <w:t>5.2022 dhe nr. 80, datë 21.11.2024</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të Gjykatës, duke rihapur procesin. Gjithashtu, Gjykata duhet të konstatojë statusin “viktimë” përgjatë procesit gjyqësor si pasojë dhe rrjedhojë </w:t>
      </w:r>
      <w:proofErr w:type="spellStart"/>
      <w:r w:rsidRPr="00A91B21">
        <w:rPr>
          <w:rFonts w:ascii="Garamond" w:eastAsiaTheme="minorHAnsi" w:hAnsi="Garamond" w:cs="Times New Roman"/>
          <w:color w:val="000000"/>
          <w:sz w:val="24"/>
          <w:szCs w:val="24"/>
        </w:rPr>
        <w:t>direkte</w:t>
      </w:r>
      <w:proofErr w:type="spellEnd"/>
      <w:r w:rsidRPr="00A91B21">
        <w:rPr>
          <w:rFonts w:ascii="Garamond" w:eastAsiaTheme="minorHAnsi" w:hAnsi="Garamond" w:cs="Times New Roman"/>
          <w:color w:val="000000"/>
          <w:sz w:val="24"/>
          <w:szCs w:val="24"/>
        </w:rPr>
        <w:t xml:space="preserve"> e shkeljes së </w:t>
      </w:r>
      <w:proofErr w:type="spellStart"/>
      <w:r w:rsidRPr="00A91B21">
        <w:rPr>
          <w:rFonts w:ascii="Garamond" w:eastAsiaTheme="minorHAnsi" w:hAnsi="Garamond" w:cs="Times New Roman"/>
          <w:color w:val="000000"/>
          <w:sz w:val="24"/>
          <w:szCs w:val="24"/>
        </w:rPr>
        <w:t>aksesit</w:t>
      </w:r>
      <w:proofErr w:type="spellEnd"/>
      <w:r w:rsidRPr="00A91B21">
        <w:rPr>
          <w:rFonts w:ascii="Garamond" w:eastAsiaTheme="minorHAnsi" w:hAnsi="Garamond" w:cs="Times New Roman"/>
          <w:color w:val="000000"/>
          <w:sz w:val="24"/>
          <w:szCs w:val="24"/>
        </w:rPr>
        <w:t xml:space="preserve"> në një gjykatë të krijuar më ligj dhe afatit të arsyeshëm në përputhje më çështjen “</w:t>
      </w:r>
      <w:proofErr w:type="spellStart"/>
      <w:r w:rsidRPr="00A91B21">
        <w:rPr>
          <w:rFonts w:ascii="Garamond" w:eastAsiaTheme="minorHAnsi" w:hAnsi="Garamond" w:cs="Times New Roman"/>
          <w:i/>
          <w:iCs/>
          <w:color w:val="000000"/>
          <w:sz w:val="24"/>
          <w:szCs w:val="24"/>
        </w:rPr>
        <w:t>Scordino</w:t>
      </w:r>
      <w:proofErr w:type="spellEnd"/>
      <w:r w:rsidRPr="00A91B21">
        <w:rPr>
          <w:rFonts w:ascii="Garamond" w:eastAsiaTheme="minorHAnsi" w:hAnsi="Garamond" w:cs="Times New Roman"/>
          <w:i/>
          <w:iCs/>
          <w:color w:val="000000"/>
          <w:sz w:val="24"/>
          <w:szCs w:val="24"/>
        </w:rPr>
        <w:t xml:space="preserve"> kundër Italisë</w:t>
      </w:r>
      <w:r w:rsidRPr="00A91B21">
        <w:rPr>
          <w:rFonts w:ascii="Garamond" w:eastAsiaTheme="minorHAnsi" w:hAnsi="Garamond" w:cs="Times New Roman"/>
          <w:color w:val="000000"/>
          <w:sz w:val="24"/>
          <w:szCs w:val="24"/>
        </w:rPr>
        <w:t>”. Gjithashtu, Gjykata duhet të vendosë rehabilitimin dhe zhdëmtimin në përputhje me ligjin, për shkak të vendimmarrjes së saj.</w:t>
      </w:r>
    </w:p>
    <w:p w14:paraId="264DAA92" w14:textId="22F742A9" w:rsidR="00A552BA" w:rsidRPr="00A91B21" w:rsidRDefault="00A552BA" w:rsidP="00A552BA">
      <w:pPr>
        <w:tabs>
          <w:tab w:val="left" w:pos="116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A91B21">
        <w:rPr>
          <w:rFonts w:ascii="Garamond" w:eastAsiaTheme="minorHAnsi" w:hAnsi="Garamond" w:cs="Times New Roman"/>
          <w:i/>
          <w:iCs/>
          <w:color w:val="000000"/>
          <w:sz w:val="24"/>
          <w:szCs w:val="24"/>
        </w:rPr>
        <w:t xml:space="preserve">20. </w:t>
      </w:r>
      <w:r w:rsidRPr="00A91B21">
        <w:rPr>
          <w:rFonts w:ascii="Garamond" w:eastAsiaTheme="minorHAnsi" w:hAnsi="Garamond" w:cs="Times New Roman"/>
          <w:b/>
          <w:bCs/>
          <w:i/>
          <w:iCs/>
          <w:color w:val="000000"/>
          <w:sz w:val="24"/>
          <w:szCs w:val="24"/>
        </w:rPr>
        <w:t>Subjektet e interesuara, BKT</w:t>
      </w:r>
      <w:r w:rsidR="001257FC">
        <w:rPr>
          <w:rFonts w:ascii="Garamond" w:eastAsiaTheme="minorHAnsi" w:hAnsi="Garamond" w:cs="Times New Roman"/>
          <w:b/>
          <w:bCs/>
          <w:i/>
          <w:iCs/>
          <w:color w:val="000000"/>
          <w:sz w:val="24"/>
          <w:szCs w:val="24"/>
        </w:rPr>
        <w:t>-ja</w:t>
      </w:r>
      <w:r w:rsidRPr="00A91B21">
        <w:rPr>
          <w:rFonts w:ascii="Garamond" w:eastAsiaTheme="minorHAnsi" w:hAnsi="Garamond" w:cs="Times New Roman"/>
          <w:b/>
          <w:bCs/>
          <w:i/>
          <w:iCs/>
          <w:color w:val="000000"/>
          <w:sz w:val="24"/>
          <w:szCs w:val="24"/>
        </w:rPr>
        <w:t xml:space="preserve"> dhe KESH</w:t>
      </w:r>
      <w:r w:rsidR="001257FC">
        <w:rPr>
          <w:rFonts w:ascii="Garamond" w:eastAsiaTheme="minorHAnsi" w:hAnsi="Garamond" w:cs="Times New Roman"/>
          <w:b/>
          <w:bCs/>
          <w:i/>
          <w:iCs/>
          <w:color w:val="000000"/>
          <w:sz w:val="24"/>
          <w:szCs w:val="24"/>
        </w:rPr>
        <w:t>-i</w:t>
      </w:r>
      <w:r w:rsidRPr="00A91B21">
        <w:rPr>
          <w:rFonts w:ascii="Garamond" w:eastAsiaTheme="minorHAnsi" w:hAnsi="Garamond" w:cs="Times New Roman"/>
          <w:i/>
          <w:iCs/>
          <w:color w:val="000000"/>
          <w:sz w:val="24"/>
          <w:szCs w:val="24"/>
        </w:rPr>
        <w:t>,</w:t>
      </w:r>
      <w:r w:rsidRPr="00A91B21">
        <w:rPr>
          <w:rFonts w:ascii="Garamond" w:eastAsiaTheme="minorHAnsi" w:hAnsi="Garamond" w:cs="Times New Roman"/>
          <w:color w:val="000000"/>
          <w:sz w:val="24"/>
          <w:szCs w:val="24"/>
        </w:rPr>
        <w:t xml:space="preserve"> nuk kanë paraqitur prapësime me shkrim, edhe pse janë njoftuar rregullisht.</w:t>
      </w:r>
    </w:p>
    <w:p w14:paraId="0C95637B" w14:textId="77777777" w:rsidR="00A552BA" w:rsidRPr="00A91B21" w:rsidRDefault="00A552BA" w:rsidP="00A552BA">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A162140" w14:textId="77777777" w:rsidR="00A552BA" w:rsidRPr="00A91B21" w:rsidRDefault="00A552BA" w:rsidP="00A552BA">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III</w:t>
      </w:r>
    </w:p>
    <w:p w14:paraId="1E067D9A" w14:textId="77777777" w:rsidR="00A552BA" w:rsidRPr="00A91B21" w:rsidRDefault="00A552BA" w:rsidP="00A552BA">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91B21">
        <w:rPr>
          <w:rFonts w:ascii="Garamond" w:eastAsiaTheme="minorHAnsi" w:hAnsi="Garamond" w:cs="Times New Roman"/>
          <w:b/>
          <w:bCs/>
          <w:color w:val="000000"/>
          <w:sz w:val="24"/>
          <w:szCs w:val="24"/>
        </w:rPr>
        <w:t>Vlerësimi i Gjykatës Kushtetuese</w:t>
      </w:r>
    </w:p>
    <w:p w14:paraId="793FE95F" w14:textId="77777777" w:rsidR="00D7711E" w:rsidRPr="00A91B21" w:rsidRDefault="00D7711E" w:rsidP="00A552BA">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
    <w:p w14:paraId="7A0D3F41" w14:textId="5D3C9C2A" w:rsidR="00A552BA" w:rsidRPr="00A91B21" w:rsidRDefault="00A552BA" w:rsidP="00A552BA">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A91B21">
        <w:rPr>
          <w:rFonts w:ascii="Garamond" w:eastAsiaTheme="minorHAnsi" w:hAnsi="Garamond" w:cs="Times New Roman"/>
          <w:i/>
          <w:iCs/>
          <w:color w:val="000000"/>
          <w:sz w:val="24"/>
          <w:szCs w:val="24"/>
        </w:rPr>
        <w:t xml:space="preserve">A. Për legjitimimin e kërkueses </w:t>
      </w:r>
    </w:p>
    <w:p w14:paraId="6940974C" w14:textId="63F61840"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21. Referuar nenit 71/c të Ligjit Organik të Gjykatës, nëse Gjykata ka vendosur më parë për një çështje, e cila është gjykuar nga një gjykatë ndërkombëtare dhe kjo e fundit ka konstatuar se janë cenuar të drejtat dhe liritë themelore të individit, si rrjedhojë e vendimit të Gjykatës, subjekti i cenuar, në favor të </w:t>
      </w:r>
      <w:proofErr w:type="spellStart"/>
      <w:r w:rsidRPr="00A91B21">
        <w:rPr>
          <w:rFonts w:ascii="Garamond" w:eastAsiaTheme="minorHAnsi" w:hAnsi="Garamond" w:cs="Times New Roman"/>
          <w:color w:val="000000"/>
          <w:sz w:val="24"/>
          <w:szCs w:val="24"/>
        </w:rPr>
        <w:t>të</w:t>
      </w:r>
      <w:proofErr w:type="spellEnd"/>
      <w:r w:rsidRPr="00A91B21">
        <w:rPr>
          <w:rFonts w:ascii="Garamond" w:eastAsiaTheme="minorHAnsi" w:hAnsi="Garamond" w:cs="Times New Roman"/>
          <w:color w:val="000000"/>
          <w:sz w:val="24"/>
          <w:szCs w:val="24"/>
        </w:rPr>
        <w:t xml:space="preserve"> cilit ka vendosur gjykata ndërkombëtare, ka të drejtë të paraqesë kërkesë për </w:t>
      </w:r>
      <w:r w:rsidRPr="00A91B21">
        <w:rPr>
          <w:rFonts w:ascii="Garamond" w:eastAsiaTheme="minorHAnsi" w:hAnsi="Garamond" w:cs="Times New Roman"/>
          <w:color w:val="000000"/>
          <w:sz w:val="24"/>
          <w:szCs w:val="24"/>
        </w:rPr>
        <w:lastRenderedPageBreak/>
        <w:t xml:space="preserve">rihapjen e procesit gjyqësor, e cila paraqitet brenda 4 muajve nga hyrja në fuqi e vendimit të gjykatës ndërkombëtare (pika 3). Kërkesa duhet të përmbajë një përmbledhje të vendimit të gjykatës ndërkombëtare me çështjet kryesore që ka konstatuar ajo gjykatë, kërkimet konkrete dhe kërkuesi duhet të kërkojë shprehimisht rihapjen e procesit, si dhe shfuqizimin e aktit (pika 4). </w:t>
      </w:r>
    </w:p>
    <w:p w14:paraId="6DF93405" w14:textId="5D696C72"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22. Për sa i takon çështjes së legjitimimit </w:t>
      </w:r>
      <w:r w:rsidRPr="00A91B21">
        <w:rPr>
          <w:rFonts w:ascii="Garamond" w:eastAsiaTheme="minorHAnsi" w:hAnsi="Garamond" w:cs="Times New Roman"/>
          <w:i/>
          <w:iCs/>
          <w:color w:val="000000"/>
          <w:sz w:val="24"/>
          <w:szCs w:val="24"/>
        </w:rPr>
        <w:t>(</w:t>
      </w:r>
      <w:proofErr w:type="spellStart"/>
      <w:r w:rsidRPr="00A91B21">
        <w:rPr>
          <w:rFonts w:ascii="Garamond" w:eastAsiaTheme="minorHAnsi" w:hAnsi="Garamond" w:cs="Times New Roman"/>
          <w:i/>
          <w:iCs/>
          <w:color w:val="000000"/>
          <w:sz w:val="24"/>
          <w:szCs w:val="24"/>
        </w:rPr>
        <w:t>locus</w:t>
      </w:r>
      <w:proofErr w:type="spellEnd"/>
      <w:r w:rsidRPr="00A91B21">
        <w:rPr>
          <w:rFonts w:ascii="Garamond" w:eastAsiaTheme="minorHAnsi" w:hAnsi="Garamond" w:cs="Times New Roman"/>
          <w:i/>
          <w:iCs/>
          <w:color w:val="000000"/>
          <w:sz w:val="24"/>
          <w:szCs w:val="24"/>
        </w:rPr>
        <w:t xml:space="preserve"> </w:t>
      </w:r>
      <w:proofErr w:type="spellStart"/>
      <w:r w:rsidRPr="00A91B21">
        <w:rPr>
          <w:rFonts w:ascii="Garamond" w:eastAsiaTheme="minorHAnsi" w:hAnsi="Garamond" w:cs="Times New Roman"/>
          <w:i/>
          <w:iCs/>
          <w:color w:val="000000"/>
          <w:sz w:val="24"/>
          <w:szCs w:val="24"/>
        </w:rPr>
        <w:t>standi</w:t>
      </w:r>
      <w:proofErr w:type="spellEnd"/>
      <w:r w:rsidRPr="00A91B21">
        <w:rPr>
          <w:rFonts w:ascii="Garamond" w:eastAsiaTheme="minorHAnsi" w:hAnsi="Garamond" w:cs="Times New Roman"/>
          <w:i/>
          <w:iCs/>
          <w:color w:val="000000"/>
          <w:sz w:val="24"/>
          <w:szCs w:val="24"/>
        </w:rPr>
        <w:t>)</w:t>
      </w:r>
      <w:r w:rsidRPr="00A91B21">
        <w:rPr>
          <w:rFonts w:ascii="Garamond" w:eastAsiaTheme="minorHAnsi" w:hAnsi="Garamond" w:cs="Times New Roman"/>
          <w:color w:val="000000"/>
          <w:sz w:val="24"/>
          <w:szCs w:val="24"/>
        </w:rPr>
        <w:t>, si një ndër aspektet kryesore që lidhet me nisjen e një procesi kushtetues, ajo nuk përjashtohet në rastin e rihapjes së procesit sipas nenit 71/c të Ligjit Organik të Gjykatës, duke verifikuar plotësimin e kritereve ligjore për paraqitjen e një kërkese të tillë.</w:t>
      </w:r>
    </w:p>
    <w:p w14:paraId="0C4D95DC" w14:textId="28621DBC"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23. Në këtë këndvështrim, Gjykata çmon se kërkuesja legjitimohet </w:t>
      </w:r>
      <w:proofErr w:type="spellStart"/>
      <w:r w:rsidRPr="00A91B21">
        <w:rPr>
          <w:rFonts w:ascii="Garamond" w:eastAsiaTheme="minorHAnsi" w:hAnsi="Garamond" w:cs="Times New Roman"/>
          <w:i/>
          <w:iCs/>
          <w:color w:val="000000"/>
          <w:sz w:val="24"/>
          <w:szCs w:val="24"/>
        </w:rPr>
        <w:t>ratione</w:t>
      </w:r>
      <w:proofErr w:type="spellEnd"/>
      <w:r w:rsidRPr="00A91B21">
        <w:rPr>
          <w:rFonts w:ascii="Garamond" w:eastAsiaTheme="minorHAnsi" w:hAnsi="Garamond" w:cs="Times New Roman"/>
          <w:i/>
          <w:iCs/>
          <w:color w:val="000000"/>
          <w:sz w:val="24"/>
          <w:szCs w:val="24"/>
        </w:rPr>
        <w:t xml:space="preserve"> </w:t>
      </w:r>
      <w:proofErr w:type="spellStart"/>
      <w:r w:rsidRPr="00A91B21">
        <w:rPr>
          <w:rFonts w:ascii="Garamond" w:eastAsiaTheme="minorHAnsi" w:hAnsi="Garamond" w:cs="Times New Roman"/>
          <w:i/>
          <w:iCs/>
          <w:color w:val="000000"/>
          <w:sz w:val="24"/>
          <w:szCs w:val="24"/>
        </w:rPr>
        <w:t>personae</w:t>
      </w:r>
      <w:proofErr w:type="spellEnd"/>
      <w:r w:rsidRPr="00A91B21">
        <w:rPr>
          <w:rFonts w:ascii="Garamond" w:eastAsiaTheme="minorHAnsi" w:hAnsi="Garamond" w:cs="Times New Roman"/>
          <w:color w:val="000000"/>
          <w:sz w:val="24"/>
          <w:szCs w:val="24"/>
        </w:rPr>
        <w:t xml:space="preserve">, pasi ajo ka qenë pala që ka vënë në lëvizje procesin kushtetues në përfundim të </w:t>
      </w:r>
      <w:proofErr w:type="spellStart"/>
      <w:r w:rsidRPr="00A91B21">
        <w:rPr>
          <w:rFonts w:ascii="Garamond" w:eastAsiaTheme="minorHAnsi" w:hAnsi="Garamond" w:cs="Times New Roman"/>
          <w:color w:val="000000"/>
          <w:sz w:val="24"/>
          <w:szCs w:val="24"/>
        </w:rPr>
        <w:t>të</w:t>
      </w:r>
      <w:proofErr w:type="spellEnd"/>
      <w:r w:rsidRPr="00A91B21">
        <w:rPr>
          <w:rFonts w:ascii="Garamond" w:eastAsiaTheme="minorHAnsi" w:hAnsi="Garamond" w:cs="Times New Roman"/>
          <w:color w:val="000000"/>
          <w:sz w:val="24"/>
          <w:szCs w:val="24"/>
        </w:rPr>
        <w:t xml:space="preserve"> cilit është dhënë vendimi i GJEDNJ-së në të cilin është gjetur shkelja e nenit 6, paragrafi 1, të KEDNJ-së. </w:t>
      </w:r>
    </w:p>
    <w:p w14:paraId="177ADE15" w14:textId="4D33ED5B"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24. Kërkuesja</w:t>
      </w:r>
      <w:r w:rsidR="00A91B21">
        <w:rPr>
          <w:rFonts w:ascii="Garamond" w:eastAsiaTheme="minorHAnsi" w:hAnsi="Garamond" w:cs="Times New Roman"/>
          <w:color w:val="000000"/>
          <w:sz w:val="24"/>
          <w:szCs w:val="24"/>
        </w:rPr>
        <w:t xml:space="preserve"> </w:t>
      </w:r>
      <w:r w:rsidRPr="00A91B21">
        <w:rPr>
          <w:rFonts w:ascii="Garamond" w:eastAsiaTheme="minorHAnsi" w:hAnsi="Garamond" w:cs="Times New Roman"/>
          <w:color w:val="000000"/>
          <w:sz w:val="24"/>
          <w:szCs w:val="24"/>
        </w:rPr>
        <w:t xml:space="preserve">legjitimohet edhe </w:t>
      </w:r>
      <w:proofErr w:type="spellStart"/>
      <w:r w:rsidRPr="00A91B21">
        <w:rPr>
          <w:rFonts w:ascii="Garamond" w:eastAsiaTheme="minorHAnsi" w:hAnsi="Garamond" w:cs="Times New Roman"/>
          <w:i/>
          <w:iCs/>
          <w:color w:val="000000"/>
          <w:sz w:val="24"/>
          <w:szCs w:val="24"/>
        </w:rPr>
        <w:t>ratione</w:t>
      </w:r>
      <w:proofErr w:type="spellEnd"/>
      <w:r w:rsidRPr="00A91B21">
        <w:rPr>
          <w:rFonts w:ascii="Garamond" w:eastAsiaTheme="minorHAnsi" w:hAnsi="Garamond" w:cs="Times New Roman"/>
          <w:i/>
          <w:iCs/>
          <w:color w:val="000000"/>
          <w:sz w:val="24"/>
          <w:szCs w:val="24"/>
        </w:rPr>
        <w:t xml:space="preserve"> </w:t>
      </w:r>
      <w:proofErr w:type="spellStart"/>
      <w:r w:rsidRPr="00A91B21">
        <w:rPr>
          <w:rFonts w:ascii="Garamond" w:eastAsiaTheme="minorHAnsi" w:hAnsi="Garamond" w:cs="Times New Roman"/>
          <w:i/>
          <w:iCs/>
          <w:color w:val="000000"/>
          <w:sz w:val="24"/>
          <w:szCs w:val="24"/>
        </w:rPr>
        <w:t>temporis</w:t>
      </w:r>
      <w:proofErr w:type="spellEnd"/>
      <w:r w:rsidRPr="00A91B21">
        <w:rPr>
          <w:rFonts w:ascii="Garamond" w:eastAsiaTheme="minorHAnsi" w:hAnsi="Garamond" w:cs="Times New Roman"/>
          <w:color w:val="000000"/>
          <w:sz w:val="24"/>
          <w:szCs w:val="24"/>
        </w:rPr>
        <w:t xml:space="preserve"> sipas nenit 71/c, pika 4, të Ligjit Organik të Gjykatës, pasi vendimi i GJEDNJ-së është botuar në Fletoren Zyrt</w:t>
      </w:r>
      <w:r w:rsidR="00A91B21">
        <w:rPr>
          <w:rFonts w:ascii="Garamond" w:eastAsiaTheme="minorHAnsi" w:hAnsi="Garamond" w:cs="Times New Roman"/>
          <w:color w:val="000000"/>
          <w:sz w:val="24"/>
          <w:szCs w:val="24"/>
        </w:rPr>
        <w:t>are nr. 163, datë 15.</w:t>
      </w:r>
      <w:r w:rsidRPr="00A91B21">
        <w:rPr>
          <w:rFonts w:ascii="Garamond" w:eastAsiaTheme="minorHAnsi" w:hAnsi="Garamond" w:cs="Times New Roman"/>
          <w:color w:val="000000"/>
          <w:sz w:val="24"/>
          <w:szCs w:val="24"/>
        </w:rPr>
        <w:t>9.2025, kurse kërkesa për rihapjen e procesit është paraqitur në Gjykatë në datën 15.10.2025, pra brenda afatit ligjor 4-mujor.</w:t>
      </w:r>
    </w:p>
    <w:p w14:paraId="5FA69834" w14:textId="6D9BE5BC"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25. Në këndvështrim të legjitimimit </w:t>
      </w:r>
      <w:proofErr w:type="spellStart"/>
      <w:r w:rsidRPr="00A91B21">
        <w:rPr>
          <w:rFonts w:ascii="Garamond" w:eastAsiaTheme="minorHAnsi" w:hAnsi="Garamond" w:cs="Times New Roman"/>
          <w:i/>
          <w:iCs/>
          <w:color w:val="000000"/>
          <w:sz w:val="24"/>
          <w:szCs w:val="24"/>
        </w:rPr>
        <w:t>ratione</w:t>
      </w:r>
      <w:proofErr w:type="spellEnd"/>
      <w:r w:rsidRPr="00A91B21">
        <w:rPr>
          <w:rFonts w:ascii="Garamond" w:eastAsiaTheme="minorHAnsi" w:hAnsi="Garamond" w:cs="Times New Roman"/>
          <w:i/>
          <w:iCs/>
          <w:color w:val="000000"/>
          <w:sz w:val="24"/>
          <w:szCs w:val="24"/>
        </w:rPr>
        <w:t xml:space="preserve"> </w:t>
      </w:r>
      <w:proofErr w:type="spellStart"/>
      <w:r w:rsidRPr="00A91B21">
        <w:rPr>
          <w:rFonts w:ascii="Garamond" w:eastAsiaTheme="minorHAnsi" w:hAnsi="Garamond" w:cs="Times New Roman"/>
          <w:i/>
          <w:iCs/>
          <w:color w:val="000000"/>
          <w:sz w:val="24"/>
          <w:szCs w:val="24"/>
        </w:rPr>
        <w:t>materiae</w:t>
      </w:r>
      <w:proofErr w:type="spellEnd"/>
      <w:r w:rsidRPr="00A91B21">
        <w:rPr>
          <w:rFonts w:ascii="Garamond" w:eastAsiaTheme="minorHAnsi" w:hAnsi="Garamond" w:cs="Times New Roman"/>
          <w:color w:val="000000"/>
          <w:sz w:val="24"/>
          <w:szCs w:val="24"/>
        </w:rPr>
        <w:t xml:space="preserve">, Gjykata vëren se kërkuesja ka pretenduar se referuar vendimit të GJEDNJ-së në çështjen ARB </w:t>
      </w:r>
      <w:proofErr w:type="spellStart"/>
      <w:r w:rsidRPr="00A91B21">
        <w:rPr>
          <w:rFonts w:ascii="Garamond" w:eastAsiaTheme="minorHAnsi" w:hAnsi="Garamond" w:cs="Times New Roman"/>
          <w:color w:val="000000"/>
          <w:sz w:val="24"/>
          <w:szCs w:val="24"/>
        </w:rPr>
        <w:t>sh.p.k</w:t>
      </w:r>
      <w:proofErr w:type="spellEnd"/>
      <w:r w:rsidRPr="00A91B21">
        <w:rPr>
          <w:rFonts w:ascii="Garamond" w:eastAsiaTheme="minorHAnsi" w:hAnsi="Garamond" w:cs="Times New Roman"/>
          <w:color w:val="000000"/>
          <w:sz w:val="24"/>
          <w:szCs w:val="24"/>
        </w:rPr>
        <w:t>. dhe të tjerë kundër Shqipërisë, duke u bazuar në nenin 71/c të Ligjit Organik të Gjykatës, duhet të shfuqizohen vendimet nr. 34, da</w:t>
      </w:r>
      <w:r w:rsidR="00A91B21">
        <w:rPr>
          <w:rFonts w:ascii="Garamond" w:eastAsiaTheme="minorHAnsi" w:hAnsi="Garamond" w:cs="Times New Roman"/>
          <w:color w:val="000000"/>
          <w:sz w:val="24"/>
          <w:szCs w:val="24"/>
        </w:rPr>
        <w:t>të 1.11.2021, nr. 57, datë 20.</w:t>
      </w:r>
      <w:r w:rsidRPr="00A91B21">
        <w:rPr>
          <w:rFonts w:ascii="Garamond" w:eastAsiaTheme="minorHAnsi" w:hAnsi="Garamond" w:cs="Times New Roman"/>
          <w:color w:val="000000"/>
          <w:sz w:val="24"/>
          <w:szCs w:val="24"/>
        </w:rPr>
        <w:t>5.2022 dhe nr. 80, datë 21.11.2024</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të Gjykatës, duke rihapur procesin. Gjithashtu, Gjykata duhet të konstatojë statusin “viktimë” përgjatë procesit gjyqësor si pasojë dhe rrjedhojë </w:t>
      </w:r>
      <w:proofErr w:type="spellStart"/>
      <w:r w:rsidRPr="00A91B21">
        <w:rPr>
          <w:rFonts w:ascii="Garamond" w:eastAsiaTheme="minorHAnsi" w:hAnsi="Garamond" w:cs="Times New Roman"/>
          <w:color w:val="000000"/>
          <w:sz w:val="24"/>
          <w:szCs w:val="24"/>
        </w:rPr>
        <w:t>direkte</w:t>
      </w:r>
      <w:proofErr w:type="spellEnd"/>
      <w:r w:rsidRPr="00A91B21">
        <w:rPr>
          <w:rFonts w:ascii="Garamond" w:eastAsiaTheme="minorHAnsi" w:hAnsi="Garamond" w:cs="Times New Roman"/>
          <w:color w:val="000000"/>
          <w:sz w:val="24"/>
          <w:szCs w:val="24"/>
        </w:rPr>
        <w:t xml:space="preserve"> e shkeljes së </w:t>
      </w:r>
      <w:proofErr w:type="spellStart"/>
      <w:r w:rsidRPr="00A91B21">
        <w:rPr>
          <w:rFonts w:ascii="Garamond" w:eastAsiaTheme="minorHAnsi" w:hAnsi="Garamond" w:cs="Times New Roman"/>
          <w:color w:val="000000"/>
          <w:sz w:val="24"/>
          <w:szCs w:val="24"/>
        </w:rPr>
        <w:t>aksesit</w:t>
      </w:r>
      <w:proofErr w:type="spellEnd"/>
      <w:r w:rsidRPr="00A91B21">
        <w:rPr>
          <w:rFonts w:ascii="Garamond" w:eastAsiaTheme="minorHAnsi" w:hAnsi="Garamond" w:cs="Times New Roman"/>
          <w:color w:val="000000"/>
          <w:sz w:val="24"/>
          <w:szCs w:val="24"/>
        </w:rPr>
        <w:t xml:space="preserve"> në një gjykatë të krijuar më ligj dhe afatit të arsyeshëm në përputhje më çështjen “</w:t>
      </w:r>
      <w:proofErr w:type="spellStart"/>
      <w:r w:rsidRPr="00A91B21">
        <w:rPr>
          <w:rFonts w:ascii="Garamond" w:eastAsiaTheme="minorHAnsi" w:hAnsi="Garamond" w:cs="Times New Roman"/>
          <w:i/>
          <w:iCs/>
          <w:color w:val="000000"/>
          <w:sz w:val="24"/>
          <w:szCs w:val="24"/>
        </w:rPr>
        <w:t>Scordino</w:t>
      </w:r>
      <w:proofErr w:type="spellEnd"/>
      <w:r w:rsidRPr="00A91B21">
        <w:rPr>
          <w:rFonts w:ascii="Garamond" w:eastAsiaTheme="minorHAnsi" w:hAnsi="Garamond" w:cs="Times New Roman"/>
          <w:i/>
          <w:iCs/>
          <w:color w:val="000000"/>
          <w:sz w:val="24"/>
          <w:szCs w:val="24"/>
        </w:rPr>
        <w:t xml:space="preserve"> kundër Italisë</w:t>
      </w:r>
      <w:r w:rsidRPr="00A91B21">
        <w:rPr>
          <w:rFonts w:ascii="Garamond" w:eastAsiaTheme="minorHAnsi" w:hAnsi="Garamond" w:cs="Times New Roman"/>
          <w:color w:val="000000"/>
          <w:sz w:val="24"/>
          <w:szCs w:val="24"/>
        </w:rPr>
        <w:t>”. Gjithashtu, Gjykata duhet të vendosë rehabilitimin dhe zhdëmtimin në përputhje me ligjin, për shkak të vendimmarrjes së saj, ndërkohë që subjektet e interesuara nuk kanë paraqitur prapësime.</w:t>
      </w:r>
    </w:p>
    <w:p w14:paraId="1529F529" w14:textId="29DD3FC1"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26. Për sa i përket procesit gjyqësor që ka shqyrtuar kërkesën për kohëzgjatjen e paarsyeshme të procesit në Gjykatën e Lartë, Gjykata vëren se kërkuesja ka vënë edhe më parë në lëvizje juridiksionin kushtetues për këtë qëllim</w:t>
      </w:r>
      <w:r w:rsidR="00A91B21">
        <w:rPr>
          <w:rFonts w:ascii="Garamond" w:eastAsiaTheme="minorHAnsi" w:hAnsi="Garamond" w:cs="Times New Roman"/>
          <w:color w:val="000000"/>
          <w:sz w:val="24"/>
          <w:szCs w:val="24"/>
        </w:rPr>
        <w:t xml:space="preserve"> </w:t>
      </w:r>
      <w:r w:rsidRPr="00A91B21">
        <w:rPr>
          <w:rFonts w:ascii="Garamond" w:eastAsiaTheme="minorHAnsi" w:hAnsi="Garamond" w:cs="Times New Roman"/>
          <w:color w:val="000000"/>
          <w:sz w:val="24"/>
          <w:szCs w:val="24"/>
        </w:rPr>
        <w:t>dhe në vijim i është drejtuar GJEDNJ-së, duke pretenduar cenimin e neneve 6, pika 1, dhe 13 të KEDNJ-së për shkak të kohëzgjatjes së paarsyeshme të proceseve gjyqësore ku ajo është palë (kërkesat nr. 39860/19 dhe nr. 38996/20, ku e para i përket procesit gjyqësor në shqyrtim). Këto dy kërkesa janë bashkuar edhe me dy kërkesa të tjera kundër shtetit shqiptar dhe në përfundim GJE</w:t>
      </w:r>
      <w:r w:rsidR="00A91B21">
        <w:rPr>
          <w:rFonts w:ascii="Garamond" w:eastAsiaTheme="minorHAnsi" w:hAnsi="Garamond" w:cs="Times New Roman"/>
          <w:color w:val="000000"/>
          <w:sz w:val="24"/>
          <w:szCs w:val="24"/>
        </w:rPr>
        <w:t>DNJ-ja, me vendimin e datës 27.</w:t>
      </w:r>
      <w:r w:rsidRPr="00A91B21">
        <w:rPr>
          <w:rFonts w:ascii="Garamond" w:eastAsiaTheme="minorHAnsi" w:hAnsi="Garamond" w:cs="Times New Roman"/>
          <w:color w:val="000000"/>
          <w:sz w:val="24"/>
          <w:szCs w:val="24"/>
        </w:rPr>
        <w:t xml:space="preserve">5.2025, ka vendosur se ka pasur shkelje të neneve 6, paragrafi 1, dhe 13 të KEDNJ-së. Po kështu, Gjykata konstaton se në zbatim të nenit 41 të KEDNJ-së, GJEDNJ-ja, në lidhje me kërkesën nr. 38996/19, i ka njohur kërkueses dëmin </w:t>
      </w:r>
      <w:proofErr w:type="spellStart"/>
      <w:r w:rsidRPr="00A91B21">
        <w:rPr>
          <w:rFonts w:ascii="Garamond" w:eastAsiaTheme="minorHAnsi" w:hAnsi="Garamond" w:cs="Times New Roman"/>
          <w:color w:val="000000"/>
          <w:sz w:val="24"/>
          <w:szCs w:val="24"/>
        </w:rPr>
        <w:t>jopasuror</w:t>
      </w:r>
      <w:proofErr w:type="spellEnd"/>
      <w:r w:rsidRPr="00A91B21">
        <w:rPr>
          <w:rFonts w:ascii="Garamond" w:eastAsiaTheme="minorHAnsi" w:hAnsi="Garamond" w:cs="Times New Roman"/>
          <w:color w:val="000000"/>
          <w:sz w:val="24"/>
          <w:szCs w:val="24"/>
        </w:rPr>
        <w:t xml:space="preserve"> në vlerën 3,300 euro dhe kostot e shpenzimet në vlerën 1,500 euro, ndërkohë që për dëmin pasuror të pretenduar ka vlerësuar se nuk ka gjetur ndonjë lidhje rastësore midis saj dhe shkeljeve të konstatuara.</w:t>
      </w:r>
    </w:p>
    <w:p w14:paraId="05AED973" w14:textId="7E0673FC"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27. Në këto kushte, bazuar në nenin 71/c, pika 5, shkronja “b”, të Ligjit Organik të Gjykatës, kjo e fundit do të verifikojë nëse GJEDNJ-ja ka kërkuar zbatimin e ndonjë mjeti të veçantë korrigjues në vendimin e saj.</w:t>
      </w:r>
    </w:p>
    <w:p w14:paraId="1FD8C30E" w14:textId="099A8CE2"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28. Referuar vendimit të GJEDNJ-së, në paragrafët 189 dhe 190 përcaktohet se nëpërmjet nenit 46 Palët Kontraktuese të Larta kanë marrë përsipër të respektojnë vendimet përfundimtare të Gjykatës për çdo çështje në të cilën ato janë palë, ekzekutimi i të cilave mbikëqyret nga Komiteti i Ministrave. Rezulton </w:t>
      </w:r>
      <w:proofErr w:type="spellStart"/>
      <w:r w:rsidRPr="00A91B21">
        <w:rPr>
          <w:rFonts w:ascii="Garamond" w:eastAsiaTheme="minorHAnsi" w:hAnsi="Garamond" w:cs="Times New Roman"/>
          <w:i/>
          <w:iCs/>
          <w:color w:val="000000"/>
          <w:sz w:val="24"/>
          <w:szCs w:val="24"/>
        </w:rPr>
        <w:t>inter</w:t>
      </w:r>
      <w:proofErr w:type="spellEnd"/>
      <w:r w:rsidRPr="00A91B21">
        <w:rPr>
          <w:rFonts w:ascii="Garamond" w:eastAsiaTheme="minorHAnsi" w:hAnsi="Garamond" w:cs="Times New Roman"/>
          <w:i/>
          <w:iCs/>
          <w:color w:val="000000"/>
          <w:sz w:val="24"/>
          <w:szCs w:val="24"/>
        </w:rPr>
        <w:t xml:space="preserve"> </w:t>
      </w:r>
      <w:proofErr w:type="spellStart"/>
      <w:r w:rsidRPr="00A91B21">
        <w:rPr>
          <w:rFonts w:ascii="Garamond" w:eastAsiaTheme="minorHAnsi" w:hAnsi="Garamond" w:cs="Times New Roman"/>
          <w:i/>
          <w:iCs/>
          <w:color w:val="000000"/>
          <w:sz w:val="24"/>
          <w:szCs w:val="24"/>
        </w:rPr>
        <w:t>alia</w:t>
      </w:r>
      <w:proofErr w:type="spellEnd"/>
      <w:r w:rsidRPr="00A91B21">
        <w:rPr>
          <w:rFonts w:ascii="Garamond" w:eastAsiaTheme="minorHAnsi" w:hAnsi="Garamond" w:cs="Times New Roman"/>
          <w:color w:val="000000"/>
          <w:sz w:val="24"/>
          <w:szCs w:val="24"/>
        </w:rPr>
        <w:t xml:space="preserve"> se një vendim në të cilin Gjykata konstaton një shkelje, ushtron një detyrim ligjor ndaj shtetit të paditur jo vetëm t’u paguajë palëve përkatëse shumat e akorduara për shpërblim të drejtë sipas nenit 41, por edhe të përzgjedhë, nën mbikëqyrjen e Komitetit të Ministrave, masat e përgjithshme, dhe/ose, nëse është me vend, individuale që duhet të miratohen në rendin e tij ligjor vendas për t’i dhënë fund shkeljes së konstatuar nga Gjykata dhe për të korrigjuar sa të jetë e mundur efektet. Nën monitorimin e Komitetit të Ministrave, shteti i paditur ka lirinë të zgjedhë mjetin me anë të cilit do të përmbushë detyrimin e tij ligjor sipas nenit 46 të Konventës, nëse këto mjete janë të pajtueshme me përfundimet e përcaktuara në vendimin e Gjykatës </w:t>
      </w:r>
      <w:r w:rsidRPr="00A91B21">
        <w:rPr>
          <w:rFonts w:ascii="Garamond" w:eastAsiaTheme="minorHAnsi" w:hAnsi="Garamond" w:cs="Times New Roman"/>
          <w:i/>
          <w:iCs/>
          <w:color w:val="000000"/>
          <w:sz w:val="24"/>
          <w:szCs w:val="24"/>
        </w:rPr>
        <w:t xml:space="preserve">(shih midis autoriteteve të tjerë, </w:t>
      </w:r>
      <w:proofErr w:type="spellStart"/>
      <w:r w:rsidRPr="00A91B21">
        <w:rPr>
          <w:rFonts w:ascii="Garamond" w:eastAsiaTheme="minorHAnsi" w:hAnsi="Garamond" w:cs="Times New Roman"/>
          <w:i/>
          <w:iCs/>
          <w:color w:val="000000"/>
          <w:sz w:val="24"/>
          <w:szCs w:val="24"/>
        </w:rPr>
        <w:t>Scozzari</w:t>
      </w:r>
      <w:proofErr w:type="spellEnd"/>
      <w:r w:rsidRPr="00A91B21">
        <w:rPr>
          <w:rFonts w:ascii="Garamond" w:eastAsiaTheme="minorHAnsi" w:hAnsi="Garamond" w:cs="Times New Roman"/>
          <w:i/>
          <w:iCs/>
          <w:color w:val="000000"/>
          <w:sz w:val="24"/>
          <w:szCs w:val="24"/>
        </w:rPr>
        <w:t xml:space="preserve"> dhe </w:t>
      </w:r>
      <w:proofErr w:type="spellStart"/>
      <w:r w:rsidRPr="00A91B21">
        <w:rPr>
          <w:rFonts w:ascii="Garamond" w:eastAsiaTheme="minorHAnsi" w:hAnsi="Garamond" w:cs="Times New Roman"/>
          <w:i/>
          <w:iCs/>
          <w:color w:val="000000"/>
          <w:sz w:val="24"/>
          <w:szCs w:val="24"/>
        </w:rPr>
        <w:t>Giunta</w:t>
      </w:r>
      <w:proofErr w:type="spellEnd"/>
      <w:r w:rsidRPr="00A91B21">
        <w:rPr>
          <w:rFonts w:ascii="Garamond" w:eastAsiaTheme="minorHAnsi" w:hAnsi="Garamond" w:cs="Times New Roman"/>
          <w:i/>
          <w:iCs/>
          <w:color w:val="000000"/>
          <w:sz w:val="24"/>
          <w:szCs w:val="24"/>
        </w:rPr>
        <w:t xml:space="preserve"> kundër Italisë [DHM], nr. 39221/98 dhe </w:t>
      </w:r>
      <w:r w:rsidRPr="00A91B21">
        <w:rPr>
          <w:rFonts w:ascii="Garamond" w:eastAsiaTheme="minorHAnsi" w:hAnsi="Garamond" w:cs="Times New Roman"/>
          <w:i/>
          <w:iCs/>
          <w:color w:val="000000"/>
          <w:sz w:val="24"/>
          <w:szCs w:val="24"/>
        </w:rPr>
        <w:lastRenderedPageBreak/>
        <w:t xml:space="preserve">41963/98, §249, GJEDNJ 2000-VIII; </w:t>
      </w:r>
      <w:proofErr w:type="spellStart"/>
      <w:r w:rsidRPr="00A91B21">
        <w:rPr>
          <w:rFonts w:ascii="Garamond" w:eastAsiaTheme="minorHAnsi" w:hAnsi="Garamond" w:cs="Times New Roman"/>
          <w:i/>
          <w:iCs/>
          <w:color w:val="000000"/>
          <w:sz w:val="24"/>
          <w:szCs w:val="24"/>
        </w:rPr>
        <w:t>Bronioëski</w:t>
      </w:r>
      <w:proofErr w:type="spellEnd"/>
      <w:r w:rsidRPr="00A91B21">
        <w:rPr>
          <w:rFonts w:ascii="Garamond" w:eastAsiaTheme="minorHAnsi" w:hAnsi="Garamond" w:cs="Times New Roman"/>
          <w:i/>
          <w:iCs/>
          <w:color w:val="000000"/>
          <w:sz w:val="24"/>
          <w:szCs w:val="24"/>
        </w:rPr>
        <w:t xml:space="preserve"> kundër Polonisë [DHM], nr. 31443/96, §192, GJEDNJ 2004-V; dhe </w:t>
      </w:r>
      <w:proofErr w:type="spellStart"/>
      <w:r w:rsidRPr="00A91B21">
        <w:rPr>
          <w:rFonts w:ascii="Garamond" w:eastAsiaTheme="minorHAnsi" w:hAnsi="Garamond" w:cs="Times New Roman"/>
          <w:i/>
          <w:iCs/>
          <w:color w:val="000000"/>
          <w:sz w:val="24"/>
          <w:szCs w:val="24"/>
        </w:rPr>
        <w:t>Stanev</w:t>
      </w:r>
      <w:proofErr w:type="spellEnd"/>
      <w:r w:rsidRPr="00A91B21">
        <w:rPr>
          <w:rFonts w:ascii="Garamond" w:eastAsiaTheme="minorHAnsi" w:hAnsi="Garamond" w:cs="Times New Roman"/>
          <w:i/>
          <w:iCs/>
          <w:color w:val="000000"/>
          <w:sz w:val="24"/>
          <w:szCs w:val="24"/>
        </w:rPr>
        <w:t xml:space="preserve"> kundër Bullgarisë [DHM], nr. 36760/06, §254, GJEDNJ 2012, të gjithë me referenca të tjera). </w:t>
      </w:r>
      <w:r w:rsidRPr="00A91B21">
        <w:rPr>
          <w:rFonts w:ascii="Garamond" w:eastAsiaTheme="minorHAnsi" w:hAnsi="Garamond" w:cs="Times New Roman"/>
          <w:color w:val="000000"/>
          <w:sz w:val="24"/>
          <w:szCs w:val="24"/>
        </w:rPr>
        <w:t>GJEDNJ-ja mban qëndrimin se me këndvështrimin për të ndihmuar shtetin e paditur të përmbushë detyrimet e tij, sipas nenit 46, Gjykata mund të kërkojë të përcaktohet lloji i masave individuale dhe/ose të përgjithshme që janë konstatuar, që mund të merren për t’i dhënë fund situatës së papajtueshme me Konventën.</w:t>
      </w:r>
      <w:r w:rsidRPr="00A91B21">
        <w:rPr>
          <w:rFonts w:ascii="Garamond" w:eastAsiaTheme="minorHAnsi" w:hAnsi="Garamond" w:cs="Times New Roman"/>
          <w:i/>
          <w:iCs/>
          <w:color w:val="000000"/>
          <w:sz w:val="24"/>
          <w:szCs w:val="24"/>
        </w:rPr>
        <w:t xml:space="preserve">(shih </w:t>
      </w:r>
      <w:proofErr w:type="spellStart"/>
      <w:r w:rsidRPr="00A91B21">
        <w:rPr>
          <w:rFonts w:ascii="Garamond" w:eastAsiaTheme="minorHAnsi" w:hAnsi="Garamond" w:cs="Times New Roman"/>
          <w:i/>
          <w:iCs/>
          <w:color w:val="000000"/>
          <w:sz w:val="24"/>
          <w:szCs w:val="24"/>
        </w:rPr>
        <w:t>Bronioëski</w:t>
      </w:r>
      <w:proofErr w:type="spellEnd"/>
      <w:r w:rsidRPr="00A91B21">
        <w:rPr>
          <w:rFonts w:ascii="Garamond" w:eastAsiaTheme="minorHAnsi" w:hAnsi="Garamond" w:cs="Times New Roman"/>
          <w:i/>
          <w:iCs/>
          <w:color w:val="000000"/>
          <w:sz w:val="24"/>
          <w:szCs w:val="24"/>
        </w:rPr>
        <w:t xml:space="preserve">, cituar më sipër, §194; </w:t>
      </w:r>
      <w:proofErr w:type="spellStart"/>
      <w:r w:rsidRPr="00A91B21">
        <w:rPr>
          <w:rFonts w:ascii="Garamond" w:eastAsiaTheme="minorHAnsi" w:hAnsi="Garamond" w:cs="Times New Roman"/>
          <w:i/>
          <w:iCs/>
          <w:color w:val="000000"/>
          <w:sz w:val="24"/>
          <w:szCs w:val="24"/>
        </w:rPr>
        <w:t>Scoppola</w:t>
      </w:r>
      <w:proofErr w:type="spellEnd"/>
      <w:r w:rsidRPr="00A91B21">
        <w:rPr>
          <w:rFonts w:ascii="Garamond" w:eastAsiaTheme="minorHAnsi" w:hAnsi="Garamond" w:cs="Times New Roman"/>
          <w:i/>
          <w:iCs/>
          <w:color w:val="000000"/>
          <w:sz w:val="24"/>
          <w:szCs w:val="24"/>
        </w:rPr>
        <w:t xml:space="preserve"> kundër Italisë (nr. 2) [DHM], nr. 10249/03, §148, 17 shtator 2009; dhe </w:t>
      </w:r>
      <w:proofErr w:type="spellStart"/>
      <w:r w:rsidRPr="00A91B21">
        <w:rPr>
          <w:rFonts w:ascii="Garamond" w:eastAsiaTheme="minorHAnsi" w:hAnsi="Garamond" w:cs="Times New Roman"/>
          <w:i/>
          <w:iCs/>
          <w:color w:val="000000"/>
          <w:sz w:val="24"/>
          <w:szCs w:val="24"/>
        </w:rPr>
        <w:t>Stanev</w:t>
      </w:r>
      <w:proofErr w:type="spellEnd"/>
      <w:r w:rsidRPr="00A91B21">
        <w:rPr>
          <w:rFonts w:ascii="Garamond" w:eastAsiaTheme="minorHAnsi" w:hAnsi="Garamond" w:cs="Times New Roman"/>
          <w:i/>
          <w:iCs/>
          <w:color w:val="000000"/>
          <w:sz w:val="24"/>
          <w:szCs w:val="24"/>
        </w:rPr>
        <w:t>, cituar më sipër, §255)</w:t>
      </w:r>
      <w:r w:rsidRPr="00A91B21">
        <w:rPr>
          <w:rFonts w:ascii="Garamond" w:eastAsiaTheme="minorHAnsi" w:hAnsi="Garamond" w:cs="Times New Roman"/>
          <w:color w:val="000000"/>
          <w:sz w:val="24"/>
          <w:szCs w:val="24"/>
        </w:rPr>
        <w:t>.</w:t>
      </w:r>
    </w:p>
    <w:p w14:paraId="59BFC55A" w14:textId="79CC5504"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29. Duke marrë në analizë pretendimet e kërkueses në raport me vendimin e GJEDNJ-së, për pjesën që lidhet me atë, Gjykata çmon se shqyrtimi i këtyre kërkimeve nuk do të mund të rivendoste në vend të drejtën e shkelur të saj, për sa kohë që me vendimin e GJEDNJ-së jo vetëm është konstatuar shkelja e së drejtës për proces të rregullt në drejtim të kohëzgjatjes së paarsyeshme të procesit në Gjykatën e Lartë, por është njohur edhe shpërblimi i dëmit të shkaktuar nga ajo vonesë, çka është edhe qëllimi që ka synuar kërkuesja përmes këtij ankimi kushtetues individual. </w:t>
      </w:r>
    </w:p>
    <w:p w14:paraId="2D0302A9" w14:textId="596CC2AE" w:rsidR="00A552BA" w:rsidRPr="00A91B21" w:rsidRDefault="00A552BA" w:rsidP="00A552BA">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 xml:space="preserve">30. Ndërkohë, Gjykata konstaton që masat e propozuara nga GJEDNJ-ja </w:t>
      </w:r>
      <w:r w:rsidRPr="00A91B21">
        <w:rPr>
          <w:rFonts w:ascii="Garamond" w:eastAsiaTheme="minorHAnsi" w:hAnsi="Garamond" w:cs="Times New Roman"/>
          <w:i/>
          <w:iCs/>
          <w:color w:val="000000"/>
          <w:sz w:val="24"/>
          <w:szCs w:val="24"/>
        </w:rPr>
        <w:t>(shih paragrafët 191 dhe 192 të vendimit të GJEDNJ-së)</w:t>
      </w:r>
      <w:r w:rsidRPr="00A91B21">
        <w:rPr>
          <w:rFonts w:ascii="Garamond" w:eastAsiaTheme="minorHAnsi" w:hAnsi="Garamond" w:cs="Times New Roman"/>
          <w:color w:val="000000"/>
          <w:sz w:val="24"/>
          <w:szCs w:val="24"/>
        </w:rPr>
        <w:t xml:space="preserve"> nuk kanë përmendur ndonjë mjet të veçantë korrigjues, por kanë theksuar në terma të përgjithshëm problematikën ekzistuese, masat e përgjithshme që janë ndërmarrë tashmë dhe që duhet të vijojnë të ndërmerren nga shteti për kohëzgjatjen e procedurave gjyqësore dhe shkeljen e afatit të arsyeshëm në gjykim. Për rrjedhojë, Gjykata vlerëson se kërkuesja nuk legjitimohet për këtë kërkim. </w:t>
      </w:r>
    </w:p>
    <w:p w14:paraId="6789D5A0" w14:textId="7E8954B2" w:rsidR="00A552BA" w:rsidRPr="00A91B21" w:rsidRDefault="00A552BA" w:rsidP="00A552BA">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31. Në përfundim, Gjykata çmon se kërkesa është e pabazuar, sipas arsyetimit të mësipërm të vendimit, ndaj ajo rrëzohet.</w:t>
      </w:r>
    </w:p>
    <w:p w14:paraId="2DD538DD" w14:textId="77777777" w:rsidR="00A552BA" w:rsidRPr="00A91B21" w:rsidRDefault="00A552BA" w:rsidP="00A552BA">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7F332AD" w14:textId="77777777"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91B21">
        <w:rPr>
          <w:rFonts w:ascii="Garamond" w:eastAsiaTheme="minorHAnsi" w:hAnsi="Garamond" w:cs="Times New Roman"/>
          <w:bCs/>
          <w:color w:val="000000"/>
          <w:sz w:val="24"/>
          <w:szCs w:val="24"/>
        </w:rPr>
        <w:t>PËR KËTO ARSYE,</w:t>
      </w:r>
    </w:p>
    <w:p w14:paraId="3614333A" w14:textId="77777777" w:rsidR="00D7711E" w:rsidRPr="00A91B21" w:rsidRDefault="00D7711E"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7EC001E" w14:textId="5489CF05" w:rsidR="00A552BA" w:rsidRPr="00A91B21" w:rsidRDefault="00A552BA"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Gjykata Kushtetuese, në mbështetje të neneve 131, pika 1, shkronja “f”, dhe 134, pika 1, shkronja “i”, të Kushtetutës, si dhe neneve 72 e viju</w:t>
      </w:r>
      <w:r w:rsidR="00A91B21">
        <w:rPr>
          <w:rFonts w:ascii="Garamond" w:eastAsiaTheme="minorHAnsi" w:hAnsi="Garamond" w:cs="Times New Roman"/>
          <w:color w:val="000000"/>
          <w:sz w:val="24"/>
          <w:szCs w:val="24"/>
        </w:rPr>
        <w:t>es të ligjit nr. 8577, datë 10.</w:t>
      </w:r>
      <w:r w:rsidRPr="00A91B21">
        <w:rPr>
          <w:rFonts w:ascii="Garamond" w:eastAsiaTheme="minorHAnsi" w:hAnsi="Garamond" w:cs="Times New Roman"/>
          <w:color w:val="000000"/>
          <w:sz w:val="24"/>
          <w:szCs w:val="24"/>
        </w:rPr>
        <w:t>2.2000</w:t>
      </w:r>
      <w:r w:rsidR="00A91B21">
        <w:rPr>
          <w:rFonts w:ascii="Garamond" w:eastAsiaTheme="minorHAnsi" w:hAnsi="Garamond" w:cs="Times New Roman"/>
          <w:color w:val="000000"/>
          <w:sz w:val="24"/>
          <w:szCs w:val="24"/>
        </w:rPr>
        <w:t>,</w:t>
      </w:r>
      <w:r w:rsidRPr="00A91B21">
        <w:rPr>
          <w:rFonts w:ascii="Garamond" w:eastAsiaTheme="minorHAnsi" w:hAnsi="Garamond" w:cs="Times New Roman"/>
          <w:color w:val="000000"/>
          <w:sz w:val="24"/>
          <w:szCs w:val="24"/>
        </w:rPr>
        <w:t xml:space="preserve"> “Për organizimin dhe funksionimin e Gjykatës Kushtetuese të Republikës së Shqipërisë”, të ndryshuar, njëzëri,</w:t>
      </w:r>
    </w:p>
    <w:p w14:paraId="33CD86F8" w14:textId="77777777" w:rsidR="00A552BA" w:rsidRPr="00A91B21" w:rsidRDefault="00A552BA" w:rsidP="00A552BA">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EBFAC89" w14:textId="0C07B3F5" w:rsidR="00A552BA" w:rsidRPr="00A91B21" w:rsidRDefault="00A552BA" w:rsidP="00A552BA">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91B21">
        <w:rPr>
          <w:rFonts w:ascii="Garamond" w:eastAsiaTheme="minorHAnsi" w:hAnsi="Garamond" w:cs="Times New Roman"/>
          <w:bCs/>
          <w:color w:val="000000"/>
          <w:sz w:val="24"/>
          <w:szCs w:val="24"/>
        </w:rPr>
        <w:t>VENDOSI:</w:t>
      </w:r>
    </w:p>
    <w:p w14:paraId="7ED93AAC" w14:textId="77777777" w:rsidR="00D7711E" w:rsidRPr="00A91B21" w:rsidRDefault="00D7711E" w:rsidP="00A552BA">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A4AF8CF" w14:textId="1E8F69C4" w:rsidR="00A552BA" w:rsidRPr="00A91B21" w:rsidRDefault="00A552BA" w:rsidP="00A552BA">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1. Rrëzimin e kërkesës.</w:t>
      </w:r>
    </w:p>
    <w:p w14:paraId="3937EC8D" w14:textId="5FB90271" w:rsidR="00A552BA" w:rsidRDefault="00A552BA"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91B21">
        <w:rPr>
          <w:rFonts w:ascii="Garamond" w:eastAsiaTheme="minorHAnsi" w:hAnsi="Garamond" w:cs="Times New Roman"/>
          <w:color w:val="000000"/>
          <w:sz w:val="24"/>
          <w:szCs w:val="24"/>
        </w:rPr>
        <w:t>Ky vendim është përfundimtar dhe hyn në fuqi ditën e botimit në Fletoren Zyrtare.</w:t>
      </w:r>
    </w:p>
    <w:p w14:paraId="579F9C84" w14:textId="77777777" w:rsidR="00A91B21" w:rsidRPr="00A91B21" w:rsidRDefault="00A91B21" w:rsidP="00A552BA">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17A9E69" w14:textId="4DE30511" w:rsidR="00A552BA" w:rsidRPr="00A91B21" w:rsidRDefault="00A91B21" w:rsidP="00A552BA">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Marrë më 2.</w:t>
      </w:r>
      <w:r w:rsidR="00A552BA" w:rsidRPr="00A91B21">
        <w:rPr>
          <w:rFonts w:ascii="Garamond" w:eastAsiaTheme="minorHAnsi" w:hAnsi="Garamond" w:cs="Times New Roman"/>
          <w:b/>
          <w:bCs/>
          <w:color w:val="000000"/>
          <w:sz w:val="24"/>
          <w:szCs w:val="24"/>
        </w:rPr>
        <w:t>6.2026</w:t>
      </w:r>
      <w:r>
        <w:rPr>
          <w:rFonts w:ascii="Garamond" w:eastAsiaTheme="minorHAnsi" w:hAnsi="Garamond" w:cs="Times New Roman"/>
          <w:b/>
          <w:bCs/>
          <w:color w:val="000000"/>
          <w:sz w:val="24"/>
          <w:szCs w:val="24"/>
        </w:rPr>
        <w:t>.</w:t>
      </w:r>
    </w:p>
    <w:p w14:paraId="481BFD08" w14:textId="680D4265" w:rsidR="00A552BA" w:rsidRPr="00A91B21" w:rsidRDefault="00A91B21" w:rsidP="00A552BA">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Shpallur më 9.</w:t>
      </w:r>
      <w:r w:rsidR="00A552BA" w:rsidRPr="00A91B21">
        <w:rPr>
          <w:rFonts w:ascii="Garamond" w:eastAsiaTheme="minorHAnsi" w:hAnsi="Garamond" w:cs="Times New Roman"/>
          <w:b/>
          <w:bCs/>
          <w:color w:val="000000"/>
          <w:sz w:val="24"/>
          <w:szCs w:val="24"/>
        </w:rPr>
        <w:t>6.2026</w:t>
      </w:r>
      <w:r>
        <w:rPr>
          <w:rFonts w:ascii="Garamond" w:eastAsiaTheme="minorHAnsi" w:hAnsi="Garamond" w:cs="Times New Roman"/>
          <w:b/>
          <w:bCs/>
          <w:color w:val="000000"/>
          <w:sz w:val="24"/>
          <w:szCs w:val="24"/>
        </w:rPr>
        <w:t>.</w:t>
      </w:r>
    </w:p>
    <w:p w14:paraId="74C70268" w14:textId="6EACDAB5" w:rsidR="00A552BA" w:rsidRPr="00A91B21" w:rsidRDefault="00A552BA" w:rsidP="00A552BA">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784F4644" w14:textId="0D1BA566" w:rsidR="00D7711E" w:rsidRPr="00A91B21" w:rsidRDefault="00D7711E" w:rsidP="00A552BA">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A91B21">
        <w:rPr>
          <w:rFonts w:ascii="Garamond" w:eastAsiaTheme="minorHAnsi" w:hAnsi="Garamond" w:cs="Times New Roman"/>
          <w:b/>
          <w:bCs/>
          <w:color w:val="000000"/>
          <w:sz w:val="24"/>
          <w:szCs w:val="24"/>
        </w:rPr>
        <w:t>Kryetare:</w:t>
      </w:r>
      <w:r w:rsidRPr="00A91B21">
        <w:rPr>
          <w:rFonts w:ascii="Garamond" w:eastAsiaTheme="minorHAnsi" w:hAnsi="Garamond" w:cs="Times New Roman"/>
          <w:bCs/>
          <w:color w:val="000000"/>
          <w:sz w:val="24"/>
          <w:szCs w:val="24"/>
        </w:rPr>
        <w:t xml:space="preserve"> </w:t>
      </w:r>
      <w:proofErr w:type="spellStart"/>
      <w:r w:rsidRPr="00A91B21">
        <w:rPr>
          <w:rFonts w:ascii="Garamond" w:eastAsiaTheme="minorHAnsi" w:hAnsi="Garamond" w:cs="Times New Roman"/>
          <w:bCs/>
          <w:color w:val="000000"/>
          <w:sz w:val="24"/>
          <w:szCs w:val="24"/>
        </w:rPr>
        <w:t>Fiona</w:t>
      </w:r>
      <w:proofErr w:type="spellEnd"/>
      <w:r w:rsidRPr="00A91B21">
        <w:rPr>
          <w:rFonts w:ascii="Garamond" w:eastAsiaTheme="minorHAnsi" w:hAnsi="Garamond" w:cs="Times New Roman"/>
          <w:bCs/>
          <w:color w:val="000000"/>
          <w:sz w:val="24"/>
          <w:szCs w:val="24"/>
        </w:rPr>
        <w:t xml:space="preserve"> </w:t>
      </w:r>
      <w:proofErr w:type="spellStart"/>
      <w:r w:rsidRPr="00A91B21">
        <w:rPr>
          <w:rFonts w:ascii="Garamond" w:eastAsiaTheme="minorHAnsi" w:hAnsi="Garamond" w:cs="Times New Roman"/>
          <w:bCs/>
          <w:color w:val="000000"/>
          <w:sz w:val="24"/>
          <w:szCs w:val="24"/>
        </w:rPr>
        <w:t>Papajorgji</w:t>
      </w:r>
      <w:proofErr w:type="spellEnd"/>
    </w:p>
    <w:p w14:paraId="6AFFA327" w14:textId="5D279244" w:rsidR="00D7711E" w:rsidRPr="00A91B21" w:rsidRDefault="00D7711E" w:rsidP="00A552BA">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A91B21">
        <w:rPr>
          <w:rFonts w:ascii="Garamond" w:eastAsiaTheme="minorHAnsi" w:hAnsi="Garamond" w:cs="Times New Roman"/>
          <w:b/>
          <w:bCs/>
          <w:color w:val="000000"/>
          <w:sz w:val="24"/>
          <w:szCs w:val="24"/>
        </w:rPr>
        <w:t>Anëtarë:</w:t>
      </w:r>
      <w:r w:rsidRPr="00A91B21">
        <w:rPr>
          <w:rFonts w:ascii="Garamond" w:eastAsiaTheme="minorHAnsi" w:hAnsi="Garamond" w:cs="Times New Roman"/>
          <w:bCs/>
          <w:color w:val="000000"/>
          <w:sz w:val="24"/>
          <w:szCs w:val="24"/>
        </w:rPr>
        <w:t xml:space="preserve"> </w:t>
      </w:r>
      <w:proofErr w:type="spellStart"/>
      <w:r w:rsidRPr="00A91B21">
        <w:rPr>
          <w:rFonts w:ascii="Garamond" w:eastAsiaTheme="minorHAnsi" w:hAnsi="Garamond" w:cs="Times New Roman"/>
          <w:bCs/>
          <w:color w:val="000000"/>
          <w:sz w:val="24"/>
          <w:szCs w:val="24"/>
        </w:rPr>
        <w:t>Sonila</w:t>
      </w:r>
      <w:proofErr w:type="spellEnd"/>
      <w:r w:rsidRPr="00A91B21">
        <w:rPr>
          <w:rFonts w:ascii="Garamond" w:eastAsiaTheme="minorHAnsi" w:hAnsi="Garamond" w:cs="Times New Roman"/>
          <w:bCs/>
          <w:color w:val="000000"/>
          <w:sz w:val="24"/>
          <w:szCs w:val="24"/>
        </w:rPr>
        <w:t xml:space="preserve"> Bejtja, </w:t>
      </w:r>
      <w:proofErr w:type="spellStart"/>
      <w:r w:rsidRPr="00A91B21">
        <w:rPr>
          <w:rFonts w:ascii="Garamond" w:eastAsiaTheme="minorHAnsi" w:hAnsi="Garamond" w:cs="Times New Roman"/>
          <w:bCs/>
          <w:color w:val="000000"/>
          <w:sz w:val="24"/>
          <w:szCs w:val="24"/>
        </w:rPr>
        <w:t>Marsida</w:t>
      </w:r>
      <w:proofErr w:type="spellEnd"/>
      <w:r w:rsidRPr="00A91B21">
        <w:rPr>
          <w:rFonts w:ascii="Garamond" w:eastAsiaTheme="minorHAnsi" w:hAnsi="Garamond" w:cs="Times New Roman"/>
          <w:bCs/>
          <w:color w:val="000000"/>
          <w:sz w:val="24"/>
          <w:szCs w:val="24"/>
        </w:rPr>
        <w:t xml:space="preserve"> </w:t>
      </w:r>
      <w:proofErr w:type="spellStart"/>
      <w:r w:rsidRPr="00A91B21">
        <w:rPr>
          <w:rFonts w:ascii="Garamond" w:eastAsiaTheme="minorHAnsi" w:hAnsi="Garamond" w:cs="Times New Roman"/>
          <w:bCs/>
          <w:color w:val="000000"/>
          <w:sz w:val="24"/>
          <w:szCs w:val="24"/>
        </w:rPr>
        <w:t>Xhaferllari</w:t>
      </w:r>
      <w:proofErr w:type="spellEnd"/>
      <w:r w:rsidRPr="00A91B21">
        <w:rPr>
          <w:rFonts w:ascii="Garamond" w:eastAsiaTheme="minorHAnsi" w:hAnsi="Garamond" w:cs="Times New Roman"/>
          <w:bCs/>
          <w:color w:val="000000"/>
          <w:sz w:val="24"/>
          <w:szCs w:val="24"/>
        </w:rPr>
        <w:t xml:space="preserve">, </w:t>
      </w:r>
      <w:proofErr w:type="spellStart"/>
      <w:r w:rsidRPr="00A91B21">
        <w:rPr>
          <w:rFonts w:ascii="Garamond" w:eastAsiaTheme="minorHAnsi" w:hAnsi="Garamond" w:cs="Times New Roman"/>
          <w:bCs/>
          <w:color w:val="000000"/>
          <w:sz w:val="24"/>
          <w:szCs w:val="24"/>
        </w:rPr>
        <w:t>Marjana</w:t>
      </w:r>
      <w:proofErr w:type="spellEnd"/>
      <w:r w:rsidRPr="00A91B21">
        <w:rPr>
          <w:rFonts w:ascii="Garamond" w:eastAsiaTheme="minorHAnsi" w:hAnsi="Garamond" w:cs="Times New Roman"/>
          <w:bCs/>
          <w:color w:val="000000"/>
          <w:sz w:val="24"/>
          <w:szCs w:val="24"/>
        </w:rPr>
        <w:t xml:space="preserve"> </w:t>
      </w:r>
      <w:proofErr w:type="spellStart"/>
      <w:r w:rsidRPr="00A91B21">
        <w:rPr>
          <w:rFonts w:ascii="Garamond" w:eastAsiaTheme="minorHAnsi" w:hAnsi="Garamond" w:cs="Times New Roman"/>
          <w:bCs/>
          <w:color w:val="000000"/>
          <w:sz w:val="24"/>
          <w:szCs w:val="24"/>
        </w:rPr>
        <w:t>Semini</w:t>
      </w:r>
      <w:proofErr w:type="spellEnd"/>
      <w:r w:rsidRPr="00A91B21">
        <w:rPr>
          <w:rFonts w:ascii="Garamond" w:eastAsiaTheme="minorHAnsi" w:hAnsi="Garamond" w:cs="Times New Roman"/>
          <w:bCs/>
          <w:color w:val="000000"/>
          <w:sz w:val="24"/>
          <w:szCs w:val="24"/>
        </w:rPr>
        <w:t xml:space="preserve">, Genti Ibrahimi, Ilir Toska, </w:t>
      </w:r>
      <w:proofErr w:type="spellStart"/>
      <w:r w:rsidRPr="00A91B21">
        <w:rPr>
          <w:rFonts w:ascii="Garamond" w:eastAsiaTheme="minorHAnsi" w:hAnsi="Garamond" w:cs="Times New Roman"/>
          <w:bCs/>
          <w:color w:val="000000"/>
          <w:sz w:val="24"/>
          <w:szCs w:val="24"/>
        </w:rPr>
        <w:t>Sandër</w:t>
      </w:r>
      <w:proofErr w:type="spellEnd"/>
      <w:r w:rsidRPr="00A91B21">
        <w:rPr>
          <w:rFonts w:ascii="Garamond" w:eastAsiaTheme="minorHAnsi" w:hAnsi="Garamond" w:cs="Times New Roman"/>
          <w:bCs/>
          <w:color w:val="000000"/>
          <w:sz w:val="24"/>
          <w:szCs w:val="24"/>
        </w:rPr>
        <w:t xml:space="preserve"> Beci, </w:t>
      </w:r>
      <w:proofErr w:type="spellStart"/>
      <w:r w:rsidRPr="00A91B21">
        <w:rPr>
          <w:rFonts w:ascii="Garamond" w:eastAsiaTheme="minorHAnsi" w:hAnsi="Garamond" w:cs="Times New Roman"/>
          <w:bCs/>
          <w:color w:val="000000"/>
          <w:sz w:val="24"/>
          <w:szCs w:val="24"/>
        </w:rPr>
        <w:t>Asim</w:t>
      </w:r>
      <w:proofErr w:type="spellEnd"/>
      <w:r w:rsidRPr="00A91B21">
        <w:rPr>
          <w:rFonts w:ascii="Garamond" w:eastAsiaTheme="minorHAnsi" w:hAnsi="Garamond" w:cs="Times New Roman"/>
          <w:bCs/>
          <w:color w:val="000000"/>
          <w:sz w:val="24"/>
          <w:szCs w:val="24"/>
        </w:rPr>
        <w:t xml:space="preserve"> </w:t>
      </w:r>
      <w:proofErr w:type="spellStart"/>
      <w:r w:rsidRPr="00A91B21">
        <w:rPr>
          <w:rFonts w:ascii="Garamond" w:eastAsiaTheme="minorHAnsi" w:hAnsi="Garamond" w:cs="Times New Roman"/>
          <w:bCs/>
          <w:color w:val="000000"/>
          <w:sz w:val="24"/>
          <w:szCs w:val="24"/>
        </w:rPr>
        <w:t>Vokshi</w:t>
      </w:r>
      <w:bookmarkStart w:id="0" w:name="_GoBack"/>
      <w:bookmarkEnd w:id="0"/>
      <w:proofErr w:type="spellEnd"/>
    </w:p>
    <w:p w14:paraId="15A49D32" w14:textId="77777777" w:rsidR="00D7711E" w:rsidRPr="00A91B21" w:rsidRDefault="00D7711E" w:rsidP="00A552BA">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p>
    <w:sectPr w:rsidR="00D7711E" w:rsidRPr="00A91B21" w:rsidSect="00D7711E">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656FC" w14:textId="77777777" w:rsidR="009E0692" w:rsidRDefault="009E0692" w:rsidP="00DA7050">
      <w:pPr>
        <w:spacing w:after="0" w:line="240" w:lineRule="auto"/>
      </w:pPr>
      <w:r>
        <w:separator/>
      </w:r>
    </w:p>
  </w:endnote>
  <w:endnote w:type="continuationSeparator" w:id="0">
    <w:p w14:paraId="47A63CF5" w14:textId="77777777" w:rsidR="009E0692" w:rsidRDefault="009E0692" w:rsidP="00DA7050">
      <w:pPr>
        <w:spacing w:after="0" w:line="240" w:lineRule="auto"/>
      </w:pPr>
      <w:r>
        <w:continuationSeparator/>
      </w:r>
    </w:p>
  </w:endnote>
  <w:endnote w:type="continuationNotice" w:id="1">
    <w:p w14:paraId="17D296F8" w14:textId="77777777" w:rsidR="009E0692" w:rsidRDefault="009E06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DFFCD" w14:textId="77777777" w:rsidR="009E0692" w:rsidRDefault="009E0692" w:rsidP="00DA7050">
      <w:pPr>
        <w:spacing w:after="0" w:line="240" w:lineRule="auto"/>
      </w:pPr>
      <w:r>
        <w:separator/>
      </w:r>
    </w:p>
  </w:footnote>
  <w:footnote w:type="continuationSeparator" w:id="0">
    <w:p w14:paraId="5DAD4588" w14:textId="77777777" w:rsidR="009E0692" w:rsidRDefault="009E0692" w:rsidP="00DA7050">
      <w:pPr>
        <w:spacing w:after="0" w:line="240" w:lineRule="auto"/>
      </w:pPr>
      <w:r>
        <w:continuationSeparator/>
      </w:r>
    </w:p>
  </w:footnote>
  <w:footnote w:type="continuationNotice" w:id="1">
    <w:p w14:paraId="5CC971CF" w14:textId="77777777" w:rsidR="009E0692" w:rsidRDefault="009E06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46CA"/>
    <w:multiLevelType w:val="hybridMultilevel"/>
    <w:tmpl w:val="8FE24612"/>
    <w:lvl w:ilvl="0" w:tplc="6F824EAC">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461B2"/>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E8430A"/>
    <w:multiLevelType w:val="multilevel"/>
    <w:tmpl w:val="641E5406"/>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B34648"/>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E3831FD"/>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5" w15:restartNumberingAfterBreak="0">
    <w:nsid w:val="11AB13B5"/>
    <w:multiLevelType w:val="hybridMultilevel"/>
    <w:tmpl w:val="301E54B2"/>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148573CA"/>
    <w:multiLevelType w:val="multilevel"/>
    <w:tmpl w:val="A17EEA5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5115BC6"/>
    <w:multiLevelType w:val="multilevel"/>
    <w:tmpl w:val="372AAA2A"/>
    <w:lvl w:ilvl="0">
      <w:start w:val="8"/>
      <w:numFmt w:val="decimal"/>
      <w:lvlText w:val="%1."/>
      <w:lvlJc w:val="left"/>
      <w:pPr>
        <w:ind w:left="1170" w:hanging="360"/>
      </w:pPr>
      <w:rPr>
        <w:rFonts w:eastAsia="Calibri"/>
        <w:b w:val="0"/>
        <w:i w:val="0"/>
        <w:color w:val="auto"/>
      </w:rPr>
    </w:lvl>
    <w:lvl w:ilvl="1">
      <w:start w:val="1"/>
      <w:numFmt w:val="decimal"/>
      <w:lvlText w:val="%1.%2."/>
      <w:lvlJc w:val="left"/>
      <w:pPr>
        <w:ind w:left="1620" w:hanging="360"/>
      </w:pPr>
      <w:rPr>
        <w:rFonts w:eastAsia="Calibri"/>
        <w:b w:val="0"/>
        <w:i w:val="0"/>
        <w:color w:val="auto"/>
      </w:rPr>
    </w:lvl>
    <w:lvl w:ilvl="2">
      <w:start w:val="1"/>
      <w:numFmt w:val="decimal"/>
      <w:lvlText w:val="%1.%2.%3."/>
      <w:lvlJc w:val="left"/>
      <w:pPr>
        <w:ind w:left="3240" w:hanging="720"/>
      </w:pPr>
      <w:rPr>
        <w:rFonts w:eastAsia="Calibri"/>
        <w:i w:val="0"/>
        <w:color w:val="auto"/>
      </w:rPr>
    </w:lvl>
    <w:lvl w:ilvl="3">
      <w:start w:val="1"/>
      <w:numFmt w:val="decimal"/>
      <w:lvlText w:val="%1.%2.%3.%4."/>
      <w:lvlJc w:val="left"/>
      <w:pPr>
        <w:ind w:left="4500" w:hanging="720"/>
      </w:pPr>
      <w:rPr>
        <w:rFonts w:eastAsia="Calibri"/>
        <w:i/>
      </w:rPr>
    </w:lvl>
    <w:lvl w:ilvl="4">
      <w:start w:val="1"/>
      <w:numFmt w:val="decimal"/>
      <w:lvlText w:val="%1.%2.%3.%4.%5."/>
      <w:lvlJc w:val="left"/>
      <w:pPr>
        <w:ind w:left="6120" w:hanging="1080"/>
      </w:pPr>
      <w:rPr>
        <w:rFonts w:eastAsia="Calibri"/>
        <w:i/>
      </w:rPr>
    </w:lvl>
    <w:lvl w:ilvl="5">
      <w:start w:val="1"/>
      <w:numFmt w:val="decimal"/>
      <w:lvlText w:val="%1.%2.%3.%4.%5.%6."/>
      <w:lvlJc w:val="left"/>
      <w:pPr>
        <w:ind w:left="7380" w:hanging="1080"/>
      </w:pPr>
      <w:rPr>
        <w:rFonts w:eastAsia="Calibri"/>
        <w:i/>
      </w:rPr>
    </w:lvl>
    <w:lvl w:ilvl="6">
      <w:start w:val="1"/>
      <w:numFmt w:val="decimal"/>
      <w:lvlText w:val="%1.%2.%3.%4.%5.%6.%7."/>
      <w:lvlJc w:val="left"/>
      <w:pPr>
        <w:ind w:left="9000" w:hanging="1440"/>
      </w:pPr>
      <w:rPr>
        <w:rFonts w:eastAsia="Calibri"/>
        <w:i/>
      </w:rPr>
    </w:lvl>
    <w:lvl w:ilvl="7">
      <w:start w:val="1"/>
      <w:numFmt w:val="decimal"/>
      <w:lvlText w:val="%1.%2.%3.%4.%5.%6.%7.%8."/>
      <w:lvlJc w:val="left"/>
      <w:pPr>
        <w:ind w:left="10260" w:hanging="1440"/>
      </w:pPr>
      <w:rPr>
        <w:rFonts w:eastAsia="Calibri"/>
        <w:i/>
      </w:rPr>
    </w:lvl>
    <w:lvl w:ilvl="8">
      <w:start w:val="1"/>
      <w:numFmt w:val="decimal"/>
      <w:lvlText w:val="%1.%2.%3.%4.%5.%6.%7.%8.%9."/>
      <w:lvlJc w:val="left"/>
      <w:pPr>
        <w:ind w:left="11880" w:hanging="1800"/>
      </w:pPr>
      <w:rPr>
        <w:rFonts w:eastAsia="Calibri"/>
        <w:i/>
      </w:rPr>
    </w:lvl>
  </w:abstractNum>
  <w:abstractNum w:abstractNumId="8"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4D0C9D"/>
    <w:multiLevelType w:val="multilevel"/>
    <w:tmpl w:val="20828886"/>
    <w:lvl w:ilvl="0">
      <w:start w:val="1"/>
      <w:numFmt w:val="decimal"/>
      <w:lvlText w:val="%1."/>
      <w:lvlJc w:val="left"/>
      <w:pPr>
        <w:ind w:left="1440" w:hanging="720"/>
      </w:pPr>
      <w:rPr>
        <w:rFonts w:ascii="Times New Roman" w:eastAsia="Times New Roman" w:hAnsi="Times New Roman" w:cs="Times New Roman"/>
        <w:b w:val="0"/>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0" w15:restartNumberingAfterBreak="0">
    <w:nsid w:val="1EC825D5"/>
    <w:multiLevelType w:val="multilevel"/>
    <w:tmpl w:val="3B7EB3E0"/>
    <w:lvl w:ilvl="0">
      <w:start w:val="1"/>
      <w:numFmt w:val="decimal"/>
      <w:lvlText w:val="%1."/>
      <w:lvlJc w:val="left"/>
      <w:pPr>
        <w:ind w:left="720" w:hanging="360"/>
      </w:pPr>
      <w:rPr>
        <w:i w:val="0"/>
        <w:strike w:val="0"/>
        <w:color w:val="auto"/>
      </w:rPr>
    </w:lvl>
    <w:lvl w:ilvl="1">
      <w:start w:val="1"/>
      <w:numFmt w:val="decimal"/>
      <w:isLgl/>
      <w:lvlText w:val="%1.%2."/>
      <w:lvlJc w:val="left"/>
      <w:pPr>
        <w:ind w:left="1440" w:hanging="36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i/>
      </w:rPr>
    </w:lvl>
    <w:lvl w:ilvl="4">
      <w:start w:val="1"/>
      <w:numFmt w:val="decimal"/>
      <w:isLgl/>
      <w:lvlText w:val="%1.%2.%3.%4.%5."/>
      <w:lvlJc w:val="left"/>
      <w:pPr>
        <w:ind w:left="4320" w:hanging="1080"/>
      </w:pPr>
      <w:rPr>
        <w:rFonts w:hint="default"/>
        <w:i/>
      </w:rPr>
    </w:lvl>
    <w:lvl w:ilvl="5">
      <w:start w:val="1"/>
      <w:numFmt w:val="decimal"/>
      <w:isLgl/>
      <w:lvlText w:val="%1.%2.%3.%4.%5.%6."/>
      <w:lvlJc w:val="left"/>
      <w:pPr>
        <w:ind w:left="5040" w:hanging="1080"/>
      </w:pPr>
      <w:rPr>
        <w:rFonts w:hint="default"/>
        <w:i/>
      </w:rPr>
    </w:lvl>
    <w:lvl w:ilvl="6">
      <w:start w:val="1"/>
      <w:numFmt w:val="decimal"/>
      <w:isLgl/>
      <w:lvlText w:val="%1.%2.%3.%4.%5.%6.%7."/>
      <w:lvlJc w:val="left"/>
      <w:pPr>
        <w:ind w:left="6120" w:hanging="1440"/>
      </w:pPr>
      <w:rPr>
        <w:rFonts w:hint="default"/>
        <w:i/>
      </w:rPr>
    </w:lvl>
    <w:lvl w:ilvl="7">
      <w:start w:val="1"/>
      <w:numFmt w:val="decimal"/>
      <w:isLgl/>
      <w:lvlText w:val="%1.%2.%3.%4.%5.%6.%7.%8."/>
      <w:lvlJc w:val="left"/>
      <w:pPr>
        <w:ind w:left="6840" w:hanging="1440"/>
      </w:pPr>
      <w:rPr>
        <w:rFonts w:hint="default"/>
        <w:i/>
      </w:rPr>
    </w:lvl>
    <w:lvl w:ilvl="8">
      <w:start w:val="1"/>
      <w:numFmt w:val="decimal"/>
      <w:isLgl/>
      <w:lvlText w:val="%1.%2.%3.%4.%5.%6.%7.%8.%9."/>
      <w:lvlJc w:val="left"/>
      <w:pPr>
        <w:ind w:left="7920" w:hanging="1800"/>
      </w:pPr>
      <w:rPr>
        <w:rFonts w:hint="default"/>
        <w:i/>
      </w:rPr>
    </w:lvl>
  </w:abstractNum>
  <w:abstractNum w:abstractNumId="11" w15:restartNumberingAfterBreak="0">
    <w:nsid w:val="22320469"/>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7483FEE"/>
    <w:multiLevelType w:val="multilevel"/>
    <w:tmpl w:val="1E421A6E"/>
    <w:lvl w:ilvl="0">
      <w:start w:val="22"/>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5BF2852"/>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5E30CBA"/>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5" w15:restartNumberingAfterBreak="0">
    <w:nsid w:val="384030F9"/>
    <w:multiLevelType w:val="multilevel"/>
    <w:tmpl w:val="6FE41524"/>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A3C5AA2"/>
    <w:multiLevelType w:val="multilevel"/>
    <w:tmpl w:val="01B6E604"/>
    <w:lvl w:ilvl="0">
      <w:start w:val="1"/>
      <w:numFmt w:val="decimal"/>
      <w:lvlText w:val="%1."/>
      <w:lvlJc w:val="left"/>
      <w:pPr>
        <w:ind w:left="342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7"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8" w15:restartNumberingAfterBreak="0">
    <w:nsid w:val="435D0A6D"/>
    <w:multiLevelType w:val="multilevel"/>
    <w:tmpl w:val="71B81190"/>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5E2C81"/>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B914374"/>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10751"/>
    <w:multiLevelType w:val="multilevel"/>
    <w:tmpl w:val="B4825EDA"/>
    <w:lvl w:ilvl="0">
      <w:start w:val="15"/>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4" w15:restartNumberingAfterBreak="0">
    <w:nsid w:val="52762EF7"/>
    <w:multiLevelType w:val="hybridMultilevel"/>
    <w:tmpl w:val="F42CE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C70E08"/>
    <w:multiLevelType w:val="multilevel"/>
    <w:tmpl w:val="E8CC730E"/>
    <w:lvl w:ilvl="0">
      <w:start w:val="10"/>
      <w:numFmt w:val="decimal"/>
      <w:lvlText w:val="%1."/>
      <w:lvlJc w:val="left"/>
      <w:pPr>
        <w:ind w:left="480" w:hanging="480"/>
      </w:pPr>
      <w:rPr>
        <w:rFonts w:hint="default"/>
        <w:color w:val="auto"/>
      </w:rPr>
    </w:lvl>
    <w:lvl w:ilvl="1">
      <w:start w:val="1"/>
      <w:numFmt w:val="decimal"/>
      <w:lvlText w:val="%1.%2."/>
      <w:lvlJc w:val="left"/>
      <w:pPr>
        <w:ind w:left="1110" w:hanging="480"/>
      </w:pPr>
      <w:rPr>
        <w:rFonts w:hint="default"/>
        <w:color w:val="auto"/>
      </w:rPr>
    </w:lvl>
    <w:lvl w:ilvl="2">
      <w:start w:val="1"/>
      <w:numFmt w:val="decimal"/>
      <w:lvlText w:val="%1.%2.%3."/>
      <w:lvlJc w:val="left"/>
      <w:pPr>
        <w:ind w:left="1980" w:hanging="720"/>
      </w:pPr>
      <w:rPr>
        <w:rFonts w:hint="default"/>
        <w:color w:val="auto"/>
      </w:rPr>
    </w:lvl>
    <w:lvl w:ilvl="3">
      <w:start w:val="1"/>
      <w:numFmt w:val="decimal"/>
      <w:lvlText w:val="%1.%2.%3.%4."/>
      <w:lvlJc w:val="left"/>
      <w:pPr>
        <w:ind w:left="2610" w:hanging="720"/>
      </w:pPr>
      <w:rPr>
        <w:rFonts w:hint="default"/>
        <w:color w:val="auto"/>
      </w:rPr>
    </w:lvl>
    <w:lvl w:ilvl="4">
      <w:start w:val="1"/>
      <w:numFmt w:val="decimal"/>
      <w:lvlText w:val="%1.%2.%3.%4.%5."/>
      <w:lvlJc w:val="left"/>
      <w:pPr>
        <w:ind w:left="3600" w:hanging="1080"/>
      </w:pPr>
      <w:rPr>
        <w:rFonts w:hint="default"/>
        <w:color w:val="auto"/>
      </w:rPr>
    </w:lvl>
    <w:lvl w:ilvl="5">
      <w:start w:val="1"/>
      <w:numFmt w:val="decimal"/>
      <w:lvlText w:val="%1.%2.%3.%4.%5.%6."/>
      <w:lvlJc w:val="left"/>
      <w:pPr>
        <w:ind w:left="4230" w:hanging="1080"/>
      </w:pPr>
      <w:rPr>
        <w:rFonts w:hint="default"/>
        <w:color w:val="auto"/>
      </w:rPr>
    </w:lvl>
    <w:lvl w:ilvl="6">
      <w:start w:val="1"/>
      <w:numFmt w:val="decimal"/>
      <w:lvlText w:val="%1.%2.%3.%4.%5.%6.%7."/>
      <w:lvlJc w:val="left"/>
      <w:pPr>
        <w:ind w:left="5220" w:hanging="1440"/>
      </w:pPr>
      <w:rPr>
        <w:rFonts w:hint="default"/>
        <w:color w:val="auto"/>
      </w:rPr>
    </w:lvl>
    <w:lvl w:ilvl="7">
      <w:start w:val="1"/>
      <w:numFmt w:val="decimal"/>
      <w:lvlText w:val="%1.%2.%3.%4.%5.%6.%7.%8."/>
      <w:lvlJc w:val="left"/>
      <w:pPr>
        <w:ind w:left="5850" w:hanging="1440"/>
      </w:pPr>
      <w:rPr>
        <w:rFonts w:hint="default"/>
        <w:color w:val="auto"/>
      </w:rPr>
    </w:lvl>
    <w:lvl w:ilvl="8">
      <w:start w:val="1"/>
      <w:numFmt w:val="decimal"/>
      <w:lvlText w:val="%1.%2.%3.%4.%5.%6.%7.%8.%9."/>
      <w:lvlJc w:val="left"/>
      <w:pPr>
        <w:ind w:left="6840" w:hanging="1800"/>
      </w:pPr>
      <w:rPr>
        <w:rFonts w:hint="default"/>
        <w:color w:val="auto"/>
      </w:rPr>
    </w:lvl>
  </w:abstractNum>
  <w:abstractNum w:abstractNumId="26" w15:restartNumberingAfterBreak="0">
    <w:nsid w:val="558C26C1"/>
    <w:multiLevelType w:val="multilevel"/>
    <w:tmpl w:val="47DE9486"/>
    <w:lvl w:ilvl="0">
      <w:start w:val="16"/>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27" w15:restartNumberingAfterBreak="0">
    <w:nsid w:val="5EE07C61"/>
    <w:multiLevelType w:val="multilevel"/>
    <w:tmpl w:val="F38CE0D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8" w15:restartNumberingAfterBreak="0">
    <w:nsid w:val="5F174DB5"/>
    <w:multiLevelType w:val="multilevel"/>
    <w:tmpl w:val="DB54CC0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9" w15:restartNumberingAfterBreak="0">
    <w:nsid w:val="5F7604D7"/>
    <w:multiLevelType w:val="multilevel"/>
    <w:tmpl w:val="C8E0C02A"/>
    <w:lvl w:ilvl="0">
      <w:start w:val="21"/>
      <w:numFmt w:val="decimal"/>
      <w:lvlText w:val="%1."/>
      <w:lvlJc w:val="left"/>
      <w:pPr>
        <w:ind w:left="1440" w:hanging="720"/>
      </w:pPr>
      <w:rPr>
        <w:rFonts w:ascii="Times New Roman" w:eastAsia="Times New Roman" w:hAnsi="Times New Roman" w:cs="Times New Roman" w:hint="default"/>
        <w:b w:val="0"/>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30" w15:restartNumberingAfterBreak="0">
    <w:nsid w:val="618F0393"/>
    <w:multiLevelType w:val="hybridMultilevel"/>
    <w:tmpl w:val="DB26C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AD4216"/>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B172FDB"/>
    <w:multiLevelType w:val="multilevel"/>
    <w:tmpl w:val="26A00AC4"/>
    <w:lvl w:ilvl="0">
      <w:start w:val="9"/>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34" w15:restartNumberingAfterBreak="0">
    <w:nsid w:val="718F3A90"/>
    <w:multiLevelType w:val="multilevel"/>
    <w:tmpl w:val="84DED472"/>
    <w:lvl w:ilvl="0">
      <w:start w:val="19"/>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3927864"/>
    <w:multiLevelType w:val="multilevel"/>
    <w:tmpl w:val="BC9889BC"/>
    <w:lvl w:ilvl="0">
      <w:start w:val="43"/>
      <w:numFmt w:val="decimal"/>
      <w:lvlText w:val="%1."/>
      <w:lvlJc w:val="left"/>
      <w:pPr>
        <w:ind w:left="360" w:hanging="360"/>
      </w:pPr>
      <w:rPr>
        <w:rFonts w:eastAsia="MS Mincho" w:hint="default"/>
        <w:b w:val="0"/>
        <w:i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36" w15:restartNumberingAfterBreak="0">
    <w:nsid w:val="73C05123"/>
    <w:multiLevelType w:val="multilevel"/>
    <w:tmpl w:val="F3EC2D7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37" w15:restartNumberingAfterBreak="0">
    <w:nsid w:val="742A3881"/>
    <w:multiLevelType w:val="multilevel"/>
    <w:tmpl w:val="AF0024EC"/>
    <w:lvl w:ilvl="0">
      <w:start w:val="20"/>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38" w15:restartNumberingAfterBreak="0">
    <w:nsid w:val="74A078F5"/>
    <w:multiLevelType w:val="multilevel"/>
    <w:tmpl w:val="26CCA210"/>
    <w:lvl w:ilvl="0">
      <w:start w:val="14"/>
      <w:numFmt w:val="decimal"/>
      <w:lvlText w:val="%1."/>
      <w:lvlJc w:val="left"/>
      <w:pPr>
        <w:ind w:left="1380" w:hanging="480"/>
      </w:pPr>
      <w:rPr>
        <w:rFonts w:ascii="Times New Roman" w:eastAsia="Times New Roman" w:hAnsi="Times New Roman" w:cs="Times New Roman" w:hint="default"/>
        <w:i w:val="0"/>
        <w:color w:val="auto"/>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39" w15:restartNumberingAfterBreak="0">
    <w:nsid w:val="74A417AB"/>
    <w:multiLevelType w:val="hybridMultilevel"/>
    <w:tmpl w:val="C750D89E"/>
    <w:lvl w:ilvl="0" w:tplc="F97827B6">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15:restartNumberingAfterBreak="0">
    <w:nsid w:val="78BE682A"/>
    <w:multiLevelType w:val="multilevel"/>
    <w:tmpl w:val="C8E0C02A"/>
    <w:lvl w:ilvl="0">
      <w:start w:val="21"/>
      <w:numFmt w:val="decimal"/>
      <w:lvlText w:val="%1."/>
      <w:lvlJc w:val="left"/>
      <w:pPr>
        <w:ind w:left="1440" w:hanging="720"/>
      </w:pPr>
      <w:rPr>
        <w:rFonts w:ascii="Times New Roman" w:eastAsia="Times New Roman" w:hAnsi="Times New Roman" w:cs="Times New Roman" w:hint="default"/>
        <w:b w:val="0"/>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41" w15:restartNumberingAfterBreak="0">
    <w:nsid w:val="7C907C9B"/>
    <w:multiLevelType w:val="multilevel"/>
    <w:tmpl w:val="DD92A9FA"/>
    <w:lvl w:ilvl="0">
      <w:start w:val="20"/>
      <w:numFmt w:val="decimal"/>
      <w:lvlText w:val="%1."/>
      <w:lvlJc w:val="left"/>
      <w:pPr>
        <w:ind w:left="480" w:hanging="480"/>
      </w:pPr>
      <w:rPr>
        <w:rFonts w:eastAsia="Times New Roman" w:hint="default"/>
        <w:b w:val="0"/>
        <w:i w:val="0"/>
      </w:rPr>
    </w:lvl>
    <w:lvl w:ilvl="1">
      <w:start w:val="1"/>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abstractNum w:abstractNumId="42" w15:restartNumberingAfterBreak="0">
    <w:nsid w:val="7D4B01AD"/>
    <w:multiLevelType w:val="hybridMultilevel"/>
    <w:tmpl w:val="04B4D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9"/>
  </w:num>
  <w:num w:numId="3">
    <w:abstractNumId w:val="14"/>
  </w:num>
  <w:num w:numId="4">
    <w:abstractNumId w:val="34"/>
  </w:num>
  <w:num w:numId="5">
    <w:abstractNumId w:val="25"/>
  </w:num>
  <w:num w:numId="6">
    <w:abstractNumId w:val="38"/>
  </w:num>
  <w:num w:numId="7">
    <w:abstractNumId w:val="12"/>
  </w:num>
  <w:num w:numId="8">
    <w:abstractNumId w:val="4"/>
  </w:num>
  <w:num w:numId="9">
    <w:abstractNumId w:val="6"/>
  </w:num>
  <w:num w:numId="10">
    <w:abstractNumId w:val="22"/>
  </w:num>
  <w:num w:numId="11">
    <w:abstractNumId w:val="8"/>
  </w:num>
  <w:num w:numId="12">
    <w:abstractNumId w:val="5"/>
  </w:num>
  <w:num w:numId="13">
    <w:abstractNumId w:val="27"/>
  </w:num>
  <w:num w:numId="14">
    <w:abstractNumId w:val="28"/>
  </w:num>
  <w:num w:numId="15">
    <w:abstractNumId w:val="23"/>
  </w:num>
  <w:num w:numId="16">
    <w:abstractNumId w:val="26"/>
  </w:num>
  <w:num w:numId="17">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32"/>
  </w:num>
  <w:num w:numId="22">
    <w:abstractNumId w:val="16"/>
  </w:num>
  <w:num w:numId="23">
    <w:abstractNumId w:val="15"/>
  </w:num>
  <w:num w:numId="24">
    <w:abstractNumId w:val="3"/>
  </w:num>
  <w:num w:numId="25">
    <w:abstractNumId w:val="21"/>
  </w:num>
  <w:num w:numId="26">
    <w:abstractNumId w:val="1"/>
  </w:num>
  <w:num w:numId="27">
    <w:abstractNumId w:val="33"/>
  </w:num>
  <w:num w:numId="28">
    <w:abstractNumId w:val="42"/>
  </w:num>
  <w:num w:numId="29">
    <w:abstractNumId w:val="35"/>
  </w:num>
  <w:num w:numId="30">
    <w:abstractNumId w:val="10"/>
  </w:num>
  <w:num w:numId="31">
    <w:abstractNumId w:val="30"/>
  </w:num>
  <w:num w:numId="32">
    <w:abstractNumId w:val="2"/>
  </w:num>
  <w:num w:numId="33">
    <w:abstractNumId w:val="13"/>
  </w:num>
  <w:num w:numId="34">
    <w:abstractNumId w:val="11"/>
  </w:num>
  <w:num w:numId="35">
    <w:abstractNumId w:val="24"/>
  </w:num>
  <w:num w:numId="36">
    <w:abstractNumId w:val="31"/>
  </w:num>
  <w:num w:numId="37">
    <w:abstractNumId w:val="20"/>
  </w:num>
  <w:num w:numId="38">
    <w:abstractNumId w:val="0"/>
  </w:num>
  <w:num w:numId="39">
    <w:abstractNumId w:val="18"/>
  </w:num>
  <w:num w:numId="40">
    <w:abstractNumId w:val="9"/>
  </w:num>
  <w:num w:numId="41">
    <w:abstractNumId w:val="37"/>
  </w:num>
  <w:num w:numId="42">
    <w:abstractNumId w:val="40"/>
  </w:num>
  <w:num w:numId="43">
    <w:abstractNumId w:val="29"/>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050"/>
    <w:rsid w:val="000108CF"/>
    <w:rsid w:val="000124F5"/>
    <w:rsid w:val="00013586"/>
    <w:rsid w:val="00013AF5"/>
    <w:rsid w:val="00017220"/>
    <w:rsid w:val="00021893"/>
    <w:rsid w:val="00022B93"/>
    <w:rsid w:val="000238C6"/>
    <w:rsid w:val="00030A2F"/>
    <w:rsid w:val="00031970"/>
    <w:rsid w:val="00034DFC"/>
    <w:rsid w:val="00035840"/>
    <w:rsid w:val="000418F6"/>
    <w:rsid w:val="00041BE3"/>
    <w:rsid w:val="000448F2"/>
    <w:rsid w:val="000472B7"/>
    <w:rsid w:val="000504DB"/>
    <w:rsid w:val="00053634"/>
    <w:rsid w:val="000619E1"/>
    <w:rsid w:val="00062410"/>
    <w:rsid w:val="00063CFD"/>
    <w:rsid w:val="000650BB"/>
    <w:rsid w:val="00066268"/>
    <w:rsid w:val="00071663"/>
    <w:rsid w:val="00072FBB"/>
    <w:rsid w:val="000732F3"/>
    <w:rsid w:val="00073D9D"/>
    <w:rsid w:val="000775E1"/>
    <w:rsid w:val="00080070"/>
    <w:rsid w:val="00081A1C"/>
    <w:rsid w:val="00081CDC"/>
    <w:rsid w:val="00083242"/>
    <w:rsid w:val="000925E4"/>
    <w:rsid w:val="00096A64"/>
    <w:rsid w:val="000A3FCF"/>
    <w:rsid w:val="000B40FD"/>
    <w:rsid w:val="000B486A"/>
    <w:rsid w:val="000B50B8"/>
    <w:rsid w:val="000B5D8A"/>
    <w:rsid w:val="000C4BE0"/>
    <w:rsid w:val="000C526B"/>
    <w:rsid w:val="000C73D9"/>
    <w:rsid w:val="000D076F"/>
    <w:rsid w:val="000D0782"/>
    <w:rsid w:val="000D6A0D"/>
    <w:rsid w:val="000E1C0C"/>
    <w:rsid w:val="000E2CF6"/>
    <w:rsid w:val="000E44CE"/>
    <w:rsid w:val="000E7D34"/>
    <w:rsid w:val="000F4008"/>
    <w:rsid w:val="000F43EE"/>
    <w:rsid w:val="000F68B8"/>
    <w:rsid w:val="0010033B"/>
    <w:rsid w:val="001004DC"/>
    <w:rsid w:val="001018C1"/>
    <w:rsid w:val="00103C55"/>
    <w:rsid w:val="00105794"/>
    <w:rsid w:val="00106F5A"/>
    <w:rsid w:val="001156CB"/>
    <w:rsid w:val="001201BC"/>
    <w:rsid w:val="001209C9"/>
    <w:rsid w:val="001227AD"/>
    <w:rsid w:val="001257FC"/>
    <w:rsid w:val="00126D0F"/>
    <w:rsid w:val="00126DC2"/>
    <w:rsid w:val="00127802"/>
    <w:rsid w:val="00135C80"/>
    <w:rsid w:val="00140522"/>
    <w:rsid w:val="00142A4E"/>
    <w:rsid w:val="00146678"/>
    <w:rsid w:val="001469AB"/>
    <w:rsid w:val="00157898"/>
    <w:rsid w:val="00162578"/>
    <w:rsid w:val="00164D0C"/>
    <w:rsid w:val="00181E5C"/>
    <w:rsid w:val="0018608D"/>
    <w:rsid w:val="001869A8"/>
    <w:rsid w:val="0018708A"/>
    <w:rsid w:val="00190BD3"/>
    <w:rsid w:val="0019199B"/>
    <w:rsid w:val="00195404"/>
    <w:rsid w:val="0019755E"/>
    <w:rsid w:val="00197ABD"/>
    <w:rsid w:val="001A24F8"/>
    <w:rsid w:val="001A3BB3"/>
    <w:rsid w:val="001A6581"/>
    <w:rsid w:val="001B444C"/>
    <w:rsid w:val="001B6A7C"/>
    <w:rsid w:val="001B6D85"/>
    <w:rsid w:val="001C5F47"/>
    <w:rsid w:val="001D0EAD"/>
    <w:rsid w:val="001E0965"/>
    <w:rsid w:val="001E2F60"/>
    <w:rsid w:val="001F2A1C"/>
    <w:rsid w:val="001F340B"/>
    <w:rsid w:val="001F6F88"/>
    <w:rsid w:val="001F7386"/>
    <w:rsid w:val="001F7E19"/>
    <w:rsid w:val="00200252"/>
    <w:rsid w:val="002017DF"/>
    <w:rsid w:val="00210414"/>
    <w:rsid w:val="002119DD"/>
    <w:rsid w:val="0021247B"/>
    <w:rsid w:val="00217F65"/>
    <w:rsid w:val="00233DCF"/>
    <w:rsid w:val="00234713"/>
    <w:rsid w:val="00240271"/>
    <w:rsid w:val="00244DD0"/>
    <w:rsid w:val="00247180"/>
    <w:rsid w:val="00247403"/>
    <w:rsid w:val="002601C2"/>
    <w:rsid w:val="002670D1"/>
    <w:rsid w:val="00270B92"/>
    <w:rsid w:val="00272829"/>
    <w:rsid w:val="002735FC"/>
    <w:rsid w:val="002837C7"/>
    <w:rsid w:val="00287C1F"/>
    <w:rsid w:val="0029091F"/>
    <w:rsid w:val="00292828"/>
    <w:rsid w:val="002A0C9C"/>
    <w:rsid w:val="002A1875"/>
    <w:rsid w:val="002A1C0A"/>
    <w:rsid w:val="002A5DDE"/>
    <w:rsid w:val="002A6077"/>
    <w:rsid w:val="002B4088"/>
    <w:rsid w:val="002C1E99"/>
    <w:rsid w:val="002C4548"/>
    <w:rsid w:val="002D2913"/>
    <w:rsid w:val="002E3745"/>
    <w:rsid w:val="002F0346"/>
    <w:rsid w:val="002F1F9D"/>
    <w:rsid w:val="002F3A9C"/>
    <w:rsid w:val="002F52A2"/>
    <w:rsid w:val="0031041C"/>
    <w:rsid w:val="00311B29"/>
    <w:rsid w:val="0031250D"/>
    <w:rsid w:val="00320337"/>
    <w:rsid w:val="003209BC"/>
    <w:rsid w:val="003264B2"/>
    <w:rsid w:val="00326E0A"/>
    <w:rsid w:val="0033345C"/>
    <w:rsid w:val="00335EFE"/>
    <w:rsid w:val="003529EC"/>
    <w:rsid w:val="003635EA"/>
    <w:rsid w:val="00370094"/>
    <w:rsid w:val="00377957"/>
    <w:rsid w:val="00377A68"/>
    <w:rsid w:val="003829F8"/>
    <w:rsid w:val="00387347"/>
    <w:rsid w:val="00390A4F"/>
    <w:rsid w:val="00393FA5"/>
    <w:rsid w:val="003968BD"/>
    <w:rsid w:val="003A422D"/>
    <w:rsid w:val="003A7B4B"/>
    <w:rsid w:val="003B2046"/>
    <w:rsid w:val="003B40B3"/>
    <w:rsid w:val="003B6CA7"/>
    <w:rsid w:val="003C2CC9"/>
    <w:rsid w:val="003C6768"/>
    <w:rsid w:val="003D1BBC"/>
    <w:rsid w:val="003D2664"/>
    <w:rsid w:val="003D3C8D"/>
    <w:rsid w:val="003D511B"/>
    <w:rsid w:val="003E38C6"/>
    <w:rsid w:val="003E5BBD"/>
    <w:rsid w:val="003F6264"/>
    <w:rsid w:val="003F6E20"/>
    <w:rsid w:val="00406A3B"/>
    <w:rsid w:val="00406B86"/>
    <w:rsid w:val="00410171"/>
    <w:rsid w:val="00417009"/>
    <w:rsid w:val="00421292"/>
    <w:rsid w:val="0042219D"/>
    <w:rsid w:val="00425580"/>
    <w:rsid w:val="00431A14"/>
    <w:rsid w:val="00440E5A"/>
    <w:rsid w:val="004420D1"/>
    <w:rsid w:val="00443E3A"/>
    <w:rsid w:val="004451C3"/>
    <w:rsid w:val="00450982"/>
    <w:rsid w:val="004679F4"/>
    <w:rsid w:val="0047656B"/>
    <w:rsid w:val="004769A3"/>
    <w:rsid w:val="00477C24"/>
    <w:rsid w:val="00480AD3"/>
    <w:rsid w:val="0048481E"/>
    <w:rsid w:val="004940B0"/>
    <w:rsid w:val="00495521"/>
    <w:rsid w:val="00496A7A"/>
    <w:rsid w:val="004A0C6F"/>
    <w:rsid w:val="004A4249"/>
    <w:rsid w:val="004A47AA"/>
    <w:rsid w:val="004A7DED"/>
    <w:rsid w:val="004B046D"/>
    <w:rsid w:val="004B0F26"/>
    <w:rsid w:val="004C349F"/>
    <w:rsid w:val="004C422B"/>
    <w:rsid w:val="004C5425"/>
    <w:rsid w:val="004D385B"/>
    <w:rsid w:val="004D490B"/>
    <w:rsid w:val="004D5ABD"/>
    <w:rsid w:val="004D75E4"/>
    <w:rsid w:val="004E1503"/>
    <w:rsid w:val="004E1D3C"/>
    <w:rsid w:val="004F1540"/>
    <w:rsid w:val="004F2E3B"/>
    <w:rsid w:val="004F4B67"/>
    <w:rsid w:val="004F5257"/>
    <w:rsid w:val="0050759B"/>
    <w:rsid w:val="00517165"/>
    <w:rsid w:val="00520905"/>
    <w:rsid w:val="00524A5A"/>
    <w:rsid w:val="00532F06"/>
    <w:rsid w:val="00533F2B"/>
    <w:rsid w:val="00535DA7"/>
    <w:rsid w:val="00536D7D"/>
    <w:rsid w:val="00543088"/>
    <w:rsid w:val="00546929"/>
    <w:rsid w:val="0055184C"/>
    <w:rsid w:val="00554E7D"/>
    <w:rsid w:val="00555621"/>
    <w:rsid w:val="0055593B"/>
    <w:rsid w:val="00556482"/>
    <w:rsid w:val="00561951"/>
    <w:rsid w:val="0057194C"/>
    <w:rsid w:val="00575E85"/>
    <w:rsid w:val="00580066"/>
    <w:rsid w:val="00582E1B"/>
    <w:rsid w:val="005843EB"/>
    <w:rsid w:val="005918B5"/>
    <w:rsid w:val="005945BA"/>
    <w:rsid w:val="00596654"/>
    <w:rsid w:val="00596E55"/>
    <w:rsid w:val="0059763B"/>
    <w:rsid w:val="005A23A7"/>
    <w:rsid w:val="005A55B6"/>
    <w:rsid w:val="005A5B2D"/>
    <w:rsid w:val="005A680D"/>
    <w:rsid w:val="005A690B"/>
    <w:rsid w:val="005B3A81"/>
    <w:rsid w:val="005B4930"/>
    <w:rsid w:val="005C6E0F"/>
    <w:rsid w:val="005D1545"/>
    <w:rsid w:val="005D2A64"/>
    <w:rsid w:val="005D549F"/>
    <w:rsid w:val="005D7567"/>
    <w:rsid w:val="005E0D54"/>
    <w:rsid w:val="005E1477"/>
    <w:rsid w:val="005E1698"/>
    <w:rsid w:val="005E73DE"/>
    <w:rsid w:val="005F42DD"/>
    <w:rsid w:val="005F7E38"/>
    <w:rsid w:val="00610315"/>
    <w:rsid w:val="00610F3D"/>
    <w:rsid w:val="006111A0"/>
    <w:rsid w:val="006153D4"/>
    <w:rsid w:val="00616918"/>
    <w:rsid w:val="00617088"/>
    <w:rsid w:val="00617287"/>
    <w:rsid w:val="0062191D"/>
    <w:rsid w:val="00621CDD"/>
    <w:rsid w:val="00625527"/>
    <w:rsid w:val="006271A6"/>
    <w:rsid w:val="0063086E"/>
    <w:rsid w:val="006337AE"/>
    <w:rsid w:val="006341B5"/>
    <w:rsid w:val="00634BA4"/>
    <w:rsid w:val="0063652E"/>
    <w:rsid w:val="00642708"/>
    <w:rsid w:val="00642EFC"/>
    <w:rsid w:val="006514E9"/>
    <w:rsid w:val="00653665"/>
    <w:rsid w:val="00655A03"/>
    <w:rsid w:val="00656AFE"/>
    <w:rsid w:val="006611A9"/>
    <w:rsid w:val="00662841"/>
    <w:rsid w:val="00663795"/>
    <w:rsid w:val="0066712C"/>
    <w:rsid w:val="0067354A"/>
    <w:rsid w:val="006740B2"/>
    <w:rsid w:val="00676F77"/>
    <w:rsid w:val="00680FCE"/>
    <w:rsid w:val="0068257C"/>
    <w:rsid w:val="00687383"/>
    <w:rsid w:val="006965B4"/>
    <w:rsid w:val="006A1C5D"/>
    <w:rsid w:val="006A2647"/>
    <w:rsid w:val="006A4BBA"/>
    <w:rsid w:val="006A5C3D"/>
    <w:rsid w:val="006A6422"/>
    <w:rsid w:val="006B591F"/>
    <w:rsid w:val="006B6D81"/>
    <w:rsid w:val="006D0AEC"/>
    <w:rsid w:val="006E5804"/>
    <w:rsid w:val="006F3527"/>
    <w:rsid w:val="006F6580"/>
    <w:rsid w:val="006F682A"/>
    <w:rsid w:val="006F7CD0"/>
    <w:rsid w:val="00701CCE"/>
    <w:rsid w:val="007051FF"/>
    <w:rsid w:val="00707F95"/>
    <w:rsid w:val="007178DE"/>
    <w:rsid w:val="00722E54"/>
    <w:rsid w:val="0072330A"/>
    <w:rsid w:val="00726104"/>
    <w:rsid w:val="007313FD"/>
    <w:rsid w:val="00736CFB"/>
    <w:rsid w:val="00737FBA"/>
    <w:rsid w:val="00737FF9"/>
    <w:rsid w:val="00746AF2"/>
    <w:rsid w:val="00757199"/>
    <w:rsid w:val="00757861"/>
    <w:rsid w:val="00762130"/>
    <w:rsid w:val="0076545F"/>
    <w:rsid w:val="00765E0C"/>
    <w:rsid w:val="00766CB4"/>
    <w:rsid w:val="00766E40"/>
    <w:rsid w:val="007706ED"/>
    <w:rsid w:val="00770E9D"/>
    <w:rsid w:val="00771070"/>
    <w:rsid w:val="00772132"/>
    <w:rsid w:val="00772569"/>
    <w:rsid w:val="007737EE"/>
    <w:rsid w:val="007743B3"/>
    <w:rsid w:val="007777CC"/>
    <w:rsid w:val="007833F7"/>
    <w:rsid w:val="007921E1"/>
    <w:rsid w:val="0079376A"/>
    <w:rsid w:val="0079392C"/>
    <w:rsid w:val="007A11EE"/>
    <w:rsid w:val="007A4FB4"/>
    <w:rsid w:val="007B2199"/>
    <w:rsid w:val="007B2914"/>
    <w:rsid w:val="007B3FB9"/>
    <w:rsid w:val="007B542A"/>
    <w:rsid w:val="007B6191"/>
    <w:rsid w:val="007B697B"/>
    <w:rsid w:val="007C5B12"/>
    <w:rsid w:val="007C6AC0"/>
    <w:rsid w:val="007D65CA"/>
    <w:rsid w:val="007D6B39"/>
    <w:rsid w:val="007E2C37"/>
    <w:rsid w:val="007F1894"/>
    <w:rsid w:val="007F4903"/>
    <w:rsid w:val="00805CF5"/>
    <w:rsid w:val="00806A69"/>
    <w:rsid w:val="00807692"/>
    <w:rsid w:val="00807DE7"/>
    <w:rsid w:val="00810C93"/>
    <w:rsid w:val="008141C0"/>
    <w:rsid w:val="0081554D"/>
    <w:rsid w:val="00823B49"/>
    <w:rsid w:val="008337B4"/>
    <w:rsid w:val="008352C9"/>
    <w:rsid w:val="008403CA"/>
    <w:rsid w:val="008407C0"/>
    <w:rsid w:val="00843737"/>
    <w:rsid w:val="00844AB8"/>
    <w:rsid w:val="008519E4"/>
    <w:rsid w:val="00852E8D"/>
    <w:rsid w:val="008544A0"/>
    <w:rsid w:val="0085705A"/>
    <w:rsid w:val="00863642"/>
    <w:rsid w:val="00874C19"/>
    <w:rsid w:val="00881A7A"/>
    <w:rsid w:val="008849C8"/>
    <w:rsid w:val="00885F81"/>
    <w:rsid w:val="00893E77"/>
    <w:rsid w:val="00895091"/>
    <w:rsid w:val="0089654E"/>
    <w:rsid w:val="008A0569"/>
    <w:rsid w:val="008A596E"/>
    <w:rsid w:val="008B0C1B"/>
    <w:rsid w:val="008B1A37"/>
    <w:rsid w:val="008B3F8A"/>
    <w:rsid w:val="008B70F7"/>
    <w:rsid w:val="008C223A"/>
    <w:rsid w:val="008C3423"/>
    <w:rsid w:val="008C637F"/>
    <w:rsid w:val="008D40B8"/>
    <w:rsid w:val="008E096C"/>
    <w:rsid w:val="008E13DC"/>
    <w:rsid w:val="008E34D3"/>
    <w:rsid w:val="008E51F3"/>
    <w:rsid w:val="008E5823"/>
    <w:rsid w:val="008F15C2"/>
    <w:rsid w:val="008F5118"/>
    <w:rsid w:val="00904884"/>
    <w:rsid w:val="00907591"/>
    <w:rsid w:val="00911453"/>
    <w:rsid w:val="00911E71"/>
    <w:rsid w:val="00920BFE"/>
    <w:rsid w:val="0092165C"/>
    <w:rsid w:val="00923186"/>
    <w:rsid w:val="009247C2"/>
    <w:rsid w:val="0092527F"/>
    <w:rsid w:val="00925AF1"/>
    <w:rsid w:val="00927955"/>
    <w:rsid w:val="009313D5"/>
    <w:rsid w:val="0094267A"/>
    <w:rsid w:val="00942F99"/>
    <w:rsid w:val="00943083"/>
    <w:rsid w:val="00944E81"/>
    <w:rsid w:val="00950FB7"/>
    <w:rsid w:val="0095259C"/>
    <w:rsid w:val="00953BA1"/>
    <w:rsid w:val="00957C9C"/>
    <w:rsid w:val="00961621"/>
    <w:rsid w:val="0097210E"/>
    <w:rsid w:val="00975FAB"/>
    <w:rsid w:val="00976E81"/>
    <w:rsid w:val="00981A88"/>
    <w:rsid w:val="0098235C"/>
    <w:rsid w:val="009833B4"/>
    <w:rsid w:val="00983F5A"/>
    <w:rsid w:val="00991725"/>
    <w:rsid w:val="0099447F"/>
    <w:rsid w:val="0099531C"/>
    <w:rsid w:val="00995BC4"/>
    <w:rsid w:val="009A0E9D"/>
    <w:rsid w:val="009B49D6"/>
    <w:rsid w:val="009C2A0C"/>
    <w:rsid w:val="009C56D8"/>
    <w:rsid w:val="009D6076"/>
    <w:rsid w:val="009E020F"/>
    <w:rsid w:val="009E0692"/>
    <w:rsid w:val="009E771B"/>
    <w:rsid w:val="009F058D"/>
    <w:rsid w:val="009F2425"/>
    <w:rsid w:val="009F496F"/>
    <w:rsid w:val="009F67C1"/>
    <w:rsid w:val="009F77E2"/>
    <w:rsid w:val="009F7918"/>
    <w:rsid w:val="00A00646"/>
    <w:rsid w:val="00A0251D"/>
    <w:rsid w:val="00A05872"/>
    <w:rsid w:val="00A1100C"/>
    <w:rsid w:val="00A11760"/>
    <w:rsid w:val="00A16E92"/>
    <w:rsid w:val="00A20A46"/>
    <w:rsid w:val="00A26DD9"/>
    <w:rsid w:val="00A270D5"/>
    <w:rsid w:val="00A31A35"/>
    <w:rsid w:val="00A33000"/>
    <w:rsid w:val="00A33B0F"/>
    <w:rsid w:val="00A344E5"/>
    <w:rsid w:val="00A36934"/>
    <w:rsid w:val="00A3698B"/>
    <w:rsid w:val="00A3755F"/>
    <w:rsid w:val="00A375AF"/>
    <w:rsid w:val="00A43DCF"/>
    <w:rsid w:val="00A43DD8"/>
    <w:rsid w:val="00A44DAC"/>
    <w:rsid w:val="00A52F71"/>
    <w:rsid w:val="00A552BA"/>
    <w:rsid w:val="00A607A0"/>
    <w:rsid w:val="00A62AD9"/>
    <w:rsid w:val="00A631FE"/>
    <w:rsid w:val="00A635FB"/>
    <w:rsid w:val="00A66049"/>
    <w:rsid w:val="00A72C58"/>
    <w:rsid w:val="00A76E9C"/>
    <w:rsid w:val="00A7771F"/>
    <w:rsid w:val="00A80946"/>
    <w:rsid w:val="00A82256"/>
    <w:rsid w:val="00A836C9"/>
    <w:rsid w:val="00A83C8D"/>
    <w:rsid w:val="00A86784"/>
    <w:rsid w:val="00A90834"/>
    <w:rsid w:val="00A908C5"/>
    <w:rsid w:val="00A91B21"/>
    <w:rsid w:val="00A959B1"/>
    <w:rsid w:val="00A96003"/>
    <w:rsid w:val="00A96198"/>
    <w:rsid w:val="00AB3325"/>
    <w:rsid w:val="00AB38CB"/>
    <w:rsid w:val="00AC33ED"/>
    <w:rsid w:val="00AC3D86"/>
    <w:rsid w:val="00AC7954"/>
    <w:rsid w:val="00AD4417"/>
    <w:rsid w:val="00AD5EF0"/>
    <w:rsid w:val="00AD753F"/>
    <w:rsid w:val="00AE0AE6"/>
    <w:rsid w:val="00AE496C"/>
    <w:rsid w:val="00AF1285"/>
    <w:rsid w:val="00AF621F"/>
    <w:rsid w:val="00B01C4E"/>
    <w:rsid w:val="00B026BE"/>
    <w:rsid w:val="00B05899"/>
    <w:rsid w:val="00B07B4E"/>
    <w:rsid w:val="00B210A3"/>
    <w:rsid w:val="00B22574"/>
    <w:rsid w:val="00B22C6D"/>
    <w:rsid w:val="00B258D4"/>
    <w:rsid w:val="00B25DB2"/>
    <w:rsid w:val="00B355C6"/>
    <w:rsid w:val="00B369F1"/>
    <w:rsid w:val="00B4628C"/>
    <w:rsid w:val="00B46BED"/>
    <w:rsid w:val="00B50438"/>
    <w:rsid w:val="00B52192"/>
    <w:rsid w:val="00B5536A"/>
    <w:rsid w:val="00B56F62"/>
    <w:rsid w:val="00B6067C"/>
    <w:rsid w:val="00B60DCE"/>
    <w:rsid w:val="00B62251"/>
    <w:rsid w:val="00B62494"/>
    <w:rsid w:val="00B628B1"/>
    <w:rsid w:val="00B62E67"/>
    <w:rsid w:val="00B65EA8"/>
    <w:rsid w:val="00B675B4"/>
    <w:rsid w:val="00B74237"/>
    <w:rsid w:val="00B7619E"/>
    <w:rsid w:val="00B80BB1"/>
    <w:rsid w:val="00B80C58"/>
    <w:rsid w:val="00B87840"/>
    <w:rsid w:val="00B921CC"/>
    <w:rsid w:val="00B95D23"/>
    <w:rsid w:val="00BA409E"/>
    <w:rsid w:val="00BA4335"/>
    <w:rsid w:val="00BA4D1F"/>
    <w:rsid w:val="00BA6D5A"/>
    <w:rsid w:val="00BB3068"/>
    <w:rsid w:val="00BC74BD"/>
    <w:rsid w:val="00BD39A4"/>
    <w:rsid w:val="00BD6F5C"/>
    <w:rsid w:val="00BD76BD"/>
    <w:rsid w:val="00BD7B45"/>
    <w:rsid w:val="00BD7B50"/>
    <w:rsid w:val="00BE1E2D"/>
    <w:rsid w:val="00BE35D7"/>
    <w:rsid w:val="00BE4BB5"/>
    <w:rsid w:val="00BE6B3E"/>
    <w:rsid w:val="00BF24C9"/>
    <w:rsid w:val="00BF366F"/>
    <w:rsid w:val="00C01B66"/>
    <w:rsid w:val="00C10C3E"/>
    <w:rsid w:val="00C11510"/>
    <w:rsid w:val="00C169A4"/>
    <w:rsid w:val="00C16BFE"/>
    <w:rsid w:val="00C1790D"/>
    <w:rsid w:val="00C20ECC"/>
    <w:rsid w:val="00C24601"/>
    <w:rsid w:val="00C33222"/>
    <w:rsid w:val="00C353C4"/>
    <w:rsid w:val="00C44E99"/>
    <w:rsid w:val="00C473FA"/>
    <w:rsid w:val="00C54375"/>
    <w:rsid w:val="00C56111"/>
    <w:rsid w:val="00C63F13"/>
    <w:rsid w:val="00C66648"/>
    <w:rsid w:val="00C70A92"/>
    <w:rsid w:val="00C71262"/>
    <w:rsid w:val="00C73A4E"/>
    <w:rsid w:val="00C741A9"/>
    <w:rsid w:val="00C76F5A"/>
    <w:rsid w:val="00C80BD1"/>
    <w:rsid w:val="00C82C32"/>
    <w:rsid w:val="00C82C91"/>
    <w:rsid w:val="00C83139"/>
    <w:rsid w:val="00C83417"/>
    <w:rsid w:val="00C83D9B"/>
    <w:rsid w:val="00C85B17"/>
    <w:rsid w:val="00C87575"/>
    <w:rsid w:val="00C9029B"/>
    <w:rsid w:val="00CA0266"/>
    <w:rsid w:val="00CA0E61"/>
    <w:rsid w:val="00CA4749"/>
    <w:rsid w:val="00CB1C32"/>
    <w:rsid w:val="00CB4313"/>
    <w:rsid w:val="00CB433C"/>
    <w:rsid w:val="00CB766F"/>
    <w:rsid w:val="00CC203A"/>
    <w:rsid w:val="00CC7023"/>
    <w:rsid w:val="00CD2CA2"/>
    <w:rsid w:val="00CD3CFC"/>
    <w:rsid w:val="00CD62C5"/>
    <w:rsid w:val="00CD7721"/>
    <w:rsid w:val="00CE128E"/>
    <w:rsid w:val="00CE4196"/>
    <w:rsid w:val="00CE44DA"/>
    <w:rsid w:val="00CE60D7"/>
    <w:rsid w:val="00CF080D"/>
    <w:rsid w:val="00CF2122"/>
    <w:rsid w:val="00CF325F"/>
    <w:rsid w:val="00CF4116"/>
    <w:rsid w:val="00CF4DB6"/>
    <w:rsid w:val="00CF5C5D"/>
    <w:rsid w:val="00CF7F3F"/>
    <w:rsid w:val="00D01991"/>
    <w:rsid w:val="00D05BD5"/>
    <w:rsid w:val="00D05FC2"/>
    <w:rsid w:val="00D07828"/>
    <w:rsid w:val="00D113F8"/>
    <w:rsid w:val="00D21CC4"/>
    <w:rsid w:val="00D34A12"/>
    <w:rsid w:val="00D464F9"/>
    <w:rsid w:val="00D548B7"/>
    <w:rsid w:val="00D55A17"/>
    <w:rsid w:val="00D55A39"/>
    <w:rsid w:val="00D56A32"/>
    <w:rsid w:val="00D61731"/>
    <w:rsid w:val="00D7711E"/>
    <w:rsid w:val="00D876E2"/>
    <w:rsid w:val="00D87DA9"/>
    <w:rsid w:val="00D92CA5"/>
    <w:rsid w:val="00D97173"/>
    <w:rsid w:val="00DA5B03"/>
    <w:rsid w:val="00DA7050"/>
    <w:rsid w:val="00DB2191"/>
    <w:rsid w:val="00DC1D09"/>
    <w:rsid w:val="00DD0959"/>
    <w:rsid w:val="00DD0FC0"/>
    <w:rsid w:val="00DD181D"/>
    <w:rsid w:val="00DD2D97"/>
    <w:rsid w:val="00DE3D98"/>
    <w:rsid w:val="00DE4506"/>
    <w:rsid w:val="00DF4E66"/>
    <w:rsid w:val="00DF5241"/>
    <w:rsid w:val="00E0100A"/>
    <w:rsid w:val="00E0155A"/>
    <w:rsid w:val="00E043DB"/>
    <w:rsid w:val="00E074CA"/>
    <w:rsid w:val="00E11D16"/>
    <w:rsid w:val="00E21B37"/>
    <w:rsid w:val="00E230BF"/>
    <w:rsid w:val="00E31E8C"/>
    <w:rsid w:val="00E3477A"/>
    <w:rsid w:val="00E34A40"/>
    <w:rsid w:val="00E443B9"/>
    <w:rsid w:val="00E44780"/>
    <w:rsid w:val="00E45B1A"/>
    <w:rsid w:val="00E47385"/>
    <w:rsid w:val="00E509D3"/>
    <w:rsid w:val="00E55871"/>
    <w:rsid w:val="00E60EEB"/>
    <w:rsid w:val="00E673E7"/>
    <w:rsid w:val="00E67649"/>
    <w:rsid w:val="00E67C90"/>
    <w:rsid w:val="00E7401D"/>
    <w:rsid w:val="00E76263"/>
    <w:rsid w:val="00E80224"/>
    <w:rsid w:val="00E80707"/>
    <w:rsid w:val="00E82AE2"/>
    <w:rsid w:val="00E84E06"/>
    <w:rsid w:val="00E95184"/>
    <w:rsid w:val="00EA1F2E"/>
    <w:rsid w:val="00EA4427"/>
    <w:rsid w:val="00EA7663"/>
    <w:rsid w:val="00EB073F"/>
    <w:rsid w:val="00EB0997"/>
    <w:rsid w:val="00EB2439"/>
    <w:rsid w:val="00EB2DE9"/>
    <w:rsid w:val="00EB2F17"/>
    <w:rsid w:val="00EB5089"/>
    <w:rsid w:val="00EB547E"/>
    <w:rsid w:val="00EC3FEF"/>
    <w:rsid w:val="00EC5371"/>
    <w:rsid w:val="00ED188D"/>
    <w:rsid w:val="00ED1CDE"/>
    <w:rsid w:val="00ED2937"/>
    <w:rsid w:val="00EE2809"/>
    <w:rsid w:val="00EE47D6"/>
    <w:rsid w:val="00EF30BC"/>
    <w:rsid w:val="00EF3203"/>
    <w:rsid w:val="00EF7911"/>
    <w:rsid w:val="00EF7932"/>
    <w:rsid w:val="00F020BE"/>
    <w:rsid w:val="00F03645"/>
    <w:rsid w:val="00F06A75"/>
    <w:rsid w:val="00F06CFC"/>
    <w:rsid w:val="00F11A5B"/>
    <w:rsid w:val="00F120E4"/>
    <w:rsid w:val="00F134AD"/>
    <w:rsid w:val="00F1638A"/>
    <w:rsid w:val="00F21192"/>
    <w:rsid w:val="00F23AB7"/>
    <w:rsid w:val="00F26AE6"/>
    <w:rsid w:val="00F3709F"/>
    <w:rsid w:val="00F40FDA"/>
    <w:rsid w:val="00F41BCD"/>
    <w:rsid w:val="00F63855"/>
    <w:rsid w:val="00F649E6"/>
    <w:rsid w:val="00F67E1C"/>
    <w:rsid w:val="00F71B7E"/>
    <w:rsid w:val="00F74D92"/>
    <w:rsid w:val="00F82622"/>
    <w:rsid w:val="00F84BFD"/>
    <w:rsid w:val="00F904C7"/>
    <w:rsid w:val="00F916CC"/>
    <w:rsid w:val="00F944EC"/>
    <w:rsid w:val="00F94BC8"/>
    <w:rsid w:val="00F957AF"/>
    <w:rsid w:val="00FA2759"/>
    <w:rsid w:val="00FA73CA"/>
    <w:rsid w:val="00FB11F5"/>
    <w:rsid w:val="00FB31CE"/>
    <w:rsid w:val="00FC24C4"/>
    <w:rsid w:val="00FC2FEC"/>
    <w:rsid w:val="00FD0365"/>
    <w:rsid w:val="00FD1BAD"/>
    <w:rsid w:val="00FD623D"/>
    <w:rsid w:val="00FD6D0D"/>
    <w:rsid w:val="00FD6F62"/>
    <w:rsid w:val="00FD6FA3"/>
    <w:rsid w:val="00FE39BB"/>
    <w:rsid w:val="00FE53FA"/>
    <w:rsid w:val="00FE7E66"/>
    <w:rsid w:val="00FF3565"/>
    <w:rsid w:val="00FF519C"/>
    <w:rsid w:val="00FF6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451054"/>
  <w15:chartTrackingRefBased/>
  <w15:docId w15:val="{5F744CB8-2A55-401F-9989-83F3047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050"/>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A70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A7050"/>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DA7050"/>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DA7050"/>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DA7050"/>
    <w:rPr>
      <w:vertAlign w:val="superscript"/>
    </w:rPr>
  </w:style>
  <w:style w:type="paragraph" w:customStyle="1" w:styleId="Char2">
    <w:name w:val="Char2"/>
    <w:basedOn w:val="Normal"/>
    <w:link w:val="FootnoteReference"/>
    <w:uiPriority w:val="99"/>
    <w:rsid w:val="00DA7050"/>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DA7050"/>
    <w:rPr>
      <w:sz w:val="16"/>
      <w:szCs w:val="16"/>
    </w:rPr>
  </w:style>
  <w:style w:type="paragraph" w:styleId="CommentText">
    <w:name w:val="annotation text"/>
    <w:basedOn w:val="Normal"/>
    <w:link w:val="CommentTextChar"/>
    <w:uiPriority w:val="99"/>
    <w:unhideWhenUsed/>
    <w:rsid w:val="00DA7050"/>
    <w:pPr>
      <w:spacing w:line="240" w:lineRule="auto"/>
    </w:pPr>
    <w:rPr>
      <w:sz w:val="20"/>
      <w:szCs w:val="20"/>
      <w:lang w:val="en-US"/>
    </w:rPr>
  </w:style>
  <w:style w:type="character" w:customStyle="1" w:styleId="CommentTextChar">
    <w:name w:val="Comment Text Char"/>
    <w:basedOn w:val="DefaultParagraphFont"/>
    <w:link w:val="CommentText"/>
    <w:uiPriority w:val="99"/>
    <w:rsid w:val="00DA7050"/>
    <w:rPr>
      <w:rFonts w:eastAsia="MS Mincho"/>
      <w:sz w:val="20"/>
      <w:szCs w:val="20"/>
      <w:lang w:val="en-US"/>
    </w:rPr>
  </w:style>
  <w:style w:type="paragraph" w:styleId="BalloonText">
    <w:name w:val="Balloon Text"/>
    <w:basedOn w:val="Normal"/>
    <w:link w:val="BalloonTextChar"/>
    <w:uiPriority w:val="99"/>
    <w:semiHidden/>
    <w:unhideWhenUsed/>
    <w:rsid w:val="00DA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050"/>
    <w:rPr>
      <w:rFonts w:ascii="Segoe UI" w:eastAsia="MS Mincho" w:hAnsi="Segoe UI" w:cs="Segoe UI"/>
      <w:sz w:val="18"/>
      <w:szCs w:val="18"/>
    </w:rPr>
  </w:style>
  <w:style w:type="paragraph" w:styleId="Header">
    <w:name w:val="header"/>
    <w:basedOn w:val="Normal"/>
    <w:link w:val="HeaderChar"/>
    <w:uiPriority w:val="99"/>
    <w:unhideWhenUsed/>
    <w:rsid w:val="00382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9F8"/>
    <w:rPr>
      <w:rFonts w:eastAsia="MS Mincho"/>
    </w:rPr>
  </w:style>
  <w:style w:type="paragraph" w:styleId="Footer">
    <w:name w:val="footer"/>
    <w:basedOn w:val="Normal"/>
    <w:link w:val="FooterChar"/>
    <w:uiPriority w:val="99"/>
    <w:unhideWhenUsed/>
    <w:rsid w:val="00382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9F8"/>
    <w:rPr>
      <w:rFonts w:eastAsia="MS Mincho"/>
    </w:rPr>
  </w:style>
  <w:style w:type="paragraph" w:styleId="CommentSubject">
    <w:name w:val="annotation subject"/>
    <w:basedOn w:val="CommentText"/>
    <w:next w:val="CommentText"/>
    <w:link w:val="CommentSubjectChar"/>
    <w:uiPriority w:val="99"/>
    <w:semiHidden/>
    <w:unhideWhenUsed/>
    <w:rsid w:val="00E55871"/>
    <w:rPr>
      <w:b/>
      <w:bCs/>
      <w:lang w:val="sq-AL"/>
    </w:rPr>
  </w:style>
  <w:style w:type="character" w:customStyle="1" w:styleId="CommentSubjectChar">
    <w:name w:val="Comment Subject Char"/>
    <w:basedOn w:val="CommentTextChar"/>
    <w:link w:val="CommentSubject"/>
    <w:uiPriority w:val="99"/>
    <w:semiHidden/>
    <w:rsid w:val="00E55871"/>
    <w:rPr>
      <w:rFonts w:eastAsia="MS Mincho"/>
      <w:b/>
      <w:bCs/>
      <w:sz w:val="20"/>
      <w:szCs w:val="20"/>
      <w:lang w:val="en-US"/>
    </w:rPr>
  </w:style>
  <w:style w:type="character" w:customStyle="1" w:styleId="Bodytext3">
    <w:name w:val="Body text (3)_"/>
    <w:link w:val="Bodytext31"/>
    <w:uiPriority w:val="99"/>
    <w:locked/>
    <w:rsid w:val="00A344E5"/>
    <w:rPr>
      <w:i/>
      <w:iCs/>
      <w:sz w:val="16"/>
      <w:szCs w:val="16"/>
      <w:shd w:val="clear" w:color="auto" w:fill="FFFFFF"/>
    </w:rPr>
  </w:style>
  <w:style w:type="paragraph" w:customStyle="1" w:styleId="Bodytext31">
    <w:name w:val="Body text (3)1"/>
    <w:basedOn w:val="Normal"/>
    <w:link w:val="Bodytext3"/>
    <w:uiPriority w:val="99"/>
    <w:rsid w:val="00A344E5"/>
    <w:pPr>
      <w:widowControl w:val="0"/>
      <w:shd w:val="clear" w:color="auto" w:fill="FFFFFF"/>
      <w:spacing w:before="180" w:after="0" w:line="202" w:lineRule="exact"/>
      <w:ind w:hanging="480"/>
      <w:jc w:val="both"/>
    </w:pPr>
    <w:rPr>
      <w:rFonts w:eastAsiaTheme="minorHAnsi"/>
      <w:i/>
      <w:iCs/>
      <w:sz w:val="16"/>
      <w:szCs w:val="16"/>
    </w:rPr>
  </w:style>
  <w:style w:type="paragraph" w:customStyle="1" w:styleId="Default">
    <w:name w:val="Default"/>
    <w:rsid w:val="00B7619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sa2b98c15">
    <w:name w:val="sa2b98c15"/>
    <w:basedOn w:val="DefaultParagraphFont"/>
    <w:rsid w:val="007C6AC0"/>
  </w:style>
  <w:style w:type="paragraph" w:styleId="HTMLPreformatted">
    <w:name w:val="HTML Preformatted"/>
    <w:basedOn w:val="Normal"/>
    <w:link w:val="HTMLPreformattedChar"/>
    <w:uiPriority w:val="99"/>
    <w:semiHidden/>
    <w:unhideWhenUsed/>
    <w:rsid w:val="00942F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42F99"/>
    <w:rPr>
      <w:rFonts w:ascii="Consolas" w:eastAsia="MS Mincho" w:hAnsi="Consolas"/>
      <w:sz w:val="20"/>
      <w:szCs w:val="20"/>
    </w:rPr>
  </w:style>
  <w:style w:type="table" w:styleId="TableGrid">
    <w:name w:val="Table Grid"/>
    <w:basedOn w:val="TableNormal"/>
    <w:uiPriority w:val="39"/>
    <w:rsid w:val="00D77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757830">
      <w:bodyDiv w:val="1"/>
      <w:marLeft w:val="0"/>
      <w:marRight w:val="0"/>
      <w:marTop w:val="0"/>
      <w:marBottom w:val="0"/>
      <w:divBdr>
        <w:top w:val="none" w:sz="0" w:space="0" w:color="auto"/>
        <w:left w:val="none" w:sz="0" w:space="0" w:color="auto"/>
        <w:bottom w:val="none" w:sz="0" w:space="0" w:color="auto"/>
        <w:right w:val="none" w:sz="0" w:space="0" w:color="auto"/>
      </w:divBdr>
    </w:div>
    <w:div w:id="1306931553">
      <w:bodyDiv w:val="1"/>
      <w:marLeft w:val="0"/>
      <w:marRight w:val="0"/>
      <w:marTop w:val="0"/>
      <w:marBottom w:val="0"/>
      <w:divBdr>
        <w:top w:val="none" w:sz="0" w:space="0" w:color="auto"/>
        <w:left w:val="none" w:sz="0" w:space="0" w:color="auto"/>
        <w:bottom w:val="none" w:sz="0" w:space="0" w:color="auto"/>
        <w:right w:val="none" w:sz="0" w:space="0" w:color="auto"/>
      </w:divBdr>
    </w:div>
    <w:div w:id="1545558449">
      <w:bodyDiv w:val="1"/>
      <w:marLeft w:val="0"/>
      <w:marRight w:val="0"/>
      <w:marTop w:val="0"/>
      <w:marBottom w:val="0"/>
      <w:divBdr>
        <w:top w:val="none" w:sz="0" w:space="0" w:color="auto"/>
        <w:left w:val="none" w:sz="0" w:space="0" w:color="auto"/>
        <w:bottom w:val="none" w:sz="0" w:space="0" w:color="auto"/>
        <w:right w:val="none" w:sz="0" w:space="0" w:color="auto"/>
      </w:divBdr>
    </w:div>
    <w:div w:id="186759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12E630C2E2846ED80E0641E75168B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Nr_x002e__x0020_akti>
    <Data_x0020_e_x0020_Krijimit xmlns="0e656187-b300-4fb0-8bf4-3a50f872073c">2026-06-11T08:29:20Z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2026-06-10T00:00:00Z</Date_x0020_protokolli>
    <Titulli xmlns="0e656187-b300-4fb0-8bf4-3a50f872073c">Me objekt rihapjen e procesit/ve gjyqësor/e referuar vendimeve nr. 34, datë 1.11.2021, nr. 57, datë 20.5.2022 dhe nr. 80, datë 21.11.2024 të Gjykatës Kushtetuese (individualisht identifikuar si vendimet nr. 34/2021, nr. 57/2022 dhe nr. 80/2024 dhe/ose bashkërisht vendimet e viteve 2021/2022/2004). Shfuqizimin e vendimeve nr. 34, datë 1.11.2021, nr. 57, datë 20.5.2022 dhe nr. 80, datë 21.11.2024 të Gjykatës Kushtetuese dhe pranimin e kërkesës. Konstatimin e mungesës së një mjeti efektiv për konstatimin, dëmshpërblimin dhe përjashtimin e procedurave të sipërpërmendura. Konstatimin e statusit “viktimë” përgjatë procesit/eve gjyqësor/e, si pasojë dhe rrjedhojë direkte e shkeljes së aksesit në një gjykatë të krijuar më ligj dhe afatit të arsyeshëm në përputhje me çështjen “Scordino kundër Italisë”. </Titulli>
    <Modifikuesi xmlns="0e656187-b300-4fb0-8bf4-3a50f872073c">Fjora.Cahani</Modifikuesi>
    <Nr_x002e__x0020_prot_x0020_QBZ xmlns="0e656187-b300-4fb0-8bf4-3a50f872073c">1301/1</Nr_x002e__x0020_prot_x0020_QBZ>
    <Data_x0020_e_x0020_Modifikimit xmlns="0e656187-b300-4fb0-8bf4-3a50f872073c">2026-06-11T10:51:56Z</Data_x0020_e_x0020_Modifikimit>
    <Dekretuar xmlns="0e656187-b300-4fb0-8bf4-3a50f872073c">false</Dekretuar>
    <Data xmlns="0e656187-b300-4fb0-8bf4-3a50f872073c">2026-06-02T00:00:00Z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2E630C2E2846ED80E0641E75168B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D041C-64DC-4557-95B2-C0E650A9C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BCF47CD-AEF1-4776-8002-60D7EAE321D2}">
  <ds:schemaRefs>
    <ds:schemaRef ds:uri="http://schemas.microsoft.com/office/2006/metadata/properties"/>
    <ds:schemaRef ds:uri="http://purl.org/dc/elements/1.1/"/>
    <ds:schemaRef ds:uri="http://www.w3.org/XML/1998/namespace"/>
    <ds:schemaRef ds:uri="http://purl.org/dc/terms/"/>
    <ds:schemaRef ds:uri="http://schemas.microsoft.com/office/2006/documentManagement/types"/>
    <ds:schemaRef ds:uri="0e656187-b300-4fb0-8bf4-3a50f872073c"/>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F7A42DAD-6355-438F-9D3F-2C75E1089D64}">
  <ds:schemaRefs>
    <ds:schemaRef ds:uri="http://schemas.microsoft.com/sharepoint/v3/contenttype/forms"/>
  </ds:schemaRefs>
</ds:datastoreItem>
</file>

<file path=customXml/itemProps4.xml><?xml version="1.0" encoding="utf-8"?>
<ds:datastoreItem xmlns:ds="http://schemas.openxmlformats.org/officeDocument/2006/customXml" ds:itemID="{A3D00CEF-5A2E-4A26-A67A-F72410FA8AE9}">
  <ds:schemaRefs>
    <ds:schemaRef ds:uri="http://schemas.microsoft.com/sharepoint/v3/contenttype/forms"/>
  </ds:schemaRefs>
</ds:datastoreItem>
</file>

<file path=customXml/itemProps5.xml><?xml version="1.0" encoding="utf-8"?>
<ds:datastoreItem xmlns:ds="http://schemas.openxmlformats.org/officeDocument/2006/customXml" ds:itemID="{4965E44C-AD9D-4B32-A4E7-FBF30E308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AAF42AF-8A00-4264-BEA0-838C557B8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3367</Words>
  <Characters>19198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Me objekt rihapjen e procesit/ve gjyqësor/e referuar vendimeve nr. 34, datë 1.11.2021, nr. 57, datë 20.5.2022 dhe nr. 80, datë 21.11.2024 të Gjykatës Kushtetuese (individualisht identifikuar si vendimet nr. 34/2021, nr. 57/2022 dhe nr. 80/2024 dhe/ose bas</vt:lpstr>
    </vt:vector>
  </TitlesOfParts>
  <Company>User</Company>
  <LinksUpToDate>false</LinksUpToDate>
  <CharactersWithSpaces>22520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rihapjen e procesit/ve gjyqësor/e referuar vendimeve nr. 34, datë 1.11.2021, nr. 57, datë 20.5.2022 dhe nr. 80, datë 21.11.2024 të Gjykatës Kushtetuese (individualisht identifikuar si vendimet nr. 34/2021, nr. 57/2022 dhe nr. 80/2024 dhe/ose bashkërisht vendimet e viteve 2021/2022/2004). Shfuqizimin e vendimeve nr. 34, datë 1.11.2021, nr. 57, datë 20.5.2022 dhe nr. 80, datë 21.11.2024 të Gjykatës Kushtetuese dhe pranimin e kërkesës. Konstatimin e mungesës së një mjeti efektiv për konstatimin, dëmshpërblimin dhe përjashtimin e procedurave të sipërpërmendura. Konstatimin e statusit “viktimë” përgjatë procesit/eve gjyqësor/e, si pasojë dhe rrjedhojë direkte e shkeljes së aksesit në një gjykatë të krijuar më ligj dhe afatit të arsyeshëm në përputhje me çështjen “Scordino kundër Italisë”.</dc:title>
  <dc:creator>Ilir Toska</dc:creator>
  <cp:lastModifiedBy>Amarilda Muja</cp:lastModifiedBy>
  <cp:revision>10</cp:revision>
  <cp:lastPrinted>2026-06-08T08:39:00Z</cp:lastPrinted>
  <dcterms:created xsi:type="dcterms:W3CDTF">2026-06-11T08:33:00Z</dcterms:created>
  <dcterms:modified xsi:type="dcterms:W3CDTF">2026-06-12T07:45:00Z</dcterms:modified>
</cp:coreProperties>
</file>