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70BDC"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A0ED9D3" w14:textId="77777777" w:rsidR="009F20E3" w:rsidRPr="00C34BC8" w:rsidRDefault="009F20E3" w:rsidP="009F20E3">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VENDIM</w:t>
      </w:r>
    </w:p>
    <w:p w14:paraId="56C76ADD" w14:textId="77777777" w:rsidR="009F20E3" w:rsidRPr="00C34BC8" w:rsidRDefault="009F20E3" w:rsidP="009F20E3">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Nr. 77, datë 23.6.2026</w:t>
      </w:r>
    </w:p>
    <w:p w14:paraId="3B5B79C0" w14:textId="77777777" w:rsidR="009F20E3" w:rsidRPr="00C34BC8" w:rsidRDefault="009F20E3" w:rsidP="009F20E3">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F5A8FF2" w14:textId="77777777" w:rsidR="009F20E3" w:rsidRPr="00C34BC8" w:rsidRDefault="009F20E3" w:rsidP="009F20E3">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NË EMËR TË REPUBLIKËS SË SHQIPËRISË</w:t>
      </w:r>
    </w:p>
    <w:p w14:paraId="1050FE8C"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0E420D37" w14:textId="77777777"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6373"/>
      </w:tblGrid>
      <w:tr w:rsidR="009F20E3" w:rsidRPr="00C34BC8" w14:paraId="56343499" w14:textId="77777777" w:rsidTr="005638C5">
        <w:tc>
          <w:tcPr>
            <w:tcW w:w="2556" w:type="dxa"/>
          </w:tcPr>
          <w:p w14:paraId="1701ADFB"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proofErr w:type="spellStart"/>
            <w:r w:rsidRPr="00C34BC8">
              <w:rPr>
                <w:rFonts w:ascii="Garamond" w:eastAsiaTheme="minorHAnsi" w:hAnsi="Garamond" w:cs="Times New Roman"/>
                <w:color w:val="000000"/>
                <w:sz w:val="24"/>
                <w:szCs w:val="24"/>
              </w:rPr>
              <w:t>Fiona</w:t>
            </w:r>
            <w:proofErr w:type="spellEnd"/>
            <w:r w:rsidRPr="00C34BC8">
              <w:rPr>
                <w:rFonts w:ascii="Garamond" w:eastAsiaTheme="minorHAnsi" w:hAnsi="Garamond" w:cs="Times New Roman"/>
                <w:color w:val="000000"/>
                <w:sz w:val="24"/>
                <w:szCs w:val="24"/>
              </w:rPr>
              <w:t xml:space="preserve"> </w:t>
            </w:r>
            <w:proofErr w:type="spellStart"/>
            <w:r w:rsidRPr="00C34BC8">
              <w:rPr>
                <w:rFonts w:ascii="Garamond" w:eastAsiaTheme="minorHAnsi" w:hAnsi="Garamond" w:cs="Times New Roman"/>
                <w:color w:val="000000"/>
                <w:sz w:val="24"/>
                <w:szCs w:val="24"/>
              </w:rPr>
              <w:t>Papajorgji</w:t>
            </w:r>
            <w:proofErr w:type="spellEnd"/>
            <w:r w:rsidRPr="00C34BC8">
              <w:rPr>
                <w:rFonts w:ascii="Garamond" w:eastAsiaTheme="minorHAnsi" w:hAnsi="Garamond" w:cs="Times New Roman"/>
                <w:color w:val="000000"/>
                <w:sz w:val="24"/>
                <w:szCs w:val="24"/>
              </w:rPr>
              <w:t>,</w:t>
            </w:r>
          </w:p>
        </w:tc>
        <w:tc>
          <w:tcPr>
            <w:tcW w:w="6373" w:type="dxa"/>
          </w:tcPr>
          <w:p w14:paraId="367C3619" w14:textId="67B8970B"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kryetare</w:t>
            </w:r>
            <w:r>
              <w:rPr>
                <w:rFonts w:ascii="Garamond" w:eastAsiaTheme="minorHAnsi" w:hAnsi="Garamond" w:cs="Times New Roman"/>
                <w:color w:val="000000"/>
                <w:sz w:val="24"/>
                <w:szCs w:val="24"/>
              </w:rPr>
              <w:t>;</w:t>
            </w:r>
          </w:p>
        </w:tc>
      </w:tr>
      <w:tr w:rsidR="009F20E3" w:rsidRPr="00C34BC8" w14:paraId="3E60F7ED" w14:textId="77777777" w:rsidTr="005638C5">
        <w:tc>
          <w:tcPr>
            <w:tcW w:w="2556" w:type="dxa"/>
          </w:tcPr>
          <w:p w14:paraId="2BD2B16B"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proofErr w:type="spellStart"/>
            <w:r w:rsidRPr="00C34BC8">
              <w:rPr>
                <w:rFonts w:ascii="Garamond" w:eastAsiaTheme="minorHAnsi" w:hAnsi="Garamond" w:cs="Times New Roman"/>
                <w:color w:val="000000"/>
                <w:sz w:val="24"/>
                <w:szCs w:val="24"/>
              </w:rPr>
              <w:t>Marsida</w:t>
            </w:r>
            <w:proofErr w:type="spellEnd"/>
            <w:r w:rsidRPr="00C34BC8">
              <w:rPr>
                <w:rFonts w:ascii="Garamond" w:eastAsiaTheme="minorHAnsi" w:hAnsi="Garamond" w:cs="Times New Roman"/>
                <w:color w:val="000000"/>
                <w:sz w:val="24"/>
                <w:szCs w:val="24"/>
              </w:rPr>
              <w:t xml:space="preserve"> </w:t>
            </w:r>
            <w:proofErr w:type="spellStart"/>
            <w:r w:rsidRPr="00C34BC8">
              <w:rPr>
                <w:rFonts w:ascii="Garamond" w:eastAsiaTheme="minorHAnsi" w:hAnsi="Garamond" w:cs="Times New Roman"/>
                <w:color w:val="000000"/>
                <w:sz w:val="24"/>
                <w:szCs w:val="24"/>
              </w:rPr>
              <w:t>Xhaferllari</w:t>
            </w:r>
            <w:proofErr w:type="spellEnd"/>
            <w:r w:rsidRPr="00C34BC8">
              <w:rPr>
                <w:rFonts w:ascii="Garamond" w:eastAsiaTheme="minorHAnsi" w:hAnsi="Garamond" w:cs="Times New Roman"/>
                <w:color w:val="000000"/>
                <w:sz w:val="24"/>
                <w:szCs w:val="24"/>
              </w:rPr>
              <w:t xml:space="preserve">, </w:t>
            </w:r>
          </w:p>
        </w:tc>
        <w:tc>
          <w:tcPr>
            <w:tcW w:w="6373" w:type="dxa"/>
          </w:tcPr>
          <w:p w14:paraId="4CED158F" w14:textId="2F876ADF"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9F20E3" w:rsidRPr="00C34BC8" w14:paraId="34A4E081" w14:textId="77777777" w:rsidTr="005638C5">
        <w:tc>
          <w:tcPr>
            <w:tcW w:w="2556" w:type="dxa"/>
          </w:tcPr>
          <w:p w14:paraId="291404EF"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proofErr w:type="spellStart"/>
            <w:r w:rsidRPr="00C34BC8">
              <w:rPr>
                <w:rFonts w:ascii="Garamond" w:eastAsiaTheme="minorHAnsi" w:hAnsi="Garamond" w:cs="Times New Roman"/>
                <w:color w:val="000000"/>
                <w:sz w:val="24"/>
                <w:szCs w:val="24"/>
              </w:rPr>
              <w:t>Sandër</w:t>
            </w:r>
            <w:proofErr w:type="spellEnd"/>
            <w:r w:rsidRPr="00C34BC8">
              <w:rPr>
                <w:rFonts w:ascii="Garamond" w:eastAsiaTheme="minorHAnsi" w:hAnsi="Garamond" w:cs="Times New Roman"/>
                <w:color w:val="000000"/>
                <w:sz w:val="24"/>
                <w:szCs w:val="24"/>
              </w:rPr>
              <w:t xml:space="preserve"> Beci,</w:t>
            </w:r>
          </w:p>
        </w:tc>
        <w:tc>
          <w:tcPr>
            <w:tcW w:w="6373" w:type="dxa"/>
          </w:tcPr>
          <w:p w14:paraId="000E0365" w14:textId="69ABB866"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9F20E3" w:rsidRPr="00C34BC8" w14:paraId="09CAABA4" w14:textId="77777777" w:rsidTr="005638C5">
        <w:tc>
          <w:tcPr>
            <w:tcW w:w="2556" w:type="dxa"/>
          </w:tcPr>
          <w:p w14:paraId="34459227"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Ilir Toska,</w:t>
            </w:r>
          </w:p>
        </w:tc>
        <w:tc>
          <w:tcPr>
            <w:tcW w:w="6373" w:type="dxa"/>
          </w:tcPr>
          <w:p w14:paraId="6C04A8C0" w14:textId="7BCE0FDF"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9F20E3" w:rsidRPr="00C34BC8" w14:paraId="2FE4CE64" w14:textId="77777777" w:rsidTr="005638C5">
        <w:tc>
          <w:tcPr>
            <w:tcW w:w="2556" w:type="dxa"/>
          </w:tcPr>
          <w:p w14:paraId="3F27569E"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Genti Ibrahimi,</w:t>
            </w:r>
          </w:p>
        </w:tc>
        <w:tc>
          <w:tcPr>
            <w:tcW w:w="6373" w:type="dxa"/>
          </w:tcPr>
          <w:p w14:paraId="6332D366" w14:textId="2B43D0A7"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9F20E3" w:rsidRPr="00C34BC8" w14:paraId="6D01E150" w14:textId="77777777" w:rsidTr="005638C5">
        <w:tc>
          <w:tcPr>
            <w:tcW w:w="2556" w:type="dxa"/>
          </w:tcPr>
          <w:p w14:paraId="77CEA01A"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proofErr w:type="spellStart"/>
            <w:r w:rsidRPr="00C34BC8">
              <w:rPr>
                <w:rFonts w:ascii="Garamond" w:eastAsiaTheme="minorHAnsi" w:hAnsi="Garamond" w:cs="Times New Roman"/>
                <w:color w:val="000000"/>
                <w:sz w:val="24"/>
                <w:szCs w:val="24"/>
              </w:rPr>
              <w:t>Marjana</w:t>
            </w:r>
            <w:proofErr w:type="spellEnd"/>
            <w:r w:rsidRPr="00C34BC8">
              <w:rPr>
                <w:rFonts w:ascii="Garamond" w:eastAsiaTheme="minorHAnsi" w:hAnsi="Garamond" w:cs="Times New Roman"/>
                <w:color w:val="000000"/>
                <w:sz w:val="24"/>
                <w:szCs w:val="24"/>
              </w:rPr>
              <w:t xml:space="preserve"> </w:t>
            </w:r>
            <w:proofErr w:type="spellStart"/>
            <w:r w:rsidRPr="00C34BC8">
              <w:rPr>
                <w:rFonts w:ascii="Garamond" w:eastAsiaTheme="minorHAnsi" w:hAnsi="Garamond" w:cs="Times New Roman"/>
                <w:color w:val="000000"/>
                <w:sz w:val="24"/>
                <w:szCs w:val="24"/>
              </w:rPr>
              <w:t>Semini</w:t>
            </w:r>
            <w:proofErr w:type="spellEnd"/>
            <w:r w:rsidRPr="00C34BC8">
              <w:rPr>
                <w:rFonts w:ascii="Garamond" w:eastAsiaTheme="minorHAnsi" w:hAnsi="Garamond" w:cs="Times New Roman"/>
                <w:color w:val="000000"/>
                <w:sz w:val="24"/>
                <w:szCs w:val="24"/>
              </w:rPr>
              <w:t xml:space="preserve">, </w:t>
            </w:r>
          </w:p>
        </w:tc>
        <w:tc>
          <w:tcPr>
            <w:tcW w:w="6373" w:type="dxa"/>
          </w:tcPr>
          <w:p w14:paraId="4CE0F41D" w14:textId="63A86D35"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9F20E3" w:rsidRPr="00C34BC8" w14:paraId="79572927" w14:textId="77777777" w:rsidTr="005638C5">
        <w:tc>
          <w:tcPr>
            <w:tcW w:w="2556" w:type="dxa"/>
          </w:tcPr>
          <w:p w14:paraId="7C2D9FA9" w14:textId="77777777" w:rsidR="009F20E3" w:rsidRPr="00C34BC8" w:rsidRDefault="009F20E3" w:rsidP="005638C5">
            <w:pPr>
              <w:autoSpaceDE w:val="0"/>
              <w:autoSpaceDN w:val="0"/>
              <w:adjustRightInd w:val="0"/>
              <w:jc w:val="both"/>
              <w:rPr>
                <w:rFonts w:ascii="Garamond" w:eastAsiaTheme="minorHAnsi" w:hAnsi="Garamond" w:cs="Times New Roman"/>
                <w:color w:val="000000"/>
                <w:sz w:val="24"/>
                <w:szCs w:val="24"/>
              </w:rPr>
            </w:pPr>
            <w:proofErr w:type="spellStart"/>
            <w:r w:rsidRPr="00C34BC8">
              <w:rPr>
                <w:rFonts w:ascii="Garamond" w:eastAsiaTheme="minorHAnsi" w:hAnsi="Garamond" w:cs="Times New Roman"/>
                <w:color w:val="000000"/>
                <w:sz w:val="24"/>
                <w:szCs w:val="24"/>
              </w:rPr>
              <w:t>Sonila</w:t>
            </w:r>
            <w:proofErr w:type="spellEnd"/>
            <w:r w:rsidRPr="00C34BC8">
              <w:rPr>
                <w:rFonts w:ascii="Garamond" w:eastAsiaTheme="minorHAnsi" w:hAnsi="Garamond" w:cs="Times New Roman"/>
                <w:color w:val="000000"/>
                <w:sz w:val="24"/>
                <w:szCs w:val="24"/>
              </w:rPr>
              <w:t xml:space="preserve"> Bejtja,</w:t>
            </w:r>
          </w:p>
        </w:tc>
        <w:tc>
          <w:tcPr>
            <w:tcW w:w="6373" w:type="dxa"/>
          </w:tcPr>
          <w:p w14:paraId="7D532248" w14:textId="4F728297" w:rsidR="009F20E3" w:rsidRPr="00C34BC8" w:rsidRDefault="00C34BC8" w:rsidP="005638C5">
            <w:pPr>
              <w:autoSpaceDE w:val="0"/>
              <w:autoSpaceDN w:val="0"/>
              <w:adjustRightInd w:val="0"/>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bl>
    <w:p w14:paraId="1FD2A6E5" w14:textId="2DC7CD74"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me sekretar</w:t>
      </w:r>
      <w:r w:rsidR="00C34BC8">
        <w:rPr>
          <w:rFonts w:ascii="Garamond" w:eastAsiaTheme="minorHAnsi" w:hAnsi="Garamond" w:cs="Times New Roman"/>
          <w:color w:val="000000"/>
          <w:sz w:val="24"/>
          <w:szCs w:val="24"/>
        </w:rPr>
        <w:t xml:space="preserve">e </w:t>
      </w:r>
      <w:proofErr w:type="spellStart"/>
      <w:r w:rsidR="00C34BC8">
        <w:rPr>
          <w:rFonts w:ascii="Garamond" w:eastAsiaTheme="minorHAnsi" w:hAnsi="Garamond" w:cs="Times New Roman"/>
          <w:color w:val="000000"/>
          <w:sz w:val="24"/>
          <w:szCs w:val="24"/>
        </w:rPr>
        <w:t>Farisja</w:t>
      </w:r>
      <w:proofErr w:type="spellEnd"/>
      <w:r w:rsidR="00C34BC8">
        <w:rPr>
          <w:rFonts w:ascii="Garamond" w:eastAsiaTheme="minorHAnsi" w:hAnsi="Garamond" w:cs="Times New Roman"/>
          <w:color w:val="000000"/>
          <w:sz w:val="24"/>
          <w:szCs w:val="24"/>
        </w:rPr>
        <w:t xml:space="preserve"> </w:t>
      </w:r>
      <w:proofErr w:type="spellStart"/>
      <w:r w:rsidR="00C34BC8">
        <w:rPr>
          <w:rFonts w:ascii="Garamond" w:eastAsiaTheme="minorHAnsi" w:hAnsi="Garamond" w:cs="Times New Roman"/>
          <w:color w:val="000000"/>
          <w:sz w:val="24"/>
          <w:szCs w:val="24"/>
        </w:rPr>
        <w:t>Idrizaj</w:t>
      </w:r>
      <w:proofErr w:type="spellEnd"/>
      <w:r w:rsidR="00C34BC8">
        <w:rPr>
          <w:rFonts w:ascii="Garamond" w:eastAsiaTheme="minorHAnsi" w:hAnsi="Garamond" w:cs="Times New Roman"/>
          <w:color w:val="000000"/>
          <w:sz w:val="24"/>
          <w:szCs w:val="24"/>
        </w:rPr>
        <w:t>, në datën 23.</w:t>
      </w:r>
      <w:r w:rsidRPr="00C34BC8">
        <w:rPr>
          <w:rFonts w:ascii="Garamond" w:eastAsiaTheme="minorHAnsi" w:hAnsi="Garamond" w:cs="Times New Roman"/>
          <w:color w:val="000000"/>
          <w:sz w:val="24"/>
          <w:szCs w:val="24"/>
        </w:rPr>
        <w:t>6.2026</w:t>
      </w:r>
      <w:r w:rsidR="00C34BC8">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mori në shqyrtim në seancë plenare mbi bazë të dokumenteve çështjen nr. 28 (F) 2025 të Regjistrit Themeltar, që u përket:</w:t>
      </w:r>
    </w:p>
    <w:p w14:paraId="527A2822" w14:textId="5D04E453"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bCs/>
          <w:color w:val="000000"/>
          <w:sz w:val="24"/>
          <w:szCs w:val="24"/>
        </w:rPr>
        <w:t xml:space="preserve">KËRKUES: </w:t>
      </w:r>
      <w:r w:rsidR="00C34BC8" w:rsidRPr="00C34BC8">
        <w:rPr>
          <w:rFonts w:ascii="Garamond" w:eastAsiaTheme="minorHAnsi" w:hAnsi="Garamond" w:cs="Times New Roman"/>
          <w:bCs/>
          <w:color w:val="000000"/>
          <w:sz w:val="24"/>
          <w:szCs w:val="24"/>
        </w:rPr>
        <w:t xml:space="preserve">Fondacioni Shqiptaro-Amerikan </w:t>
      </w:r>
      <w:r w:rsidRPr="00C34BC8">
        <w:rPr>
          <w:rFonts w:ascii="Garamond" w:eastAsiaTheme="minorHAnsi" w:hAnsi="Garamond" w:cs="Times New Roman"/>
          <w:bCs/>
          <w:color w:val="000000"/>
          <w:sz w:val="24"/>
          <w:szCs w:val="24"/>
        </w:rPr>
        <w:t>“</w:t>
      </w:r>
      <w:proofErr w:type="spellStart"/>
      <w:r w:rsidR="00C34BC8" w:rsidRPr="00C34BC8">
        <w:rPr>
          <w:rFonts w:ascii="Garamond" w:eastAsiaTheme="minorHAnsi" w:hAnsi="Garamond" w:cs="Times New Roman"/>
          <w:bCs/>
          <w:color w:val="000000"/>
          <w:sz w:val="24"/>
          <w:szCs w:val="24"/>
        </w:rPr>
        <w:t>Harry</w:t>
      </w:r>
      <w:proofErr w:type="spellEnd"/>
      <w:r w:rsidR="00C34BC8" w:rsidRPr="00C34BC8">
        <w:rPr>
          <w:rFonts w:ascii="Garamond" w:eastAsiaTheme="minorHAnsi" w:hAnsi="Garamond" w:cs="Times New Roman"/>
          <w:bCs/>
          <w:color w:val="000000"/>
          <w:sz w:val="24"/>
          <w:szCs w:val="24"/>
        </w:rPr>
        <w:t xml:space="preserve"> </w:t>
      </w:r>
      <w:r w:rsidRPr="00C34BC8">
        <w:rPr>
          <w:rFonts w:ascii="Garamond" w:eastAsiaTheme="minorHAnsi" w:hAnsi="Garamond" w:cs="Times New Roman"/>
          <w:bCs/>
          <w:color w:val="000000"/>
          <w:sz w:val="24"/>
          <w:szCs w:val="24"/>
        </w:rPr>
        <w:t xml:space="preserve">T. </w:t>
      </w:r>
      <w:proofErr w:type="spellStart"/>
      <w:r w:rsidR="00C34BC8" w:rsidRPr="00C34BC8">
        <w:rPr>
          <w:rFonts w:ascii="Garamond" w:eastAsiaTheme="minorHAnsi" w:hAnsi="Garamond" w:cs="Times New Roman"/>
          <w:bCs/>
          <w:color w:val="000000"/>
          <w:sz w:val="24"/>
          <w:szCs w:val="24"/>
        </w:rPr>
        <w:t>Fultz</w:t>
      </w:r>
      <w:proofErr w:type="spellEnd"/>
      <w:r w:rsidRPr="00C34BC8">
        <w:rPr>
          <w:rFonts w:ascii="Garamond" w:eastAsiaTheme="minorHAnsi" w:hAnsi="Garamond" w:cs="Times New Roman"/>
          <w:bCs/>
          <w:color w:val="000000"/>
          <w:sz w:val="24"/>
          <w:szCs w:val="24"/>
        </w:rPr>
        <w:t xml:space="preserve">”, </w:t>
      </w:r>
      <w:r w:rsidRPr="00C34BC8">
        <w:rPr>
          <w:rFonts w:ascii="Garamond" w:eastAsiaTheme="minorHAnsi" w:hAnsi="Garamond" w:cs="Times New Roman"/>
          <w:color w:val="000000"/>
          <w:sz w:val="24"/>
          <w:szCs w:val="24"/>
        </w:rPr>
        <w:t xml:space="preserve">përfaqësuar nga avokatja </w:t>
      </w:r>
      <w:proofErr w:type="spellStart"/>
      <w:r w:rsidRPr="00C34BC8">
        <w:rPr>
          <w:rFonts w:ascii="Garamond" w:eastAsiaTheme="minorHAnsi" w:hAnsi="Garamond" w:cs="Times New Roman"/>
          <w:color w:val="000000"/>
          <w:sz w:val="24"/>
          <w:szCs w:val="24"/>
        </w:rPr>
        <w:t>Evelina</w:t>
      </w:r>
      <w:proofErr w:type="spellEnd"/>
      <w:r w:rsidRPr="00C34BC8">
        <w:rPr>
          <w:rFonts w:ascii="Garamond" w:eastAsiaTheme="minorHAnsi" w:hAnsi="Garamond" w:cs="Times New Roman"/>
          <w:color w:val="000000"/>
          <w:sz w:val="24"/>
          <w:szCs w:val="24"/>
        </w:rPr>
        <w:t xml:space="preserve"> </w:t>
      </w:r>
      <w:proofErr w:type="spellStart"/>
      <w:r w:rsidRPr="00C34BC8">
        <w:rPr>
          <w:rFonts w:ascii="Garamond" w:eastAsiaTheme="minorHAnsi" w:hAnsi="Garamond" w:cs="Times New Roman"/>
          <w:color w:val="000000"/>
          <w:sz w:val="24"/>
          <w:szCs w:val="24"/>
        </w:rPr>
        <w:t>Qirjako</w:t>
      </w:r>
      <w:proofErr w:type="spellEnd"/>
      <w:r w:rsidRPr="00C34BC8">
        <w:rPr>
          <w:rFonts w:ascii="Garamond" w:eastAsiaTheme="minorHAnsi" w:hAnsi="Garamond" w:cs="Times New Roman"/>
          <w:color w:val="000000"/>
          <w:sz w:val="24"/>
          <w:szCs w:val="24"/>
        </w:rPr>
        <w:t>, me prokurë.</w:t>
      </w:r>
    </w:p>
    <w:p w14:paraId="67C7CF80" w14:textId="2EABE04D" w:rsidR="009F20E3" w:rsidRPr="00C34BC8" w:rsidRDefault="009F20E3" w:rsidP="00C34BC8">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SUBJEKTE TË INTERESUARA:</w:t>
      </w:r>
      <w:r w:rsidR="00C34BC8">
        <w:rPr>
          <w:rFonts w:ascii="Garamond" w:eastAsiaTheme="minorHAnsi" w:hAnsi="Garamond" w:cs="Times New Roman"/>
          <w:bCs/>
          <w:color w:val="000000"/>
          <w:sz w:val="24"/>
          <w:szCs w:val="24"/>
        </w:rPr>
        <w:t xml:space="preserve"> </w:t>
      </w:r>
      <w:r w:rsidR="00C34BC8" w:rsidRPr="00C34BC8">
        <w:rPr>
          <w:rFonts w:ascii="Garamond" w:eastAsiaTheme="minorHAnsi" w:hAnsi="Garamond" w:cs="Times New Roman"/>
          <w:bCs/>
          <w:color w:val="000000"/>
          <w:sz w:val="24"/>
          <w:szCs w:val="24"/>
        </w:rPr>
        <w:t xml:space="preserve">Genci </w:t>
      </w:r>
      <w:proofErr w:type="spellStart"/>
      <w:r w:rsidR="00C34BC8" w:rsidRPr="00C34BC8">
        <w:rPr>
          <w:rFonts w:ascii="Garamond" w:eastAsiaTheme="minorHAnsi" w:hAnsi="Garamond" w:cs="Times New Roman"/>
          <w:bCs/>
          <w:color w:val="000000"/>
          <w:sz w:val="24"/>
          <w:szCs w:val="24"/>
        </w:rPr>
        <w:t>Beqiri</w:t>
      </w:r>
      <w:proofErr w:type="spellEnd"/>
      <w:r w:rsidRPr="00C34BC8">
        <w:rPr>
          <w:rFonts w:ascii="Garamond" w:eastAsiaTheme="minorHAnsi" w:hAnsi="Garamond" w:cs="Times New Roman"/>
          <w:bCs/>
          <w:color w:val="000000"/>
          <w:sz w:val="24"/>
          <w:szCs w:val="24"/>
        </w:rPr>
        <w:t xml:space="preserve">, </w:t>
      </w:r>
      <w:r w:rsidRPr="00C34BC8">
        <w:rPr>
          <w:rFonts w:ascii="Garamond" w:eastAsiaTheme="minorHAnsi" w:hAnsi="Garamond" w:cs="Times New Roman"/>
          <w:color w:val="000000"/>
          <w:sz w:val="24"/>
          <w:szCs w:val="24"/>
        </w:rPr>
        <w:t xml:space="preserve">përfaqësuar nga avokati </w:t>
      </w:r>
      <w:proofErr w:type="spellStart"/>
      <w:r w:rsidRPr="00C34BC8">
        <w:rPr>
          <w:rFonts w:ascii="Garamond" w:eastAsiaTheme="minorHAnsi" w:hAnsi="Garamond" w:cs="Times New Roman"/>
          <w:color w:val="000000"/>
          <w:sz w:val="24"/>
          <w:szCs w:val="24"/>
        </w:rPr>
        <w:t>Erjon</w:t>
      </w:r>
      <w:proofErr w:type="spellEnd"/>
      <w:r w:rsidRPr="00C34BC8">
        <w:rPr>
          <w:rFonts w:ascii="Garamond" w:eastAsiaTheme="minorHAnsi" w:hAnsi="Garamond" w:cs="Times New Roman"/>
          <w:color w:val="000000"/>
          <w:sz w:val="24"/>
          <w:szCs w:val="24"/>
        </w:rPr>
        <w:t xml:space="preserve"> Syziu, me prokurë.</w:t>
      </w:r>
    </w:p>
    <w:p w14:paraId="77704D2B" w14:textId="039F2DE6" w:rsidR="009F20E3" w:rsidRPr="00C34BC8" w:rsidRDefault="009F20E3" w:rsidP="009F20E3">
      <w:pPr>
        <w:tabs>
          <w:tab w:val="left" w:pos="27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 xml:space="preserve"> </w:t>
      </w:r>
      <w:r w:rsidR="00C34BC8" w:rsidRPr="00C34BC8">
        <w:rPr>
          <w:rFonts w:ascii="Garamond" w:eastAsiaTheme="minorHAnsi" w:hAnsi="Garamond" w:cs="Times New Roman"/>
          <w:bCs/>
          <w:color w:val="000000"/>
          <w:sz w:val="24"/>
          <w:szCs w:val="24"/>
        </w:rPr>
        <w:t>Këshilli i</w:t>
      </w:r>
      <w:r w:rsidRPr="00C34BC8">
        <w:rPr>
          <w:rFonts w:ascii="Garamond" w:eastAsiaTheme="minorHAnsi" w:hAnsi="Garamond" w:cs="Times New Roman"/>
          <w:bCs/>
          <w:color w:val="000000"/>
          <w:sz w:val="24"/>
          <w:szCs w:val="24"/>
        </w:rPr>
        <w:t xml:space="preserve"> </w:t>
      </w:r>
      <w:r w:rsidR="00C34BC8" w:rsidRPr="00C34BC8">
        <w:rPr>
          <w:rFonts w:ascii="Garamond" w:eastAsiaTheme="minorHAnsi" w:hAnsi="Garamond" w:cs="Times New Roman"/>
          <w:bCs/>
          <w:color w:val="000000"/>
          <w:sz w:val="24"/>
          <w:szCs w:val="24"/>
        </w:rPr>
        <w:t>Ministrave</w:t>
      </w:r>
      <w:r w:rsidRPr="00C34BC8">
        <w:rPr>
          <w:rFonts w:ascii="Garamond" w:eastAsiaTheme="minorHAnsi" w:hAnsi="Garamond" w:cs="Times New Roman"/>
          <w:bCs/>
          <w:color w:val="000000"/>
          <w:sz w:val="24"/>
          <w:szCs w:val="24"/>
        </w:rPr>
        <w:t xml:space="preserve">, </w:t>
      </w:r>
      <w:r w:rsidRPr="00C34BC8">
        <w:rPr>
          <w:rFonts w:ascii="Garamond" w:eastAsiaTheme="minorHAnsi" w:hAnsi="Garamond" w:cs="Times New Roman"/>
          <w:color w:val="000000"/>
          <w:sz w:val="24"/>
          <w:szCs w:val="24"/>
        </w:rPr>
        <w:t xml:space="preserve">përfaqësuar nga sekretari i përgjithshëm Engjëll </w:t>
      </w:r>
      <w:proofErr w:type="spellStart"/>
      <w:r w:rsidRPr="00C34BC8">
        <w:rPr>
          <w:rFonts w:ascii="Garamond" w:eastAsiaTheme="minorHAnsi" w:hAnsi="Garamond" w:cs="Times New Roman"/>
          <w:color w:val="000000"/>
          <w:sz w:val="24"/>
          <w:szCs w:val="24"/>
        </w:rPr>
        <w:t>Agaçi</w:t>
      </w:r>
      <w:proofErr w:type="spellEnd"/>
      <w:r w:rsidRPr="00C34BC8">
        <w:rPr>
          <w:rFonts w:ascii="Garamond" w:eastAsiaTheme="minorHAnsi" w:hAnsi="Garamond" w:cs="Times New Roman"/>
          <w:color w:val="000000"/>
          <w:sz w:val="24"/>
          <w:szCs w:val="24"/>
        </w:rPr>
        <w:t>.</w:t>
      </w:r>
    </w:p>
    <w:p w14:paraId="2A4D6B80" w14:textId="7C23C363" w:rsidR="009F20E3" w:rsidRPr="00C34BC8" w:rsidRDefault="00C34BC8" w:rsidP="009F20E3">
      <w:pPr>
        <w:tabs>
          <w:tab w:val="left" w:pos="260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bCs/>
          <w:color w:val="000000"/>
          <w:sz w:val="24"/>
          <w:szCs w:val="24"/>
        </w:rPr>
        <w:t xml:space="preserve"> </w:t>
      </w:r>
      <w:r w:rsidRPr="00C34BC8">
        <w:rPr>
          <w:rFonts w:ascii="Garamond" w:eastAsiaTheme="minorHAnsi" w:hAnsi="Garamond" w:cs="Times New Roman"/>
          <w:bCs/>
          <w:color w:val="000000"/>
          <w:sz w:val="24"/>
          <w:szCs w:val="24"/>
        </w:rPr>
        <w:t>Agjencia Shtetërore e</w:t>
      </w:r>
      <w:r w:rsidR="009F20E3" w:rsidRPr="00C34BC8">
        <w:rPr>
          <w:rFonts w:ascii="Garamond" w:eastAsiaTheme="minorHAnsi" w:hAnsi="Garamond" w:cs="Times New Roman"/>
          <w:bCs/>
          <w:color w:val="000000"/>
          <w:sz w:val="24"/>
          <w:szCs w:val="24"/>
        </w:rPr>
        <w:t xml:space="preserve"> </w:t>
      </w:r>
      <w:r w:rsidRPr="00C34BC8">
        <w:rPr>
          <w:rFonts w:ascii="Garamond" w:eastAsiaTheme="minorHAnsi" w:hAnsi="Garamond" w:cs="Times New Roman"/>
          <w:bCs/>
          <w:color w:val="000000"/>
          <w:sz w:val="24"/>
          <w:szCs w:val="24"/>
        </w:rPr>
        <w:t>Kadastrës</w:t>
      </w:r>
      <w:r w:rsidR="009F20E3" w:rsidRPr="00C34BC8">
        <w:rPr>
          <w:rFonts w:ascii="Garamond" w:eastAsiaTheme="minorHAnsi" w:hAnsi="Garamond" w:cs="Times New Roman"/>
          <w:bCs/>
          <w:color w:val="000000"/>
          <w:sz w:val="24"/>
          <w:szCs w:val="24"/>
        </w:rPr>
        <w:t xml:space="preserve">, </w:t>
      </w:r>
      <w:r w:rsidRPr="00C34BC8">
        <w:rPr>
          <w:rFonts w:ascii="Garamond" w:eastAsiaTheme="minorHAnsi" w:hAnsi="Garamond" w:cs="Times New Roman"/>
          <w:bCs/>
          <w:color w:val="000000"/>
          <w:sz w:val="24"/>
          <w:szCs w:val="24"/>
        </w:rPr>
        <w:t>Drejtoria Vendore Tirana</w:t>
      </w:r>
      <w:r w:rsidR="009F20E3" w:rsidRPr="00C34BC8">
        <w:rPr>
          <w:rFonts w:ascii="Garamond" w:eastAsiaTheme="minorHAnsi" w:hAnsi="Garamond" w:cs="Times New Roman"/>
          <w:bCs/>
          <w:color w:val="000000"/>
          <w:sz w:val="24"/>
          <w:szCs w:val="24"/>
        </w:rPr>
        <w:t>-</w:t>
      </w:r>
      <w:r w:rsidRPr="00C34BC8">
        <w:rPr>
          <w:rFonts w:ascii="Garamond" w:eastAsiaTheme="minorHAnsi" w:hAnsi="Garamond" w:cs="Times New Roman"/>
          <w:bCs/>
          <w:color w:val="000000"/>
          <w:sz w:val="24"/>
          <w:szCs w:val="24"/>
        </w:rPr>
        <w:t>Veri</w:t>
      </w:r>
      <w:r w:rsidR="009F20E3" w:rsidRPr="00C34BC8">
        <w:rPr>
          <w:rFonts w:ascii="Garamond" w:eastAsiaTheme="minorHAnsi" w:hAnsi="Garamond" w:cs="Times New Roman"/>
          <w:bCs/>
          <w:color w:val="000000"/>
          <w:sz w:val="24"/>
          <w:szCs w:val="24"/>
        </w:rPr>
        <w:t xml:space="preserve">, </w:t>
      </w:r>
      <w:r w:rsidR="009F20E3" w:rsidRPr="00C34BC8">
        <w:rPr>
          <w:rFonts w:ascii="Garamond" w:eastAsiaTheme="minorHAnsi" w:hAnsi="Garamond" w:cs="Times New Roman"/>
          <w:color w:val="000000"/>
          <w:sz w:val="24"/>
          <w:szCs w:val="24"/>
        </w:rPr>
        <w:t xml:space="preserve">përfaqësuar nga drejtori </w:t>
      </w:r>
      <w:proofErr w:type="spellStart"/>
      <w:r w:rsidR="009F20E3" w:rsidRPr="00C34BC8">
        <w:rPr>
          <w:rFonts w:ascii="Garamond" w:eastAsiaTheme="minorHAnsi" w:hAnsi="Garamond" w:cs="Times New Roman"/>
          <w:color w:val="000000"/>
          <w:sz w:val="24"/>
          <w:szCs w:val="24"/>
        </w:rPr>
        <w:t>Ergyst</w:t>
      </w:r>
      <w:proofErr w:type="spellEnd"/>
      <w:r w:rsidR="009F20E3" w:rsidRPr="00C34BC8">
        <w:rPr>
          <w:rFonts w:ascii="Garamond" w:eastAsiaTheme="minorHAnsi" w:hAnsi="Garamond" w:cs="Times New Roman"/>
          <w:color w:val="000000"/>
          <w:sz w:val="24"/>
          <w:szCs w:val="24"/>
        </w:rPr>
        <w:t xml:space="preserve"> Skënderi. </w:t>
      </w:r>
    </w:p>
    <w:p w14:paraId="7721D128" w14:textId="1FF98F2E"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OBJEKTI:  Shfuqizimi i vend</w:t>
      </w:r>
      <w:r w:rsidR="00C34BC8">
        <w:rPr>
          <w:rFonts w:ascii="Garamond" w:eastAsiaTheme="minorHAnsi" w:hAnsi="Garamond" w:cs="Times New Roman"/>
          <w:bCs/>
          <w:color w:val="000000"/>
          <w:sz w:val="24"/>
          <w:szCs w:val="24"/>
        </w:rPr>
        <w:t>imit nr. 00-2025-2121, datë 27.</w:t>
      </w:r>
      <w:r w:rsidRPr="00C34BC8">
        <w:rPr>
          <w:rFonts w:ascii="Garamond" w:eastAsiaTheme="minorHAnsi" w:hAnsi="Garamond" w:cs="Times New Roman"/>
          <w:bCs/>
          <w:color w:val="000000"/>
          <w:sz w:val="24"/>
          <w:szCs w:val="24"/>
        </w:rPr>
        <w:t>5.2025</w:t>
      </w:r>
      <w:r w:rsidR="00C34BC8">
        <w:rPr>
          <w:rFonts w:ascii="Garamond" w:eastAsiaTheme="minorHAnsi" w:hAnsi="Garamond" w:cs="Times New Roman"/>
          <w:bCs/>
          <w:color w:val="000000"/>
          <w:sz w:val="24"/>
          <w:szCs w:val="24"/>
        </w:rPr>
        <w:t>,</w:t>
      </w:r>
      <w:r w:rsidRPr="00C34BC8">
        <w:rPr>
          <w:rFonts w:ascii="Garamond" w:eastAsiaTheme="minorHAnsi" w:hAnsi="Garamond" w:cs="Times New Roman"/>
          <w:bCs/>
          <w:color w:val="000000"/>
          <w:sz w:val="24"/>
          <w:szCs w:val="24"/>
        </w:rPr>
        <w:t xml:space="preserve"> të Kolegjit Administrativ të Gjykatës së Lartë, si i papajtueshëm me Kushtetutën e Republikës së Shqipërisë.</w:t>
      </w:r>
    </w:p>
    <w:p w14:paraId="6761EC8E" w14:textId="6560356F"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 xml:space="preserve">Kthimi i çështjes për rishqyrtim në Gjykatën e Lartë. </w:t>
      </w:r>
    </w:p>
    <w:p w14:paraId="32BCFBB2" w14:textId="0990131C"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BAZA LIGJORE:  Nenet 4, 5, 16, 41, 42, 131, pika 1, shkronja “f” dhe 134 pika 1, shkronja “i”</w:t>
      </w:r>
      <w:r w:rsidR="00C34BC8">
        <w:rPr>
          <w:rFonts w:ascii="Garamond" w:eastAsiaTheme="minorHAnsi" w:hAnsi="Garamond" w:cs="Times New Roman"/>
          <w:bCs/>
          <w:color w:val="000000"/>
          <w:sz w:val="24"/>
          <w:szCs w:val="24"/>
        </w:rPr>
        <w:t>,</w:t>
      </w:r>
      <w:r w:rsidRPr="00C34BC8">
        <w:rPr>
          <w:rFonts w:ascii="Garamond" w:eastAsiaTheme="minorHAnsi" w:hAnsi="Garamond" w:cs="Times New Roman"/>
          <w:bCs/>
          <w:color w:val="000000"/>
          <w:sz w:val="24"/>
          <w:szCs w:val="24"/>
        </w:rPr>
        <w:t xml:space="preserve"> të Kushtetutës së Republikës së Shqipërisë (</w:t>
      </w:r>
      <w:r w:rsidRPr="00C34BC8">
        <w:rPr>
          <w:rFonts w:ascii="Garamond" w:eastAsiaTheme="minorHAnsi" w:hAnsi="Garamond" w:cs="Times New Roman"/>
          <w:bCs/>
          <w:i/>
          <w:iCs/>
          <w:color w:val="000000"/>
          <w:sz w:val="24"/>
          <w:szCs w:val="24"/>
        </w:rPr>
        <w:t>Kushtetuta</w:t>
      </w:r>
      <w:r w:rsidRPr="00C34BC8">
        <w:rPr>
          <w:rFonts w:ascii="Garamond" w:eastAsiaTheme="minorHAnsi" w:hAnsi="Garamond" w:cs="Times New Roman"/>
          <w:bCs/>
          <w:color w:val="000000"/>
          <w:sz w:val="24"/>
          <w:szCs w:val="24"/>
        </w:rPr>
        <w:t>); neni 6 i Konventës Evropiane për të Drejtat e Njeriut (</w:t>
      </w:r>
      <w:proofErr w:type="spellStart"/>
      <w:r w:rsidRPr="00C34BC8">
        <w:rPr>
          <w:rFonts w:ascii="Garamond" w:eastAsiaTheme="minorHAnsi" w:hAnsi="Garamond" w:cs="Times New Roman"/>
          <w:bCs/>
          <w:i/>
          <w:iCs/>
          <w:color w:val="000000"/>
          <w:sz w:val="24"/>
          <w:szCs w:val="24"/>
        </w:rPr>
        <w:t>KEDNJ</w:t>
      </w:r>
      <w:proofErr w:type="spellEnd"/>
      <w:r w:rsidRPr="00C34BC8">
        <w:rPr>
          <w:rFonts w:ascii="Garamond" w:eastAsiaTheme="minorHAnsi" w:hAnsi="Garamond" w:cs="Times New Roman"/>
          <w:bCs/>
          <w:color w:val="000000"/>
          <w:sz w:val="24"/>
          <w:szCs w:val="24"/>
        </w:rPr>
        <w:t>) dhe neni 1</w:t>
      </w:r>
      <w:r w:rsidR="00C34BC8">
        <w:rPr>
          <w:rFonts w:ascii="Garamond" w:eastAsiaTheme="minorHAnsi" w:hAnsi="Garamond" w:cs="Times New Roman"/>
          <w:bCs/>
          <w:color w:val="000000"/>
          <w:sz w:val="24"/>
          <w:szCs w:val="24"/>
        </w:rPr>
        <w:t>,</w:t>
      </w:r>
      <w:r w:rsidRPr="00C34BC8">
        <w:rPr>
          <w:rFonts w:ascii="Garamond" w:eastAsiaTheme="minorHAnsi" w:hAnsi="Garamond" w:cs="Times New Roman"/>
          <w:bCs/>
          <w:color w:val="000000"/>
          <w:sz w:val="24"/>
          <w:szCs w:val="24"/>
        </w:rPr>
        <w:t xml:space="preserve"> i Protokollit nr. 1 të saj; nenet 27 e vijues</w:t>
      </w:r>
      <w:r w:rsidR="00C34BC8">
        <w:rPr>
          <w:rFonts w:ascii="Garamond" w:eastAsiaTheme="minorHAnsi" w:hAnsi="Garamond" w:cs="Times New Roman"/>
          <w:bCs/>
          <w:color w:val="000000"/>
          <w:sz w:val="24"/>
          <w:szCs w:val="24"/>
        </w:rPr>
        <w:t>, të ligjit nr. 8577, datë 10.</w:t>
      </w:r>
      <w:r w:rsidRPr="00C34BC8">
        <w:rPr>
          <w:rFonts w:ascii="Garamond" w:eastAsiaTheme="minorHAnsi" w:hAnsi="Garamond" w:cs="Times New Roman"/>
          <w:bCs/>
          <w:color w:val="000000"/>
          <w:sz w:val="24"/>
          <w:szCs w:val="24"/>
        </w:rPr>
        <w:t>2.2000</w:t>
      </w:r>
      <w:r w:rsidR="00C34BC8">
        <w:rPr>
          <w:rFonts w:ascii="Garamond" w:eastAsiaTheme="minorHAnsi" w:hAnsi="Garamond" w:cs="Times New Roman"/>
          <w:bCs/>
          <w:color w:val="000000"/>
          <w:sz w:val="24"/>
          <w:szCs w:val="24"/>
        </w:rPr>
        <w:t>,</w:t>
      </w:r>
      <w:r w:rsidRPr="00C34BC8">
        <w:rPr>
          <w:rFonts w:ascii="Garamond" w:eastAsiaTheme="minorHAnsi" w:hAnsi="Garamond" w:cs="Times New Roman"/>
          <w:bCs/>
          <w:color w:val="000000"/>
          <w:sz w:val="24"/>
          <w:szCs w:val="24"/>
        </w:rPr>
        <w:t xml:space="preserve"> “Për organizimin dhe funksionimin e Gjykatës Kushtetuese të Republikës së Shqipërisë”, i ndryshuar (</w:t>
      </w:r>
      <w:r w:rsidRPr="00C34BC8">
        <w:rPr>
          <w:rFonts w:ascii="Garamond" w:eastAsiaTheme="minorHAnsi" w:hAnsi="Garamond" w:cs="Times New Roman"/>
          <w:bCs/>
          <w:i/>
          <w:iCs/>
          <w:color w:val="000000"/>
          <w:sz w:val="24"/>
          <w:szCs w:val="24"/>
        </w:rPr>
        <w:t>Ligji Organik i Gjykatës</w:t>
      </w:r>
      <w:r w:rsidRPr="00C34BC8">
        <w:rPr>
          <w:rFonts w:ascii="Garamond" w:eastAsiaTheme="minorHAnsi" w:hAnsi="Garamond" w:cs="Times New Roman"/>
          <w:bCs/>
          <w:color w:val="000000"/>
          <w:sz w:val="24"/>
          <w:szCs w:val="24"/>
        </w:rPr>
        <w:t>).</w:t>
      </w:r>
    </w:p>
    <w:p w14:paraId="1710BC06"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p>
    <w:p w14:paraId="7809FC48"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GJYKATA KUSHTETUESE,</w:t>
      </w:r>
    </w:p>
    <w:p w14:paraId="322048A6"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1B8FD0C3" w14:textId="77777777"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pasi dëgjoi </w:t>
      </w:r>
      <w:proofErr w:type="spellStart"/>
      <w:r w:rsidRPr="00C34BC8">
        <w:rPr>
          <w:rFonts w:ascii="Garamond" w:eastAsiaTheme="minorHAnsi" w:hAnsi="Garamond" w:cs="Times New Roman"/>
          <w:color w:val="000000"/>
          <w:sz w:val="24"/>
          <w:szCs w:val="24"/>
        </w:rPr>
        <w:t>relatoren</w:t>
      </w:r>
      <w:proofErr w:type="spellEnd"/>
      <w:r w:rsidRPr="00C34BC8">
        <w:rPr>
          <w:rFonts w:ascii="Garamond" w:eastAsiaTheme="minorHAnsi" w:hAnsi="Garamond" w:cs="Times New Roman"/>
          <w:color w:val="000000"/>
          <w:sz w:val="24"/>
          <w:szCs w:val="24"/>
        </w:rPr>
        <w:t xml:space="preserve"> e çështjes </w:t>
      </w:r>
      <w:proofErr w:type="spellStart"/>
      <w:r w:rsidRPr="00C34BC8">
        <w:rPr>
          <w:rFonts w:ascii="Garamond" w:eastAsiaTheme="minorHAnsi" w:hAnsi="Garamond" w:cs="Times New Roman"/>
          <w:color w:val="000000"/>
          <w:sz w:val="24"/>
          <w:szCs w:val="24"/>
        </w:rPr>
        <w:t>Sonila</w:t>
      </w:r>
      <w:proofErr w:type="spellEnd"/>
      <w:r w:rsidRPr="00C34BC8">
        <w:rPr>
          <w:rFonts w:ascii="Garamond" w:eastAsiaTheme="minorHAnsi" w:hAnsi="Garamond" w:cs="Times New Roman"/>
          <w:color w:val="000000"/>
          <w:sz w:val="24"/>
          <w:szCs w:val="24"/>
        </w:rPr>
        <w:t xml:space="preserve"> Bejtja, mori në shqyrtim parashtrimet me shkrim të kërkuesit, Fondacionit Shqiptaro-Amerikan “</w:t>
      </w:r>
      <w:proofErr w:type="spellStart"/>
      <w:r w:rsidRPr="00C34BC8">
        <w:rPr>
          <w:rFonts w:ascii="Garamond" w:eastAsiaTheme="minorHAnsi" w:hAnsi="Garamond" w:cs="Times New Roman"/>
          <w:color w:val="000000"/>
          <w:sz w:val="24"/>
          <w:szCs w:val="24"/>
        </w:rPr>
        <w:t>Harry</w:t>
      </w:r>
      <w:proofErr w:type="spellEnd"/>
      <w:r w:rsidRPr="00C34BC8">
        <w:rPr>
          <w:rFonts w:ascii="Garamond" w:eastAsiaTheme="minorHAnsi" w:hAnsi="Garamond" w:cs="Times New Roman"/>
          <w:color w:val="000000"/>
          <w:sz w:val="24"/>
          <w:szCs w:val="24"/>
        </w:rPr>
        <w:t xml:space="preserve"> T. </w:t>
      </w:r>
      <w:proofErr w:type="spellStart"/>
      <w:r w:rsidRPr="00C34BC8">
        <w:rPr>
          <w:rFonts w:ascii="Garamond" w:eastAsiaTheme="minorHAnsi" w:hAnsi="Garamond" w:cs="Times New Roman"/>
          <w:color w:val="000000"/>
          <w:sz w:val="24"/>
          <w:szCs w:val="24"/>
        </w:rPr>
        <w:t>Fultz</w:t>
      </w:r>
      <w:proofErr w:type="spellEnd"/>
      <w:r w:rsidRPr="00C34BC8">
        <w:rPr>
          <w:rFonts w:ascii="Garamond" w:eastAsiaTheme="minorHAnsi" w:hAnsi="Garamond" w:cs="Times New Roman"/>
          <w:color w:val="000000"/>
          <w:sz w:val="24"/>
          <w:szCs w:val="24"/>
        </w:rPr>
        <w:t>” (</w:t>
      </w:r>
      <w:r w:rsidRPr="00C34BC8">
        <w:rPr>
          <w:rFonts w:ascii="Garamond" w:eastAsiaTheme="minorHAnsi" w:hAnsi="Garamond" w:cs="Times New Roman"/>
          <w:i/>
          <w:iCs/>
          <w:color w:val="000000"/>
          <w:sz w:val="24"/>
          <w:szCs w:val="24"/>
        </w:rPr>
        <w:t>Fondacioni ose kërkuesi</w:t>
      </w:r>
      <w:r w:rsidRPr="00C34BC8">
        <w:rPr>
          <w:rFonts w:ascii="Garamond" w:eastAsiaTheme="minorHAnsi" w:hAnsi="Garamond" w:cs="Times New Roman"/>
          <w:color w:val="000000"/>
          <w:sz w:val="24"/>
          <w:szCs w:val="24"/>
        </w:rPr>
        <w:t xml:space="preserve">), i cili ka kërkuar pranimin e kërkesës, prapësimet e subjektit të interesuar, Genci </w:t>
      </w:r>
      <w:proofErr w:type="spellStart"/>
      <w:r w:rsidRPr="00C34BC8">
        <w:rPr>
          <w:rFonts w:ascii="Garamond" w:eastAsiaTheme="minorHAnsi" w:hAnsi="Garamond" w:cs="Times New Roman"/>
          <w:color w:val="000000"/>
          <w:sz w:val="24"/>
          <w:szCs w:val="24"/>
        </w:rPr>
        <w:t>Beqiri</w:t>
      </w:r>
      <w:proofErr w:type="spellEnd"/>
      <w:r w:rsidRPr="00C34BC8">
        <w:rPr>
          <w:rFonts w:ascii="Garamond" w:eastAsiaTheme="minorHAnsi" w:hAnsi="Garamond" w:cs="Times New Roman"/>
          <w:color w:val="000000"/>
          <w:sz w:val="24"/>
          <w:szCs w:val="24"/>
        </w:rPr>
        <w:t>, që ka kërkuar rrëzimin e kërkesës, prapësimet e subjekteve të interesuara, Këshillit të Ministrave dhe Agjencisë Shtetërore të Kadastrës, Drejtoria Vendore Tirana-Veri (</w:t>
      </w:r>
      <w:r w:rsidRPr="00C34BC8">
        <w:rPr>
          <w:rFonts w:ascii="Garamond" w:eastAsiaTheme="minorHAnsi" w:hAnsi="Garamond" w:cs="Times New Roman"/>
          <w:i/>
          <w:iCs/>
          <w:color w:val="000000"/>
          <w:sz w:val="24"/>
          <w:szCs w:val="24"/>
        </w:rPr>
        <w:t>ASHK</w:t>
      </w:r>
      <w:r w:rsidRPr="00C34BC8">
        <w:rPr>
          <w:rFonts w:ascii="Garamond" w:eastAsiaTheme="minorHAnsi" w:hAnsi="Garamond" w:cs="Times New Roman"/>
          <w:color w:val="000000"/>
          <w:sz w:val="24"/>
          <w:szCs w:val="24"/>
        </w:rPr>
        <w:t xml:space="preserve">), që kanë kërkuar pranimin e kërkesës, si dhe diskutoi çështjen në tërësi, </w:t>
      </w:r>
    </w:p>
    <w:p w14:paraId="7748951D" w14:textId="77777777"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 </w:t>
      </w:r>
    </w:p>
    <w:p w14:paraId="368D764B"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VËREN:</w:t>
      </w:r>
    </w:p>
    <w:p w14:paraId="6BFFDF5B"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228842B"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I</w:t>
      </w:r>
    </w:p>
    <w:p w14:paraId="776344DA"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Rrethanat e çështjes</w:t>
      </w:r>
    </w:p>
    <w:p w14:paraId="36555A3A"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37346CE" w14:textId="7B03D7F6"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1. Subjekti i interesuar Genci </w:t>
      </w:r>
      <w:proofErr w:type="spellStart"/>
      <w:r w:rsidRPr="00C34BC8">
        <w:rPr>
          <w:rFonts w:ascii="Garamond" w:eastAsiaTheme="minorHAnsi" w:hAnsi="Garamond" w:cs="Times New Roman"/>
          <w:color w:val="000000"/>
          <w:sz w:val="24"/>
          <w:szCs w:val="24"/>
        </w:rPr>
        <w:t>Beqiri</w:t>
      </w:r>
      <w:proofErr w:type="spellEnd"/>
      <w:r w:rsidRPr="00C34BC8">
        <w:rPr>
          <w:rFonts w:ascii="Garamond" w:eastAsiaTheme="minorHAnsi" w:hAnsi="Garamond" w:cs="Times New Roman"/>
          <w:color w:val="000000"/>
          <w:sz w:val="24"/>
          <w:szCs w:val="24"/>
        </w:rPr>
        <w:t xml:space="preserve"> (</w:t>
      </w:r>
      <w:r w:rsidRPr="00C34BC8">
        <w:rPr>
          <w:rFonts w:ascii="Garamond" w:eastAsiaTheme="minorHAnsi" w:hAnsi="Garamond" w:cs="Times New Roman"/>
          <w:i/>
          <w:iCs/>
          <w:color w:val="000000"/>
          <w:sz w:val="24"/>
          <w:szCs w:val="24"/>
        </w:rPr>
        <w:t>paditësi në procesin gjyqësor</w:t>
      </w:r>
      <w:r w:rsidRPr="00C34BC8">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D0D0D"/>
          <w:sz w:val="24"/>
          <w:szCs w:val="24"/>
        </w:rPr>
        <w:t xml:space="preserve">në cilësinë e trashëgimtarit të </w:t>
      </w:r>
      <w:proofErr w:type="spellStart"/>
      <w:r w:rsidRPr="00C34BC8">
        <w:rPr>
          <w:rFonts w:ascii="Garamond" w:eastAsiaTheme="minorHAnsi" w:hAnsi="Garamond" w:cs="Times New Roman"/>
          <w:color w:val="0D0D0D"/>
          <w:sz w:val="24"/>
          <w:szCs w:val="24"/>
        </w:rPr>
        <w:t>të</w:t>
      </w:r>
      <w:proofErr w:type="spellEnd"/>
      <w:r w:rsidRPr="00C34BC8">
        <w:rPr>
          <w:rFonts w:ascii="Garamond" w:eastAsiaTheme="minorHAnsi" w:hAnsi="Garamond" w:cs="Times New Roman"/>
          <w:color w:val="0D0D0D"/>
          <w:sz w:val="24"/>
          <w:szCs w:val="24"/>
        </w:rPr>
        <w:t xml:space="preserve"> ndjerit O.</w:t>
      </w:r>
      <w:r w:rsidR="00C34BC8">
        <w:rPr>
          <w:rFonts w:ascii="Garamond" w:eastAsiaTheme="minorHAnsi" w:hAnsi="Garamond" w:cs="Times New Roman"/>
          <w:color w:val="0D0D0D"/>
          <w:sz w:val="24"/>
          <w:szCs w:val="24"/>
        </w:rPr>
        <w:t xml:space="preserve"> </w:t>
      </w:r>
      <w:r w:rsidRPr="00C34BC8">
        <w:rPr>
          <w:rFonts w:ascii="Garamond" w:eastAsiaTheme="minorHAnsi" w:hAnsi="Garamond" w:cs="Times New Roman"/>
          <w:color w:val="0D0D0D"/>
          <w:sz w:val="24"/>
          <w:szCs w:val="24"/>
        </w:rPr>
        <w:t xml:space="preserve">B., është bashkëpronar në pasurinë e paluajtshme të llojit truall, me nr. 8/409, zona </w:t>
      </w:r>
      <w:proofErr w:type="spellStart"/>
      <w:r w:rsidRPr="00C34BC8">
        <w:rPr>
          <w:rFonts w:ascii="Garamond" w:eastAsiaTheme="minorHAnsi" w:hAnsi="Garamond" w:cs="Times New Roman"/>
          <w:color w:val="0D0D0D"/>
          <w:sz w:val="24"/>
          <w:szCs w:val="24"/>
        </w:rPr>
        <w:t>kada</w:t>
      </w:r>
      <w:r w:rsidR="00C34BC8">
        <w:rPr>
          <w:rFonts w:ascii="Garamond" w:eastAsiaTheme="minorHAnsi" w:hAnsi="Garamond" w:cs="Times New Roman"/>
          <w:color w:val="0D0D0D"/>
          <w:sz w:val="24"/>
          <w:szCs w:val="24"/>
        </w:rPr>
        <w:t>strale</w:t>
      </w:r>
      <w:proofErr w:type="spellEnd"/>
      <w:r w:rsidR="00C34BC8">
        <w:rPr>
          <w:rFonts w:ascii="Garamond" w:eastAsiaTheme="minorHAnsi" w:hAnsi="Garamond" w:cs="Times New Roman"/>
          <w:color w:val="0D0D0D"/>
          <w:sz w:val="24"/>
          <w:szCs w:val="24"/>
        </w:rPr>
        <w:t xml:space="preserve"> 8330, me sipërfaqe 1804 m</w:t>
      </w:r>
      <w:r w:rsidR="00C34BC8"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D0D0D"/>
          <w:sz w:val="24"/>
          <w:szCs w:val="24"/>
        </w:rPr>
        <w:t>, të ndodhur në qytetin e Tiranës, që rr</w:t>
      </w:r>
      <w:r w:rsidR="00C34BC8">
        <w:rPr>
          <w:rFonts w:ascii="Garamond" w:eastAsiaTheme="minorHAnsi" w:hAnsi="Garamond" w:cs="Times New Roman"/>
          <w:color w:val="0D0D0D"/>
          <w:sz w:val="24"/>
          <w:szCs w:val="24"/>
        </w:rPr>
        <w:t>jedh nga vendimi nr. 157, datë 4.</w:t>
      </w:r>
      <w:r w:rsidRPr="00C34BC8">
        <w:rPr>
          <w:rFonts w:ascii="Garamond" w:eastAsiaTheme="minorHAnsi" w:hAnsi="Garamond" w:cs="Times New Roman"/>
          <w:color w:val="0D0D0D"/>
          <w:sz w:val="24"/>
          <w:szCs w:val="24"/>
        </w:rPr>
        <w:t>7.1995</w:t>
      </w:r>
      <w:r w:rsidRPr="00C34BC8">
        <w:rPr>
          <w:rFonts w:ascii="Garamond" w:eastAsiaTheme="minorHAnsi" w:hAnsi="Garamond" w:cs="Times New Roman"/>
          <w:i/>
          <w:iCs/>
          <w:color w:val="0D0D0D"/>
          <w:sz w:val="24"/>
          <w:szCs w:val="24"/>
        </w:rPr>
        <w:t xml:space="preserve"> </w:t>
      </w:r>
      <w:r w:rsidRPr="00C34BC8">
        <w:rPr>
          <w:rFonts w:ascii="Garamond" w:eastAsiaTheme="minorHAnsi" w:hAnsi="Garamond" w:cs="Times New Roman"/>
          <w:color w:val="0D0D0D"/>
          <w:sz w:val="24"/>
          <w:szCs w:val="24"/>
        </w:rPr>
        <w:t>(</w:t>
      </w:r>
      <w:r w:rsidRPr="00C34BC8">
        <w:rPr>
          <w:rFonts w:ascii="Garamond" w:eastAsiaTheme="minorHAnsi" w:hAnsi="Garamond" w:cs="Times New Roman"/>
          <w:i/>
          <w:iCs/>
          <w:color w:val="0D0D0D"/>
          <w:sz w:val="24"/>
          <w:szCs w:val="24"/>
        </w:rPr>
        <w:t>vendimi nr. 157/1995</w:t>
      </w:r>
      <w:r w:rsidRPr="00C34BC8">
        <w:rPr>
          <w:rFonts w:ascii="Garamond" w:eastAsiaTheme="minorHAnsi" w:hAnsi="Garamond" w:cs="Times New Roman"/>
          <w:color w:val="0D0D0D"/>
          <w:sz w:val="24"/>
          <w:szCs w:val="24"/>
        </w:rPr>
        <w:t>) i Komisionit të Kthimit dhe Kompensimit të Pronave (</w:t>
      </w:r>
      <w:proofErr w:type="spellStart"/>
      <w:r w:rsidRPr="00C34BC8">
        <w:rPr>
          <w:rFonts w:ascii="Garamond" w:eastAsiaTheme="minorHAnsi" w:hAnsi="Garamond" w:cs="Times New Roman"/>
          <w:i/>
          <w:iCs/>
          <w:color w:val="0D0D0D"/>
          <w:sz w:val="24"/>
          <w:szCs w:val="24"/>
        </w:rPr>
        <w:t>KKKP</w:t>
      </w:r>
      <w:proofErr w:type="spellEnd"/>
      <w:r w:rsidRPr="00C34BC8">
        <w:rPr>
          <w:rFonts w:ascii="Garamond" w:eastAsiaTheme="minorHAnsi" w:hAnsi="Garamond" w:cs="Times New Roman"/>
          <w:color w:val="0D0D0D"/>
          <w:sz w:val="24"/>
          <w:szCs w:val="24"/>
        </w:rPr>
        <w:t xml:space="preserve">), </w:t>
      </w:r>
      <w:r w:rsidRPr="00C34BC8">
        <w:rPr>
          <w:rFonts w:ascii="Garamond" w:eastAsiaTheme="minorHAnsi" w:hAnsi="Garamond" w:cs="Times New Roman"/>
          <w:color w:val="0D0D0D"/>
          <w:sz w:val="24"/>
          <w:szCs w:val="24"/>
        </w:rPr>
        <w:lastRenderedPageBreak/>
        <w:t>Tiranë, me të cilin kjo sipërfaqe është kthyer fizikisht. Ky vendim është regjistruar në Zyrën Vendore të Regjistrimit të Pasurive të Paluajtshme (</w:t>
      </w:r>
      <w:proofErr w:type="spellStart"/>
      <w:r w:rsidRPr="00C34BC8">
        <w:rPr>
          <w:rFonts w:ascii="Garamond" w:eastAsiaTheme="minorHAnsi" w:hAnsi="Garamond" w:cs="Times New Roman"/>
          <w:i/>
          <w:iCs/>
          <w:color w:val="0D0D0D"/>
          <w:sz w:val="24"/>
          <w:szCs w:val="24"/>
        </w:rPr>
        <w:t>ZVRPP</w:t>
      </w:r>
      <w:proofErr w:type="spellEnd"/>
      <w:r w:rsidRPr="00C34BC8">
        <w:rPr>
          <w:rFonts w:ascii="Garamond" w:eastAsiaTheme="minorHAnsi" w:hAnsi="Garamond" w:cs="Times New Roman"/>
          <w:color w:val="0D0D0D"/>
          <w:sz w:val="24"/>
          <w:szCs w:val="24"/>
        </w:rPr>
        <w:t xml:space="preserve">), Tiranë </w:t>
      </w:r>
      <w:r w:rsidR="00C34BC8">
        <w:rPr>
          <w:rFonts w:ascii="Garamond" w:eastAsiaTheme="minorHAnsi" w:hAnsi="Garamond" w:cs="Times New Roman"/>
          <w:color w:val="0D0D0D"/>
          <w:sz w:val="24"/>
          <w:szCs w:val="24"/>
        </w:rPr>
        <w:t>me nr. hipotekar 3188, datë 27.</w:t>
      </w:r>
      <w:r w:rsidRPr="00C34BC8">
        <w:rPr>
          <w:rFonts w:ascii="Garamond" w:eastAsiaTheme="minorHAnsi" w:hAnsi="Garamond" w:cs="Times New Roman"/>
          <w:color w:val="0D0D0D"/>
          <w:sz w:val="24"/>
          <w:szCs w:val="24"/>
        </w:rPr>
        <w:t>7.1995.</w:t>
      </w:r>
    </w:p>
    <w:p w14:paraId="786FF73E" w14:textId="0F77E7B9"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 </w:t>
      </w:r>
      <w:r w:rsidRPr="00C34BC8">
        <w:rPr>
          <w:rFonts w:ascii="Garamond" w:eastAsiaTheme="minorHAnsi" w:hAnsi="Garamond" w:cs="Times New Roman"/>
          <w:color w:val="0D0D0D"/>
          <w:sz w:val="24"/>
          <w:szCs w:val="24"/>
        </w:rPr>
        <w:t xml:space="preserve">Me vendimin e Këshillit </w:t>
      </w:r>
      <w:r w:rsidR="00C34BC8">
        <w:rPr>
          <w:rFonts w:ascii="Garamond" w:eastAsiaTheme="minorHAnsi" w:hAnsi="Garamond" w:cs="Times New Roman"/>
          <w:color w:val="0D0D0D"/>
          <w:sz w:val="24"/>
          <w:szCs w:val="24"/>
        </w:rPr>
        <w:t>të Ministrave nr. 207, datë 29.</w:t>
      </w:r>
      <w:r w:rsidRPr="00C34BC8">
        <w:rPr>
          <w:rFonts w:ascii="Garamond" w:eastAsiaTheme="minorHAnsi" w:hAnsi="Garamond" w:cs="Times New Roman"/>
          <w:color w:val="0D0D0D"/>
          <w:sz w:val="24"/>
          <w:szCs w:val="24"/>
        </w:rPr>
        <w:t>4.2000</w:t>
      </w:r>
      <w:r w:rsidR="00C34BC8">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“Për miratimin e pjesëmarrjes në fondacionin shqiptaro-amerikan “</w:t>
      </w:r>
      <w:proofErr w:type="spellStart"/>
      <w:r w:rsidRPr="00C34BC8">
        <w:rPr>
          <w:rFonts w:ascii="Garamond" w:eastAsiaTheme="minorHAnsi" w:hAnsi="Garamond" w:cs="Times New Roman"/>
          <w:color w:val="0D0D0D"/>
          <w:sz w:val="24"/>
          <w:szCs w:val="24"/>
        </w:rPr>
        <w:t>Harry</w:t>
      </w:r>
      <w:proofErr w:type="spellEnd"/>
      <w:r w:rsidRPr="00C34BC8">
        <w:rPr>
          <w:rFonts w:ascii="Garamond" w:eastAsiaTheme="minorHAnsi" w:hAnsi="Garamond" w:cs="Times New Roman"/>
          <w:color w:val="0D0D0D"/>
          <w:sz w:val="24"/>
          <w:szCs w:val="24"/>
        </w:rPr>
        <w:t xml:space="preserve"> T. </w:t>
      </w:r>
      <w:proofErr w:type="spellStart"/>
      <w:r w:rsidRPr="00C34BC8">
        <w:rPr>
          <w:rFonts w:ascii="Garamond" w:eastAsiaTheme="minorHAnsi" w:hAnsi="Garamond" w:cs="Times New Roman"/>
          <w:color w:val="0D0D0D"/>
          <w:sz w:val="24"/>
          <w:szCs w:val="24"/>
        </w:rPr>
        <w:t>Fultz</w:t>
      </w:r>
      <w:proofErr w:type="spellEnd"/>
      <w:r w:rsidRPr="00C34BC8">
        <w:rPr>
          <w:rFonts w:ascii="Garamond" w:eastAsiaTheme="minorHAnsi" w:hAnsi="Garamond" w:cs="Times New Roman"/>
          <w:color w:val="0D0D0D"/>
          <w:sz w:val="24"/>
          <w:szCs w:val="24"/>
        </w:rPr>
        <w:t>”” (</w:t>
      </w:r>
      <w:proofErr w:type="spellStart"/>
      <w:r w:rsidRPr="00C34BC8">
        <w:rPr>
          <w:rFonts w:ascii="Garamond" w:eastAsiaTheme="minorHAnsi" w:hAnsi="Garamond" w:cs="Times New Roman"/>
          <w:i/>
          <w:iCs/>
          <w:color w:val="0D0D0D"/>
          <w:sz w:val="24"/>
          <w:szCs w:val="24"/>
        </w:rPr>
        <w:t>VKM</w:t>
      </w:r>
      <w:proofErr w:type="spellEnd"/>
      <w:r w:rsidRPr="00C34BC8">
        <w:rPr>
          <w:rFonts w:ascii="Garamond" w:eastAsiaTheme="minorHAnsi" w:hAnsi="Garamond" w:cs="Times New Roman"/>
          <w:i/>
          <w:iCs/>
          <w:color w:val="0D0D0D"/>
          <w:sz w:val="24"/>
          <w:szCs w:val="24"/>
        </w:rPr>
        <w:t xml:space="preserve"> nr. 207/2000</w:t>
      </w:r>
      <w:r w:rsidRPr="00C34BC8">
        <w:rPr>
          <w:rFonts w:ascii="Garamond" w:eastAsiaTheme="minorHAnsi" w:hAnsi="Garamond" w:cs="Times New Roman"/>
          <w:color w:val="0D0D0D"/>
          <w:sz w:val="24"/>
          <w:szCs w:val="24"/>
        </w:rPr>
        <w:t>) është vendosur: ”</w:t>
      </w:r>
      <w:r w:rsidRPr="00C34BC8">
        <w:rPr>
          <w:rFonts w:ascii="Garamond" w:eastAsiaTheme="minorHAnsi" w:hAnsi="Garamond" w:cs="Times New Roman"/>
          <w:i/>
          <w:iCs/>
          <w:color w:val="0D0D0D"/>
          <w:sz w:val="24"/>
          <w:szCs w:val="24"/>
        </w:rPr>
        <w:t>1. Miratimi i pjesëmarrjes së qeverisë së Republikës së Shqipërisë në krijimin e fondacionit shqiptaro-amerikan “</w:t>
      </w:r>
      <w:proofErr w:type="spellStart"/>
      <w:r w:rsidRPr="00C34BC8">
        <w:rPr>
          <w:rFonts w:ascii="Garamond" w:eastAsiaTheme="minorHAnsi" w:hAnsi="Garamond" w:cs="Times New Roman"/>
          <w:i/>
          <w:iCs/>
          <w:color w:val="0D0D0D"/>
          <w:sz w:val="24"/>
          <w:szCs w:val="24"/>
        </w:rPr>
        <w:t>Harry</w:t>
      </w:r>
      <w:proofErr w:type="spellEnd"/>
      <w:r w:rsidRPr="00C34BC8">
        <w:rPr>
          <w:rFonts w:ascii="Garamond" w:eastAsiaTheme="minorHAnsi" w:hAnsi="Garamond" w:cs="Times New Roman"/>
          <w:i/>
          <w:iCs/>
          <w:color w:val="0D0D0D"/>
          <w:sz w:val="24"/>
          <w:szCs w:val="24"/>
        </w:rPr>
        <w:t xml:space="preserve"> T. </w:t>
      </w:r>
      <w:proofErr w:type="spellStart"/>
      <w:r w:rsidRPr="00C34BC8">
        <w:rPr>
          <w:rFonts w:ascii="Garamond" w:eastAsiaTheme="minorHAnsi" w:hAnsi="Garamond" w:cs="Times New Roman"/>
          <w:i/>
          <w:iCs/>
          <w:color w:val="0D0D0D"/>
          <w:sz w:val="24"/>
          <w:szCs w:val="24"/>
        </w:rPr>
        <w:t>Fultz</w:t>
      </w:r>
      <w:proofErr w:type="spellEnd"/>
      <w:r w:rsidRPr="00C34BC8">
        <w:rPr>
          <w:rFonts w:ascii="Garamond" w:eastAsiaTheme="minorHAnsi" w:hAnsi="Garamond" w:cs="Times New Roman"/>
          <w:i/>
          <w:iCs/>
          <w:color w:val="0D0D0D"/>
          <w:sz w:val="24"/>
          <w:szCs w:val="24"/>
        </w:rPr>
        <w:t>” së bashku me fondacionin shqiptaro-amerikan të arsimit “</w:t>
      </w:r>
      <w:proofErr w:type="spellStart"/>
      <w:r w:rsidRPr="00C34BC8">
        <w:rPr>
          <w:rFonts w:ascii="Garamond" w:eastAsiaTheme="minorHAnsi" w:hAnsi="Garamond" w:cs="Times New Roman"/>
          <w:i/>
          <w:iCs/>
          <w:color w:val="0D0D0D"/>
          <w:sz w:val="24"/>
          <w:szCs w:val="24"/>
        </w:rPr>
        <w:t>Harry</w:t>
      </w:r>
      <w:proofErr w:type="spellEnd"/>
      <w:r w:rsidRPr="00C34BC8">
        <w:rPr>
          <w:rFonts w:ascii="Garamond" w:eastAsiaTheme="minorHAnsi" w:hAnsi="Garamond" w:cs="Times New Roman"/>
          <w:i/>
          <w:iCs/>
          <w:color w:val="0D0D0D"/>
          <w:sz w:val="24"/>
          <w:szCs w:val="24"/>
        </w:rPr>
        <w:t xml:space="preserve"> T. </w:t>
      </w:r>
      <w:proofErr w:type="spellStart"/>
      <w:r w:rsidRPr="00C34BC8">
        <w:rPr>
          <w:rFonts w:ascii="Garamond" w:eastAsiaTheme="minorHAnsi" w:hAnsi="Garamond" w:cs="Times New Roman"/>
          <w:i/>
          <w:iCs/>
          <w:color w:val="0D0D0D"/>
          <w:sz w:val="24"/>
          <w:szCs w:val="24"/>
        </w:rPr>
        <w:t>Fultz</w:t>
      </w:r>
      <w:proofErr w:type="spellEnd"/>
      <w:r w:rsidRPr="00C34BC8">
        <w:rPr>
          <w:rFonts w:ascii="Garamond" w:eastAsiaTheme="minorHAnsi" w:hAnsi="Garamond" w:cs="Times New Roman"/>
          <w:i/>
          <w:iCs/>
          <w:color w:val="0D0D0D"/>
          <w:sz w:val="24"/>
          <w:szCs w:val="24"/>
        </w:rPr>
        <w:t xml:space="preserve">” të shtetit të </w:t>
      </w:r>
      <w:proofErr w:type="spellStart"/>
      <w:r w:rsidRPr="00C34BC8">
        <w:rPr>
          <w:rFonts w:ascii="Garamond" w:eastAsiaTheme="minorHAnsi" w:hAnsi="Garamond" w:cs="Times New Roman"/>
          <w:i/>
          <w:iCs/>
          <w:color w:val="0D0D0D"/>
          <w:sz w:val="24"/>
          <w:szCs w:val="24"/>
        </w:rPr>
        <w:t>Virxhinias</w:t>
      </w:r>
      <w:proofErr w:type="spellEnd"/>
      <w:r w:rsidRPr="00C34BC8">
        <w:rPr>
          <w:rFonts w:ascii="Garamond" w:eastAsiaTheme="minorHAnsi" w:hAnsi="Garamond" w:cs="Times New Roman"/>
          <w:i/>
          <w:iCs/>
          <w:color w:val="0D0D0D"/>
          <w:sz w:val="24"/>
          <w:szCs w:val="24"/>
        </w:rPr>
        <w:t xml:space="preserve"> në SHBA. 2. Kontributi i qeverisë shqiptare të jenë pronat e paluajtshme, trualli dhe ndërtesat e identifikuara në planimetrinë që i bashkëlidhet vendimit, me numrat 8/115, 8/116, 8/117 dhe 8/118, të vendosura nga </w:t>
      </w:r>
      <w:proofErr w:type="spellStart"/>
      <w:r w:rsidRPr="00C34BC8">
        <w:rPr>
          <w:rFonts w:ascii="Garamond" w:eastAsiaTheme="minorHAnsi" w:hAnsi="Garamond" w:cs="Times New Roman"/>
          <w:i/>
          <w:iCs/>
          <w:color w:val="0D0D0D"/>
          <w:sz w:val="24"/>
          <w:szCs w:val="24"/>
        </w:rPr>
        <w:t>ZRRPP</w:t>
      </w:r>
      <w:proofErr w:type="spellEnd"/>
      <w:r w:rsidRPr="00C34BC8">
        <w:rPr>
          <w:rFonts w:ascii="Garamond" w:eastAsiaTheme="minorHAnsi" w:hAnsi="Garamond" w:cs="Times New Roman"/>
          <w:i/>
          <w:iCs/>
          <w:color w:val="0D0D0D"/>
          <w:sz w:val="24"/>
          <w:szCs w:val="24"/>
        </w:rPr>
        <w:t xml:space="preserve"> në Tiranë, duke përfshirë shkollën elektrike dhe godinën e saj dhe dhomat sportive të shkollës teknike “</w:t>
      </w:r>
      <w:proofErr w:type="spellStart"/>
      <w:r w:rsidRPr="00C34BC8">
        <w:rPr>
          <w:rFonts w:ascii="Garamond" w:eastAsiaTheme="minorHAnsi" w:hAnsi="Garamond" w:cs="Times New Roman"/>
          <w:i/>
          <w:iCs/>
          <w:color w:val="0D0D0D"/>
          <w:sz w:val="24"/>
          <w:szCs w:val="24"/>
        </w:rPr>
        <w:t>Harry</w:t>
      </w:r>
      <w:proofErr w:type="spellEnd"/>
      <w:r w:rsidRPr="00C34BC8">
        <w:rPr>
          <w:rFonts w:ascii="Garamond" w:eastAsiaTheme="minorHAnsi" w:hAnsi="Garamond" w:cs="Times New Roman"/>
          <w:i/>
          <w:iCs/>
          <w:color w:val="0D0D0D"/>
          <w:sz w:val="24"/>
          <w:szCs w:val="24"/>
        </w:rPr>
        <w:t xml:space="preserve"> T. </w:t>
      </w:r>
      <w:proofErr w:type="spellStart"/>
      <w:r w:rsidRPr="00C34BC8">
        <w:rPr>
          <w:rFonts w:ascii="Garamond" w:eastAsiaTheme="minorHAnsi" w:hAnsi="Garamond" w:cs="Times New Roman"/>
          <w:i/>
          <w:iCs/>
          <w:color w:val="0D0D0D"/>
          <w:sz w:val="24"/>
          <w:szCs w:val="24"/>
        </w:rPr>
        <w:t>Fultz</w:t>
      </w:r>
      <w:proofErr w:type="spellEnd"/>
      <w:r w:rsidRPr="00C34BC8">
        <w:rPr>
          <w:rFonts w:ascii="Garamond" w:eastAsiaTheme="minorHAnsi" w:hAnsi="Garamond" w:cs="Times New Roman"/>
          <w:i/>
          <w:iCs/>
          <w:color w:val="0D0D0D"/>
          <w:sz w:val="24"/>
          <w:szCs w:val="24"/>
        </w:rPr>
        <w:t>”, pasuri kjo e regjistruar në hipotekë me nr. 644, datë 23.11.2000</w:t>
      </w:r>
      <w:r w:rsidRPr="00C34BC8">
        <w:rPr>
          <w:rFonts w:ascii="Garamond" w:eastAsiaTheme="minorHAnsi" w:hAnsi="Garamond" w:cs="Times New Roman"/>
          <w:color w:val="0D0D0D"/>
          <w:sz w:val="24"/>
          <w:szCs w:val="24"/>
        </w:rPr>
        <w:t>.”</w:t>
      </w:r>
      <w:r w:rsidRPr="00C34BC8">
        <w:rPr>
          <w:rFonts w:ascii="Garamond" w:eastAsiaTheme="minorHAnsi" w:hAnsi="Garamond" w:cs="Times New Roman"/>
          <w:color w:val="0D0D0D"/>
          <w:spacing w:val="15"/>
          <w:sz w:val="24"/>
          <w:szCs w:val="24"/>
        </w:rPr>
        <w:t>.</w:t>
      </w:r>
    </w:p>
    <w:p w14:paraId="7A6CFE61" w14:textId="36FD7FF1"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3. </w:t>
      </w:r>
      <w:r w:rsidRPr="00C34BC8">
        <w:rPr>
          <w:rFonts w:ascii="Garamond" w:eastAsiaTheme="minorHAnsi" w:hAnsi="Garamond" w:cs="Times New Roman"/>
          <w:color w:val="0D0D0D"/>
          <w:sz w:val="24"/>
          <w:szCs w:val="24"/>
        </w:rPr>
        <w:t>Agjencia e Kthimit dhe Kompensimit të Pronave (</w:t>
      </w:r>
      <w:proofErr w:type="spellStart"/>
      <w:r w:rsidRPr="00C34BC8">
        <w:rPr>
          <w:rFonts w:ascii="Garamond" w:eastAsiaTheme="minorHAnsi" w:hAnsi="Garamond" w:cs="Times New Roman"/>
          <w:i/>
          <w:iCs/>
          <w:color w:val="0D0D0D"/>
          <w:sz w:val="24"/>
          <w:szCs w:val="24"/>
        </w:rPr>
        <w:t>AKKP</w:t>
      </w:r>
      <w:proofErr w:type="spellEnd"/>
      <w:r w:rsidRPr="00C34BC8">
        <w:rPr>
          <w:rFonts w:ascii="Garamond" w:eastAsiaTheme="minorHAnsi" w:hAnsi="Garamond" w:cs="Times New Roman"/>
          <w:color w:val="0D0D0D"/>
          <w:sz w:val="24"/>
          <w:szCs w:val="24"/>
        </w:rPr>
        <w:t>)</w:t>
      </w:r>
      <w:r w:rsidR="00C34BC8">
        <w:rPr>
          <w:rFonts w:ascii="Garamond" w:eastAsiaTheme="minorHAnsi" w:hAnsi="Garamond" w:cs="Times New Roman"/>
          <w:color w:val="0D0D0D"/>
          <w:sz w:val="24"/>
          <w:szCs w:val="24"/>
        </w:rPr>
        <w:t>, me vendimin nr. 160, datë 24.</w:t>
      </w:r>
      <w:r w:rsidRPr="00C34BC8">
        <w:rPr>
          <w:rFonts w:ascii="Garamond" w:eastAsiaTheme="minorHAnsi" w:hAnsi="Garamond" w:cs="Times New Roman"/>
          <w:color w:val="0D0D0D"/>
          <w:sz w:val="24"/>
          <w:szCs w:val="24"/>
        </w:rPr>
        <w:t>4.2009 (</w:t>
      </w:r>
      <w:r w:rsidRPr="00C34BC8">
        <w:rPr>
          <w:rFonts w:ascii="Garamond" w:eastAsiaTheme="minorHAnsi" w:hAnsi="Garamond" w:cs="Times New Roman"/>
          <w:i/>
          <w:iCs/>
          <w:color w:val="0D0D0D"/>
          <w:sz w:val="24"/>
          <w:szCs w:val="24"/>
        </w:rPr>
        <w:t>vendimi nr. 160/2009</w:t>
      </w:r>
      <w:r w:rsidRPr="00C34BC8">
        <w:rPr>
          <w:rFonts w:ascii="Garamond" w:eastAsiaTheme="minorHAnsi" w:hAnsi="Garamond" w:cs="Times New Roman"/>
          <w:color w:val="0D0D0D"/>
          <w:sz w:val="24"/>
          <w:szCs w:val="24"/>
        </w:rPr>
        <w:t>), ka vendosur shfuqizimin e vendimit nr. 157/1995</w:t>
      </w:r>
      <w:r w:rsidR="00C34BC8">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të </w:t>
      </w:r>
      <w:proofErr w:type="spellStart"/>
      <w:r w:rsidRPr="00C34BC8">
        <w:rPr>
          <w:rFonts w:ascii="Garamond" w:eastAsiaTheme="minorHAnsi" w:hAnsi="Garamond" w:cs="Times New Roman"/>
          <w:color w:val="0D0D0D"/>
          <w:sz w:val="24"/>
          <w:szCs w:val="24"/>
        </w:rPr>
        <w:t>KKKP</w:t>
      </w:r>
      <w:proofErr w:type="spellEnd"/>
      <w:r w:rsidRPr="00C34BC8">
        <w:rPr>
          <w:rFonts w:ascii="Garamond" w:eastAsiaTheme="minorHAnsi" w:hAnsi="Garamond" w:cs="Times New Roman"/>
          <w:color w:val="0D0D0D"/>
          <w:sz w:val="24"/>
          <w:szCs w:val="24"/>
        </w:rPr>
        <w:t>-së, Tiranë. Ky vendim është kundërshtuar në gjykatë dhe</w:t>
      </w:r>
      <w:r w:rsidR="00C34BC8">
        <w:rPr>
          <w:rFonts w:ascii="Garamond" w:eastAsiaTheme="minorHAnsi" w:hAnsi="Garamond" w:cs="Times New Roman"/>
          <w:color w:val="0D0D0D"/>
          <w:sz w:val="24"/>
          <w:szCs w:val="24"/>
        </w:rPr>
        <w:t xml:space="preserve"> me vendimin nr. 1811, datë 28.</w:t>
      </w:r>
      <w:r w:rsidRPr="00C34BC8">
        <w:rPr>
          <w:rFonts w:ascii="Garamond" w:eastAsiaTheme="minorHAnsi" w:hAnsi="Garamond" w:cs="Times New Roman"/>
          <w:color w:val="0D0D0D"/>
          <w:sz w:val="24"/>
          <w:szCs w:val="24"/>
        </w:rPr>
        <w:t>2.2012, Gjykata e Rrethit Gjyqësor Tiranë ka vendosur pavlefshmërinë absolute të vendimit nr. 160/2009</w:t>
      </w:r>
      <w:r w:rsidR="00C34BC8">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të </w:t>
      </w:r>
      <w:proofErr w:type="spellStart"/>
      <w:r w:rsidRPr="00C34BC8">
        <w:rPr>
          <w:rFonts w:ascii="Garamond" w:eastAsiaTheme="minorHAnsi" w:hAnsi="Garamond" w:cs="Times New Roman"/>
          <w:color w:val="0D0D0D"/>
          <w:sz w:val="24"/>
          <w:szCs w:val="24"/>
        </w:rPr>
        <w:t>AKKP</w:t>
      </w:r>
      <w:proofErr w:type="spellEnd"/>
      <w:r w:rsidRPr="00C34BC8">
        <w:rPr>
          <w:rFonts w:ascii="Garamond" w:eastAsiaTheme="minorHAnsi" w:hAnsi="Garamond" w:cs="Times New Roman"/>
          <w:color w:val="0D0D0D"/>
          <w:sz w:val="24"/>
          <w:szCs w:val="24"/>
        </w:rPr>
        <w:t>-së, Tiranë. Vendimi i gjykatës së shkallës së parë është lënë në fuqi nga Gjykata e Apelit Tira</w:t>
      </w:r>
      <w:r w:rsidR="00C34BC8">
        <w:rPr>
          <w:rFonts w:ascii="Garamond" w:eastAsiaTheme="minorHAnsi" w:hAnsi="Garamond" w:cs="Times New Roman"/>
          <w:color w:val="0D0D0D"/>
          <w:sz w:val="24"/>
          <w:szCs w:val="24"/>
        </w:rPr>
        <w:t xml:space="preserve">në me vendimin nr. 2841, datë </w:t>
      </w:r>
      <w:r w:rsidRPr="00C34BC8">
        <w:rPr>
          <w:rFonts w:ascii="Garamond" w:eastAsiaTheme="minorHAnsi" w:hAnsi="Garamond" w:cs="Times New Roman"/>
          <w:color w:val="0D0D0D"/>
          <w:sz w:val="24"/>
          <w:szCs w:val="24"/>
        </w:rPr>
        <w:t xml:space="preserve">4.12.2012. </w:t>
      </w:r>
    </w:p>
    <w:p w14:paraId="4267CEFE" w14:textId="7BA2F8C9"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4. </w:t>
      </w:r>
      <w:r w:rsidR="00C34BC8">
        <w:rPr>
          <w:rFonts w:ascii="Garamond" w:eastAsiaTheme="minorHAnsi" w:hAnsi="Garamond" w:cs="Times New Roman"/>
          <w:color w:val="0D0D0D"/>
          <w:sz w:val="24"/>
          <w:szCs w:val="24"/>
        </w:rPr>
        <w:t>Në vitin 2013 pjesa prej 1804 m</w:t>
      </w:r>
      <w:r w:rsidR="00C34BC8"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D0D0D"/>
          <w:sz w:val="24"/>
          <w:szCs w:val="24"/>
        </w:rPr>
        <w:t xml:space="preserve"> është regjistruar në emër të Fondacionit. Në vitin 2014 subjekti i interesuar Genci </w:t>
      </w:r>
      <w:proofErr w:type="spellStart"/>
      <w:r w:rsidRPr="00C34BC8">
        <w:rPr>
          <w:rFonts w:ascii="Garamond" w:eastAsiaTheme="minorHAnsi" w:hAnsi="Garamond" w:cs="Times New Roman"/>
          <w:color w:val="0D0D0D"/>
          <w:sz w:val="24"/>
          <w:szCs w:val="24"/>
        </w:rPr>
        <w:t>Beqiri</w:t>
      </w:r>
      <w:proofErr w:type="spellEnd"/>
      <w:r w:rsidRPr="00C34BC8">
        <w:rPr>
          <w:rFonts w:ascii="Garamond" w:eastAsiaTheme="minorHAnsi" w:hAnsi="Garamond" w:cs="Times New Roman"/>
          <w:color w:val="0D0D0D"/>
          <w:sz w:val="24"/>
          <w:szCs w:val="24"/>
        </w:rPr>
        <w:t xml:space="preserve"> ka aplikuar pranë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-së, Tiranë për regjistr</w:t>
      </w:r>
      <w:r w:rsidR="00C34BC8">
        <w:rPr>
          <w:rFonts w:ascii="Garamond" w:eastAsiaTheme="minorHAnsi" w:hAnsi="Garamond" w:cs="Times New Roman"/>
          <w:color w:val="0D0D0D"/>
          <w:sz w:val="24"/>
          <w:szCs w:val="24"/>
        </w:rPr>
        <w:t xml:space="preserve">imin e vendimit nr. 2841, datë </w:t>
      </w:r>
      <w:r w:rsidRPr="00C34BC8">
        <w:rPr>
          <w:rFonts w:ascii="Garamond" w:eastAsiaTheme="minorHAnsi" w:hAnsi="Garamond" w:cs="Times New Roman"/>
          <w:color w:val="0D0D0D"/>
          <w:sz w:val="24"/>
          <w:szCs w:val="24"/>
        </w:rPr>
        <w:t>4.12.2012</w:t>
      </w:r>
      <w:r w:rsidR="00C34BC8">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të Gjykatës së Apelit Tiranë dhe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-ja, Tiranë ka regjistruar këtë pasuri me nr. 8/409</w:t>
      </w:r>
      <w:r w:rsidR="00C34BC8">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sipas titullit të pronësisë, vendimit nr. 157/1995</w:t>
      </w:r>
      <w:r w:rsidR="00C34BC8">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të </w:t>
      </w:r>
      <w:proofErr w:type="spellStart"/>
      <w:r w:rsidRPr="00C34BC8">
        <w:rPr>
          <w:rFonts w:ascii="Garamond" w:eastAsiaTheme="minorHAnsi" w:hAnsi="Garamond" w:cs="Times New Roman"/>
          <w:color w:val="0D0D0D"/>
          <w:sz w:val="24"/>
          <w:szCs w:val="24"/>
        </w:rPr>
        <w:t>KKKP</w:t>
      </w:r>
      <w:proofErr w:type="spellEnd"/>
      <w:r w:rsidRPr="00C34BC8">
        <w:rPr>
          <w:rFonts w:ascii="Garamond" w:eastAsiaTheme="minorHAnsi" w:hAnsi="Garamond" w:cs="Times New Roman"/>
          <w:color w:val="0D0D0D"/>
          <w:sz w:val="24"/>
          <w:szCs w:val="24"/>
        </w:rPr>
        <w:t xml:space="preserve">-së, Tiranë. Në vijim shtetasi Genci </w:t>
      </w:r>
      <w:proofErr w:type="spellStart"/>
      <w:r w:rsidRPr="00C34BC8">
        <w:rPr>
          <w:rFonts w:ascii="Garamond" w:eastAsiaTheme="minorHAnsi" w:hAnsi="Garamond" w:cs="Times New Roman"/>
          <w:color w:val="0D0D0D"/>
          <w:sz w:val="24"/>
          <w:szCs w:val="24"/>
        </w:rPr>
        <w:t>Beqiri</w:t>
      </w:r>
      <w:proofErr w:type="spellEnd"/>
      <w:r w:rsidRPr="00C34BC8">
        <w:rPr>
          <w:rFonts w:ascii="Garamond" w:eastAsiaTheme="minorHAnsi" w:hAnsi="Garamond" w:cs="Times New Roman"/>
          <w:color w:val="0D0D0D"/>
          <w:sz w:val="24"/>
          <w:szCs w:val="24"/>
        </w:rPr>
        <w:t xml:space="preserve"> është pajisur me certifikatë pronësie</w:t>
      </w:r>
      <w:r w:rsidRPr="00C34BC8">
        <w:rPr>
          <w:rFonts w:ascii="Garamond" w:eastAsiaTheme="minorHAnsi" w:hAnsi="Garamond" w:cs="Times New Roman"/>
          <w:color w:val="0D0D0D"/>
          <w:spacing w:val="15"/>
          <w:sz w:val="24"/>
          <w:szCs w:val="24"/>
        </w:rPr>
        <w:t>.</w:t>
      </w:r>
      <w:r w:rsidRPr="00C34BC8">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D0D0D"/>
          <w:sz w:val="24"/>
          <w:szCs w:val="24"/>
        </w:rPr>
        <w:t xml:space="preserve">Në vijim,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 xml:space="preserve">-ja, Tiranë, me urdhrin e kufizimit nr. 3503, datë 30.12.2014, ka vendosur anulimin e veprimit për pajisjen me certifikatën e pronësisë të subjektit të interesuar Genci </w:t>
      </w:r>
      <w:proofErr w:type="spellStart"/>
      <w:r w:rsidRPr="00C34BC8">
        <w:rPr>
          <w:rFonts w:ascii="Garamond" w:eastAsiaTheme="minorHAnsi" w:hAnsi="Garamond" w:cs="Times New Roman"/>
          <w:color w:val="0D0D0D"/>
          <w:sz w:val="24"/>
          <w:szCs w:val="24"/>
        </w:rPr>
        <w:t>Beqiri</w:t>
      </w:r>
      <w:proofErr w:type="spellEnd"/>
      <w:r w:rsidRPr="00C34BC8">
        <w:rPr>
          <w:rFonts w:ascii="Garamond" w:eastAsiaTheme="minorHAnsi" w:hAnsi="Garamond" w:cs="Times New Roman"/>
          <w:color w:val="0D0D0D"/>
          <w:sz w:val="24"/>
          <w:szCs w:val="24"/>
        </w:rPr>
        <w:t xml:space="preserve"> dhe kthimin e pasurive në gjendjen e mëparshme me status “mbivendosje”, për shkak se mbivendosej me titullin e pronësisë së kërkuesit sipas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-së nr. 207/2000.</w:t>
      </w:r>
      <w:r w:rsidRPr="00C34BC8">
        <w:rPr>
          <w:rFonts w:ascii="Garamond" w:eastAsiaTheme="minorHAnsi" w:hAnsi="Garamond" w:cs="Times New Roman"/>
          <w:color w:val="000000"/>
          <w:sz w:val="24"/>
          <w:szCs w:val="24"/>
        </w:rPr>
        <w:t xml:space="preserve"> </w:t>
      </w:r>
    </w:p>
    <w:p w14:paraId="237CB493" w14:textId="1BBD3548"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5. Në datën 17.12.2018</w:t>
      </w:r>
      <w:r w:rsidR="00C34BC8">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trashëgimtarët </w:t>
      </w:r>
      <w:proofErr w:type="spellStart"/>
      <w:r w:rsidRPr="00C34BC8">
        <w:rPr>
          <w:rFonts w:ascii="Garamond" w:eastAsiaTheme="minorHAnsi" w:hAnsi="Garamond" w:cs="Times New Roman"/>
          <w:color w:val="000000"/>
          <w:sz w:val="24"/>
          <w:szCs w:val="24"/>
        </w:rPr>
        <w:t>Beqiri</w:t>
      </w:r>
      <w:proofErr w:type="spellEnd"/>
      <w:r w:rsidRPr="00C34BC8">
        <w:rPr>
          <w:rFonts w:ascii="Garamond" w:eastAsiaTheme="minorHAnsi" w:hAnsi="Garamond" w:cs="Times New Roman"/>
          <w:color w:val="000000"/>
          <w:sz w:val="24"/>
          <w:szCs w:val="24"/>
        </w:rPr>
        <w:t xml:space="preserve"> i janë drejtuar gjykatës së shkallës së parë me padi me të paditur Këshillin e Ministrave dhe person të tretë Fondacionin, me objekt </w:t>
      </w:r>
      <w:r w:rsidRPr="00C34BC8">
        <w:rPr>
          <w:rFonts w:ascii="Garamond" w:eastAsiaTheme="minorHAnsi" w:hAnsi="Garamond" w:cs="Times New Roman"/>
          <w:color w:val="0D0D0D"/>
          <w:sz w:val="24"/>
          <w:szCs w:val="24"/>
        </w:rPr>
        <w:t xml:space="preserve">konstatimin pjesërisht absolutisht të pavlefshme të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 xml:space="preserve">-së nr. 207/2000, vetëm për pjesën që ka cenuar pasurinë truall me sipërfaqe 1804 </w:t>
      </w:r>
      <w:r w:rsidR="00C34BC8">
        <w:rPr>
          <w:rFonts w:ascii="Garamond" w:eastAsiaTheme="minorHAnsi" w:hAnsi="Garamond" w:cs="Times New Roman"/>
          <w:color w:val="0D0D0D"/>
          <w:sz w:val="24"/>
          <w:szCs w:val="24"/>
        </w:rPr>
        <w:t>m</w:t>
      </w:r>
      <w:r w:rsidR="00C34BC8"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D0D0D"/>
          <w:sz w:val="24"/>
          <w:szCs w:val="24"/>
        </w:rPr>
        <w:t xml:space="preserve">, detyrimin e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-së, Tiranë për heqjen e masës së kufizimit në pasurinë e paditësve nr. 8/409, me sipërfaqe 1804 m² dhe pajisjen e tyre me dokumentacion të vlefshëm hipotekar për këtë pasuri. Gjykata Administrative e Shkallës së Parë Tiranë, me vendim</w:t>
      </w:r>
      <w:r w:rsidR="00056590">
        <w:rPr>
          <w:rFonts w:ascii="Garamond" w:eastAsiaTheme="minorHAnsi" w:hAnsi="Garamond" w:cs="Times New Roman"/>
          <w:color w:val="0D0D0D"/>
          <w:sz w:val="24"/>
          <w:szCs w:val="24"/>
        </w:rPr>
        <w:t>in nr. 60 (80-2019-77), datë 21.</w:t>
      </w:r>
      <w:r w:rsidRPr="00C34BC8">
        <w:rPr>
          <w:rFonts w:ascii="Garamond" w:eastAsiaTheme="minorHAnsi" w:hAnsi="Garamond" w:cs="Times New Roman"/>
          <w:color w:val="0D0D0D"/>
          <w:sz w:val="24"/>
          <w:szCs w:val="24"/>
        </w:rPr>
        <w:t xml:space="preserve">1.2029, ka vendosur pushimin e gjykimit të çështjes për shkak të heqjes dorë nga paditësit. </w:t>
      </w:r>
    </w:p>
    <w:p w14:paraId="02283E21" w14:textId="218BE327"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6. </w:t>
      </w:r>
      <w:r w:rsidR="00056590">
        <w:rPr>
          <w:rFonts w:ascii="Garamond" w:eastAsiaTheme="minorHAnsi" w:hAnsi="Garamond" w:cs="Times New Roman"/>
          <w:color w:val="000000"/>
          <w:sz w:val="24"/>
          <w:szCs w:val="24"/>
        </w:rPr>
        <w:t>Në datën 14.</w:t>
      </w:r>
      <w:r w:rsidRPr="00C34BC8">
        <w:rPr>
          <w:rFonts w:ascii="Garamond" w:eastAsiaTheme="minorHAnsi" w:hAnsi="Garamond" w:cs="Times New Roman"/>
          <w:color w:val="000000"/>
          <w:sz w:val="24"/>
          <w:szCs w:val="24"/>
        </w:rPr>
        <w:t>1.2019</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s</w:t>
      </w:r>
      <w:r w:rsidRPr="00C34BC8">
        <w:rPr>
          <w:rFonts w:ascii="Garamond" w:eastAsiaTheme="minorHAnsi" w:hAnsi="Garamond" w:cs="Times New Roman"/>
          <w:color w:val="0D0D0D"/>
          <w:sz w:val="24"/>
          <w:szCs w:val="24"/>
        </w:rPr>
        <w:t xml:space="preserve">ubjekti i interesuar Genci </w:t>
      </w:r>
      <w:proofErr w:type="spellStart"/>
      <w:r w:rsidRPr="00C34BC8">
        <w:rPr>
          <w:rFonts w:ascii="Garamond" w:eastAsiaTheme="minorHAnsi" w:hAnsi="Garamond" w:cs="Times New Roman"/>
          <w:color w:val="0D0D0D"/>
          <w:sz w:val="24"/>
          <w:szCs w:val="24"/>
        </w:rPr>
        <w:t>Beqiri</w:t>
      </w:r>
      <w:proofErr w:type="spellEnd"/>
      <w:r w:rsidRPr="00C34BC8">
        <w:rPr>
          <w:rFonts w:ascii="Garamond" w:eastAsiaTheme="minorHAnsi" w:hAnsi="Garamond" w:cs="Times New Roman"/>
          <w:color w:val="0D0D0D"/>
          <w:sz w:val="24"/>
          <w:szCs w:val="24"/>
        </w:rPr>
        <w:t xml:space="preserve"> i është drejtuar gjykatës me padi me objekt konstatimin si pjesërisht absolutisht të pavlefshme të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 xml:space="preserve">-së nr. 207/2000, për pjesën që ka cenuar pasurinë truall me sipërfaqe 1804 </w:t>
      </w:r>
      <w:r w:rsidR="00056590">
        <w:rPr>
          <w:rFonts w:ascii="Garamond" w:eastAsiaTheme="minorHAnsi" w:hAnsi="Garamond" w:cs="Times New Roman"/>
          <w:color w:val="0D0D0D"/>
          <w:sz w:val="24"/>
          <w:szCs w:val="24"/>
        </w:rPr>
        <w:t>m</w:t>
      </w:r>
      <w:r w:rsidR="00056590"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D0D0D"/>
          <w:sz w:val="24"/>
          <w:szCs w:val="24"/>
        </w:rPr>
        <w:t xml:space="preserve">, të regjistruar në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 xml:space="preserve">-në, Tiranë në favor të bashkëpronarëve të familjes </w:t>
      </w:r>
      <w:proofErr w:type="spellStart"/>
      <w:r w:rsidRPr="00C34BC8">
        <w:rPr>
          <w:rFonts w:ascii="Garamond" w:eastAsiaTheme="minorHAnsi" w:hAnsi="Garamond" w:cs="Times New Roman"/>
          <w:color w:val="0D0D0D"/>
          <w:sz w:val="24"/>
          <w:szCs w:val="24"/>
        </w:rPr>
        <w:t>Beqiri</w:t>
      </w:r>
      <w:proofErr w:type="spellEnd"/>
      <w:r w:rsidRPr="00C34BC8">
        <w:rPr>
          <w:rFonts w:ascii="Garamond" w:eastAsiaTheme="minorHAnsi" w:hAnsi="Garamond" w:cs="Times New Roman"/>
          <w:color w:val="0D0D0D"/>
          <w:sz w:val="24"/>
          <w:szCs w:val="24"/>
        </w:rPr>
        <w:t xml:space="preserve">, si dhe detyrimin e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 xml:space="preserve">-së, Tiranë të kryejë veprimin administrativ të heqjes së masës së kufizimit në pasurinë e paditësit me nr. 8/409, me sipërfaqe 1804 m², si dhe të fshijë nga regjistri hipotekar çdo regjistrim tjetër që rrjedh nga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-ja. Si palë e paditur në gjykim është thirrur Këshilli i Ministrave dhe ASHK-ja, kurse si person i tretë kërkuesi, Fondacioni.</w:t>
      </w:r>
    </w:p>
    <w:p w14:paraId="5CE4197B" w14:textId="4D0E4EB1"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7. </w:t>
      </w:r>
      <w:r w:rsidRPr="00C34BC8">
        <w:rPr>
          <w:rFonts w:ascii="Garamond" w:eastAsiaTheme="minorHAnsi" w:hAnsi="Garamond" w:cs="Times New Roman"/>
          <w:color w:val="0D0D0D"/>
          <w:sz w:val="24"/>
          <w:szCs w:val="24"/>
        </w:rPr>
        <w:t>Gjykata Administrative e Shkallës së Parë Tiranë, me vendimin nr. 6</w:t>
      </w:r>
      <w:r w:rsidR="00056590">
        <w:rPr>
          <w:rFonts w:ascii="Garamond" w:eastAsiaTheme="minorHAnsi" w:hAnsi="Garamond" w:cs="Times New Roman"/>
          <w:color w:val="0D0D0D"/>
          <w:sz w:val="24"/>
          <w:szCs w:val="24"/>
        </w:rPr>
        <w:t>87, datë 27.</w:t>
      </w:r>
      <w:r w:rsidRPr="00C34BC8">
        <w:rPr>
          <w:rFonts w:ascii="Garamond" w:eastAsiaTheme="minorHAnsi" w:hAnsi="Garamond" w:cs="Times New Roman"/>
          <w:color w:val="0D0D0D"/>
          <w:sz w:val="24"/>
          <w:szCs w:val="24"/>
        </w:rPr>
        <w:t>2.2020, ka vendosur r</w:t>
      </w:r>
      <w:r w:rsidRPr="00C34BC8">
        <w:rPr>
          <w:rFonts w:ascii="Garamond" w:eastAsiaTheme="minorHAnsi" w:hAnsi="Garamond" w:cs="Times New Roman"/>
          <w:color w:val="0D0D0D"/>
          <w:spacing w:val="15"/>
          <w:sz w:val="24"/>
          <w:szCs w:val="24"/>
        </w:rPr>
        <w:t xml:space="preserve">rëzimin e padisë si të pabazuar në ligj dhe në prova, duke vlerësuar se </w:t>
      </w:r>
      <w:r w:rsidRPr="00C34BC8">
        <w:rPr>
          <w:rFonts w:ascii="Garamond" w:eastAsiaTheme="minorHAnsi" w:hAnsi="Garamond" w:cs="Times New Roman"/>
          <w:color w:val="0D0D0D"/>
          <w:sz w:val="24"/>
          <w:szCs w:val="24"/>
        </w:rPr>
        <w:t xml:space="preserve">nga Këshilli i Ministrave nuk është tejkaluar kompetenca në nxjerrjen e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 xml:space="preserve">-së nr. 207/2000. Lidhur me pretendimet për vlefshmërinë e titujve të pronësisë, ajo gjykatë ka vlerësuar se nuk janë objekt i </w:t>
      </w:r>
      <w:r w:rsidR="00056590">
        <w:rPr>
          <w:rFonts w:ascii="Garamond" w:eastAsiaTheme="minorHAnsi" w:hAnsi="Garamond" w:cs="Times New Roman"/>
          <w:color w:val="0D0D0D"/>
          <w:sz w:val="24"/>
          <w:szCs w:val="24"/>
        </w:rPr>
        <w:t>këtij gjykimi, por palët mund t’</w:t>
      </w:r>
      <w:r w:rsidRPr="00C34BC8">
        <w:rPr>
          <w:rFonts w:ascii="Garamond" w:eastAsiaTheme="minorHAnsi" w:hAnsi="Garamond" w:cs="Times New Roman"/>
          <w:color w:val="0D0D0D"/>
          <w:sz w:val="24"/>
          <w:szCs w:val="24"/>
        </w:rPr>
        <w:t xml:space="preserve">i drejtohen gjykatës civile. Gjykata Administrative e Shkallës së Parë Tiranë ka gjetur të pabazuar edhe kërkimin për detyrimin e </w:t>
      </w:r>
      <w:proofErr w:type="spellStart"/>
      <w:r w:rsidRPr="00C34BC8">
        <w:rPr>
          <w:rFonts w:ascii="Garamond" w:eastAsiaTheme="minorHAnsi" w:hAnsi="Garamond" w:cs="Times New Roman"/>
          <w:color w:val="0D0D0D"/>
          <w:sz w:val="24"/>
          <w:szCs w:val="24"/>
        </w:rPr>
        <w:t>ZVRPP</w:t>
      </w:r>
      <w:proofErr w:type="spellEnd"/>
      <w:r w:rsidRPr="00C34BC8">
        <w:rPr>
          <w:rFonts w:ascii="Garamond" w:eastAsiaTheme="minorHAnsi" w:hAnsi="Garamond" w:cs="Times New Roman"/>
          <w:color w:val="0D0D0D"/>
          <w:sz w:val="24"/>
          <w:szCs w:val="24"/>
        </w:rPr>
        <w:t>-së, Tiranë që të heqë masën e kufizimit, në kushtet kur ka dy tituj pronësie mbi të njëjtën pasuri, të cilët mbivendosen. Kundër këtij vendimi ka paraqitur ankim paditësi.</w:t>
      </w:r>
    </w:p>
    <w:p w14:paraId="35B264F2" w14:textId="1473DD9B"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8. </w:t>
      </w:r>
      <w:r w:rsidRPr="00C34BC8">
        <w:rPr>
          <w:rFonts w:ascii="Garamond" w:eastAsiaTheme="minorHAnsi" w:hAnsi="Garamond" w:cs="Times New Roman"/>
          <w:color w:val="0D0D0D"/>
          <w:sz w:val="24"/>
          <w:szCs w:val="24"/>
        </w:rPr>
        <w:t xml:space="preserve">Përpara Gjykatës Administrative të Apelit kërkuesi, në cilësinë e personit të tretë, ka kërkuar pezullimin e gjykimit të kësaj çështjeje deri në përfundimin me vendim gjyqësor të formës së prerë të </w:t>
      </w:r>
      <w:r w:rsidRPr="00C34BC8">
        <w:rPr>
          <w:rFonts w:ascii="Garamond" w:eastAsiaTheme="minorHAnsi" w:hAnsi="Garamond" w:cs="Times New Roman"/>
          <w:color w:val="0D0D0D"/>
          <w:sz w:val="24"/>
          <w:szCs w:val="24"/>
        </w:rPr>
        <w:lastRenderedPageBreak/>
        <w:t>çështjes civile të vënë në lëvizje</w:t>
      </w:r>
      <w:r w:rsidR="00056590">
        <w:rPr>
          <w:rFonts w:ascii="Garamond" w:eastAsiaTheme="minorHAnsi" w:hAnsi="Garamond" w:cs="Times New Roman"/>
          <w:color w:val="0D0D0D"/>
          <w:sz w:val="24"/>
          <w:szCs w:val="24"/>
        </w:rPr>
        <w:t xml:space="preserve"> prej tij me padinë e datës 26.</w:t>
      </w:r>
      <w:r w:rsidRPr="00C34BC8">
        <w:rPr>
          <w:rFonts w:ascii="Garamond" w:eastAsiaTheme="minorHAnsi" w:hAnsi="Garamond" w:cs="Times New Roman"/>
          <w:color w:val="0D0D0D"/>
          <w:sz w:val="24"/>
          <w:szCs w:val="24"/>
        </w:rPr>
        <w:t xml:space="preserve">2.2024, me objekt kundërshtimin e vendimit nr. 157/1995 të </w:t>
      </w:r>
      <w:proofErr w:type="spellStart"/>
      <w:r w:rsidRPr="00C34BC8">
        <w:rPr>
          <w:rFonts w:ascii="Garamond" w:eastAsiaTheme="minorHAnsi" w:hAnsi="Garamond" w:cs="Times New Roman"/>
          <w:color w:val="0D0D0D"/>
          <w:sz w:val="24"/>
          <w:szCs w:val="24"/>
        </w:rPr>
        <w:t>KKKP</w:t>
      </w:r>
      <w:proofErr w:type="spellEnd"/>
      <w:r w:rsidRPr="00C34BC8">
        <w:rPr>
          <w:rFonts w:ascii="Garamond" w:eastAsiaTheme="minorHAnsi" w:hAnsi="Garamond" w:cs="Times New Roman"/>
          <w:color w:val="0D0D0D"/>
          <w:sz w:val="24"/>
          <w:szCs w:val="24"/>
        </w:rPr>
        <w:t xml:space="preserve">-së, Tiranë, në pjesën që ka disponuar kthimin ish-pronarit të pasurisë së paluajtshme nr. 8/409. Gjykata e apelit ka vendosur rrëzimin e kësaj kërkese, me arsyetimin se nuk janë kushtet e nenit 297/a të </w:t>
      </w:r>
      <w:r w:rsidRPr="00C34BC8">
        <w:rPr>
          <w:rFonts w:ascii="Garamond" w:eastAsiaTheme="minorHAnsi" w:hAnsi="Garamond" w:cs="Times New Roman"/>
          <w:color w:val="000000"/>
          <w:sz w:val="24"/>
          <w:szCs w:val="24"/>
        </w:rPr>
        <w:t>Kodit të Procedurës Civile (</w:t>
      </w:r>
      <w:proofErr w:type="spellStart"/>
      <w:r w:rsidRPr="00C34BC8">
        <w:rPr>
          <w:rFonts w:ascii="Garamond" w:eastAsiaTheme="minorHAnsi" w:hAnsi="Garamond" w:cs="Times New Roman"/>
          <w:i/>
          <w:iCs/>
          <w:color w:val="000000"/>
          <w:sz w:val="24"/>
          <w:szCs w:val="24"/>
        </w:rPr>
        <w:t>KPC</w:t>
      </w:r>
      <w:proofErr w:type="spellEnd"/>
      <w:r w:rsidRPr="00C34BC8">
        <w:rPr>
          <w:rFonts w:ascii="Garamond" w:eastAsiaTheme="minorHAnsi" w:hAnsi="Garamond" w:cs="Times New Roman"/>
          <w:color w:val="000000"/>
          <w:sz w:val="24"/>
          <w:szCs w:val="24"/>
        </w:rPr>
        <w:t xml:space="preserve">), pasi, </w:t>
      </w:r>
      <w:r w:rsidRPr="00C34BC8">
        <w:rPr>
          <w:rFonts w:ascii="Garamond" w:eastAsiaTheme="minorHAnsi" w:hAnsi="Garamond" w:cs="Times New Roman"/>
          <w:color w:val="0D0D0D"/>
          <w:sz w:val="24"/>
          <w:szCs w:val="24"/>
        </w:rPr>
        <w:t xml:space="preserve">pavarësisht lidhjes midis dy gjykimeve, nuk është rasti që çështja administrative nuk mund të zgjidhet pa përfunduar gjykimi i çështjes civile, për sa kohë që vlerësimi nëse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 xml:space="preserve">-ja nr. 207/2000 është ose jo një akt administrativ pjesërisht absolutisht i pavlefshëm nuk varet nga përfundimi i gjykimit civil të vënë në lëvizje nga personi i tretë. </w:t>
      </w:r>
    </w:p>
    <w:p w14:paraId="17D7598E" w14:textId="244E67B4"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9. </w:t>
      </w:r>
      <w:r w:rsidRPr="00C34BC8">
        <w:rPr>
          <w:rFonts w:ascii="Garamond" w:eastAsiaTheme="minorHAnsi" w:hAnsi="Garamond" w:cs="Times New Roman"/>
          <w:color w:val="0D0D0D"/>
          <w:sz w:val="24"/>
          <w:szCs w:val="24"/>
        </w:rPr>
        <w:t xml:space="preserve">Në përfundim të gjykimit, Gjykata Administrative e Apelit, me vendimin nr.1682 (86-2024-1808), datë 10.10.2024, ka ndryshuar vendimin e gjykatës së shkallës së parë, duke vendosur: pranimin e padisë; konstatimin pjesërisht absolutisht të pavlefshme të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 xml:space="preserve">-në nr. 207/2000, për sa i përket pikës 2 të saj, për </w:t>
      </w:r>
      <w:proofErr w:type="spellStart"/>
      <w:r w:rsidRPr="00C34BC8">
        <w:rPr>
          <w:rFonts w:ascii="Garamond" w:eastAsiaTheme="minorHAnsi" w:hAnsi="Garamond" w:cs="Times New Roman"/>
          <w:color w:val="0D0D0D"/>
          <w:sz w:val="24"/>
          <w:szCs w:val="24"/>
        </w:rPr>
        <w:t>disponimin</w:t>
      </w:r>
      <w:proofErr w:type="spellEnd"/>
      <w:r w:rsidRPr="00C34BC8">
        <w:rPr>
          <w:rFonts w:ascii="Garamond" w:eastAsiaTheme="minorHAnsi" w:hAnsi="Garamond" w:cs="Times New Roman"/>
          <w:color w:val="0D0D0D"/>
          <w:sz w:val="24"/>
          <w:szCs w:val="24"/>
        </w:rPr>
        <w:t xml:space="preserve"> e pasurisë së paluajtshme nr. 8/118, për sipërfaqen 1804 </w:t>
      </w:r>
      <w:r w:rsidR="00056590">
        <w:rPr>
          <w:rFonts w:ascii="Garamond" w:eastAsiaTheme="minorHAnsi" w:hAnsi="Garamond" w:cs="Times New Roman"/>
          <w:color w:val="0D0D0D"/>
          <w:sz w:val="24"/>
          <w:szCs w:val="24"/>
        </w:rPr>
        <w:t>m</w:t>
      </w:r>
      <w:r w:rsidR="00056590"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D0D0D"/>
          <w:sz w:val="24"/>
          <w:szCs w:val="24"/>
        </w:rPr>
        <w:t xml:space="preserve"> që i korrespondon pasurisë së paluajtshme nr. 8/409; detyrimin e ASHK-së të heqë kufizim</w:t>
      </w:r>
      <w:r w:rsidR="00056590">
        <w:rPr>
          <w:rFonts w:ascii="Garamond" w:eastAsiaTheme="minorHAnsi" w:hAnsi="Garamond" w:cs="Times New Roman"/>
          <w:color w:val="0D0D0D"/>
          <w:sz w:val="24"/>
          <w:szCs w:val="24"/>
        </w:rPr>
        <w:t>in e datës 21.</w:t>
      </w:r>
      <w:r w:rsidRPr="00C34BC8">
        <w:rPr>
          <w:rFonts w:ascii="Garamond" w:eastAsiaTheme="minorHAnsi" w:hAnsi="Garamond" w:cs="Times New Roman"/>
          <w:color w:val="0D0D0D"/>
          <w:sz w:val="24"/>
          <w:szCs w:val="24"/>
        </w:rPr>
        <w:t>3.2013</w:t>
      </w:r>
      <w:r w:rsidR="00056590">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mbi këtë pasuri, të fshijë shënimin “mbivendosje” në kartelën e pasurisë, si dhe ta regjistrojë pasurinë sipas titullit të pronësisë, vendimit nr. 157/199</w:t>
      </w:r>
      <w:r w:rsidR="00056590">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5 të </w:t>
      </w:r>
      <w:proofErr w:type="spellStart"/>
      <w:r w:rsidRPr="00C34BC8">
        <w:rPr>
          <w:rFonts w:ascii="Garamond" w:eastAsiaTheme="minorHAnsi" w:hAnsi="Garamond" w:cs="Times New Roman"/>
          <w:color w:val="0D0D0D"/>
          <w:sz w:val="24"/>
          <w:szCs w:val="24"/>
        </w:rPr>
        <w:t>KKKP</w:t>
      </w:r>
      <w:proofErr w:type="spellEnd"/>
      <w:r w:rsidRPr="00C34BC8">
        <w:rPr>
          <w:rFonts w:ascii="Garamond" w:eastAsiaTheme="minorHAnsi" w:hAnsi="Garamond" w:cs="Times New Roman"/>
          <w:color w:val="0D0D0D"/>
          <w:sz w:val="24"/>
          <w:szCs w:val="24"/>
        </w:rPr>
        <w:t xml:space="preserve">-së, Tiranë. Sipas asaj gjykate, pasuria e paluajtshme nr. 8/409, me sipërfaqe 1804 </w:t>
      </w:r>
      <w:r w:rsidR="00056590">
        <w:rPr>
          <w:rFonts w:ascii="Garamond" w:eastAsiaTheme="minorHAnsi" w:hAnsi="Garamond" w:cs="Times New Roman"/>
          <w:color w:val="0D0D0D"/>
          <w:sz w:val="24"/>
          <w:szCs w:val="24"/>
        </w:rPr>
        <w:t>m</w:t>
      </w:r>
      <w:r w:rsidR="00056590"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D0D0D"/>
          <w:sz w:val="24"/>
          <w:szCs w:val="24"/>
        </w:rPr>
        <w:t xml:space="preserve">, është disponuar në favor të Fondacionit me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-në nr. 207/2000, pika 2 e saj, si pjesë e pasurisë nr. 8/118 ndërkohë që Këshilli i Ministrave nuk ka pasur kompetencë të disponojë këtë pasuri pasi në atë kohë pronar nuk ka qenë shteti shqiptar, por paditësi dhe bashkëpronarët e tjerë sipas vendimit nr. 157/1995</w:t>
      </w:r>
      <w:r w:rsidR="00056590">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të </w:t>
      </w:r>
      <w:proofErr w:type="spellStart"/>
      <w:r w:rsidRPr="00C34BC8">
        <w:rPr>
          <w:rFonts w:ascii="Garamond" w:eastAsiaTheme="minorHAnsi" w:hAnsi="Garamond" w:cs="Times New Roman"/>
          <w:color w:val="0D0D0D"/>
          <w:sz w:val="24"/>
          <w:szCs w:val="24"/>
        </w:rPr>
        <w:t>KKKP</w:t>
      </w:r>
      <w:proofErr w:type="spellEnd"/>
      <w:r w:rsidRPr="00C34BC8">
        <w:rPr>
          <w:rFonts w:ascii="Garamond" w:eastAsiaTheme="minorHAnsi" w:hAnsi="Garamond" w:cs="Times New Roman"/>
          <w:color w:val="0D0D0D"/>
          <w:sz w:val="24"/>
          <w:szCs w:val="24"/>
        </w:rPr>
        <w:t xml:space="preserve">-së, Tiranë. Gjykata e apelit ka gjetur të drejtë edhe kërkimin për heqjen e masës së kufizimit mbi pasurinë, duke vlerësuar se ai zgjat 30 ditë kalendarike, afat që ka kaluar në kohën e ngritjes së padisë. Kundër vendimit ka paraqitur rekurs kërkuesi dhe Avokatura e Shtetit. </w:t>
      </w:r>
    </w:p>
    <w:p w14:paraId="3B93548F" w14:textId="2CE1DF82"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10. Kolegji Administrativ i Gjykatës së Lartë, me vend</w:t>
      </w:r>
      <w:r w:rsidR="00056590">
        <w:rPr>
          <w:rFonts w:ascii="Garamond" w:eastAsiaTheme="minorHAnsi" w:hAnsi="Garamond" w:cs="Times New Roman"/>
          <w:color w:val="000000"/>
          <w:sz w:val="24"/>
          <w:szCs w:val="24"/>
        </w:rPr>
        <w:t>imin nr. 00-2025-2121, datë 27.</w:t>
      </w:r>
      <w:r w:rsidRPr="00C34BC8">
        <w:rPr>
          <w:rFonts w:ascii="Garamond" w:eastAsiaTheme="minorHAnsi" w:hAnsi="Garamond" w:cs="Times New Roman"/>
          <w:color w:val="000000"/>
          <w:sz w:val="24"/>
          <w:szCs w:val="24"/>
        </w:rPr>
        <w:t>5.2025, ka vendosur mospranimin e rekursit, pasi nuk përmbante asnjë nga shkaqet e parashikuara nga neni 58</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i ligjit nr. 49/2012</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“Për gjykatat administrative dhe gjykimin e mosmarrëveshjeve administrative”, të ndryshuar (</w:t>
      </w:r>
      <w:r w:rsidRPr="00C34BC8">
        <w:rPr>
          <w:rFonts w:ascii="Garamond" w:eastAsiaTheme="minorHAnsi" w:hAnsi="Garamond" w:cs="Times New Roman"/>
          <w:i/>
          <w:iCs/>
          <w:color w:val="000000"/>
          <w:sz w:val="24"/>
          <w:szCs w:val="24"/>
        </w:rPr>
        <w:t>ligji nr. 49/2012</w:t>
      </w:r>
      <w:r w:rsidRPr="00C34BC8">
        <w:rPr>
          <w:rFonts w:ascii="Garamond" w:eastAsiaTheme="minorHAnsi" w:hAnsi="Garamond" w:cs="Times New Roman"/>
          <w:color w:val="000000"/>
          <w:sz w:val="24"/>
          <w:szCs w:val="24"/>
        </w:rPr>
        <w:t>),</w:t>
      </w:r>
      <w:r w:rsidRPr="00C34BC8">
        <w:rPr>
          <w:rFonts w:ascii="Garamond" w:eastAsiaTheme="minorHAnsi" w:hAnsi="Garamond" w:cs="Times New Roman"/>
          <w:color w:val="0D0D0D"/>
          <w:sz w:val="24"/>
          <w:szCs w:val="24"/>
        </w:rPr>
        <w:t xml:space="preserve"> që bën të mundur pretendimin për cenimin në thelb të vendimit të Gjykatës Administrative të Apelit. </w:t>
      </w:r>
    </w:p>
    <w:p w14:paraId="1E1FBFBA" w14:textId="77777777"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i/>
          <w:iCs/>
          <w:color w:val="000000"/>
          <w:sz w:val="24"/>
          <w:szCs w:val="24"/>
        </w:rPr>
        <w:t xml:space="preserve">Procese gjyqësore të lidhura </w:t>
      </w:r>
    </w:p>
    <w:p w14:paraId="430B0AE0" w14:textId="7048536B"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11. Kërkuesi rezulton t’i jetë drejtuar gjykatës me padi, me të </w:t>
      </w:r>
      <w:proofErr w:type="spellStart"/>
      <w:r w:rsidRPr="00C34BC8">
        <w:rPr>
          <w:rFonts w:ascii="Garamond" w:eastAsiaTheme="minorHAnsi" w:hAnsi="Garamond" w:cs="Times New Roman"/>
          <w:color w:val="000000"/>
          <w:sz w:val="24"/>
          <w:szCs w:val="24"/>
        </w:rPr>
        <w:t>kundërpaditur</w:t>
      </w:r>
      <w:proofErr w:type="spellEnd"/>
      <w:r w:rsidRPr="00C34BC8">
        <w:rPr>
          <w:rFonts w:ascii="Garamond" w:eastAsiaTheme="minorHAnsi" w:hAnsi="Garamond" w:cs="Times New Roman"/>
          <w:color w:val="000000"/>
          <w:sz w:val="24"/>
          <w:szCs w:val="24"/>
        </w:rPr>
        <w:t xml:space="preserve"> trashëgimtarët </w:t>
      </w:r>
      <w:proofErr w:type="spellStart"/>
      <w:r w:rsidRPr="00C34BC8">
        <w:rPr>
          <w:rFonts w:ascii="Garamond" w:eastAsiaTheme="minorHAnsi" w:hAnsi="Garamond" w:cs="Times New Roman"/>
          <w:color w:val="000000"/>
          <w:sz w:val="24"/>
          <w:szCs w:val="24"/>
        </w:rPr>
        <w:t>Beqiri</w:t>
      </w:r>
      <w:proofErr w:type="spellEnd"/>
      <w:r w:rsidRPr="00C34BC8">
        <w:rPr>
          <w:rFonts w:ascii="Garamond" w:eastAsiaTheme="minorHAnsi" w:hAnsi="Garamond" w:cs="Times New Roman"/>
          <w:color w:val="000000"/>
          <w:sz w:val="24"/>
          <w:szCs w:val="24"/>
        </w:rPr>
        <w:t xml:space="preserve"> dhe me objekt shfuqizimin pjesërisht të vendimit nr. 157/1995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të </w:t>
      </w:r>
      <w:proofErr w:type="spellStart"/>
      <w:r w:rsidRPr="00C34BC8">
        <w:rPr>
          <w:rFonts w:ascii="Garamond" w:eastAsiaTheme="minorHAnsi" w:hAnsi="Garamond" w:cs="Times New Roman"/>
          <w:color w:val="000000"/>
          <w:sz w:val="24"/>
          <w:szCs w:val="24"/>
        </w:rPr>
        <w:t>KKKP</w:t>
      </w:r>
      <w:proofErr w:type="spellEnd"/>
      <w:r w:rsidRPr="00C34BC8">
        <w:rPr>
          <w:rFonts w:ascii="Garamond" w:eastAsiaTheme="minorHAnsi" w:hAnsi="Garamond" w:cs="Times New Roman"/>
          <w:color w:val="000000"/>
          <w:sz w:val="24"/>
          <w:szCs w:val="24"/>
        </w:rPr>
        <w:t xml:space="preserve">-së, Tiranë për sa i përket pikës 1 të këtij vendimi me të cilin i është kthyer të paditurve si truall i lirë sipërfaqja 4659 m², e regjistruar në pasuritë nr. 8/132, nr. 8/142 dhe nr. 8/143, që ndodhet brenda sipërfaqes së pronës së Fondacionit, si dhe detyrimin e së paditurës, ASHK-së, të fshijë nga regjistri i pasurive të paluajtshme pasurinë në emër të </w:t>
      </w:r>
      <w:proofErr w:type="spellStart"/>
      <w:r w:rsidRPr="00C34BC8">
        <w:rPr>
          <w:rFonts w:ascii="Garamond" w:eastAsiaTheme="minorHAnsi" w:hAnsi="Garamond" w:cs="Times New Roman"/>
          <w:color w:val="000000"/>
          <w:sz w:val="24"/>
          <w:szCs w:val="24"/>
        </w:rPr>
        <w:t>të</w:t>
      </w:r>
      <w:proofErr w:type="spellEnd"/>
      <w:r w:rsidRPr="00C34BC8">
        <w:rPr>
          <w:rFonts w:ascii="Garamond" w:eastAsiaTheme="minorHAnsi" w:hAnsi="Garamond" w:cs="Times New Roman"/>
          <w:color w:val="000000"/>
          <w:sz w:val="24"/>
          <w:szCs w:val="24"/>
        </w:rPr>
        <w:t xml:space="preserve"> paditurve e regjistrimin e saj në emër të paditësit.</w:t>
      </w:r>
    </w:p>
    <w:p w14:paraId="19AD1815" w14:textId="76C0C491"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12. Gjykata e Shkallës së Parë e Juridiksionit të Përgjithshëm Tiranë,</w:t>
      </w:r>
      <w:r w:rsidR="00056590">
        <w:rPr>
          <w:rFonts w:ascii="Garamond" w:eastAsiaTheme="minorHAnsi" w:hAnsi="Garamond" w:cs="Times New Roman"/>
          <w:color w:val="000000"/>
          <w:sz w:val="24"/>
          <w:szCs w:val="24"/>
        </w:rPr>
        <w:t xml:space="preserve"> me vendimin nr. 3167, datë 23.</w:t>
      </w:r>
      <w:r w:rsidRPr="00C34BC8">
        <w:rPr>
          <w:rFonts w:ascii="Garamond" w:eastAsiaTheme="minorHAnsi" w:hAnsi="Garamond" w:cs="Times New Roman"/>
          <w:color w:val="000000"/>
          <w:sz w:val="24"/>
          <w:szCs w:val="24"/>
        </w:rPr>
        <w:t>5.2024, ka vendosur kthimin e padisë dhe akteve. Mbi ankimin e paditësit (kërkuesit) Gjykata e Apelit e Juridiksionit të Përgjithshëm, me vend</w:t>
      </w:r>
      <w:r w:rsidR="00056590">
        <w:rPr>
          <w:rFonts w:ascii="Garamond" w:eastAsiaTheme="minorHAnsi" w:hAnsi="Garamond" w:cs="Times New Roman"/>
          <w:color w:val="000000"/>
          <w:sz w:val="24"/>
          <w:szCs w:val="24"/>
        </w:rPr>
        <w:t>imin nr. 1100, datë 2.</w:t>
      </w:r>
      <w:r w:rsidRPr="00C34BC8">
        <w:rPr>
          <w:rFonts w:ascii="Garamond" w:eastAsiaTheme="minorHAnsi" w:hAnsi="Garamond" w:cs="Times New Roman"/>
          <w:color w:val="000000"/>
          <w:sz w:val="24"/>
          <w:szCs w:val="24"/>
        </w:rPr>
        <w:t>6.2026</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ka vendosur lënien në fuqi të vendimit të gjykatës së shkallës së parë.  </w:t>
      </w:r>
    </w:p>
    <w:p w14:paraId="208195E7" w14:textId="0566F908"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13. Po kështu, rezulton se edhe fondacioni “Zonja e Këshillit të Mirë” i është drejtuar gjykatës me padi </w:t>
      </w:r>
      <w:proofErr w:type="spellStart"/>
      <w:r w:rsidRPr="00C34BC8">
        <w:rPr>
          <w:rFonts w:ascii="Garamond" w:eastAsiaTheme="minorHAnsi" w:hAnsi="Garamond" w:cs="Times New Roman"/>
          <w:color w:val="000000"/>
          <w:sz w:val="24"/>
          <w:szCs w:val="24"/>
        </w:rPr>
        <w:t>kundërdrejtuar</w:t>
      </w:r>
      <w:proofErr w:type="spellEnd"/>
      <w:r w:rsidRPr="00C34BC8">
        <w:rPr>
          <w:rFonts w:ascii="Garamond" w:eastAsiaTheme="minorHAnsi" w:hAnsi="Garamond" w:cs="Times New Roman"/>
          <w:color w:val="000000"/>
          <w:sz w:val="24"/>
          <w:szCs w:val="24"/>
        </w:rPr>
        <w:t xml:space="preserve"> trashëgimtarëve </w:t>
      </w:r>
      <w:proofErr w:type="spellStart"/>
      <w:r w:rsidRPr="00C34BC8">
        <w:rPr>
          <w:rFonts w:ascii="Garamond" w:eastAsiaTheme="minorHAnsi" w:hAnsi="Garamond" w:cs="Times New Roman"/>
          <w:color w:val="000000"/>
          <w:sz w:val="24"/>
          <w:szCs w:val="24"/>
        </w:rPr>
        <w:t>Beqiri</w:t>
      </w:r>
      <w:proofErr w:type="spellEnd"/>
      <w:r w:rsidRPr="00C34BC8">
        <w:rPr>
          <w:rFonts w:ascii="Garamond" w:eastAsiaTheme="minorHAnsi" w:hAnsi="Garamond" w:cs="Times New Roman"/>
          <w:color w:val="000000"/>
          <w:sz w:val="24"/>
          <w:szCs w:val="24"/>
        </w:rPr>
        <w:t>, përfshirë kërkuesin, me objekt anulimin e vendimit nr. 157/1995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për pasuritë nr. 8/399 dhe 8/403, detyrimin e të paditurve ta njohin pronar, si dhe detyrimin e ASHK-së të lëshojë certifikatën e pronësisë në emër të paditësit për këto pasuri. Të paditurit kanë ngritur kundërpadi me objekt detyrimin e paditësit, fondacionit “Zonja e Këshillit të Mirë”, të njohë pronarë trashëgimtarët e Y.</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B. dhe S.</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B. për pronën e njohur dhe kthyer në natyrë me vendimin nr. 157/1995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të </w:t>
      </w:r>
      <w:proofErr w:type="spellStart"/>
      <w:r w:rsidRPr="00C34BC8">
        <w:rPr>
          <w:rFonts w:ascii="Garamond" w:eastAsiaTheme="minorHAnsi" w:hAnsi="Garamond" w:cs="Times New Roman"/>
          <w:color w:val="000000"/>
          <w:sz w:val="24"/>
          <w:szCs w:val="24"/>
        </w:rPr>
        <w:t>KKKP</w:t>
      </w:r>
      <w:proofErr w:type="spellEnd"/>
      <w:r w:rsidRPr="00C34BC8">
        <w:rPr>
          <w:rFonts w:ascii="Garamond" w:eastAsiaTheme="minorHAnsi" w:hAnsi="Garamond" w:cs="Times New Roman"/>
          <w:color w:val="000000"/>
          <w:sz w:val="24"/>
          <w:szCs w:val="24"/>
        </w:rPr>
        <w:t xml:space="preserve">-së, Tiranë dhe urdhërimin e </w:t>
      </w:r>
      <w:proofErr w:type="spellStart"/>
      <w:r w:rsidRPr="00C34BC8">
        <w:rPr>
          <w:rFonts w:ascii="Garamond" w:eastAsiaTheme="minorHAnsi" w:hAnsi="Garamond" w:cs="Times New Roman"/>
          <w:color w:val="000000"/>
          <w:sz w:val="24"/>
          <w:szCs w:val="24"/>
        </w:rPr>
        <w:t>ZVRPP</w:t>
      </w:r>
      <w:proofErr w:type="spellEnd"/>
      <w:r w:rsidRPr="00C34BC8">
        <w:rPr>
          <w:rFonts w:ascii="Garamond" w:eastAsiaTheme="minorHAnsi" w:hAnsi="Garamond" w:cs="Times New Roman"/>
          <w:color w:val="000000"/>
          <w:sz w:val="24"/>
          <w:szCs w:val="24"/>
        </w:rPr>
        <w:t xml:space="preserve">-së,  Tiranë të fshijë nga regjistrat hipotekarë truallin e regjistruar në emër të paditësit për pjesën që ka krijuar mbivendosje me pronën e të paditurve, si dhe pajisjen e tyre me dokumentacion të vlefshëm hipotekar.  </w:t>
      </w:r>
    </w:p>
    <w:p w14:paraId="26608235" w14:textId="11C3DAF6"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14. Gjykata e Rrethit Gjyqësor Tiranë, me vend</w:t>
      </w:r>
      <w:r w:rsidR="00056590">
        <w:rPr>
          <w:rFonts w:ascii="Garamond" w:eastAsiaTheme="minorHAnsi" w:hAnsi="Garamond" w:cs="Times New Roman"/>
          <w:color w:val="000000"/>
          <w:sz w:val="24"/>
          <w:szCs w:val="24"/>
        </w:rPr>
        <w:t xml:space="preserve">imin nr. 7445, datë </w:t>
      </w:r>
      <w:r w:rsidRPr="00C34BC8">
        <w:rPr>
          <w:rFonts w:ascii="Garamond" w:eastAsiaTheme="minorHAnsi" w:hAnsi="Garamond" w:cs="Times New Roman"/>
          <w:color w:val="000000"/>
          <w:sz w:val="24"/>
          <w:szCs w:val="24"/>
        </w:rPr>
        <w:t xml:space="preserve">5.11.2019, ka vendosur pranimin e kërkesëpadisë, anulimin pjesërisht të vendimit nr. 157/1995 të </w:t>
      </w:r>
      <w:proofErr w:type="spellStart"/>
      <w:r w:rsidRPr="00C34BC8">
        <w:rPr>
          <w:rFonts w:ascii="Garamond" w:eastAsiaTheme="minorHAnsi" w:hAnsi="Garamond" w:cs="Times New Roman"/>
          <w:color w:val="000000"/>
          <w:sz w:val="24"/>
          <w:szCs w:val="24"/>
        </w:rPr>
        <w:t>KKKP</w:t>
      </w:r>
      <w:proofErr w:type="spellEnd"/>
      <w:r w:rsidRPr="00C34BC8">
        <w:rPr>
          <w:rFonts w:ascii="Garamond" w:eastAsiaTheme="minorHAnsi" w:hAnsi="Garamond" w:cs="Times New Roman"/>
          <w:color w:val="000000"/>
          <w:sz w:val="24"/>
          <w:szCs w:val="24"/>
        </w:rPr>
        <w:t xml:space="preserve">-së, për sa u përket pasurive nr. 8/399, me sipërfaqe 1084 </w:t>
      </w:r>
      <w:r w:rsidR="00056590">
        <w:rPr>
          <w:rFonts w:ascii="Garamond" w:eastAsiaTheme="minorHAnsi" w:hAnsi="Garamond" w:cs="Times New Roman"/>
          <w:color w:val="0D0D0D"/>
          <w:sz w:val="24"/>
          <w:szCs w:val="24"/>
        </w:rPr>
        <w:t>m</w:t>
      </w:r>
      <w:r w:rsidR="00056590"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00000"/>
          <w:position w:val="7"/>
          <w:sz w:val="24"/>
          <w:szCs w:val="24"/>
        </w:rPr>
        <w:t xml:space="preserve"> </w:t>
      </w:r>
      <w:r w:rsidRPr="00C34BC8">
        <w:rPr>
          <w:rFonts w:ascii="Garamond" w:eastAsiaTheme="minorHAnsi" w:hAnsi="Garamond" w:cs="Times New Roman"/>
          <w:color w:val="000000"/>
          <w:sz w:val="24"/>
          <w:szCs w:val="24"/>
        </w:rPr>
        <w:t xml:space="preserve">dhe nr. 8/403, me sipërfaqe 113 </w:t>
      </w:r>
      <w:r w:rsidR="00056590">
        <w:rPr>
          <w:rFonts w:ascii="Garamond" w:eastAsiaTheme="minorHAnsi" w:hAnsi="Garamond" w:cs="Times New Roman"/>
          <w:color w:val="0D0D0D"/>
          <w:sz w:val="24"/>
          <w:szCs w:val="24"/>
        </w:rPr>
        <w:t>m</w:t>
      </w:r>
      <w:r w:rsidR="00056590" w:rsidRPr="00C34BC8">
        <w:rPr>
          <w:rFonts w:ascii="Garamond" w:eastAsiaTheme="minorHAnsi" w:hAnsi="Garamond" w:cs="Times New Roman"/>
          <w:color w:val="0D0D0D"/>
          <w:sz w:val="24"/>
          <w:szCs w:val="24"/>
          <w:vertAlign w:val="superscript"/>
        </w:rPr>
        <w:t>2</w:t>
      </w:r>
      <w:r w:rsidRPr="00C34BC8">
        <w:rPr>
          <w:rFonts w:ascii="Garamond" w:eastAsiaTheme="minorHAnsi" w:hAnsi="Garamond" w:cs="Times New Roman"/>
          <w:color w:val="000000"/>
          <w:sz w:val="24"/>
          <w:szCs w:val="24"/>
        </w:rPr>
        <w:t xml:space="preserve">, të ndodhura në rrugën “Mine </w:t>
      </w:r>
      <w:r w:rsidRPr="00C34BC8">
        <w:rPr>
          <w:rFonts w:ascii="Garamond" w:eastAsiaTheme="minorHAnsi" w:hAnsi="Garamond" w:cs="Times New Roman"/>
          <w:color w:val="000000"/>
          <w:sz w:val="24"/>
          <w:szCs w:val="24"/>
        </w:rPr>
        <w:lastRenderedPageBreak/>
        <w:t xml:space="preserve">Peza”, Tiranë, detyrimin e të paditurve </w:t>
      </w:r>
      <w:proofErr w:type="spellStart"/>
      <w:r w:rsidRPr="00C34BC8">
        <w:rPr>
          <w:rFonts w:ascii="Garamond" w:eastAsiaTheme="minorHAnsi" w:hAnsi="Garamond" w:cs="Times New Roman"/>
          <w:color w:val="000000"/>
          <w:sz w:val="24"/>
          <w:szCs w:val="24"/>
        </w:rPr>
        <w:t>kundërpaditës</w:t>
      </w:r>
      <w:proofErr w:type="spellEnd"/>
      <w:r w:rsidRPr="00C34BC8">
        <w:rPr>
          <w:rFonts w:ascii="Garamond" w:eastAsiaTheme="minorHAnsi" w:hAnsi="Garamond" w:cs="Times New Roman"/>
          <w:color w:val="000000"/>
          <w:sz w:val="24"/>
          <w:szCs w:val="24"/>
        </w:rPr>
        <w:t xml:space="preserve"> të njohin paditësin e </w:t>
      </w:r>
      <w:proofErr w:type="spellStart"/>
      <w:r w:rsidRPr="00C34BC8">
        <w:rPr>
          <w:rFonts w:ascii="Garamond" w:eastAsiaTheme="minorHAnsi" w:hAnsi="Garamond" w:cs="Times New Roman"/>
          <w:color w:val="000000"/>
          <w:sz w:val="24"/>
          <w:szCs w:val="24"/>
        </w:rPr>
        <w:t>kundërpaditur</w:t>
      </w:r>
      <w:proofErr w:type="spellEnd"/>
      <w:r w:rsidRPr="00C34BC8">
        <w:rPr>
          <w:rFonts w:ascii="Garamond" w:eastAsiaTheme="minorHAnsi" w:hAnsi="Garamond" w:cs="Times New Roman"/>
          <w:color w:val="000000"/>
          <w:sz w:val="24"/>
          <w:szCs w:val="24"/>
        </w:rPr>
        <w:t xml:space="preserve"> pronar të ligjshëm të këtyre pasurive, detyrimin e ASHK-së të lëshojë certifikatën e pronësisë në emër të paditësit të </w:t>
      </w:r>
      <w:proofErr w:type="spellStart"/>
      <w:r w:rsidRPr="00C34BC8">
        <w:rPr>
          <w:rFonts w:ascii="Garamond" w:eastAsiaTheme="minorHAnsi" w:hAnsi="Garamond" w:cs="Times New Roman"/>
          <w:color w:val="000000"/>
          <w:sz w:val="24"/>
          <w:szCs w:val="24"/>
        </w:rPr>
        <w:t>kundërpaditur</w:t>
      </w:r>
      <w:proofErr w:type="spellEnd"/>
      <w:r w:rsidRPr="00C34BC8">
        <w:rPr>
          <w:rFonts w:ascii="Garamond" w:eastAsiaTheme="minorHAnsi" w:hAnsi="Garamond" w:cs="Times New Roman"/>
          <w:color w:val="000000"/>
          <w:sz w:val="24"/>
          <w:szCs w:val="24"/>
        </w:rPr>
        <w:t xml:space="preserve"> për këto pasuri, si dhe rrëzimin e kundërpadisë të </w:t>
      </w:r>
      <w:proofErr w:type="spellStart"/>
      <w:r w:rsidRPr="00C34BC8">
        <w:rPr>
          <w:rFonts w:ascii="Garamond" w:eastAsiaTheme="minorHAnsi" w:hAnsi="Garamond" w:cs="Times New Roman"/>
          <w:color w:val="000000"/>
          <w:sz w:val="24"/>
          <w:szCs w:val="24"/>
        </w:rPr>
        <w:t>të</w:t>
      </w:r>
      <w:proofErr w:type="spellEnd"/>
      <w:r w:rsidRPr="00C34BC8">
        <w:rPr>
          <w:rFonts w:ascii="Garamond" w:eastAsiaTheme="minorHAnsi" w:hAnsi="Garamond" w:cs="Times New Roman"/>
          <w:color w:val="000000"/>
          <w:sz w:val="24"/>
          <w:szCs w:val="24"/>
        </w:rPr>
        <w:t xml:space="preserve"> paditurve/</w:t>
      </w:r>
      <w:proofErr w:type="spellStart"/>
      <w:r w:rsidRPr="00C34BC8">
        <w:rPr>
          <w:rFonts w:ascii="Garamond" w:eastAsiaTheme="minorHAnsi" w:hAnsi="Garamond" w:cs="Times New Roman"/>
          <w:color w:val="000000"/>
          <w:sz w:val="24"/>
          <w:szCs w:val="24"/>
        </w:rPr>
        <w:t>kundërpaditës</w:t>
      </w:r>
      <w:proofErr w:type="spellEnd"/>
      <w:r w:rsidRPr="00C34BC8">
        <w:rPr>
          <w:rFonts w:ascii="Garamond" w:eastAsiaTheme="minorHAnsi" w:hAnsi="Garamond" w:cs="Times New Roman"/>
          <w:color w:val="000000"/>
          <w:sz w:val="24"/>
          <w:szCs w:val="24"/>
        </w:rPr>
        <w:t xml:space="preserve">. Kundër këtij vendimi kanë paraqitur ankim të paditurit </w:t>
      </w:r>
      <w:proofErr w:type="spellStart"/>
      <w:r w:rsidRPr="00C34BC8">
        <w:rPr>
          <w:rFonts w:ascii="Garamond" w:eastAsiaTheme="minorHAnsi" w:hAnsi="Garamond" w:cs="Times New Roman"/>
          <w:color w:val="000000"/>
          <w:sz w:val="24"/>
          <w:szCs w:val="24"/>
        </w:rPr>
        <w:t>kundërpaditës</w:t>
      </w:r>
      <w:proofErr w:type="spellEnd"/>
      <w:r w:rsidRPr="00C34BC8">
        <w:rPr>
          <w:rFonts w:ascii="Garamond" w:eastAsiaTheme="minorHAnsi" w:hAnsi="Garamond" w:cs="Times New Roman"/>
          <w:color w:val="000000"/>
          <w:sz w:val="24"/>
          <w:szCs w:val="24"/>
        </w:rPr>
        <w:t xml:space="preserve">. </w:t>
      </w:r>
    </w:p>
    <w:p w14:paraId="5F6FE313" w14:textId="36DEB4BF"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15. Gjykata e Apelit e Juridiksionit të Përgjithshëm Tiranë, me vendimin </w:t>
      </w:r>
      <w:r w:rsidR="00056590">
        <w:rPr>
          <w:rFonts w:ascii="Garamond" w:eastAsiaTheme="minorHAnsi" w:hAnsi="Garamond" w:cs="Times New Roman"/>
          <w:color w:val="000000"/>
          <w:sz w:val="24"/>
          <w:szCs w:val="24"/>
        </w:rPr>
        <w:t>nr. 468 (30-2024-4061), datë 22.</w:t>
      </w:r>
      <w:r w:rsidRPr="00C34BC8">
        <w:rPr>
          <w:rFonts w:ascii="Garamond" w:eastAsiaTheme="minorHAnsi" w:hAnsi="Garamond" w:cs="Times New Roman"/>
          <w:color w:val="000000"/>
          <w:sz w:val="24"/>
          <w:szCs w:val="24"/>
        </w:rPr>
        <w:t xml:space="preserve">5.2024, ka vendosur pushimin e shqyrtimit të çështjes në shkallë të dytë, pra vendimi i gjykatës së shkallës së parë ka mbetur i pacenuar, për shkak të heqjes dorë të palëve nga ankimi.  </w:t>
      </w:r>
    </w:p>
    <w:p w14:paraId="6267361A" w14:textId="5964D5C6"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16. </w:t>
      </w:r>
      <w:r w:rsidR="00056590">
        <w:rPr>
          <w:rFonts w:ascii="Garamond" w:eastAsiaTheme="minorHAnsi" w:hAnsi="Garamond" w:cs="Times New Roman"/>
          <w:color w:val="000000"/>
          <w:sz w:val="24"/>
          <w:szCs w:val="24"/>
        </w:rPr>
        <w:t>Në datën 11.</w:t>
      </w:r>
      <w:r w:rsidRPr="00C34BC8">
        <w:rPr>
          <w:rFonts w:ascii="Garamond" w:eastAsiaTheme="minorHAnsi" w:hAnsi="Garamond" w:cs="Times New Roman"/>
          <w:color w:val="000000"/>
          <w:sz w:val="24"/>
          <w:szCs w:val="24"/>
        </w:rPr>
        <w:t>9.2025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kërkuesi ka paraqitur ankim kushtetues individual në Gjykatën Kushtetuese (</w:t>
      </w:r>
      <w:r w:rsidRPr="00C34BC8">
        <w:rPr>
          <w:rFonts w:ascii="Garamond" w:eastAsiaTheme="minorHAnsi" w:hAnsi="Garamond" w:cs="Times New Roman"/>
          <w:i/>
          <w:iCs/>
          <w:color w:val="000000"/>
          <w:sz w:val="24"/>
          <w:szCs w:val="24"/>
        </w:rPr>
        <w:t>Gjykata</w:t>
      </w:r>
      <w:r w:rsidRPr="00C34BC8">
        <w:rPr>
          <w:rFonts w:ascii="Garamond" w:eastAsiaTheme="minorHAnsi" w:hAnsi="Garamond" w:cs="Times New Roman"/>
          <w:color w:val="000000"/>
          <w:sz w:val="24"/>
          <w:szCs w:val="24"/>
        </w:rPr>
        <w:t>) sipas objektit të tij, i cili, pasi është plotësuar sipas parashikimeve të nenit 27</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të Ligjit Organik të Gjykatës,</w:t>
      </w:r>
      <w:r w:rsidR="00056590">
        <w:rPr>
          <w:rFonts w:ascii="Garamond" w:eastAsiaTheme="minorHAnsi" w:hAnsi="Garamond" w:cs="Times New Roman"/>
          <w:color w:val="000000"/>
          <w:sz w:val="24"/>
          <w:szCs w:val="24"/>
        </w:rPr>
        <w:t xml:space="preserve"> është regjistruar në datën 17.</w:t>
      </w:r>
      <w:r w:rsidRPr="00C34BC8">
        <w:rPr>
          <w:rFonts w:ascii="Garamond" w:eastAsiaTheme="minorHAnsi" w:hAnsi="Garamond" w:cs="Times New Roman"/>
          <w:color w:val="000000"/>
          <w:sz w:val="24"/>
          <w:szCs w:val="24"/>
        </w:rPr>
        <w:t>9.2025. Kolegji i Gjykatës në datën 10.11.2025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ka vendosur kalimin e çështjes për shqyrtim në seancë plenare mbi bazë të dokumenteve. </w:t>
      </w:r>
    </w:p>
    <w:p w14:paraId="2C937A5C" w14:textId="7991552C"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17. Në mbështetje të parashikimeve të nenit 36, pika 1, të Ligjit Organik dhe nenit 18, pika 1, të Rregullores për Procedurat Gjyqësore të Gjykatës Kusht</w:t>
      </w:r>
      <w:r w:rsidR="00056590">
        <w:rPr>
          <w:rFonts w:ascii="Garamond" w:eastAsiaTheme="minorHAnsi" w:hAnsi="Garamond" w:cs="Times New Roman"/>
          <w:color w:val="000000"/>
          <w:sz w:val="24"/>
          <w:szCs w:val="24"/>
        </w:rPr>
        <w:t>etuese, me vendimin e datës 18.</w:t>
      </w:r>
      <w:r w:rsidRPr="00C34BC8">
        <w:rPr>
          <w:rFonts w:ascii="Garamond" w:eastAsiaTheme="minorHAnsi" w:hAnsi="Garamond" w:cs="Times New Roman"/>
          <w:color w:val="000000"/>
          <w:sz w:val="24"/>
          <w:szCs w:val="24"/>
        </w:rPr>
        <w:t>6.2026, Mbledhja e Gjyqtarëve ka vendosur pranimin e kërkesës së një gjyqtari për heqjen dorë nga shqyrtimi i çështjes</w:t>
      </w:r>
      <w:r w:rsidR="00056590">
        <w:rPr>
          <w:rFonts w:ascii="Garamond" w:eastAsiaTheme="minorHAnsi" w:hAnsi="Garamond" w:cs="Times New Roman"/>
          <w:color w:val="000000"/>
          <w:sz w:val="24"/>
          <w:szCs w:val="24"/>
        </w:rPr>
        <w:t>, kurse me vendimin e datës 22.</w:t>
      </w:r>
      <w:r w:rsidRPr="00C34BC8">
        <w:rPr>
          <w:rFonts w:ascii="Garamond" w:eastAsiaTheme="minorHAnsi" w:hAnsi="Garamond" w:cs="Times New Roman"/>
          <w:color w:val="000000"/>
          <w:sz w:val="24"/>
          <w:szCs w:val="24"/>
        </w:rPr>
        <w:t>6.2026</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ka vendosur rrëzimin e kërkesës së një gjyqtari tjetër për heqjen dorë nga shqyrtimi i kësaj çështjeje. </w:t>
      </w:r>
    </w:p>
    <w:p w14:paraId="30C9D904" w14:textId="77777777" w:rsidR="009F20E3" w:rsidRPr="00C34BC8" w:rsidRDefault="009F20E3" w:rsidP="009F20E3">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A972DC4"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roofErr w:type="spellStart"/>
      <w:r w:rsidRPr="00C34BC8">
        <w:rPr>
          <w:rFonts w:ascii="Garamond" w:eastAsiaTheme="minorHAnsi" w:hAnsi="Garamond" w:cs="Times New Roman"/>
          <w:b/>
          <w:bCs/>
          <w:color w:val="000000"/>
          <w:sz w:val="24"/>
          <w:szCs w:val="24"/>
        </w:rPr>
        <w:t>II</w:t>
      </w:r>
      <w:proofErr w:type="spellEnd"/>
    </w:p>
    <w:p w14:paraId="24C3A4B4"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Pretendimet në Gjykatën Kushtetuese</w:t>
      </w:r>
    </w:p>
    <w:p w14:paraId="00924178"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5E6554A" w14:textId="77777777" w:rsidR="009F20E3" w:rsidRPr="00C34BC8" w:rsidRDefault="009F20E3"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18. </w:t>
      </w:r>
      <w:r w:rsidRPr="00C34BC8">
        <w:rPr>
          <w:rFonts w:ascii="Garamond" w:eastAsiaTheme="minorHAnsi" w:hAnsi="Garamond" w:cs="Times New Roman"/>
          <w:i/>
          <w:iCs/>
          <w:color w:val="FF0000"/>
          <w:sz w:val="24"/>
          <w:szCs w:val="24"/>
        </w:rPr>
        <w:t xml:space="preserve"> </w:t>
      </w:r>
      <w:r w:rsidRPr="00C34BC8">
        <w:rPr>
          <w:rFonts w:ascii="Garamond" w:eastAsiaTheme="minorHAnsi" w:hAnsi="Garamond" w:cs="Times New Roman"/>
          <w:b/>
          <w:bCs/>
          <w:i/>
          <w:iCs/>
          <w:color w:val="000000"/>
          <w:sz w:val="24"/>
          <w:szCs w:val="24"/>
        </w:rPr>
        <w:t>Kërkuesi</w:t>
      </w:r>
      <w:r w:rsidRPr="00C34BC8">
        <w:rPr>
          <w:rFonts w:ascii="Garamond" w:eastAsiaTheme="minorHAnsi" w:hAnsi="Garamond" w:cs="Times New Roman"/>
          <w:b/>
          <w:bCs/>
          <w:color w:val="000000"/>
          <w:sz w:val="24"/>
          <w:szCs w:val="24"/>
        </w:rPr>
        <w:t>,</w:t>
      </w:r>
      <w:r w:rsidRPr="00C34BC8">
        <w:rPr>
          <w:rFonts w:ascii="Garamond" w:eastAsiaTheme="minorHAnsi" w:hAnsi="Garamond" w:cs="Times New Roman"/>
          <w:color w:val="000000"/>
          <w:sz w:val="24"/>
          <w:szCs w:val="24"/>
        </w:rPr>
        <w:t xml:space="preserve"> në mënyrë të përmbledhur,</w:t>
      </w:r>
      <w:r w:rsidRPr="00C34BC8">
        <w:rPr>
          <w:rFonts w:ascii="Garamond" w:eastAsiaTheme="minorHAnsi" w:hAnsi="Garamond" w:cs="Times New Roman"/>
          <w:b/>
          <w:bCs/>
          <w:i/>
          <w:iCs/>
          <w:color w:val="000000"/>
          <w:sz w:val="24"/>
          <w:szCs w:val="24"/>
        </w:rPr>
        <w:t xml:space="preserve"> </w:t>
      </w:r>
      <w:r w:rsidRPr="00C34BC8">
        <w:rPr>
          <w:rFonts w:ascii="Garamond" w:eastAsiaTheme="minorHAnsi" w:hAnsi="Garamond" w:cs="Times New Roman"/>
          <w:color w:val="000000"/>
          <w:sz w:val="24"/>
          <w:szCs w:val="24"/>
        </w:rPr>
        <w:t>ka pretenduar:</w:t>
      </w:r>
    </w:p>
    <w:p w14:paraId="7062B04D" w14:textId="7FB6A530"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18.1</w:t>
      </w:r>
      <w:r w:rsidR="009F20E3" w:rsidRPr="00C34BC8">
        <w:rPr>
          <w:rFonts w:ascii="Garamond" w:eastAsiaTheme="minorHAnsi" w:hAnsi="Garamond" w:cs="Times New Roman"/>
          <w:color w:val="000000"/>
          <w:sz w:val="24"/>
          <w:szCs w:val="24"/>
        </w:rPr>
        <w:t xml:space="preserve"> </w:t>
      </w:r>
      <w:r w:rsidR="009F20E3" w:rsidRPr="00C34BC8">
        <w:rPr>
          <w:rFonts w:ascii="Garamond" w:eastAsiaTheme="minorHAnsi" w:hAnsi="Garamond" w:cs="Times New Roman"/>
          <w:i/>
          <w:iCs/>
          <w:color w:val="000000"/>
          <w:sz w:val="24"/>
          <w:szCs w:val="24"/>
        </w:rPr>
        <w:t xml:space="preserve">Cenimin e së drejtës për proces të rregullt ligjor, </w:t>
      </w:r>
      <w:r w:rsidR="009F20E3" w:rsidRPr="00C34BC8">
        <w:rPr>
          <w:rFonts w:ascii="Garamond" w:eastAsiaTheme="minorHAnsi" w:hAnsi="Garamond" w:cs="Times New Roman"/>
          <w:color w:val="000000"/>
          <w:sz w:val="24"/>
          <w:szCs w:val="24"/>
        </w:rPr>
        <w:t>në drejtim të:</w:t>
      </w:r>
    </w:p>
    <w:p w14:paraId="15127D0F" w14:textId="4833DA6B"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18.1.1</w:t>
      </w:r>
      <w:r w:rsidR="009F20E3" w:rsidRPr="00C34BC8">
        <w:rPr>
          <w:rFonts w:ascii="Garamond" w:eastAsiaTheme="minorHAnsi" w:hAnsi="Garamond" w:cs="Times New Roman"/>
          <w:i/>
          <w:iCs/>
          <w:color w:val="000000"/>
          <w:sz w:val="24"/>
          <w:szCs w:val="24"/>
        </w:rPr>
        <w:t xml:space="preserve"> Së drejtës për t’u gjykuar nga një gjykatë e caktuar me ligj</w:t>
      </w:r>
      <w:r w:rsidR="009F20E3" w:rsidRPr="00C34BC8">
        <w:rPr>
          <w:rFonts w:ascii="Garamond" w:eastAsiaTheme="minorHAnsi" w:hAnsi="Garamond" w:cs="Times New Roman"/>
          <w:color w:val="000000"/>
          <w:sz w:val="24"/>
          <w:szCs w:val="24"/>
        </w:rPr>
        <w:t>, pasi bazuar në dispozitat e Kodit të Procedurave Administrative (</w:t>
      </w:r>
      <w:proofErr w:type="spellStart"/>
      <w:r w:rsidR="009F20E3" w:rsidRPr="00C34BC8">
        <w:rPr>
          <w:rFonts w:ascii="Garamond" w:eastAsiaTheme="minorHAnsi" w:hAnsi="Garamond" w:cs="Times New Roman"/>
          <w:i/>
          <w:iCs/>
          <w:color w:val="000000"/>
          <w:sz w:val="24"/>
          <w:szCs w:val="24"/>
        </w:rPr>
        <w:t>KPA</w:t>
      </w:r>
      <w:proofErr w:type="spellEnd"/>
      <w:r w:rsidR="009F20E3" w:rsidRPr="00C34BC8">
        <w:rPr>
          <w:rFonts w:ascii="Garamond" w:eastAsiaTheme="minorHAnsi" w:hAnsi="Garamond" w:cs="Times New Roman"/>
          <w:color w:val="000000"/>
          <w:sz w:val="24"/>
          <w:szCs w:val="24"/>
        </w:rPr>
        <w:t xml:space="preserve">) dhe ligjit nr. 49/2012, si dhe praktikën e Gjykatës së Lartë, pavarësisht mënyrës së formulimit të objektit të padisë, për pasojat që ajo sjell, në thelb, nuk është një çështje që përbën lëndë administrative, por civile ndaj duhej të gjykohej nga Kolegji Civil. </w:t>
      </w:r>
      <w:proofErr w:type="spellStart"/>
      <w:r w:rsidR="009F20E3" w:rsidRPr="00C34BC8">
        <w:rPr>
          <w:rFonts w:ascii="Garamond" w:eastAsiaTheme="minorHAnsi" w:hAnsi="Garamond" w:cs="Times New Roman"/>
          <w:color w:val="000000"/>
          <w:sz w:val="24"/>
          <w:szCs w:val="24"/>
        </w:rPr>
        <w:t>VKM</w:t>
      </w:r>
      <w:proofErr w:type="spellEnd"/>
      <w:r w:rsidR="009F20E3" w:rsidRPr="00C34BC8">
        <w:rPr>
          <w:rFonts w:ascii="Garamond" w:eastAsiaTheme="minorHAnsi" w:hAnsi="Garamond" w:cs="Times New Roman"/>
          <w:color w:val="000000"/>
          <w:sz w:val="24"/>
          <w:szCs w:val="24"/>
        </w:rPr>
        <w:t>-ja nr. 207/2000</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nuk ka transferuar të drejta pronësie në favor të kërkuesit, por ka shprehur vullnetin që në të ardhmen të krijonte dhe të merrte pjesë si bashkëthemelues i një personi juridik privat. </w:t>
      </w:r>
      <w:proofErr w:type="spellStart"/>
      <w:r w:rsidR="009F20E3" w:rsidRPr="00C34BC8">
        <w:rPr>
          <w:rFonts w:ascii="Garamond" w:eastAsiaTheme="minorHAnsi" w:hAnsi="Garamond" w:cs="Times New Roman"/>
          <w:color w:val="000000"/>
          <w:sz w:val="24"/>
          <w:szCs w:val="24"/>
        </w:rPr>
        <w:t>VKM</w:t>
      </w:r>
      <w:proofErr w:type="spellEnd"/>
      <w:r w:rsidR="009F20E3" w:rsidRPr="00C34BC8">
        <w:rPr>
          <w:rFonts w:ascii="Garamond" w:eastAsiaTheme="minorHAnsi" w:hAnsi="Garamond" w:cs="Times New Roman"/>
          <w:color w:val="000000"/>
          <w:sz w:val="24"/>
          <w:szCs w:val="24"/>
        </w:rPr>
        <w:t>-ja ka dalë në bazë të nenit 54 e vijues të Kodit Civil dhe jo të ndonjë ligji të posaçëm të së drejtës publike. Çështja e kompetencës lëndore duhej të ishte vlerësuar edhe kryesisht nga Gjykata e Lartë.</w:t>
      </w:r>
    </w:p>
    <w:p w14:paraId="01545F13" w14:textId="0DD0B7B7"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18.1.2</w:t>
      </w:r>
      <w:r w:rsidR="009F20E3" w:rsidRPr="00C34BC8">
        <w:rPr>
          <w:rFonts w:ascii="Garamond" w:eastAsiaTheme="minorHAnsi" w:hAnsi="Garamond" w:cs="Times New Roman"/>
          <w:i/>
          <w:iCs/>
          <w:color w:val="000000"/>
          <w:sz w:val="24"/>
          <w:szCs w:val="24"/>
        </w:rPr>
        <w:t xml:space="preserve"> Së drejtës për t’u gjykuar nga një gjykatë e paanshme, </w:t>
      </w:r>
      <w:r w:rsidR="009F20E3" w:rsidRPr="00C34BC8">
        <w:rPr>
          <w:rFonts w:ascii="Garamond" w:eastAsiaTheme="minorHAnsi" w:hAnsi="Garamond" w:cs="Times New Roman"/>
          <w:color w:val="000000"/>
          <w:sz w:val="24"/>
          <w:szCs w:val="24"/>
        </w:rPr>
        <w:t>pasi kryesuesja e trupit gjykues në Kolegjin Administrativ, gjyqtarja E.</w:t>
      </w:r>
      <w:r>
        <w:rPr>
          <w:rFonts w:ascii="Garamond" w:eastAsiaTheme="minorHAnsi" w:hAnsi="Garamond" w:cs="Times New Roman"/>
          <w:color w:val="000000"/>
          <w:sz w:val="24"/>
          <w:szCs w:val="24"/>
        </w:rPr>
        <w:t xml:space="preserve"> </w:t>
      </w:r>
      <w:r w:rsidR="009F20E3" w:rsidRPr="00C34BC8">
        <w:rPr>
          <w:rFonts w:ascii="Garamond" w:eastAsiaTheme="minorHAnsi" w:hAnsi="Garamond" w:cs="Times New Roman"/>
          <w:color w:val="000000"/>
          <w:sz w:val="24"/>
          <w:szCs w:val="24"/>
        </w:rPr>
        <w:t>M.(S.), ka marrë pjesë në gjykimin e së njëjtës çështje në gjykatën e apelit, k</w:t>
      </w:r>
      <w:r>
        <w:rPr>
          <w:rFonts w:ascii="Garamond" w:eastAsiaTheme="minorHAnsi" w:hAnsi="Garamond" w:cs="Times New Roman"/>
          <w:color w:val="000000"/>
          <w:sz w:val="24"/>
          <w:szCs w:val="24"/>
        </w:rPr>
        <w:t>u ka marrë vendimin e datës 27.</w:t>
      </w:r>
      <w:r w:rsidR="009F20E3" w:rsidRPr="00C34BC8">
        <w:rPr>
          <w:rFonts w:ascii="Garamond" w:eastAsiaTheme="minorHAnsi" w:hAnsi="Garamond" w:cs="Times New Roman"/>
          <w:color w:val="000000"/>
          <w:sz w:val="24"/>
          <w:szCs w:val="24"/>
        </w:rPr>
        <w:t>3.2023 “Për shqyrtimin e çështjes në seancë gjyqësore me praninë e palëve”, kurse me vendimin nr. 00-2024-5206, datë 18.12.2024</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është shprehur për kërkesën për pezullimin e ekzekutimit të vendimit. </w:t>
      </w:r>
    </w:p>
    <w:p w14:paraId="1CD01F57" w14:textId="6442D2BA"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18.1.3</w:t>
      </w:r>
      <w:r w:rsidR="009F20E3" w:rsidRPr="00C34BC8">
        <w:rPr>
          <w:rFonts w:ascii="Garamond" w:eastAsiaTheme="minorHAnsi" w:hAnsi="Garamond" w:cs="Times New Roman"/>
          <w:i/>
          <w:iCs/>
          <w:color w:val="000000"/>
          <w:sz w:val="24"/>
          <w:szCs w:val="24"/>
        </w:rPr>
        <w:t xml:space="preserve"> Parimit të barazisë së armëve dhe </w:t>
      </w:r>
      <w:proofErr w:type="spellStart"/>
      <w:r w:rsidR="009F20E3" w:rsidRPr="00C34BC8">
        <w:rPr>
          <w:rFonts w:ascii="Garamond" w:eastAsiaTheme="minorHAnsi" w:hAnsi="Garamond" w:cs="Times New Roman"/>
          <w:i/>
          <w:iCs/>
          <w:color w:val="000000"/>
          <w:sz w:val="24"/>
          <w:szCs w:val="24"/>
        </w:rPr>
        <w:t>kontradiktoritetit</w:t>
      </w:r>
      <w:proofErr w:type="spellEnd"/>
      <w:r w:rsidR="009F20E3" w:rsidRPr="00C34BC8">
        <w:rPr>
          <w:rFonts w:ascii="Garamond" w:eastAsiaTheme="minorHAnsi" w:hAnsi="Garamond" w:cs="Times New Roman"/>
          <w:i/>
          <w:iCs/>
          <w:color w:val="000000"/>
          <w:sz w:val="24"/>
          <w:szCs w:val="24"/>
        </w:rPr>
        <w:t xml:space="preserve">, </w:t>
      </w:r>
      <w:r w:rsidR="009F20E3" w:rsidRPr="00C34BC8">
        <w:rPr>
          <w:rFonts w:ascii="Garamond" w:eastAsiaTheme="minorHAnsi" w:hAnsi="Garamond" w:cs="Times New Roman"/>
          <w:color w:val="000000"/>
          <w:sz w:val="24"/>
          <w:szCs w:val="24"/>
        </w:rPr>
        <w:t xml:space="preserve">si pasojë e </w:t>
      </w:r>
      <w:proofErr w:type="spellStart"/>
      <w:r w:rsidR="009F20E3" w:rsidRPr="00C34BC8">
        <w:rPr>
          <w:rFonts w:ascii="Garamond" w:eastAsiaTheme="minorHAnsi" w:hAnsi="Garamond" w:cs="Times New Roman"/>
          <w:color w:val="000000"/>
          <w:sz w:val="24"/>
          <w:szCs w:val="24"/>
        </w:rPr>
        <w:t>mosformimit</w:t>
      </w:r>
      <w:proofErr w:type="spellEnd"/>
      <w:r w:rsidR="009F20E3" w:rsidRPr="00C34BC8">
        <w:rPr>
          <w:rFonts w:ascii="Garamond" w:eastAsiaTheme="minorHAnsi" w:hAnsi="Garamond" w:cs="Times New Roman"/>
          <w:color w:val="000000"/>
          <w:sz w:val="24"/>
          <w:szCs w:val="24"/>
        </w:rPr>
        <w:t xml:space="preserve"> të drejtë të </w:t>
      </w:r>
      <w:proofErr w:type="spellStart"/>
      <w:r w:rsidR="009F20E3" w:rsidRPr="00C34BC8">
        <w:rPr>
          <w:rFonts w:ascii="Garamond" w:eastAsiaTheme="minorHAnsi" w:hAnsi="Garamond" w:cs="Times New Roman"/>
          <w:color w:val="000000"/>
          <w:sz w:val="24"/>
          <w:szCs w:val="24"/>
        </w:rPr>
        <w:t>ndërgjyqësisë</w:t>
      </w:r>
      <w:proofErr w:type="spellEnd"/>
      <w:r w:rsidR="009F20E3" w:rsidRPr="00C34BC8">
        <w:rPr>
          <w:rFonts w:ascii="Garamond" w:eastAsiaTheme="minorHAnsi" w:hAnsi="Garamond" w:cs="Times New Roman"/>
          <w:color w:val="000000"/>
          <w:sz w:val="24"/>
          <w:szCs w:val="24"/>
        </w:rPr>
        <w:t xml:space="preserve">, për shkak se kërkuesi është thirrur në gjykim në cilësinë e personit të tretë dhe jo të </w:t>
      </w:r>
      <w:proofErr w:type="spellStart"/>
      <w:r w:rsidR="009F20E3" w:rsidRPr="00C34BC8">
        <w:rPr>
          <w:rFonts w:ascii="Garamond" w:eastAsiaTheme="minorHAnsi" w:hAnsi="Garamond" w:cs="Times New Roman"/>
          <w:color w:val="000000"/>
          <w:sz w:val="24"/>
          <w:szCs w:val="24"/>
        </w:rPr>
        <w:t>të</w:t>
      </w:r>
      <w:proofErr w:type="spellEnd"/>
      <w:r w:rsidR="009F20E3" w:rsidRPr="00C34BC8">
        <w:rPr>
          <w:rFonts w:ascii="Garamond" w:eastAsiaTheme="minorHAnsi" w:hAnsi="Garamond" w:cs="Times New Roman"/>
          <w:color w:val="000000"/>
          <w:sz w:val="24"/>
          <w:szCs w:val="24"/>
        </w:rPr>
        <w:t xml:space="preserve"> paditurit, në kundërshtim me nenet 192, 193, 161, 162 dhe 467 të </w:t>
      </w:r>
      <w:proofErr w:type="spellStart"/>
      <w:r w:rsidR="009F20E3" w:rsidRPr="00C34BC8">
        <w:rPr>
          <w:rFonts w:ascii="Garamond" w:eastAsiaTheme="minorHAnsi" w:hAnsi="Garamond" w:cs="Times New Roman"/>
          <w:color w:val="000000"/>
          <w:sz w:val="24"/>
          <w:szCs w:val="24"/>
        </w:rPr>
        <w:t>KPC</w:t>
      </w:r>
      <w:proofErr w:type="spellEnd"/>
      <w:r w:rsidR="009F20E3" w:rsidRPr="00C34BC8">
        <w:rPr>
          <w:rFonts w:ascii="Garamond" w:eastAsiaTheme="minorHAnsi" w:hAnsi="Garamond" w:cs="Times New Roman"/>
          <w:color w:val="000000"/>
          <w:sz w:val="24"/>
          <w:szCs w:val="24"/>
        </w:rPr>
        <w:t xml:space="preserve">-së. Për rrjedhojë, ai ka pasur mjete procedurale jo të barabarta dhe të kufizuara në krahasim me palët e tjera në gjykim. Kjo sjell cenimin edhe të </w:t>
      </w:r>
      <w:r w:rsidR="009F20E3" w:rsidRPr="00C34BC8">
        <w:rPr>
          <w:rFonts w:ascii="Garamond" w:eastAsiaTheme="minorHAnsi" w:hAnsi="Garamond" w:cs="Times New Roman"/>
          <w:i/>
          <w:iCs/>
          <w:color w:val="000000"/>
          <w:sz w:val="24"/>
          <w:szCs w:val="24"/>
        </w:rPr>
        <w:t xml:space="preserve">parimit të barazisë në të drejta. </w:t>
      </w:r>
    </w:p>
    <w:p w14:paraId="774F125D" w14:textId="457064AC"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18.1.4</w:t>
      </w:r>
      <w:r w:rsidR="009F20E3" w:rsidRPr="00C34BC8">
        <w:rPr>
          <w:rFonts w:ascii="Garamond" w:eastAsiaTheme="minorHAnsi" w:hAnsi="Garamond" w:cs="Times New Roman"/>
          <w:i/>
          <w:iCs/>
          <w:color w:val="000000"/>
          <w:sz w:val="24"/>
          <w:szCs w:val="24"/>
        </w:rPr>
        <w:t xml:space="preserve"> Së drejtës së </w:t>
      </w:r>
      <w:proofErr w:type="spellStart"/>
      <w:r w:rsidR="009F20E3" w:rsidRPr="00C34BC8">
        <w:rPr>
          <w:rFonts w:ascii="Garamond" w:eastAsiaTheme="minorHAnsi" w:hAnsi="Garamond" w:cs="Times New Roman"/>
          <w:i/>
          <w:iCs/>
          <w:color w:val="000000"/>
          <w:sz w:val="24"/>
          <w:szCs w:val="24"/>
        </w:rPr>
        <w:t>aksesit</w:t>
      </w:r>
      <w:proofErr w:type="spellEnd"/>
      <w:r w:rsidR="009F20E3" w:rsidRPr="00C34BC8">
        <w:rPr>
          <w:rFonts w:ascii="Garamond" w:eastAsiaTheme="minorHAnsi" w:hAnsi="Garamond" w:cs="Times New Roman"/>
          <w:i/>
          <w:iCs/>
          <w:color w:val="000000"/>
          <w:sz w:val="24"/>
          <w:szCs w:val="24"/>
        </w:rPr>
        <w:t xml:space="preserve"> substancial, </w:t>
      </w:r>
      <w:r w:rsidR="009F20E3" w:rsidRPr="00C34BC8">
        <w:rPr>
          <w:rFonts w:ascii="Garamond" w:eastAsiaTheme="minorHAnsi" w:hAnsi="Garamond" w:cs="Times New Roman"/>
          <w:color w:val="000000"/>
          <w:sz w:val="24"/>
          <w:szCs w:val="24"/>
        </w:rPr>
        <w:t>pasi Kolegji Administrativ nuk ka shqyrtuar kryesisht çështjet ligjore që duhen shqyrtuar kryesisht nga gjykata si parakushte procedurale në çdo fazë gjykimi. Kolegji Administrativ nuk ka shqyrtuar dhe nuk i ka dhënë përgjigje asnjë prej shkaqeve të ngritura në rekurs.</w:t>
      </w:r>
    </w:p>
    <w:p w14:paraId="2F806340" w14:textId="4D4A78F7"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18.1.5</w:t>
      </w:r>
      <w:r w:rsidR="009F20E3" w:rsidRPr="00C34BC8">
        <w:rPr>
          <w:rFonts w:ascii="Garamond" w:eastAsiaTheme="minorHAnsi" w:hAnsi="Garamond" w:cs="Times New Roman"/>
          <w:i/>
          <w:iCs/>
          <w:color w:val="000000"/>
          <w:sz w:val="24"/>
          <w:szCs w:val="24"/>
        </w:rPr>
        <w:t xml:space="preserve"> Standardit të arsyetimit të vendimit gjyqësor, </w:t>
      </w:r>
      <w:r w:rsidR="009F20E3" w:rsidRPr="00C34BC8">
        <w:rPr>
          <w:rFonts w:ascii="Garamond" w:eastAsiaTheme="minorHAnsi" w:hAnsi="Garamond" w:cs="Times New Roman"/>
          <w:color w:val="000000"/>
          <w:sz w:val="24"/>
          <w:szCs w:val="24"/>
        </w:rPr>
        <w:t xml:space="preserve">pasi Kolegji Administrativ nuk ka arsyetuar dhe nuk ka bërë analizë ligjore se përse shkaqet e rekursit ishin të pabazuara. Ai nuk ka shqyrtuar çështjet ligjore që duhen shqyrtuar kryesisht, konkretisht për kompetencën e gjykatave dhe pjesëmarrjen e kërkuesit në gjykim në cilësinë e personit të tretë. Vendimi është kontradiktor, alogjik dhe i pakuptueshëm. Për rrjedhojë, është cenuar edhe </w:t>
      </w:r>
      <w:r w:rsidR="009F20E3" w:rsidRPr="00C34BC8">
        <w:rPr>
          <w:rFonts w:ascii="Garamond" w:eastAsiaTheme="minorHAnsi" w:hAnsi="Garamond" w:cs="Times New Roman"/>
          <w:i/>
          <w:iCs/>
          <w:color w:val="000000"/>
          <w:sz w:val="24"/>
          <w:szCs w:val="24"/>
        </w:rPr>
        <w:t xml:space="preserve">parimi i sigurisë juridike i lidhur me </w:t>
      </w:r>
      <w:proofErr w:type="spellStart"/>
      <w:r w:rsidR="009F20E3" w:rsidRPr="00C34BC8">
        <w:rPr>
          <w:rFonts w:ascii="Garamond" w:eastAsiaTheme="minorHAnsi" w:hAnsi="Garamond" w:cs="Times New Roman"/>
          <w:i/>
          <w:iCs/>
          <w:color w:val="000000"/>
          <w:sz w:val="24"/>
          <w:szCs w:val="24"/>
        </w:rPr>
        <w:t>pritshmëritë</w:t>
      </w:r>
      <w:proofErr w:type="spellEnd"/>
      <w:r w:rsidR="009F20E3" w:rsidRPr="00C34BC8">
        <w:rPr>
          <w:rFonts w:ascii="Garamond" w:eastAsiaTheme="minorHAnsi" w:hAnsi="Garamond" w:cs="Times New Roman"/>
          <w:i/>
          <w:iCs/>
          <w:color w:val="000000"/>
          <w:sz w:val="24"/>
          <w:szCs w:val="24"/>
        </w:rPr>
        <w:t xml:space="preserve"> e ligjshme,</w:t>
      </w:r>
      <w:r w:rsidR="009F20E3" w:rsidRPr="00C34BC8">
        <w:rPr>
          <w:rFonts w:ascii="Garamond" w:eastAsiaTheme="minorHAnsi" w:hAnsi="Garamond" w:cs="Times New Roman"/>
          <w:color w:val="000000"/>
          <w:sz w:val="24"/>
          <w:szCs w:val="24"/>
        </w:rPr>
        <w:t xml:space="preserve"> pasi Kolegji Administrativ nuk ka zbatuar normën ligjore detyruese për shqyrtimin kryesisht të kompetencës lëndore të gjykatave.</w:t>
      </w:r>
    </w:p>
    <w:p w14:paraId="6B6C47DE" w14:textId="14777B37" w:rsidR="009F20E3" w:rsidRPr="00C34BC8" w:rsidRDefault="00056590" w:rsidP="009F20E3">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lastRenderedPageBreak/>
        <w:t>18.2</w:t>
      </w:r>
      <w:r w:rsidR="009F20E3" w:rsidRPr="00C34BC8">
        <w:rPr>
          <w:rFonts w:ascii="Garamond" w:eastAsiaTheme="minorHAnsi" w:hAnsi="Garamond" w:cs="Times New Roman"/>
          <w:color w:val="000000"/>
          <w:sz w:val="24"/>
          <w:szCs w:val="24"/>
        </w:rPr>
        <w:t xml:space="preserve"> </w:t>
      </w:r>
      <w:r w:rsidR="009F20E3" w:rsidRPr="00C34BC8">
        <w:rPr>
          <w:rFonts w:ascii="Garamond" w:eastAsiaTheme="minorHAnsi" w:hAnsi="Garamond" w:cs="Times New Roman"/>
          <w:i/>
          <w:iCs/>
          <w:color w:val="000000"/>
          <w:sz w:val="24"/>
          <w:szCs w:val="24"/>
        </w:rPr>
        <w:t xml:space="preserve">Së drejtës së pronës private, </w:t>
      </w:r>
      <w:r w:rsidR="009F20E3" w:rsidRPr="00C34BC8">
        <w:rPr>
          <w:rFonts w:ascii="Garamond" w:eastAsiaTheme="minorHAnsi" w:hAnsi="Garamond" w:cs="Times New Roman"/>
          <w:color w:val="000000"/>
          <w:sz w:val="24"/>
          <w:szCs w:val="24"/>
        </w:rPr>
        <w:t>për shkak të shkeljes nga gjykatat të së drejtës për një proces të rregullt. Vendimi objekt ankimi ka përkeqësuar situatën pasurore dhe financiare të kërkuesit, duke e zhveshur atë nga pronësia mbi pasurinë në të cilën zhvillon prej dekadash aktivitetin arsimor në mënyrë të ligjshme dhe legjitime, pasuri e destinuar në funksion të së mirës publike.</w:t>
      </w:r>
    </w:p>
    <w:p w14:paraId="340E03A3"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C34BC8">
        <w:rPr>
          <w:rFonts w:ascii="Garamond" w:eastAsiaTheme="minorHAnsi" w:hAnsi="Garamond" w:cs="Times New Roman"/>
          <w:color w:val="000000"/>
          <w:sz w:val="24"/>
          <w:szCs w:val="24"/>
        </w:rPr>
        <w:t xml:space="preserve">19. </w:t>
      </w:r>
      <w:r w:rsidRPr="00C34BC8">
        <w:rPr>
          <w:rFonts w:ascii="Garamond" w:eastAsiaTheme="minorHAnsi" w:hAnsi="Garamond" w:cs="Times New Roman"/>
          <w:b/>
          <w:bCs/>
          <w:i/>
          <w:iCs/>
          <w:color w:val="000000"/>
          <w:sz w:val="24"/>
          <w:szCs w:val="24"/>
        </w:rPr>
        <w:t xml:space="preserve">Subjekti i interesuar, Genci </w:t>
      </w:r>
      <w:proofErr w:type="spellStart"/>
      <w:r w:rsidRPr="00C34BC8">
        <w:rPr>
          <w:rFonts w:ascii="Garamond" w:eastAsiaTheme="minorHAnsi" w:hAnsi="Garamond" w:cs="Times New Roman"/>
          <w:b/>
          <w:bCs/>
          <w:i/>
          <w:iCs/>
          <w:color w:val="000000"/>
          <w:sz w:val="24"/>
          <w:szCs w:val="24"/>
        </w:rPr>
        <w:t>Beqiri</w:t>
      </w:r>
      <w:proofErr w:type="spellEnd"/>
      <w:r w:rsidRPr="00C34BC8">
        <w:rPr>
          <w:rFonts w:ascii="Garamond" w:eastAsiaTheme="minorHAnsi" w:hAnsi="Garamond" w:cs="Times New Roman"/>
          <w:color w:val="000000"/>
          <w:sz w:val="24"/>
          <w:szCs w:val="24"/>
        </w:rPr>
        <w:t>, në mënyrë të përmbledhur, ka prapësuar:</w:t>
      </w:r>
    </w:p>
    <w:p w14:paraId="18AE64F3" w14:textId="1B606BB2"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19.1</w:t>
      </w:r>
      <w:r w:rsidR="009F20E3" w:rsidRPr="00C34BC8">
        <w:rPr>
          <w:rFonts w:ascii="Garamond" w:eastAsiaTheme="minorHAnsi" w:hAnsi="Garamond" w:cs="Times New Roman"/>
          <w:color w:val="000000"/>
          <w:sz w:val="24"/>
          <w:szCs w:val="24"/>
        </w:rPr>
        <w:t xml:space="preserve"> Pretendimi për cenimin e </w:t>
      </w:r>
      <w:r w:rsidR="009F20E3" w:rsidRPr="00C34BC8">
        <w:rPr>
          <w:rFonts w:ascii="Garamond" w:eastAsiaTheme="minorHAnsi" w:hAnsi="Garamond" w:cs="Times New Roman"/>
          <w:i/>
          <w:iCs/>
          <w:color w:val="000000"/>
          <w:sz w:val="24"/>
          <w:szCs w:val="24"/>
        </w:rPr>
        <w:t>së drejtës për t’u gjykuar nga një gjykatë e caktuar me ligj</w:t>
      </w:r>
      <w:r w:rsidR="009F20E3" w:rsidRPr="00C34BC8">
        <w:rPr>
          <w:rFonts w:ascii="Garamond" w:eastAsiaTheme="minorHAnsi" w:hAnsi="Garamond" w:cs="Times New Roman"/>
          <w:color w:val="000000"/>
          <w:sz w:val="24"/>
          <w:szCs w:val="24"/>
        </w:rPr>
        <w:t xml:space="preserve"> është i pabazuar, pasi në procesin gjyqësor kërkuesi ka marrë pjesë, ka paraqitur prova dhe ka debatuar mbi to, ka paraqitur prapësime etj. Të gjitha kërkimet e padisë, lidhen me fushën e zgjidhjes së një konflikti me natyrë administrative, megjithatë ky pretendim nuk përbën lëndë për t’u shqyrtuar nga Gjykata.</w:t>
      </w:r>
    </w:p>
    <w:p w14:paraId="756384DB" w14:textId="5272AB83"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19.2</w:t>
      </w:r>
      <w:r w:rsidR="009F20E3" w:rsidRPr="00C34BC8">
        <w:rPr>
          <w:rFonts w:ascii="Garamond" w:eastAsiaTheme="minorHAnsi" w:hAnsi="Garamond" w:cs="Times New Roman"/>
          <w:color w:val="000000"/>
          <w:sz w:val="24"/>
          <w:szCs w:val="24"/>
        </w:rPr>
        <w:t xml:space="preserve"> I pabazuar është edhe</w:t>
      </w:r>
      <w:r w:rsidR="009F20E3" w:rsidRPr="00C34BC8">
        <w:rPr>
          <w:rFonts w:ascii="Garamond" w:eastAsiaTheme="minorHAnsi" w:hAnsi="Garamond" w:cs="Times New Roman"/>
          <w:i/>
          <w:iCs/>
          <w:color w:val="000000"/>
          <w:sz w:val="24"/>
          <w:szCs w:val="24"/>
        </w:rPr>
        <w:t xml:space="preserve"> pretendimi për të drejtën për t’u gjykuar nga një gjykatë e paanshme, </w:t>
      </w:r>
      <w:r w:rsidR="009F20E3" w:rsidRPr="00C34BC8">
        <w:rPr>
          <w:rFonts w:ascii="Garamond" w:eastAsiaTheme="minorHAnsi" w:hAnsi="Garamond" w:cs="Times New Roman"/>
          <w:color w:val="000000"/>
          <w:sz w:val="24"/>
          <w:szCs w:val="24"/>
        </w:rPr>
        <w:t>pasi në gjykatën e apelit gjyqtarja E.</w:t>
      </w:r>
      <w:r>
        <w:rPr>
          <w:rFonts w:ascii="Garamond" w:eastAsiaTheme="minorHAnsi" w:hAnsi="Garamond" w:cs="Times New Roman"/>
          <w:color w:val="000000"/>
          <w:sz w:val="24"/>
          <w:szCs w:val="24"/>
        </w:rPr>
        <w:t xml:space="preserve"> </w:t>
      </w:r>
      <w:r w:rsidR="009F20E3" w:rsidRPr="00C34BC8">
        <w:rPr>
          <w:rFonts w:ascii="Garamond" w:eastAsiaTheme="minorHAnsi" w:hAnsi="Garamond" w:cs="Times New Roman"/>
          <w:color w:val="000000"/>
          <w:sz w:val="24"/>
          <w:szCs w:val="24"/>
        </w:rPr>
        <w:t>M.</w:t>
      </w:r>
      <w:r w:rsidR="006A77B3">
        <w:rPr>
          <w:rFonts w:ascii="Garamond" w:eastAsiaTheme="minorHAnsi" w:hAnsi="Garamond" w:cs="Times New Roman"/>
          <w:color w:val="000000"/>
          <w:sz w:val="24"/>
          <w:szCs w:val="24"/>
        </w:rPr>
        <w:t xml:space="preserve"> </w:t>
      </w:r>
      <w:r w:rsidR="009F20E3" w:rsidRPr="00C34BC8">
        <w:rPr>
          <w:rFonts w:ascii="Garamond" w:eastAsiaTheme="minorHAnsi" w:hAnsi="Garamond" w:cs="Times New Roman"/>
          <w:color w:val="000000"/>
          <w:sz w:val="24"/>
          <w:szCs w:val="24"/>
        </w:rPr>
        <w:t xml:space="preserve">(S.) nuk ka zhvilluar asnjë seancë gjyqësore, nuk ka bërë vlerësim të çështjes, nuk është shprehur për provat, themelin dhe procedurën gjyqësore. Edhe pse është njohur me përbërjen e trupit gjykues në Gjykatën e Lartë, kërkuesi nuk ka paraqitur asnjë pretendim në këtë drejtim. </w:t>
      </w:r>
    </w:p>
    <w:p w14:paraId="05ECC9D0" w14:textId="68ACD4F8"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color w:val="000000"/>
          <w:sz w:val="24"/>
          <w:szCs w:val="24"/>
        </w:rPr>
        <w:t>19.3</w:t>
      </w:r>
      <w:r w:rsidR="009F20E3" w:rsidRPr="00C34BC8">
        <w:rPr>
          <w:rFonts w:ascii="Garamond" w:eastAsiaTheme="minorHAnsi" w:hAnsi="Garamond" w:cs="Times New Roman"/>
          <w:color w:val="000000"/>
          <w:sz w:val="24"/>
          <w:szCs w:val="24"/>
        </w:rPr>
        <w:t xml:space="preserve"> Për pretendimin për</w:t>
      </w:r>
      <w:r w:rsidR="009F20E3" w:rsidRPr="00C34BC8">
        <w:rPr>
          <w:rFonts w:ascii="Garamond" w:eastAsiaTheme="minorHAnsi" w:hAnsi="Garamond" w:cs="Times New Roman"/>
          <w:i/>
          <w:iCs/>
          <w:color w:val="000000"/>
          <w:sz w:val="24"/>
          <w:szCs w:val="24"/>
        </w:rPr>
        <w:t xml:space="preserve"> cenimin e parimit të barazisë së armëve dhe </w:t>
      </w:r>
      <w:proofErr w:type="spellStart"/>
      <w:r w:rsidR="009F20E3" w:rsidRPr="00C34BC8">
        <w:rPr>
          <w:rFonts w:ascii="Garamond" w:eastAsiaTheme="minorHAnsi" w:hAnsi="Garamond" w:cs="Times New Roman"/>
          <w:i/>
          <w:iCs/>
          <w:color w:val="000000"/>
          <w:sz w:val="24"/>
          <w:szCs w:val="24"/>
        </w:rPr>
        <w:t>kontradiktoritetit</w:t>
      </w:r>
      <w:proofErr w:type="spellEnd"/>
      <w:r w:rsidR="009F20E3" w:rsidRPr="00C34BC8">
        <w:rPr>
          <w:rFonts w:ascii="Garamond" w:eastAsiaTheme="minorHAnsi" w:hAnsi="Garamond" w:cs="Times New Roman"/>
          <w:i/>
          <w:iCs/>
          <w:color w:val="000000"/>
          <w:sz w:val="24"/>
          <w:szCs w:val="24"/>
        </w:rPr>
        <w:t xml:space="preserve"> </w:t>
      </w:r>
      <w:r w:rsidR="009F20E3" w:rsidRPr="00C34BC8">
        <w:rPr>
          <w:rFonts w:ascii="Garamond" w:eastAsiaTheme="minorHAnsi" w:hAnsi="Garamond" w:cs="Times New Roman"/>
          <w:color w:val="000000"/>
          <w:sz w:val="24"/>
          <w:szCs w:val="24"/>
        </w:rPr>
        <w:t xml:space="preserve">referuar </w:t>
      </w:r>
      <w:proofErr w:type="spellStart"/>
      <w:r w:rsidR="009F20E3" w:rsidRPr="00C34BC8">
        <w:rPr>
          <w:rFonts w:ascii="Garamond" w:eastAsiaTheme="minorHAnsi" w:hAnsi="Garamond" w:cs="Times New Roman"/>
          <w:color w:val="000000"/>
          <w:sz w:val="24"/>
          <w:szCs w:val="24"/>
        </w:rPr>
        <w:t>mosformimit</w:t>
      </w:r>
      <w:proofErr w:type="spellEnd"/>
      <w:r w:rsidR="009F20E3" w:rsidRPr="00C34BC8">
        <w:rPr>
          <w:rFonts w:ascii="Garamond" w:eastAsiaTheme="minorHAnsi" w:hAnsi="Garamond" w:cs="Times New Roman"/>
          <w:color w:val="000000"/>
          <w:sz w:val="24"/>
          <w:szCs w:val="24"/>
        </w:rPr>
        <w:t xml:space="preserve"> të drejtë të </w:t>
      </w:r>
      <w:proofErr w:type="spellStart"/>
      <w:r w:rsidR="009F20E3" w:rsidRPr="00C34BC8">
        <w:rPr>
          <w:rFonts w:ascii="Garamond" w:eastAsiaTheme="minorHAnsi" w:hAnsi="Garamond" w:cs="Times New Roman"/>
          <w:color w:val="000000"/>
          <w:sz w:val="24"/>
          <w:szCs w:val="24"/>
        </w:rPr>
        <w:t>ndërgjyqësisë</w:t>
      </w:r>
      <w:proofErr w:type="spellEnd"/>
      <w:r w:rsidR="009F20E3" w:rsidRPr="00C34BC8">
        <w:rPr>
          <w:rFonts w:ascii="Garamond" w:eastAsiaTheme="minorHAnsi" w:hAnsi="Garamond" w:cs="Times New Roman"/>
          <w:color w:val="000000"/>
          <w:sz w:val="24"/>
          <w:szCs w:val="24"/>
        </w:rPr>
        <w:t>, gjatë procesit gjyqësor Fondacioni ka marrë pjesë në seancat gjyqësore, duke ushtruar të gjitha të drejtat e palëve në gjykim dhe duke marrë pjesë aktive në debatin gjyqësor. Po ashtu, ai ka ushtruar të drejtën e rekursit në Gjykatën e Lartë, i cili u vlerësua nga ajo gjykatë, si dhe ka mbajtur qëndrim për çështjen nëpërmjet parashtrimeve, analizës së provave etj.</w:t>
      </w:r>
    </w:p>
    <w:p w14:paraId="6806D49A" w14:textId="5FA1EF5D"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color w:val="000000"/>
          <w:sz w:val="24"/>
          <w:szCs w:val="24"/>
        </w:rPr>
        <w:t>19.4</w:t>
      </w:r>
      <w:r w:rsidR="009F20E3" w:rsidRPr="00C34BC8">
        <w:rPr>
          <w:rFonts w:ascii="Garamond" w:eastAsiaTheme="minorHAnsi" w:hAnsi="Garamond" w:cs="Times New Roman"/>
          <w:color w:val="000000"/>
          <w:sz w:val="24"/>
          <w:szCs w:val="24"/>
        </w:rPr>
        <w:t xml:space="preserve"> I pabazuar është edhe </w:t>
      </w:r>
      <w:r w:rsidR="009F20E3" w:rsidRPr="00C34BC8">
        <w:rPr>
          <w:rFonts w:ascii="Garamond" w:eastAsiaTheme="minorHAnsi" w:hAnsi="Garamond" w:cs="Times New Roman"/>
          <w:i/>
          <w:iCs/>
          <w:color w:val="000000"/>
          <w:sz w:val="24"/>
          <w:szCs w:val="24"/>
        </w:rPr>
        <w:t xml:space="preserve">pretendimi për cenimin e së drejtës së </w:t>
      </w:r>
      <w:proofErr w:type="spellStart"/>
      <w:r w:rsidR="009F20E3" w:rsidRPr="00C34BC8">
        <w:rPr>
          <w:rFonts w:ascii="Garamond" w:eastAsiaTheme="minorHAnsi" w:hAnsi="Garamond" w:cs="Times New Roman"/>
          <w:i/>
          <w:iCs/>
          <w:color w:val="000000"/>
          <w:sz w:val="24"/>
          <w:szCs w:val="24"/>
        </w:rPr>
        <w:t>aksesit</w:t>
      </w:r>
      <w:proofErr w:type="spellEnd"/>
      <w:r w:rsidR="009F20E3" w:rsidRPr="00C34BC8">
        <w:rPr>
          <w:rFonts w:ascii="Garamond" w:eastAsiaTheme="minorHAnsi" w:hAnsi="Garamond" w:cs="Times New Roman"/>
          <w:i/>
          <w:iCs/>
          <w:color w:val="000000"/>
          <w:sz w:val="24"/>
          <w:szCs w:val="24"/>
        </w:rPr>
        <w:t xml:space="preserve"> dhe standardit të arsyetimit, si dhe parimit të sigurisë juridike, </w:t>
      </w:r>
      <w:r w:rsidR="009F20E3" w:rsidRPr="00C34BC8">
        <w:rPr>
          <w:rFonts w:ascii="Garamond" w:eastAsiaTheme="minorHAnsi" w:hAnsi="Garamond" w:cs="Times New Roman"/>
          <w:color w:val="000000"/>
          <w:sz w:val="24"/>
          <w:szCs w:val="24"/>
        </w:rPr>
        <w:t xml:space="preserve">pasi kërkuesit i është siguruar </w:t>
      </w:r>
      <w:proofErr w:type="spellStart"/>
      <w:r w:rsidR="009F20E3" w:rsidRPr="00C34BC8">
        <w:rPr>
          <w:rFonts w:ascii="Garamond" w:eastAsiaTheme="minorHAnsi" w:hAnsi="Garamond" w:cs="Times New Roman"/>
          <w:color w:val="000000"/>
          <w:sz w:val="24"/>
          <w:szCs w:val="24"/>
        </w:rPr>
        <w:t>akses</w:t>
      </w:r>
      <w:proofErr w:type="spellEnd"/>
      <w:r w:rsidR="009F20E3" w:rsidRPr="00C34BC8">
        <w:rPr>
          <w:rFonts w:ascii="Garamond" w:eastAsiaTheme="minorHAnsi" w:hAnsi="Garamond" w:cs="Times New Roman"/>
          <w:color w:val="000000"/>
          <w:sz w:val="24"/>
          <w:szCs w:val="24"/>
        </w:rPr>
        <w:t xml:space="preserve"> formal dhe substancial dhe Gjykata e Lartë ka vepruar në përputhje me jurisprudencën kushtetuese, me ligjin dhe kompetencën e asaj gjykate.  </w:t>
      </w:r>
    </w:p>
    <w:p w14:paraId="6916FFF2" w14:textId="62111A83"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color w:val="000000"/>
          <w:sz w:val="24"/>
          <w:szCs w:val="24"/>
        </w:rPr>
        <w:t>19.5</w:t>
      </w:r>
      <w:r w:rsidR="009F20E3" w:rsidRPr="00C34BC8">
        <w:rPr>
          <w:rFonts w:ascii="Garamond" w:eastAsiaTheme="minorHAnsi" w:hAnsi="Garamond" w:cs="Times New Roman"/>
          <w:color w:val="000000"/>
          <w:sz w:val="24"/>
          <w:szCs w:val="24"/>
        </w:rPr>
        <w:t xml:space="preserve"> I pabazuar është edhe pretendimi për </w:t>
      </w:r>
      <w:r w:rsidR="009F20E3" w:rsidRPr="00C34BC8">
        <w:rPr>
          <w:rFonts w:ascii="Garamond" w:eastAsiaTheme="minorHAnsi" w:hAnsi="Garamond" w:cs="Times New Roman"/>
          <w:i/>
          <w:iCs/>
          <w:color w:val="000000"/>
          <w:sz w:val="24"/>
          <w:szCs w:val="24"/>
        </w:rPr>
        <w:t xml:space="preserve">cenimin e së drejtës së pronës private. </w:t>
      </w:r>
      <w:r w:rsidR="009F20E3" w:rsidRPr="00C34BC8">
        <w:rPr>
          <w:rFonts w:ascii="Garamond" w:eastAsiaTheme="minorHAnsi" w:hAnsi="Garamond" w:cs="Times New Roman"/>
          <w:color w:val="000000"/>
          <w:sz w:val="24"/>
          <w:szCs w:val="24"/>
        </w:rPr>
        <w:t xml:space="preserve">Kërkuesi ka kërkuar të ndërhyjë në tagrat e ligjshëm të pronës së paditësit dhe faktet provojnë se janë gjetur shkelje të natyrës administrative nga të paditurit, duke penguar përkohësisht disa nga të drejtat e pronarit. Veprimet e paligjshme të organeve të administratës publike janë korrigjuar nga vendimi i gjykatës, kurse për çdo pretendim që mund të ketë në të ardhmen, kërkuesi ka mjete ligjore për paraqitjen e tyre përpara gjykatës. Paditësi i ka fituar të drejtat me vendim të </w:t>
      </w:r>
      <w:proofErr w:type="spellStart"/>
      <w:r w:rsidR="009F20E3" w:rsidRPr="00C34BC8">
        <w:rPr>
          <w:rFonts w:ascii="Garamond" w:eastAsiaTheme="minorHAnsi" w:hAnsi="Garamond" w:cs="Times New Roman"/>
          <w:color w:val="000000"/>
          <w:sz w:val="24"/>
          <w:szCs w:val="24"/>
        </w:rPr>
        <w:t>KKKP</w:t>
      </w:r>
      <w:proofErr w:type="spellEnd"/>
      <w:r w:rsidR="009F20E3" w:rsidRPr="00C34BC8">
        <w:rPr>
          <w:rFonts w:ascii="Garamond" w:eastAsiaTheme="minorHAnsi" w:hAnsi="Garamond" w:cs="Times New Roman"/>
          <w:color w:val="000000"/>
          <w:sz w:val="24"/>
          <w:szCs w:val="24"/>
        </w:rPr>
        <w:t xml:space="preserve">-së, Tiranë të formës së prerë, kur Fondacioni nuk ekzistonte si entitet dhe ky i fundit nuk ka fituar asnjëherë të drejta të ligjshme mbi pasurinë. Ai përfaqëson një fondacion të krijuar me qëllim arsimor dhe nuk ka asnjë të drejtë që konkurron me ato të fituara me vendim të </w:t>
      </w:r>
      <w:proofErr w:type="spellStart"/>
      <w:r w:rsidR="009F20E3" w:rsidRPr="00C34BC8">
        <w:rPr>
          <w:rFonts w:ascii="Garamond" w:eastAsiaTheme="minorHAnsi" w:hAnsi="Garamond" w:cs="Times New Roman"/>
          <w:color w:val="000000"/>
          <w:sz w:val="24"/>
          <w:szCs w:val="24"/>
        </w:rPr>
        <w:t>KKKP</w:t>
      </w:r>
      <w:proofErr w:type="spellEnd"/>
      <w:r w:rsidR="009F20E3" w:rsidRPr="00C34BC8">
        <w:rPr>
          <w:rFonts w:ascii="Garamond" w:eastAsiaTheme="minorHAnsi" w:hAnsi="Garamond" w:cs="Times New Roman"/>
          <w:color w:val="000000"/>
          <w:sz w:val="24"/>
          <w:szCs w:val="24"/>
        </w:rPr>
        <w:t xml:space="preserve">-së. </w:t>
      </w:r>
    </w:p>
    <w:p w14:paraId="3265C540"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C34BC8">
        <w:rPr>
          <w:rFonts w:ascii="Garamond" w:eastAsiaTheme="minorHAnsi" w:hAnsi="Garamond" w:cs="Times New Roman"/>
          <w:color w:val="000000"/>
          <w:sz w:val="24"/>
          <w:szCs w:val="24"/>
        </w:rPr>
        <w:t xml:space="preserve">20. </w:t>
      </w:r>
      <w:r w:rsidRPr="00C34BC8">
        <w:rPr>
          <w:rFonts w:ascii="Garamond" w:eastAsiaTheme="minorHAnsi" w:hAnsi="Garamond" w:cs="Times New Roman"/>
          <w:b/>
          <w:bCs/>
          <w:i/>
          <w:iCs/>
          <w:color w:val="000000"/>
          <w:sz w:val="24"/>
          <w:szCs w:val="24"/>
        </w:rPr>
        <w:t>Subjekti i interesuar, Këshilli i Ministrave</w:t>
      </w:r>
      <w:r w:rsidRPr="00C34BC8">
        <w:rPr>
          <w:rFonts w:ascii="Garamond" w:eastAsiaTheme="minorHAnsi" w:hAnsi="Garamond" w:cs="Times New Roman"/>
          <w:color w:val="000000"/>
          <w:sz w:val="24"/>
          <w:szCs w:val="24"/>
        </w:rPr>
        <w:t>, në mënyrë të përmbledhur, ka parashtruar:</w:t>
      </w:r>
    </w:p>
    <w:p w14:paraId="054CF608" w14:textId="0DB890A1"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20.1</w:t>
      </w:r>
      <w:r w:rsidR="009F20E3" w:rsidRPr="00C34BC8">
        <w:rPr>
          <w:rFonts w:ascii="Garamond" w:eastAsiaTheme="minorHAnsi" w:hAnsi="Garamond" w:cs="Times New Roman"/>
          <w:color w:val="000000"/>
          <w:sz w:val="24"/>
          <w:szCs w:val="24"/>
        </w:rPr>
        <w:t xml:space="preserve"> Pretendimi për </w:t>
      </w:r>
      <w:r w:rsidR="009F20E3" w:rsidRPr="00C34BC8">
        <w:rPr>
          <w:rFonts w:ascii="Garamond" w:eastAsiaTheme="minorHAnsi" w:hAnsi="Garamond" w:cs="Times New Roman"/>
          <w:i/>
          <w:iCs/>
          <w:color w:val="000000"/>
          <w:sz w:val="24"/>
          <w:szCs w:val="24"/>
        </w:rPr>
        <w:t xml:space="preserve">cenimin e së drejtës për t’u gjykuar nga një gjykatë e caktuar me ligj </w:t>
      </w:r>
      <w:r w:rsidR="009F20E3" w:rsidRPr="00C34BC8">
        <w:rPr>
          <w:rFonts w:ascii="Garamond" w:eastAsiaTheme="minorHAnsi" w:hAnsi="Garamond" w:cs="Times New Roman"/>
          <w:color w:val="000000"/>
          <w:sz w:val="24"/>
          <w:szCs w:val="24"/>
        </w:rPr>
        <w:t>është i bazuar, pasi</w:t>
      </w:r>
      <w:r w:rsidR="009F20E3" w:rsidRPr="00C34BC8">
        <w:rPr>
          <w:rFonts w:ascii="Garamond" w:eastAsiaTheme="minorHAnsi" w:hAnsi="Garamond" w:cs="Times New Roman"/>
          <w:i/>
          <w:iCs/>
          <w:color w:val="000000"/>
          <w:sz w:val="24"/>
          <w:szCs w:val="24"/>
        </w:rPr>
        <w:t xml:space="preserve"> </w:t>
      </w:r>
      <w:r w:rsidR="009F20E3" w:rsidRPr="00C34BC8">
        <w:rPr>
          <w:rFonts w:ascii="Garamond" w:eastAsiaTheme="minorHAnsi" w:hAnsi="Garamond" w:cs="Times New Roman"/>
          <w:color w:val="000000"/>
          <w:sz w:val="24"/>
          <w:szCs w:val="24"/>
        </w:rPr>
        <w:t xml:space="preserve">referuar shkakut të padisë dhe pretendimeve për pavlefshmërinë e aktit, ato janë të natyrës civile. Në kuptim të legjislacionit të posaçëm në fuqi në kohën e daljes së vendimit, nenit 105 të </w:t>
      </w:r>
      <w:proofErr w:type="spellStart"/>
      <w:r w:rsidR="009F20E3" w:rsidRPr="00C34BC8">
        <w:rPr>
          <w:rFonts w:ascii="Garamond" w:eastAsiaTheme="minorHAnsi" w:hAnsi="Garamond" w:cs="Times New Roman"/>
          <w:color w:val="000000"/>
          <w:sz w:val="24"/>
          <w:szCs w:val="24"/>
        </w:rPr>
        <w:t>KPA</w:t>
      </w:r>
      <w:proofErr w:type="spellEnd"/>
      <w:r w:rsidR="009F20E3" w:rsidRPr="00C34BC8">
        <w:rPr>
          <w:rFonts w:ascii="Garamond" w:eastAsiaTheme="minorHAnsi" w:hAnsi="Garamond" w:cs="Times New Roman"/>
          <w:color w:val="000000"/>
          <w:sz w:val="24"/>
          <w:szCs w:val="24"/>
        </w:rPr>
        <w:t>-së, nenit 2</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të ligjit nr. 49/2012 dhe vendimit </w:t>
      </w:r>
      <w:proofErr w:type="spellStart"/>
      <w:r w:rsidR="009F20E3" w:rsidRPr="00C34BC8">
        <w:rPr>
          <w:rFonts w:ascii="Garamond" w:eastAsiaTheme="minorHAnsi" w:hAnsi="Garamond" w:cs="Times New Roman"/>
          <w:color w:val="000000"/>
          <w:sz w:val="24"/>
          <w:szCs w:val="24"/>
        </w:rPr>
        <w:t>unifikues</w:t>
      </w:r>
      <w:proofErr w:type="spellEnd"/>
      <w:r w:rsidR="009F20E3" w:rsidRPr="00C34BC8">
        <w:rPr>
          <w:rFonts w:ascii="Garamond" w:eastAsiaTheme="minorHAnsi" w:hAnsi="Garamond" w:cs="Times New Roman"/>
          <w:color w:val="000000"/>
          <w:sz w:val="24"/>
          <w:szCs w:val="24"/>
        </w:rPr>
        <w:t xml:space="preserve"> nr. 3</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të vitit 2012 të Gjykatës së Lartë, </w:t>
      </w:r>
      <w:proofErr w:type="spellStart"/>
      <w:r w:rsidR="009F20E3" w:rsidRPr="00C34BC8">
        <w:rPr>
          <w:rFonts w:ascii="Garamond" w:eastAsiaTheme="minorHAnsi" w:hAnsi="Garamond" w:cs="Times New Roman"/>
          <w:color w:val="000000"/>
          <w:sz w:val="24"/>
          <w:szCs w:val="24"/>
        </w:rPr>
        <w:t>VKM</w:t>
      </w:r>
      <w:proofErr w:type="spellEnd"/>
      <w:r w:rsidR="009F20E3" w:rsidRPr="00C34BC8">
        <w:rPr>
          <w:rFonts w:ascii="Garamond" w:eastAsiaTheme="minorHAnsi" w:hAnsi="Garamond" w:cs="Times New Roman"/>
          <w:color w:val="000000"/>
          <w:sz w:val="24"/>
          <w:szCs w:val="24"/>
        </w:rPr>
        <w:t>-ja nr. 207/2000</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nuk përbën akt administrativ individual. Çështja e kompetencës lëndore duhej të ishte shqyrtuar kryesisht nga çdo gjykatë. </w:t>
      </w:r>
    </w:p>
    <w:p w14:paraId="748732D9" w14:textId="69FD6B4B"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20.2</w:t>
      </w:r>
      <w:r w:rsidR="009F20E3" w:rsidRPr="00C34BC8">
        <w:rPr>
          <w:rFonts w:ascii="Garamond" w:eastAsiaTheme="minorHAnsi" w:hAnsi="Garamond" w:cs="Times New Roman"/>
          <w:color w:val="000000"/>
          <w:sz w:val="24"/>
          <w:szCs w:val="24"/>
        </w:rPr>
        <w:t xml:space="preserve"> Pretendimi për</w:t>
      </w:r>
      <w:r w:rsidR="009F20E3" w:rsidRPr="00C34BC8">
        <w:rPr>
          <w:rFonts w:ascii="Garamond" w:eastAsiaTheme="minorHAnsi" w:hAnsi="Garamond" w:cs="Times New Roman"/>
          <w:i/>
          <w:iCs/>
          <w:color w:val="000000"/>
          <w:sz w:val="24"/>
          <w:szCs w:val="24"/>
        </w:rPr>
        <w:t xml:space="preserve"> cenimin e së drejtës për t’u gjykuar nga një gjykatë e paanshme </w:t>
      </w:r>
      <w:r w:rsidR="009F20E3" w:rsidRPr="00C34BC8">
        <w:rPr>
          <w:rFonts w:ascii="Garamond" w:eastAsiaTheme="minorHAnsi" w:hAnsi="Garamond" w:cs="Times New Roman"/>
          <w:color w:val="000000"/>
          <w:sz w:val="24"/>
          <w:szCs w:val="24"/>
        </w:rPr>
        <w:t xml:space="preserve">është i bazuar, pasi kryesuesja e trupit gjykues të Kolegjit Administrativ, e cila ka marrë pjesë në gjykimin e së njëjtës çështje në apel, edhe pse në prani të këtij fakti, nuk ka kërkuar dorëheqjen nga gjykimi i çështjes. </w:t>
      </w:r>
    </w:p>
    <w:p w14:paraId="01B6938A" w14:textId="2E06DB13"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20.3</w:t>
      </w:r>
      <w:r w:rsidR="009F20E3" w:rsidRPr="00C34BC8">
        <w:rPr>
          <w:rFonts w:ascii="Garamond" w:eastAsiaTheme="minorHAnsi" w:hAnsi="Garamond" w:cs="Times New Roman"/>
          <w:color w:val="000000"/>
          <w:sz w:val="24"/>
          <w:szCs w:val="24"/>
        </w:rPr>
        <w:t xml:space="preserve"> I bazuar është edhe pretendimi për</w:t>
      </w:r>
      <w:r w:rsidR="009F20E3" w:rsidRPr="00C34BC8">
        <w:rPr>
          <w:rFonts w:ascii="Garamond" w:eastAsiaTheme="minorHAnsi" w:hAnsi="Garamond" w:cs="Times New Roman"/>
          <w:i/>
          <w:iCs/>
          <w:color w:val="000000"/>
          <w:sz w:val="24"/>
          <w:szCs w:val="24"/>
        </w:rPr>
        <w:t xml:space="preserve"> cenimin e parimit të barazisë së armëve dhe </w:t>
      </w:r>
      <w:proofErr w:type="spellStart"/>
      <w:r w:rsidR="009F20E3" w:rsidRPr="00C34BC8">
        <w:rPr>
          <w:rFonts w:ascii="Garamond" w:eastAsiaTheme="minorHAnsi" w:hAnsi="Garamond" w:cs="Times New Roman"/>
          <w:i/>
          <w:iCs/>
          <w:color w:val="000000"/>
          <w:sz w:val="24"/>
          <w:szCs w:val="24"/>
        </w:rPr>
        <w:t>kontradiktoritetit</w:t>
      </w:r>
      <w:proofErr w:type="spellEnd"/>
      <w:r w:rsidR="009F20E3" w:rsidRPr="00C34BC8">
        <w:rPr>
          <w:rFonts w:ascii="Garamond" w:eastAsiaTheme="minorHAnsi" w:hAnsi="Garamond" w:cs="Times New Roman"/>
          <w:i/>
          <w:iCs/>
          <w:color w:val="000000"/>
          <w:sz w:val="24"/>
          <w:szCs w:val="24"/>
        </w:rPr>
        <w:t xml:space="preserve">, </w:t>
      </w:r>
      <w:r w:rsidR="009F20E3" w:rsidRPr="00C34BC8">
        <w:rPr>
          <w:rFonts w:ascii="Garamond" w:eastAsiaTheme="minorHAnsi" w:hAnsi="Garamond" w:cs="Times New Roman"/>
          <w:color w:val="000000"/>
          <w:sz w:val="24"/>
          <w:szCs w:val="24"/>
        </w:rPr>
        <w:t xml:space="preserve">pasi Fondacioni është thirrur në gjykim në cilësinë e personit të tretë, shkak për të cilin ka pasur në dispozicion mjete procedurale të kufizuara për të kundërshtuar titullin e pronësisë së paditësit dhe për të provuar ligjshmërinë e titullit (nuk ka pasur të drejtën të paraqesë kundërpadi). Edhe pse kërkuesi ka kundërshtuar </w:t>
      </w:r>
      <w:proofErr w:type="spellStart"/>
      <w:r w:rsidR="009F20E3" w:rsidRPr="00C34BC8">
        <w:rPr>
          <w:rFonts w:ascii="Garamond" w:eastAsiaTheme="minorHAnsi" w:hAnsi="Garamond" w:cs="Times New Roman"/>
          <w:color w:val="000000"/>
          <w:sz w:val="24"/>
          <w:szCs w:val="24"/>
        </w:rPr>
        <w:t>gjyqësisht</w:t>
      </w:r>
      <w:proofErr w:type="spellEnd"/>
      <w:r w:rsidR="009F20E3" w:rsidRPr="00C34BC8">
        <w:rPr>
          <w:rFonts w:ascii="Garamond" w:eastAsiaTheme="minorHAnsi" w:hAnsi="Garamond" w:cs="Times New Roman"/>
          <w:color w:val="000000"/>
          <w:sz w:val="24"/>
          <w:szCs w:val="24"/>
        </w:rPr>
        <w:t xml:space="preserve"> në rrugë civile titullin e pronësisë, Gjykata Administrative e Apelit ka rrëzuar kërkesën për pezullimin e gjykimit administrativ, me arsyetimin se nuk janë kushtet e nenit 297 të </w:t>
      </w:r>
      <w:proofErr w:type="spellStart"/>
      <w:r w:rsidR="009F20E3" w:rsidRPr="00C34BC8">
        <w:rPr>
          <w:rFonts w:ascii="Garamond" w:eastAsiaTheme="minorHAnsi" w:hAnsi="Garamond" w:cs="Times New Roman"/>
          <w:color w:val="000000"/>
          <w:sz w:val="24"/>
          <w:szCs w:val="24"/>
        </w:rPr>
        <w:t>KPC</w:t>
      </w:r>
      <w:proofErr w:type="spellEnd"/>
      <w:r w:rsidR="009F20E3" w:rsidRPr="00C34BC8">
        <w:rPr>
          <w:rFonts w:ascii="Garamond" w:eastAsiaTheme="minorHAnsi" w:hAnsi="Garamond" w:cs="Times New Roman"/>
          <w:color w:val="000000"/>
          <w:sz w:val="24"/>
          <w:szCs w:val="24"/>
        </w:rPr>
        <w:t xml:space="preserve">-së, ndërkohë që kjo çështje nuk mund të zgjidhet pa përfunduar gjykimi i çështjes civile. Kolegji Administrativ nuk ka konstatuar </w:t>
      </w:r>
      <w:proofErr w:type="spellStart"/>
      <w:r w:rsidR="009F20E3" w:rsidRPr="00C34BC8">
        <w:rPr>
          <w:rFonts w:ascii="Garamond" w:eastAsiaTheme="minorHAnsi" w:hAnsi="Garamond" w:cs="Times New Roman"/>
          <w:color w:val="000000"/>
          <w:sz w:val="24"/>
          <w:szCs w:val="24"/>
        </w:rPr>
        <w:t>mosformimin</w:t>
      </w:r>
      <w:proofErr w:type="spellEnd"/>
      <w:r w:rsidR="009F20E3" w:rsidRPr="00C34BC8">
        <w:rPr>
          <w:rFonts w:ascii="Garamond" w:eastAsiaTheme="minorHAnsi" w:hAnsi="Garamond" w:cs="Times New Roman"/>
          <w:color w:val="000000"/>
          <w:sz w:val="24"/>
          <w:szCs w:val="24"/>
        </w:rPr>
        <w:t xml:space="preserve"> e drejtë të </w:t>
      </w:r>
      <w:proofErr w:type="spellStart"/>
      <w:r w:rsidR="009F20E3" w:rsidRPr="00C34BC8">
        <w:rPr>
          <w:rFonts w:ascii="Garamond" w:eastAsiaTheme="minorHAnsi" w:hAnsi="Garamond" w:cs="Times New Roman"/>
          <w:color w:val="000000"/>
          <w:sz w:val="24"/>
          <w:szCs w:val="24"/>
        </w:rPr>
        <w:t>ndërgjyqësisë</w:t>
      </w:r>
      <w:proofErr w:type="spellEnd"/>
      <w:r w:rsidR="009F20E3" w:rsidRPr="00C34BC8">
        <w:rPr>
          <w:rFonts w:ascii="Garamond" w:eastAsiaTheme="minorHAnsi" w:hAnsi="Garamond" w:cs="Times New Roman"/>
          <w:color w:val="000000"/>
          <w:sz w:val="24"/>
          <w:szCs w:val="24"/>
        </w:rPr>
        <w:t xml:space="preserve"> edhe pse pasojat ishin të drejtpërdrejta për kërkuesin, gjë që sjell pavlefshmërinë e procesit. </w:t>
      </w:r>
    </w:p>
    <w:p w14:paraId="5446CD67" w14:textId="5BE12D20"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lastRenderedPageBreak/>
        <w:t>20.4</w:t>
      </w:r>
      <w:r w:rsidR="009F20E3" w:rsidRPr="00C34BC8">
        <w:rPr>
          <w:rFonts w:ascii="Garamond" w:eastAsiaTheme="minorHAnsi" w:hAnsi="Garamond" w:cs="Times New Roman"/>
          <w:color w:val="000000"/>
          <w:sz w:val="24"/>
          <w:szCs w:val="24"/>
        </w:rPr>
        <w:t xml:space="preserve"> Edhe pretendimi për cenimin e </w:t>
      </w:r>
      <w:r w:rsidR="009F20E3" w:rsidRPr="00C34BC8">
        <w:rPr>
          <w:rFonts w:ascii="Garamond" w:eastAsiaTheme="minorHAnsi" w:hAnsi="Garamond" w:cs="Times New Roman"/>
          <w:i/>
          <w:iCs/>
          <w:color w:val="000000"/>
          <w:sz w:val="24"/>
          <w:szCs w:val="24"/>
        </w:rPr>
        <w:t xml:space="preserve">së drejtës së </w:t>
      </w:r>
      <w:proofErr w:type="spellStart"/>
      <w:r w:rsidR="009F20E3" w:rsidRPr="00C34BC8">
        <w:rPr>
          <w:rFonts w:ascii="Garamond" w:eastAsiaTheme="minorHAnsi" w:hAnsi="Garamond" w:cs="Times New Roman"/>
          <w:i/>
          <w:iCs/>
          <w:color w:val="000000"/>
          <w:sz w:val="24"/>
          <w:szCs w:val="24"/>
        </w:rPr>
        <w:t>aksesit</w:t>
      </w:r>
      <w:proofErr w:type="spellEnd"/>
      <w:r w:rsidR="009F20E3" w:rsidRPr="00C34BC8">
        <w:rPr>
          <w:rFonts w:ascii="Garamond" w:eastAsiaTheme="minorHAnsi" w:hAnsi="Garamond" w:cs="Times New Roman"/>
          <w:i/>
          <w:iCs/>
          <w:color w:val="000000"/>
          <w:sz w:val="24"/>
          <w:szCs w:val="24"/>
        </w:rPr>
        <w:t xml:space="preserve"> substancial </w:t>
      </w:r>
      <w:r w:rsidR="009F20E3" w:rsidRPr="00C34BC8">
        <w:rPr>
          <w:rFonts w:ascii="Garamond" w:eastAsiaTheme="minorHAnsi" w:hAnsi="Garamond" w:cs="Times New Roman"/>
          <w:color w:val="000000"/>
          <w:sz w:val="24"/>
          <w:szCs w:val="24"/>
        </w:rPr>
        <w:t>të lidhur me</w:t>
      </w:r>
      <w:r w:rsidR="009F20E3" w:rsidRPr="00C34BC8">
        <w:rPr>
          <w:rFonts w:ascii="Garamond" w:eastAsiaTheme="minorHAnsi" w:hAnsi="Garamond" w:cs="Times New Roman"/>
          <w:i/>
          <w:iCs/>
          <w:color w:val="000000"/>
          <w:sz w:val="24"/>
          <w:szCs w:val="24"/>
        </w:rPr>
        <w:t xml:space="preserve"> standardin e arsyetimit të vendimit </w:t>
      </w:r>
      <w:r w:rsidR="009F20E3" w:rsidRPr="00C34BC8">
        <w:rPr>
          <w:rFonts w:ascii="Garamond" w:eastAsiaTheme="minorHAnsi" w:hAnsi="Garamond" w:cs="Times New Roman"/>
          <w:color w:val="000000"/>
          <w:sz w:val="24"/>
          <w:szCs w:val="24"/>
        </w:rPr>
        <w:t xml:space="preserve">është i bazuar, pasi Kolegji Administrativ jo vetëm që nuk ka shqyrtuar kryesisht çështjet ligjore, por as parakushtet procedurale që shqyrtohen në çdo fazë dhe shkallë gjykimi, të tilla si kompetenca lëndore, identifikimi i shkakut ligjor të padisë në funksion të përcaktimit të kompetencës lëndore dhe formimi i drejtë i </w:t>
      </w:r>
      <w:proofErr w:type="spellStart"/>
      <w:r w:rsidR="009F20E3" w:rsidRPr="00C34BC8">
        <w:rPr>
          <w:rFonts w:ascii="Garamond" w:eastAsiaTheme="minorHAnsi" w:hAnsi="Garamond" w:cs="Times New Roman"/>
          <w:color w:val="000000"/>
          <w:sz w:val="24"/>
          <w:szCs w:val="24"/>
        </w:rPr>
        <w:t>ndërgjyqësisë</w:t>
      </w:r>
      <w:proofErr w:type="spellEnd"/>
      <w:r w:rsidR="009F20E3" w:rsidRPr="00C34BC8">
        <w:rPr>
          <w:rFonts w:ascii="Garamond" w:eastAsiaTheme="minorHAnsi" w:hAnsi="Garamond" w:cs="Times New Roman"/>
          <w:color w:val="000000"/>
          <w:sz w:val="24"/>
          <w:szCs w:val="24"/>
        </w:rPr>
        <w:t xml:space="preserve">. </w:t>
      </w:r>
    </w:p>
    <w:p w14:paraId="3B42D212" w14:textId="06EACBCC"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20.5</w:t>
      </w:r>
      <w:r w:rsidR="009F20E3" w:rsidRPr="00C34BC8">
        <w:rPr>
          <w:rFonts w:ascii="Garamond" w:eastAsiaTheme="minorHAnsi" w:hAnsi="Garamond" w:cs="Times New Roman"/>
          <w:color w:val="000000"/>
          <w:sz w:val="24"/>
          <w:szCs w:val="24"/>
        </w:rPr>
        <w:t xml:space="preserve"> Në drejtim të pretendimit për </w:t>
      </w:r>
      <w:r w:rsidR="009F20E3" w:rsidRPr="00C34BC8">
        <w:rPr>
          <w:rFonts w:ascii="Garamond" w:eastAsiaTheme="minorHAnsi" w:hAnsi="Garamond" w:cs="Times New Roman"/>
          <w:i/>
          <w:iCs/>
          <w:color w:val="000000"/>
          <w:sz w:val="24"/>
          <w:szCs w:val="24"/>
        </w:rPr>
        <w:t>cenimin e parimit të sigurisë juridike,</w:t>
      </w:r>
      <w:r w:rsidR="009F20E3" w:rsidRPr="00C34BC8">
        <w:rPr>
          <w:rFonts w:ascii="Garamond" w:eastAsiaTheme="minorHAnsi" w:hAnsi="Garamond" w:cs="Times New Roman"/>
          <w:color w:val="000000"/>
          <w:sz w:val="24"/>
          <w:szCs w:val="24"/>
        </w:rPr>
        <w:t xml:space="preserve"> ai cenohet kur gjykata: nuk ka zbatuar normën ligjore detyruese për shqyrtimin kryesisht të kompetencës lëndore; nuk ka identifikuar shkakun ligjor të padisë në funksion të përcaktimit të kompetencës lëndore; nuk ka analizuar normën ligjore për formimin e drejtë të </w:t>
      </w:r>
      <w:proofErr w:type="spellStart"/>
      <w:r w:rsidR="009F20E3" w:rsidRPr="00C34BC8">
        <w:rPr>
          <w:rFonts w:ascii="Garamond" w:eastAsiaTheme="minorHAnsi" w:hAnsi="Garamond" w:cs="Times New Roman"/>
          <w:color w:val="000000"/>
          <w:sz w:val="24"/>
          <w:szCs w:val="24"/>
        </w:rPr>
        <w:t>ndërgjyqësisë</w:t>
      </w:r>
      <w:proofErr w:type="spellEnd"/>
      <w:r w:rsidR="009F20E3" w:rsidRPr="00C34BC8">
        <w:rPr>
          <w:rFonts w:ascii="Garamond" w:eastAsiaTheme="minorHAnsi" w:hAnsi="Garamond" w:cs="Times New Roman"/>
          <w:color w:val="000000"/>
          <w:sz w:val="24"/>
          <w:szCs w:val="24"/>
        </w:rPr>
        <w:t xml:space="preserve">. Vendimi i kundërshtuar ka cenuar këtë parim edhe në drejtim të  </w:t>
      </w:r>
      <w:proofErr w:type="spellStart"/>
      <w:r w:rsidR="009F20E3" w:rsidRPr="00C34BC8">
        <w:rPr>
          <w:rFonts w:ascii="Garamond" w:eastAsiaTheme="minorHAnsi" w:hAnsi="Garamond" w:cs="Times New Roman"/>
          <w:color w:val="000000"/>
          <w:sz w:val="24"/>
          <w:szCs w:val="24"/>
        </w:rPr>
        <w:t>pritshmërive</w:t>
      </w:r>
      <w:proofErr w:type="spellEnd"/>
      <w:r w:rsidR="009F20E3" w:rsidRPr="00C34BC8">
        <w:rPr>
          <w:rFonts w:ascii="Garamond" w:eastAsiaTheme="minorHAnsi" w:hAnsi="Garamond" w:cs="Times New Roman"/>
          <w:color w:val="000000"/>
          <w:sz w:val="24"/>
          <w:szCs w:val="24"/>
        </w:rPr>
        <w:t xml:space="preserve"> të ligjshme, ashtu edhe parimin e barazisë në të drejta për shkak të moszbatimit të normave ligjore detyruese dhe sepse e njëjta trupë, për çështje analoge, ka mbajtur qëndrime të ndryshme për formimin e </w:t>
      </w:r>
      <w:proofErr w:type="spellStart"/>
      <w:r w:rsidR="009F20E3" w:rsidRPr="00C34BC8">
        <w:rPr>
          <w:rFonts w:ascii="Garamond" w:eastAsiaTheme="minorHAnsi" w:hAnsi="Garamond" w:cs="Times New Roman"/>
          <w:color w:val="000000"/>
          <w:sz w:val="24"/>
          <w:szCs w:val="24"/>
        </w:rPr>
        <w:t>ndërgjyqësisë</w:t>
      </w:r>
      <w:proofErr w:type="spellEnd"/>
      <w:r w:rsidR="009F20E3" w:rsidRPr="00C34BC8">
        <w:rPr>
          <w:rFonts w:ascii="Garamond" w:eastAsiaTheme="minorHAnsi" w:hAnsi="Garamond" w:cs="Times New Roman"/>
          <w:color w:val="000000"/>
          <w:sz w:val="24"/>
          <w:szCs w:val="24"/>
        </w:rPr>
        <w:t xml:space="preserve">. </w:t>
      </w:r>
    </w:p>
    <w:p w14:paraId="0D81CB5E"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21. </w:t>
      </w:r>
      <w:r w:rsidRPr="00C34BC8">
        <w:rPr>
          <w:rFonts w:ascii="Garamond" w:eastAsiaTheme="minorHAnsi" w:hAnsi="Garamond" w:cs="Times New Roman"/>
          <w:b/>
          <w:bCs/>
          <w:i/>
          <w:iCs/>
          <w:color w:val="000000"/>
          <w:sz w:val="24"/>
          <w:szCs w:val="24"/>
        </w:rPr>
        <w:t>Subjekti i interesuar, ASHK-ja</w:t>
      </w:r>
      <w:r w:rsidRPr="00C34BC8">
        <w:rPr>
          <w:rFonts w:ascii="Garamond" w:eastAsiaTheme="minorHAnsi" w:hAnsi="Garamond" w:cs="Times New Roman"/>
          <w:color w:val="000000"/>
          <w:sz w:val="24"/>
          <w:szCs w:val="24"/>
        </w:rPr>
        <w:t>, në mënyrë të përmbledhur, ka parashtruar:</w:t>
      </w:r>
    </w:p>
    <w:p w14:paraId="47638BEC" w14:textId="09094D51"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21.1</w:t>
      </w:r>
      <w:r w:rsidR="009F20E3" w:rsidRPr="00C34BC8">
        <w:rPr>
          <w:rFonts w:ascii="Garamond" w:eastAsiaTheme="minorHAnsi" w:hAnsi="Garamond" w:cs="Times New Roman"/>
          <w:color w:val="000000"/>
          <w:sz w:val="24"/>
          <w:szCs w:val="24"/>
        </w:rPr>
        <w:t xml:space="preserve"> Vendimi i Kolegjit Administrativ bie ndesh me nenet 42 dhe 43 të Kushtetutës. Mospranimi i rekursit e ka shndërruar këtë mjet ankimi në një mjet formal dhe jo efektiv. I vetmi arsyetim i Kolegjit Administrativ përmblidhet në një paragraf, sipas të cilit në përmbajtje të rekursit nuk përcaktohet asnjë prej rasteve të nenit 58</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të ligjit nr. 49/2012. Vendimi që ka mbyllur në mënyrë përfundimtare çështjen është i mangët kundrejt standardit kushtetues të domosdoshmërisë së vendimit të arsyetuar gjyqësor.</w:t>
      </w:r>
    </w:p>
    <w:p w14:paraId="50FBAE1B" w14:textId="6F03A037"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21.2</w:t>
      </w:r>
      <w:r w:rsidR="009F20E3" w:rsidRPr="00C34BC8">
        <w:rPr>
          <w:rFonts w:ascii="Garamond" w:eastAsiaTheme="minorHAnsi" w:hAnsi="Garamond" w:cs="Times New Roman"/>
          <w:color w:val="000000"/>
          <w:sz w:val="24"/>
          <w:szCs w:val="24"/>
        </w:rPr>
        <w:t xml:space="preserve"> Shkeljet e nenit 42 të Kushtetutës kanë të bëjnë me: i</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mungesën e paanshmërisë së gjykatës, pasi një gjykatë që ka një interes të drejtpërdrejtë ose një lidhje të ngushtë me njërën nga palët mund të ndikojë në vendimin përfundimtar; </w:t>
      </w:r>
      <w:proofErr w:type="spellStart"/>
      <w:r w:rsidR="009F20E3" w:rsidRPr="00C34BC8">
        <w:rPr>
          <w:rFonts w:ascii="Garamond" w:eastAsiaTheme="minorHAnsi" w:hAnsi="Garamond" w:cs="Times New Roman"/>
          <w:color w:val="000000"/>
          <w:sz w:val="24"/>
          <w:szCs w:val="24"/>
        </w:rPr>
        <w:t>ii</w:t>
      </w:r>
      <w:proofErr w:type="spellEnd"/>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mungesën e mundësisë për mbrojtje të plotë ligjore, pasi nëse një palë nuk ka mundësi të paraqesë argumentet ose provat e saj në mënyrë të barabartë, kjo mund të rezultojë në një proces të padrejtë. ASHK-ja ka qenë palë edhe e proceseve civile për ligjshmërinë e titullit të pronësisë nga bashkëpronarët </w:t>
      </w:r>
      <w:proofErr w:type="spellStart"/>
      <w:r w:rsidR="009F20E3" w:rsidRPr="00C34BC8">
        <w:rPr>
          <w:rFonts w:ascii="Garamond" w:eastAsiaTheme="minorHAnsi" w:hAnsi="Garamond" w:cs="Times New Roman"/>
          <w:color w:val="000000"/>
          <w:sz w:val="24"/>
          <w:szCs w:val="24"/>
        </w:rPr>
        <w:t>Beqiri</w:t>
      </w:r>
      <w:proofErr w:type="spellEnd"/>
      <w:r w:rsidR="009F20E3" w:rsidRPr="00C34BC8">
        <w:rPr>
          <w:rFonts w:ascii="Garamond" w:eastAsiaTheme="minorHAnsi" w:hAnsi="Garamond" w:cs="Times New Roman"/>
          <w:color w:val="000000"/>
          <w:sz w:val="24"/>
          <w:szCs w:val="24"/>
        </w:rPr>
        <w:t xml:space="preserve"> dhe ato mund të sjellin zhvillime të reja. Më tej akoma, përfaqësimi i pamjaftueshëm ose i dobët ligjor i palës që direkt i preken interesat pronësorë, pra Fondacionit, duke qenë se në procesin administrativ ka qenë në cilësinë e palës së tretë, sjell mungesën e barazisë në mjetet e mbrojtjes. </w:t>
      </w:r>
    </w:p>
    <w:p w14:paraId="625325B0" w14:textId="5D52286C" w:rsidR="009F20E3" w:rsidRPr="00C34BC8" w:rsidRDefault="00056590"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21.3</w:t>
      </w:r>
      <w:r w:rsidR="009F20E3" w:rsidRPr="00C34BC8">
        <w:rPr>
          <w:rFonts w:ascii="Garamond" w:eastAsiaTheme="minorHAnsi" w:hAnsi="Garamond" w:cs="Times New Roman"/>
          <w:color w:val="000000"/>
          <w:sz w:val="24"/>
          <w:szCs w:val="24"/>
        </w:rPr>
        <w:t xml:space="preserve"> Në kuptim të nenit 43 të Kushtetutës, e drejta e ankimit është ushtruar, por vetëm formalisht dhe Gjykata e Lartë ka dhënë një vendim të paarsyetuar dhe </w:t>
      </w:r>
      <w:proofErr w:type="spellStart"/>
      <w:r w:rsidR="009F20E3" w:rsidRPr="00C34BC8">
        <w:rPr>
          <w:rFonts w:ascii="Garamond" w:eastAsiaTheme="minorHAnsi" w:hAnsi="Garamond" w:cs="Times New Roman"/>
          <w:color w:val="000000"/>
          <w:sz w:val="24"/>
          <w:szCs w:val="24"/>
        </w:rPr>
        <w:t>totalisht</w:t>
      </w:r>
      <w:proofErr w:type="spellEnd"/>
      <w:r w:rsidR="009F20E3" w:rsidRPr="00C34BC8">
        <w:rPr>
          <w:rFonts w:ascii="Garamond" w:eastAsiaTheme="minorHAnsi" w:hAnsi="Garamond" w:cs="Times New Roman"/>
          <w:color w:val="000000"/>
          <w:sz w:val="24"/>
          <w:szCs w:val="24"/>
        </w:rPr>
        <w:t xml:space="preserve"> formal, duke sjellë si argument të mospranimit të rekursit vetëm nenin 58</w:t>
      </w:r>
      <w:r>
        <w:rPr>
          <w:rFonts w:ascii="Garamond" w:eastAsiaTheme="minorHAnsi" w:hAnsi="Garamond" w:cs="Times New Roman"/>
          <w:color w:val="000000"/>
          <w:sz w:val="24"/>
          <w:szCs w:val="24"/>
        </w:rPr>
        <w:t>,</w:t>
      </w:r>
      <w:r w:rsidR="009F20E3" w:rsidRPr="00C34BC8">
        <w:rPr>
          <w:rFonts w:ascii="Garamond" w:eastAsiaTheme="minorHAnsi" w:hAnsi="Garamond" w:cs="Times New Roman"/>
          <w:color w:val="000000"/>
          <w:sz w:val="24"/>
          <w:szCs w:val="24"/>
        </w:rPr>
        <w:t xml:space="preserve"> të ligjit nr. 49/2012.</w:t>
      </w:r>
    </w:p>
    <w:p w14:paraId="2AD9AFA6" w14:textId="77777777" w:rsidR="009F20E3" w:rsidRPr="00C34BC8" w:rsidRDefault="009F20E3" w:rsidP="009F20E3">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C343D8E"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roofErr w:type="spellStart"/>
      <w:r w:rsidRPr="00C34BC8">
        <w:rPr>
          <w:rFonts w:ascii="Garamond" w:eastAsiaTheme="minorHAnsi" w:hAnsi="Garamond" w:cs="Times New Roman"/>
          <w:b/>
          <w:bCs/>
          <w:color w:val="000000"/>
          <w:sz w:val="24"/>
          <w:szCs w:val="24"/>
        </w:rPr>
        <w:t>III</w:t>
      </w:r>
      <w:proofErr w:type="spellEnd"/>
    </w:p>
    <w:p w14:paraId="7B2A7102"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Vlerësimi i Gjykatës Kushtetuese</w:t>
      </w:r>
    </w:p>
    <w:p w14:paraId="263E66D2" w14:textId="77777777" w:rsidR="009F20E3" w:rsidRPr="00C34BC8" w:rsidRDefault="009F20E3" w:rsidP="009F20E3">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42FB3AF7"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i/>
          <w:iCs/>
          <w:color w:val="000000"/>
          <w:sz w:val="24"/>
          <w:szCs w:val="24"/>
        </w:rPr>
        <w:t xml:space="preserve">A. Për legjitimimin e kërkuesit </w:t>
      </w:r>
    </w:p>
    <w:p w14:paraId="3B11E3CE"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22. Çështja e legjitimimit </w:t>
      </w:r>
      <w:r w:rsidRPr="00C34BC8">
        <w:rPr>
          <w:rFonts w:ascii="Garamond" w:eastAsiaTheme="minorHAnsi" w:hAnsi="Garamond" w:cs="Times New Roman"/>
          <w:i/>
          <w:iCs/>
          <w:color w:val="000000"/>
          <w:sz w:val="24"/>
          <w:szCs w:val="24"/>
        </w:rPr>
        <w:t>(</w:t>
      </w:r>
      <w:proofErr w:type="spellStart"/>
      <w:r w:rsidRPr="00C34BC8">
        <w:rPr>
          <w:rFonts w:ascii="Garamond" w:eastAsiaTheme="minorHAnsi" w:hAnsi="Garamond" w:cs="Times New Roman"/>
          <w:i/>
          <w:iCs/>
          <w:color w:val="000000"/>
          <w:sz w:val="24"/>
          <w:szCs w:val="24"/>
        </w:rPr>
        <w:t>locus</w:t>
      </w:r>
      <w:proofErr w:type="spellEnd"/>
      <w:r w:rsidRPr="00C34BC8">
        <w:rPr>
          <w:rFonts w:ascii="Garamond" w:eastAsiaTheme="minorHAnsi" w:hAnsi="Garamond" w:cs="Times New Roman"/>
          <w:i/>
          <w:iCs/>
          <w:color w:val="000000"/>
          <w:sz w:val="24"/>
          <w:szCs w:val="24"/>
        </w:rPr>
        <w:t xml:space="preserve"> </w:t>
      </w:r>
      <w:proofErr w:type="spellStart"/>
      <w:r w:rsidRPr="00C34BC8">
        <w:rPr>
          <w:rFonts w:ascii="Garamond" w:eastAsiaTheme="minorHAnsi" w:hAnsi="Garamond" w:cs="Times New Roman"/>
          <w:i/>
          <w:iCs/>
          <w:color w:val="000000"/>
          <w:sz w:val="24"/>
          <w:szCs w:val="24"/>
        </w:rPr>
        <w:t>standi</w:t>
      </w:r>
      <w:proofErr w:type="spellEnd"/>
      <w:r w:rsidRPr="00C34BC8">
        <w:rPr>
          <w:rFonts w:ascii="Garamond" w:eastAsiaTheme="minorHAnsi" w:hAnsi="Garamond" w:cs="Times New Roman"/>
          <w:i/>
          <w:iCs/>
          <w:color w:val="000000"/>
          <w:sz w:val="24"/>
          <w:szCs w:val="24"/>
        </w:rPr>
        <w:t>)</w:t>
      </w:r>
      <w:r w:rsidRPr="00C34BC8">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34BC8">
        <w:rPr>
          <w:rFonts w:ascii="Garamond" w:eastAsiaTheme="minorHAnsi" w:hAnsi="Garamond" w:cs="Times New Roman"/>
          <w:color w:val="000000"/>
          <w:sz w:val="24"/>
          <w:szCs w:val="24"/>
        </w:rPr>
        <w:t>kumulative</w:t>
      </w:r>
      <w:proofErr w:type="spellEnd"/>
      <w:r w:rsidRPr="00C34BC8">
        <w:rPr>
          <w:rFonts w:ascii="Garamond" w:eastAsiaTheme="minorHAnsi" w:hAnsi="Garamond" w:cs="Times New Roman"/>
          <w:color w:val="000000"/>
          <w:sz w:val="24"/>
          <w:szCs w:val="24"/>
        </w:rPr>
        <w:t xml:space="preserve"> të nenit 71/a të Ligjit Organik të Gjykatës, që lidhen me afatin e paraqitjes së kërkesës, pasojat negative të pësuara në mënyrë të drejtpërdrejtë e reale, shterimin e mjeteve juridike efektive, si dhe mundësinë për rivendosjen e së drejtës së shkelur. </w:t>
      </w:r>
    </w:p>
    <w:p w14:paraId="385D3A04"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23. Duke pasur parasysh natyrën </w:t>
      </w:r>
      <w:proofErr w:type="spellStart"/>
      <w:r w:rsidRPr="00C34BC8">
        <w:rPr>
          <w:rFonts w:ascii="Garamond" w:eastAsiaTheme="minorHAnsi" w:hAnsi="Garamond" w:cs="Times New Roman"/>
          <w:color w:val="000000"/>
          <w:sz w:val="24"/>
          <w:szCs w:val="24"/>
        </w:rPr>
        <w:t>kumulative</w:t>
      </w:r>
      <w:proofErr w:type="spellEnd"/>
      <w:r w:rsidRPr="00C34BC8">
        <w:rPr>
          <w:rFonts w:ascii="Garamond" w:eastAsiaTheme="minorHAnsi" w:hAnsi="Garamond" w:cs="Times New Roman"/>
          <w:color w:val="000000"/>
          <w:sz w:val="24"/>
          <w:szCs w:val="24"/>
        </w:rPr>
        <w:t xml:space="preserve"> të kritereve të legjitimimit dhe jurisprudencën e saj, Gjykata vëren se kriteret </w:t>
      </w:r>
      <w:proofErr w:type="spellStart"/>
      <w:r w:rsidRPr="00C34BC8">
        <w:rPr>
          <w:rFonts w:ascii="Garamond" w:eastAsiaTheme="minorHAnsi" w:hAnsi="Garamond" w:cs="Times New Roman"/>
          <w:i/>
          <w:iCs/>
          <w:color w:val="000000"/>
          <w:sz w:val="24"/>
          <w:szCs w:val="24"/>
        </w:rPr>
        <w:t>ratione</w:t>
      </w:r>
      <w:proofErr w:type="spellEnd"/>
      <w:r w:rsidRPr="00C34BC8">
        <w:rPr>
          <w:rFonts w:ascii="Garamond" w:eastAsiaTheme="minorHAnsi" w:hAnsi="Garamond" w:cs="Times New Roman"/>
          <w:i/>
          <w:iCs/>
          <w:color w:val="000000"/>
          <w:sz w:val="24"/>
          <w:szCs w:val="24"/>
        </w:rPr>
        <w:t xml:space="preserve"> </w:t>
      </w:r>
      <w:proofErr w:type="spellStart"/>
      <w:r w:rsidRPr="00C34BC8">
        <w:rPr>
          <w:rFonts w:ascii="Garamond" w:eastAsiaTheme="minorHAnsi" w:hAnsi="Garamond" w:cs="Times New Roman"/>
          <w:i/>
          <w:iCs/>
          <w:color w:val="000000"/>
          <w:sz w:val="24"/>
          <w:szCs w:val="24"/>
        </w:rPr>
        <w:t>personae</w:t>
      </w:r>
      <w:proofErr w:type="spellEnd"/>
      <w:r w:rsidRPr="00C34BC8">
        <w:rPr>
          <w:rFonts w:ascii="Garamond" w:eastAsiaTheme="minorHAnsi" w:hAnsi="Garamond" w:cs="Times New Roman"/>
          <w:color w:val="000000"/>
          <w:sz w:val="24"/>
          <w:szCs w:val="24"/>
        </w:rPr>
        <w:t xml:space="preserve"> dhe </w:t>
      </w:r>
      <w:proofErr w:type="spellStart"/>
      <w:r w:rsidRPr="00C34BC8">
        <w:rPr>
          <w:rFonts w:ascii="Garamond" w:eastAsiaTheme="minorHAnsi" w:hAnsi="Garamond" w:cs="Times New Roman"/>
          <w:i/>
          <w:iCs/>
          <w:color w:val="000000"/>
          <w:sz w:val="24"/>
          <w:szCs w:val="24"/>
        </w:rPr>
        <w:t>ratione</w:t>
      </w:r>
      <w:proofErr w:type="spellEnd"/>
      <w:r w:rsidRPr="00C34BC8">
        <w:rPr>
          <w:rFonts w:ascii="Garamond" w:eastAsiaTheme="minorHAnsi" w:hAnsi="Garamond" w:cs="Times New Roman"/>
          <w:i/>
          <w:iCs/>
          <w:color w:val="000000"/>
          <w:sz w:val="24"/>
          <w:szCs w:val="24"/>
        </w:rPr>
        <w:t xml:space="preserve"> </w:t>
      </w:r>
      <w:proofErr w:type="spellStart"/>
      <w:r w:rsidRPr="00C34BC8">
        <w:rPr>
          <w:rFonts w:ascii="Garamond" w:eastAsiaTheme="minorHAnsi" w:hAnsi="Garamond" w:cs="Times New Roman"/>
          <w:i/>
          <w:iCs/>
          <w:color w:val="000000"/>
          <w:sz w:val="24"/>
          <w:szCs w:val="24"/>
        </w:rPr>
        <w:t>temporis</w:t>
      </w:r>
      <w:proofErr w:type="spellEnd"/>
      <w:r w:rsidRPr="00C34BC8">
        <w:rPr>
          <w:rFonts w:ascii="Garamond" w:eastAsiaTheme="minorHAnsi" w:hAnsi="Garamond" w:cs="Times New Roman"/>
          <w:color w:val="000000"/>
          <w:sz w:val="24"/>
          <w:szCs w:val="24"/>
        </w:rPr>
        <w:t xml:space="preserve"> janë të përmbushura. Në lidhje me to nuk rezulton të ketë çështje që kërkojnë analizë të mëtejshme, ndërsa as subjektet e interesuara nuk kanë ngritur ndonjë prapësim. </w:t>
      </w:r>
    </w:p>
    <w:p w14:paraId="6B877FAC" w14:textId="7C6AED72"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24. Në lidhje me kriterin e </w:t>
      </w:r>
      <w:r w:rsidRPr="00C34BC8">
        <w:rPr>
          <w:rFonts w:ascii="Garamond" w:eastAsiaTheme="minorHAnsi" w:hAnsi="Garamond" w:cs="Times New Roman"/>
          <w:i/>
          <w:iCs/>
          <w:color w:val="000000"/>
          <w:sz w:val="24"/>
          <w:szCs w:val="24"/>
        </w:rPr>
        <w:t>shterimit të mjeteve juridike efektive</w:t>
      </w:r>
      <w:r w:rsidRPr="00C34BC8">
        <w:rPr>
          <w:rFonts w:ascii="Garamond" w:eastAsiaTheme="minorHAnsi" w:hAnsi="Garamond" w:cs="Times New Roman"/>
          <w:color w:val="000000"/>
          <w:sz w:val="24"/>
          <w:szCs w:val="24"/>
        </w:rPr>
        <w:t xml:space="preserve">, i cili nënkupton edhe që të gjitha pretendimet që ngrihen në ankimin kushtetues individual të jenë paraqitur më parë në gjykatat e </w:t>
      </w:r>
      <w:r w:rsidRPr="00C34BC8">
        <w:rPr>
          <w:rFonts w:ascii="Garamond" w:eastAsiaTheme="minorHAnsi" w:hAnsi="Garamond" w:cs="Times New Roman"/>
          <w:color w:val="000000"/>
          <w:sz w:val="24"/>
          <w:szCs w:val="24"/>
        </w:rPr>
        <w:lastRenderedPageBreak/>
        <w:t>zakonshme, të paktën në substancë (</w:t>
      </w:r>
      <w:r w:rsidR="00056590">
        <w:rPr>
          <w:rFonts w:ascii="Garamond" w:eastAsiaTheme="minorHAnsi" w:hAnsi="Garamond" w:cs="Times New Roman"/>
          <w:i/>
          <w:iCs/>
          <w:color w:val="000000"/>
          <w:sz w:val="24"/>
          <w:szCs w:val="24"/>
        </w:rPr>
        <w:t>shih vendimet nr. 40, datë 14.</w:t>
      </w:r>
      <w:r w:rsidRPr="00C34BC8">
        <w:rPr>
          <w:rFonts w:ascii="Garamond" w:eastAsiaTheme="minorHAnsi" w:hAnsi="Garamond" w:cs="Times New Roman"/>
          <w:i/>
          <w:iCs/>
          <w:color w:val="000000"/>
          <w:sz w:val="24"/>
          <w:szCs w:val="24"/>
        </w:rPr>
        <w:t>5.2024; nr. 38,</w:t>
      </w:r>
      <w:r w:rsidR="00056590">
        <w:rPr>
          <w:rFonts w:ascii="Garamond" w:eastAsiaTheme="minorHAnsi" w:hAnsi="Garamond" w:cs="Times New Roman"/>
          <w:i/>
          <w:iCs/>
          <w:color w:val="000000"/>
          <w:sz w:val="24"/>
          <w:szCs w:val="24"/>
        </w:rPr>
        <w:t xml:space="preserve"> datë 12.7.2023; nr. 33, datë </w:t>
      </w:r>
      <w:r w:rsidRPr="00C34BC8">
        <w:rPr>
          <w:rFonts w:ascii="Garamond" w:eastAsiaTheme="minorHAnsi" w:hAnsi="Garamond" w:cs="Times New Roman"/>
          <w:i/>
          <w:iCs/>
          <w:color w:val="000000"/>
          <w:sz w:val="24"/>
          <w:szCs w:val="24"/>
        </w:rPr>
        <w:t>1.11.2021</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Gjykata vëren se kërkuesi formalisht i është drejtuar asaj pas përfundimit të procesit gjyqësor në të gjitha shkallët e juridiksionit të zakonshëm gjyqësor. Për sa u përket pretendimeve të parashtruara në ankimin kushtetues dhe argumenteve mbi të cilat janë mbështetur ato, rezulton se pretendimin për </w:t>
      </w:r>
      <w:r w:rsidRPr="00C34BC8">
        <w:rPr>
          <w:rFonts w:ascii="Garamond" w:eastAsiaTheme="minorHAnsi" w:hAnsi="Garamond" w:cs="Times New Roman"/>
          <w:i/>
          <w:iCs/>
          <w:color w:val="000000"/>
          <w:sz w:val="24"/>
          <w:szCs w:val="24"/>
        </w:rPr>
        <w:t>të drejtën e pronës private</w:t>
      </w:r>
      <w:r w:rsidRPr="00C34BC8">
        <w:rPr>
          <w:rFonts w:ascii="Garamond" w:eastAsiaTheme="minorHAnsi" w:hAnsi="Garamond" w:cs="Times New Roman"/>
          <w:color w:val="000000"/>
          <w:sz w:val="24"/>
          <w:szCs w:val="24"/>
        </w:rPr>
        <w:t xml:space="preserve">, i cili lidhet, në thelb, me vendimmarrjen e gjykatës së apelit, kërkuesi nuk e ka parashtruar në rekurs dhe në parashtrimet drejtuar Gjykatës së Lartë, ndërkohë që ai ka ngritur pretendime përpara asaj gjykatë për provueshmërinë e pronësisë (ligjshmërinë e titullit) nga paditësi në procesin gjyqësor. Kurse në ankimin kushtetues ky pretendim është parashtruar i lidhur me </w:t>
      </w:r>
      <w:r w:rsidRPr="00C34BC8">
        <w:rPr>
          <w:rFonts w:ascii="Garamond" w:eastAsiaTheme="minorHAnsi" w:hAnsi="Garamond" w:cs="Times New Roman"/>
          <w:i/>
          <w:iCs/>
          <w:color w:val="000000"/>
          <w:sz w:val="24"/>
          <w:szCs w:val="24"/>
        </w:rPr>
        <w:t xml:space="preserve">cenimin e së drejtës për proces të rregullt ligjor, </w:t>
      </w:r>
      <w:r w:rsidRPr="00C34BC8">
        <w:rPr>
          <w:rFonts w:ascii="Garamond" w:eastAsiaTheme="minorHAnsi" w:hAnsi="Garamond" w:cs="Times New Roman"/>
          <w:color w:val="000000"/>
          <w:sz w:val="24"/>
          <w:szCs w:val="24"/>
        </w:rPr>
        <w:t xml:space="preserve">duke pretenduar kërkuesi se për shkak të mënyrës sesi ato kanë vepruar, gjykata e apelit dhe Gjykata e Lartë kanë cenuar, në thelb, edhe të </w:t>
      </w:r>
      <w:r w:rsidRPr="00C34BC8">
        <w:rPr>
          <w:rFonts w:ascii="Garamond" w:eastAsiaTheme="minorHAnsi" w:hAnsi="Garamond" w:cs="Times New Roman"/>
          <w:i/>
          <w:iCs/>
          <w:color w:val="000000"/>
          <w:sz w:val="24"/>
          <w:szCs w:val="24"/>
        </w:rPr>
        <w:t>drejtën e pronës private</w:t>
      </w:r>
      <w:r w:rsidRPr="00C34BC8">
        <w:rPr>
          <w:rFonts w:ascii="Garamond" w:eastAsiaTheme="minorHAnsi" w:hAnsi="Garamond" w:cs="Times New Roman"/>
          <w:color w:val="000000"/>
          <w:sz w:val="24"/>
          <w:szCs w:val="24"/>
        </w:rPr>
        <w:t xml:space="preserve">. </w:t>
      </w:r>
    </w:p>
    <w:p w14:paraId="4839C99E"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25. Kërkuesi ka pretenduar edhe cenimin e </w:t>
      </w:r>
      <w:r w:rsidRPr="00C34BC8">
        <w:rPr>
          <w:rFonts w:ascii="Garamond" w:eastAsiaTheme="minorHAnsi" w:hAnsi="Garamond" w:cs="Times New Roman"/>
          <w:i/>
          <w:iCs/>
          <w:color w:val="000000"/>
          <w:sz w:val="24"/>
          <w:szCs w:val="24"/>
        </w:rPr>
        <w:t xml:space="preserve">parimit të barazisë së armëve dhe </w:t>
      </w:r>
      <w:proofErr w:type="spellStart"/>
      <w:r w:rsidRPr="00C34BC8">
        <w:rPr>
          <w:rFonts w:ascii="Garamond" w:eastAsiaTheme="minorHAnsi" w:hAnsi="Garamond" w:cs="Times New Roman"/>
          <w:i/>
          <w:iCs/>
          <w:color w:val="000000"/>
          <w:sz w:val="24"/>
          <w:szCs w:val="24"/>
        </w:rPr>
        <w:t>kontradiktoritetit</w:t>
      </w:r>
      <w:proofErr w:type="spellEnd"/>
      <w:r w:rsidRPr="00C34BC8">
        <w:rPr>
          <w:rFonts w:ascii="Garamond" w:eastAsiaTheme="minorHAnsi" w:hAnsi="Garamond" w:cs="Times New Roman"/>
          <w:i/>
          <w:iCs/>
          <w:color w:val="000000"/>
          <w:sz w:val="24"/>
          <w:szCs w:val="24"/>
        </w:rPr>
        <w:t xml:space="preserve"> </w:t>
      </w:r>
      <w:r w:rsidRPr="00C34BC8">
        <w:rPr>
          <w:rFonts w:ascii="Garamond" w:eastAsiaTheme="minorHAnsi" w:hAnsi="Garamond" w:cs="Times New Roman"/>
          <w:color w:val="000000"/>
          <w:sz w:val="24"/>
          <w:szCs w:val="24"/>
        </w:rPr>
        <w:t xml:space="preserve">dhe lidhur me të edhe të </w:t>
      </w:r>
      <w:r w:rsidRPr="00C34BC8">
        <w:rPr>
          <w:rFonts w:ascii="Garamond" w:eastAsiaTheme="minorHAnsi" w:hAnsi="Garamond" w:cs="Times New Roman"/>
          <w:i/>
          <w:iCs/>
          <w:color w:val="000000"/>
          <w:sz w:val="24"/>
          <w:szCs w:val="24"/>
        </w:rPr>
        <w:t xml:space="preserve">parimit të barazisë në të drejta, </w:t>
      </w:r>
      <w:r w:rsidRPr="00C34BC8">
        <w:rPr>
          <w:rFonts w:ascii="Garamond" w:eastAsiaTheme="minorHAnsi" w:hAnsi="Garamond" w:cs="Times New Roman"/>
          <w:color w:val="000000"/>
          <w:sz w:val="24"/>
          <w:szCs w:val="24"/>
        </w:rPr>
        <w:t xml:space="preserve">si pasojë e </w:t>
      </w:r>
      <w:proofErr w:type="spellStart"/>
      <w:r w:rsidRPr="00C34BC8">
        <w:rPr>
          <w:rFonts w:ascii="Garamond" w:eastAsiaTheme="minorHAnsi" w:hAnsi="Garamond" w:cs="Times New Roman"/>
          <w:color w:val="000000"/>
          <w:sz w:val="24"/>
          <w:szCs w:val="24"/>
        </w:rPr>
        <w:t>mosformimit</w:t>
      </w:r>
      <w:proofErr w:type="spellEnd"/>
      <w:r w:rsidRPr="00C34BC8">
        <w:rPr>
          <w:rFonts w:ascii="Garamond" w:eastAsiaTheme="minorHAnsi" w:hAnsi="Garamond" w:cs="Times New Roman"/>
          <w:color w:val="000000"/>
          <w:sz w:val="24"/>
          <w:szCs w:val="24"/>
        </w:rPr>
        <w:t xml:space="preserve"> të drejtë të </w:t>
      </w:r>
      <w:proofErr w:type="spellStart"/>
      <w:r w:rsidRPr="00C34BC8">
        <w:rPr>
          <w:rFonts w:ascii="Garamond" w:eastAsiaTheme="minorHAnsi" w:hAnsi="Garamond" w:cs="Times New Roman"/>
          <w:color w:val="000000"/>
          <w:sz w:val="24"/>
          <w:szCs w:val="24"/>
        </w:rPr>
        <w:t>ndërgjyqësisë</w:t>
      </w:r>
      <w:proofErr w:type="spellEnd"/>
      <w:r w:rsidRPr="00C34BC8">
        <w:rPr>
          <w:rFonts w:ascii="Garamond" w:eastAsiaTheme="minorHAnsi" w:hAnsi="Garamond" w:cs="Times New Roman"/>
          <w:color w:val="000000"/>
          <w:sz w:val="24"/>
          <w:szCs w:val="24"/>
        </w:rPr>
        <w:t xml:space="preserve">, për shkak se ai, duke u thirrur në gjykim në cilësinë e personit të tretë, ka pasur mjete procedurale jo të barabarta dhe të kufizuara në krahasim me palën tjetër. </w:t>
      </w:r>
    </w:p>
    <w:p w14:paraId="6BF88E09"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26. Në lidhje me këtë pretendim të kërkuesit, pas shqyrtimit të plotësimit të këtij kriteri, në përfundim të diskutimeve, vlerësimet e gjyqtarëve u ndanë dhe Gjykata nuk arriti numrin e kërkuar të votave për vendimmarrje në lidhje me të, sipas parashikimeve të nenit 133, pika 2, të Kushtetutës dhe nenit 72, pika 2, të Ligjit Organik të Gjykatës.</w:t>
      </w:r>
    </w:p>
    <w:p w14:paraId="396DCEBB"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27. Sipas njërit qëndrim</w:t>
      </w:r>
      <w:r w:rsidRPr="00C34BC8">
        <w:rPr>
          <w:rStyle w:val="FootnoteReference"/>
          <w:rFonts w:ascii="Garamond" w:eastAsiaTheme="minorHAnsi" w:hAnsi="Garamond" w:cs="Times New Roman"/>
          <w:color w:val="000000"/>
          <w:sz w:val="24"/>
          <w:szCs w:val="24"/>
        </w:rPr>
        <w:footnoteReference w:id="2"/>
      </w:r>
      <w:r w:rsidRPr="00C34BC8">
        <w:rPr>
          <w:rFonts w:ascii="Garamond" w:eastAsiaTheme="minorHAnsi" w:hAnsi="Garamond" w:cs="Times New Roman"/>
          <w:color w:val="000000"/>
          <w:sz w:val="24"/>
          <w:szCs w:val="24"/>
        </w:rPr>
        <w:t xml:space="preserve">, u vlerësua se kërkuesi nuk e ka ngritur më parë në Gjykatën e Lartë, në formë ose substancë, pretendimin për </w:t>
      </w:r>
      <w:proofErr w:type="spellStart"/>
      <w:r w:rsidRPr="00C34BC8">
        <w:rPr>
          <w:rFonts w:ascii="Garamond" w:eastAsiaTheme="minorHAnsi" w:hAnsi="Garamond" w:cs="Times New Roman"/>
          <w:color w:val="000000"/>
          <w:sz w:val="24"/>
          <w:szCs w:val="24"/>
        </w:rPr>
        <w:t>mosformimin</w:t>
      </w:r>
      <w:proofErr w:type="spellEnd"/>
      <w:r w:rsidRPr="00C34BC8">
        <w:rPr>
          <w:rFonts w:ascii="Garamond" w:eastAsiaTheme="minorHAnsi" w:hAnsi="Garamond" w:cs="Times New Roman"/>
          <w:color w:val="000000"/>
          <w:sz w:val="24"/>
          <w:szCs w:val="24"/>
        </w:rPr>
        <w:t xml:space="preserve"> e drejtë të </w:t>
      </w:r>
      <w:proofErr w:type="spellStart"/>
      <w:r w:rsidRPr="00C34BC8">
        <w:rPr>
          <w:rFonts w:ascii="Garamond" w:eastAsiaTheme="minorHAnsi" w:hAnsi="Garamond" w:cs="Times New Roman"/>
          <w:color w:val="000000"/>
          <w:sz w:val="24"/>
          <w:szCs w:val="24"/>
        </w:rPr>
        <w:t>ndërgjyqësisë</w:t>
      </w:r>
      <w:proofErr w:type="spellEnd"/>
      <w:r w:rsidRPr="00C34BC8">
        <w:rPr>
          <w:rFonts w:ascii="Garamond" w:eastAsiaTheme="minorHAnsi" w:hAnsi="Garamond" w:cs="Times New Roman"/>
          <w:color w:val="000000"/>
          <w:sz w:val="24"/>
          <w:szCs w:val="24"/>
        </w:rPr>
        <w:t xml:space="preserve"> në procesin gjyqësor. Po kështu, edhe referuar përmbajtjes së vendimeve gjyqësore dhe vetë ankimit kushtetues individual, nuk rezulton që kërkuesi të ketë ngritur pretendime në lidhje me pozitën e tij procedurale gjatë procesit gjyqësor të kundërshtuar, ose që të mos ketë pasur mundësinë të ushtrojë të drejtat e tij apo të parashtrojë pretendimet e tij gjatë atij gjykimi. Për rrjedhojë, sipas këtij qëndrimi, konsiderohet se në lidhje me pretendimin për cenimin e </w:t>
      </w:r>
      <w:r w:rsidRPr="00C34BC8">
        <w:rPr>
          <w:rFonts w:ascii="Garamond" w:eastAsiaTheme="minorHAnsi" w:hAnsi="Garamond" w:cs="Times New Roman"/>
          <w:i/>
          <w:iCs/>
          <w:color w:val="000000"/>
          <w:sz w:val="24"/>
          <w:szCs w:val="24"/>
        </w:rPr>
        <w:t xml:space="preserve">parimit të barazisë së armëve dhe </w:t>
      </w:r>
      <w:proofErr w:type="spellStart"/>
      <w:r w:rsidRPr="00C34BC8">
        <w:rPr>
          <w:rFonts w:ascii="Garamond" w:eastAsiaTheme="minorHAnsi" w:hAnsi="Garamond" w:cs="Times New Roman"/>
          <w:i/>
          <w:iCs/>
          <w:color w:val="000000"/>
          <w:sz w:val="24"/>
          <w:szCs w:val="24"/>
        </w:rPr>
        <w:t>kontradiktoritetit</w:t>
      </w:r>
      <w:proofErr w:type="spellEnd"/>
      <w:r w:rsidRPr="00C34BC8">
        <w:rPr>
          <w:rFonts w:ascii="Garamond" w:eastAsiaTheme="minorHAnsi" w:hAnsi="Garamond" w:cs="Times New Roman"/>
          <w:i/>
          <w:iCs/>
          <w:color w:val="000000"/>
          <w:sz w:val="24"/>
          <w:szCs w:val="24"/>
        </w:rPr>
        <w:t xml:space="preserve"> </w:t>
      </w:r>
      <w:r w:rsidRPr="00C34BC8">
        <w:rPr>
          <w:rFonts w:ascii="Garamond" w:eastAsiaTheme="minorHAnsi" w:hAnsi="Garamond" w:cs="Times New Roman"/>
          <w:color w:val="000000"/>
          <w:sz w:val="24"/>
          <w:szCs w:val="24"/>
        </w:rPr>
        <w:t xml:space="preserve">dhe lidhur me të edhe të </w:t>
      </w:r>
      <w:r w:rsidRPr="00C34BC8">
        <w:rPr>
          <w:rFonts w:ascii="Garamond" w:eastAsiaTheme="minorHAnsi" w:hAnsi="Garamond" w:cs="Times New Roman"/>
          <w:i/>
          <w:iCs/>
          <w:color w:val="000000"/>
          <w:sz w:val="24"/>
          <w:szCs w:val="24"/>
        </w:rPr>
        <w:t xml:space="preserve">parimit të barazisë në të drejta, </w:t>
      </w:r>
      <w:r w:rsidRPr="00C34BC8">
        <w:rPr>
          <w:rFonts w:ascii="Garamond" w:eastAsiaTheme="minorHAnsi" w:hAnsi="Garamond" w:cs="Times New Roman"/>
          <w:color w:val="000000"/>
          <w:sz w:val="24"/>
          <w:szCs w:val="24"/>
        </w:rPr>
        <w:t xml:space="preserve">kërkuesi nuk ka shteruar mjetet juridike efektive në dispozicion. </w:t>
      </w:r>
    </w:p>
    <w:p w14:paraId="44A09F4B"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28. Sipas qëndrimit tjetër</w:t>
      </w:r>
      <w:r w:rsidRPr="00C34BC8">
        <w:rPr>
          <w:rStyle w:val="FootnoteReference"/>
          <w:rFonts w:ascii="Garamond" w:eastAsiaTheme="minorHAnsi" w:hAnsi="Garamond" w:cs="Times New Roman"/>
          <w:color w:val="000000"/>
          <w:sz w:val="24"/>
          <w:szCs w:val="24"/>
        </w:rPr>
        <w:footnoteReference w:id="3"/>
      </w:r>
      <w:r w:rsidRPr="00C34BC8">
        <w:rPr>
          <w:rFonts w:ascii="Garamond" w:eastAsiaTheme="minorHAnsi" w:hAnsi="Garamond" w:cs="Times New Roman"/>
          <w:color w:val="000000"/>
          <w:sz w:val="24"/>
          <w:szCs w:val="24"/>
        </w:rPr>
        <w:t xml:space="preserve">, ndonëse ky pretendim nuk është formuluar shprehimisht në rekursin drejtuar Gjykatës së Lartë, ai rezulton të jetë parashtruar në substancë, si argument i lidhur ngushtësisht me procesin civil për kundërshtimin e vendimit nr. 157/1995 të </w:t>
      </w:r>
      <w:proofErr w:type="spellStart"/>
      <w:r w:rsidRPr="00C34BC8">
        <w:rPr>
          <w:rFonts w:ascii="Garamond" w:eastAsiaTheme="minorHAnsi" w:hAnsi="Garamond" w:cs="Times New Roman"/>
          <w:color w:val="000000"/>
          <w:sz w:val="24"/>
          <w:szCs w:val="24"/>
        </w:rPr>
        <w:t>KKKP</w:t>
      </w:r>
      <w:proofErr w:type="spellEnd"/>
      <w:r w:rsidRPr="00C34BC8">
        <w:rPr>
          <w:rFonts w:ascii="Garamond" w:eastAsiaTheme="minorHAnsi" w:hAnsi="Garamond" w:cs="Times New Roman"/>
          <w:color w:val="000000"/>
          <w:sz w:val="24"/>
          <w:szCs w:val="24"/>
        </w:rPr>
        <w:t xml:space="preserve">-së, Tiranë, i cili është ngritur si shkak edhe në rekurs. Në këtë kuptim, argumentet e paraqitura në rekurs kanë vënë në diskutim, në thelb, pamundësinë e kërkuesit për të ushtruar të njëjtat mjete procedurale si palët e tjera në gjykim për mbrojtjen e të drejtave që ai pretendon se i janë cenuar. Për rrjedhojë, sipas këtij qëndrimi, pretendimi për cenimin e parimit të barazisë së armëve dhe </w:t>
      </w:r>
      <w:proofErr w:type="spellStart"/>
      <w:r w:rsidRPr="00C34BC8">
        <w:rPr>
          <w:rFonts w:ascii="Garamond" w:eastAsiaTheme="minorHAnsi" w:hAnsi="Garamond" w:cs="Times New Roman"/>
          <w:color w:val="000000"/>
          <w:sz w:val="24"/>
          <w:szCs w:val="24"/>
        </w:rPr>
        <w:t>kontradiktoritetit</w:t>
      </w:r>
      <w:proofErr w:type="spellEnd"/>
      <w:r w:rsidRPr="00C34BC8">
        <w:rPr>
          <w:rFonts w:ascii="Garamond" w:eastAsiaTheme="minorHAnsi" w:hAnsi="Garamond" w:cs="Times New Roman"/>
          <w:color w:val="000000"/>
          <w:sz w:val="24"/>
          <w:szCs w:val="24"/>
        </w:rPr>
        <w:t>, si dhe të parimit të barazisë në të drejta, duhet të konsiderohet se është ngritur në substancë përpara Gjykatës së Lartë, ndaj kërkuesi ka shteruar mjetet juridike efektive në dispozicion të tij.</w:t>
      </w:r>
    </w:p>
    <w:p w14:paraId="610BE566" w14:textId="3D8B8B11"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 xml:space="preserve">29. Për sa i përket pretendimit për cenimin e </w:t>
      </w:r>
      <w:r w:rsidRPr="00C34BC8">
        <w:rPr>
          <w:rFonts w:ascii="Garamond" w:eastAsiaTheme="minorHAnsi" w:hAnsi="Garamond" w:cs="Times New Roman"/>
          <w:i/>
          <w:iCs/>
          <w:color w:val="000000"/>
          <w:sz w:val="24"/>
          <w:szCs w:val="24"/>
        </w:rPr>
        <w:t>së drejtës për t’u gjykuar nga një gjykatë e caktuar me ligj</w:t>
      </w:r>
      <w:r w:rsidRPr="00C34BC8">
        <w:rPr>
          <w:rFonts w:ascii="Garamond" w:eastAsiaTheme="minorHAnsi" w:hAnsi="Garamond" w:cs="Times New Roman"/>
          <w:color w:val="000000"/>
          <w:sz w:val="24"/>
          <w:szCs w:val="24"/>
        </w:rPr>
        <w:t>, sipas kërkuesit, pavarësisht formulimit të objektit të padisë, në thelb, për pasojat që sjell, kjo çështje nuk përbën lëndë administrative, por civile. Gjykata, referuar akteve të dosjes gjyqësore të administruar për qëllime të këtij gjykimi, vëren se në rekursin drejtuar Gjykatës së Lartë, sikundër e</w:t>
      </w:r>
      <w:r w:rsidR="00056590">
        <w:rPr>
          <w:rFonts w:ascii="Garamond" w:eastAsiaTheme="minorHAnsi" w:hAnsi="Garamond" w:cs="Times New Roman"/>
          <w:color w:val="000000"/>
          <w:sz w:val="24"/>
          <w:szCs w:val="24"/>
        </w:rPr>
        <w:t>dhe në parashtrimet e datës 20.</w:t>
      </w:r>
      <w:r w:rsidRPr="00C34BC8">
        <w:rPr>
          <w:rFonts w:ascii="Garamond" w:eastAsiaTheme="minorHAnsi" w:hAnsi="Garamond" w:cs="Times New Roman"/>
          <w:color w:val="000000"/>
          <w:sz w:val="24"/>
          <w:szCs w:val="24"/>
        </w:rPr>
        <w:t>5.2025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të paraqitura në atë gjykatë, kërkuesi nuk e ka ngritur këtë pretendim në formën që parashtrohet në ankimin kushtetues individual. Kërkuesi ka kundërshtuar arsyetimin e gjykatës së apelit që lidhet me ligjshmërinë e titullit të tij të pronësisë, duke pretenduar se çështja e titullit të pronësisë nuk është objekt i këtij gjykimi, por i përket juridiksionit civil dhe ky titull është duke u shqyrtuar në një proces tjetër civil, me status “në gjykim”. Kërkuesi përpara Gjykatës së Lartë ka pretenduar se arsyetimi dhe argumentet e gjykatës së apelit përbëjnë interpretim përtej objektit të kërkimit në padi, në keqinterpretim të elementit civil në një gjykim administrativ, duke sqaruar përpara </w:t>
      </w:r>
      <w:r w:rsidRPr="00C34BC8">
        <w:rPr>
          <w:rFonts w:ascii="Garamond" w:eastAsiaTheme="minorHAnsi" w:hAnsi="Garamond" w:cs="Times New Roman"/>
          <w:color w:val="000000"/>
          <w:sz w:val="24"/>
          <w:szCs w:val="24"/>
        </w:rPr>
        <w:lastRenderedPageBreak/>
        <w:t>asaj gjykate edhe çështjen e pronësisë, bazuar në aktet përkatëse provuese. Në parashtr</w:t>
      </w:r>
      <w:r w:rsidR="00056590">
        <w:rPr>
          <w:rFonts w:ascii="Garamond" w:eastAsiaTheme="minorHAnsi" w:hAnsi="Garamond" w:cs="Times New Roman"/>
          <w:color w:val="000000"/>
          <w:sz w:val="24"/>
          <w:szCs w:val="24"/>
        </w:rPr>
        <w:t>imet e datës 20.</w:t>
      </w:r>
      <w:r w:rsidRPr="00C34BC8">
        <w:rPr>
          <w:rFonts w:ascii="Garamond" w:eastAsiaTheme="minorHAnsi" w:hAnsi="Garamond" w:cs="Times New Roman"/>
          <w:color w:val="000000"/>
          <w:sz w:val="24"/>
          <w:szCs w:val="24"/>
        </w:rPr>
        <w:t>5.2025</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drejtuar Gjykatës së Lartë kërkuesi ka kundërshtuar argumentimin dhe pranimin e paditësit Genci </w:t>
      </w:r>
      <w:proofErr w:type="spellStart"/>
      <w:r w:rsidRPr="00C34BC8">
        <w:rPr>
          <w:rFonts w:ascii="Garamond" w:eastAsiaTheme="minorHAnsi" w:hAnsi="Garamond" w:cs="Times New Roman"/>
          <w:color w:val="000000"/>
          <w:sz w:val="24"/>
          <w:szCs w:val="24"/>
        </w:rPr>
        <w:t>Beqiri</w:t>
      </w:r>
      <w:proofErr w:type="spellEnd"/>
      <w:r w:rsidRPr="00C34BC8">
        <w:rPr>
          <w:rFonts w:ascii="Garamond" w:eastAsiaTheme="minorHAnsi" w:hAnsi="Garamond" w:cs="Times New Roman"/>
          <w:color w:val="000000"/>
          <w:sz w:val="24"/>
          <w:szCs w:val="24"/>
        </w:rPr>
        <w:t xml:space="preserve"> si pronar, duke u interpretuar në mënyrë arbitrare elemente civile në shkelje të kompetencave lëndore të gjykatave administrative sipas nenit 7</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të ligjit nr. 49/2012. Për rrjedhojë, edhe pse kërkuesi nuk rezulton që formalisht të ketë pretenduar cenimin e </w:t>
      </w:r>
      <w:r w:rsidRPr="00C34BC8">
        <w:rPr>
          <w:rFonts w:ascii="Garamond" w:eastAsiaTheme="minorHAnsi" w:hAnsi="Garamond" w:cs="Times New Roman"/>
          <w:i/>
          <w:iCs/>
          <w:color w:val="000000"/>
          <w:sz w:val="24"/>
          <w:szCs w:val="24"/>
        </w:rPr>
        <w:t xml:space="preserve">së drejtës për t’u gjykuar nga një gjykatë e caktuar me ligj, </w:t>
      </w:r>
      <w:r w:rsidRPr="00C34BC8">
        <w:rPr>
          <w:rFonts w:ascii="Garamond" w:eastAsiaTheme="minorHAnsi" w:hAnsi="Garamond" w:cs="Times New Roman"/>
          <w:color w:val="000000"/>
          <w:sz w:val="24"/>
          <w:szCs w:val="24"/>
        </w:rPr>
        <w:t xml:space="preserve">Gjykata, referuar argumenteve të parashtruara në mbështetje të këtij pretendimi, vlerëson se ai është ngritur në substancë përpara </w:t>
      </w:r>
      <w:r w:rsidRPr="00C34BC8">
        <w:rPr>
          <w:rFonts w:ascii="Garamond" w:eastAsiaTheme="minorHAnsi" w:hAnsi="Garamond" w:cs="Times New Roman"/>
          <w:color w:val="0D0D0D"/>
          <w:sz w:val="24"/>
          <w:szCs w:val="24"/>
        </w:rPr>
        <w:t xml:space="preserve">Gjykatës së Lartë, ndaj konsiderohet i shteruar. </w:t>
      </w:r>
    </w:p>
    <w:p w14:paraId="206C5C23" w14:textId="28BF347B"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30. Kërkuesi ka pretenduar edhe cenimin e </w:t>
      </w:r>
      <w:r w:rsidRPr="00C34BC8">
        <w:rPr>
          <w:rFonts w:ascii="Garamond" w:eastAsiaTheme="minorHAnsi" w:hAnsi="Garamond" w:cs="Times New Roman"/>
          <w:i/>
          <w:iCs/>
          <w:color w:val="000000"/>
          <w:sz w:val="24"/>
          <w:szCs w:val="24"/>
        </w:rPr>
        <w:t xml:space="preserve">parimit të paanshmërisë në gjykim, </w:t>
      </w:r>
      <w:r w:rsidRPr="00C34BC8">
        <w:rPr>
          <w:rFonts w:ascii="Garamond" w:eastAsiaTheme="minorHAnsi" w:hAnsi="Garamond" w:cs="Times New Roman"/>
          <w:color w:val="000000"/>
          <w:sz w:val="24"/>
          <w:szCs w:val="24"/>
        </w:rPr>
        <w:t>pasi kryesuesja e trupit gjykues në Kolegjin Administrativ të Gjykatës së Lartë, gjyqtarja E.</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M.(S.), ka marrë pjesë në gjykimin e së njëjtës çështje edhe në Gjykatën Administrative të Apelit, k</w:t>
      </w:r>
      <w:r w:rsidR="00056590">
        <w:rPr>
          <w:rFonts w:ascii="Garamond" w:eastAsiaTheme="minorHAnsi" w:hAnsi="Garamond" w:cs="Times New Roman"/>
          <w:color w:val="000000"/>
          <w:sz w:val="24"/>
          <w:szCs w:val="24"/>
        </w:rPr>
        <w:t>u ka dhënë vendimin e datës 27.</w:t>
      </w:r>
      <w:r w:rsidRPr="00C34BC8">
        <w:rPr>
          <w:rFonts w:ascii="Garamond" w:eastAsiaTheme="minorHAnsi" w:hAnsi="Garamond" w:cs="Times New Roman"/>
          <w:color w:val="000000"/>
          <w:sz w:val="24"/>
          <w:szCs w:val="24"/>
        </w:rPr>
        <w:t>3.2023</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për shqyrtimin e çështjes në seancë gjyqësore me praninë e palëve dhe vendimin e datës 18.12.2024</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për kërkesën për pezullimin e ekzekutimit të vendimit. Gjykata, bazuar në aktet e dosjes gjyqësore të administruar vëren, fillimisht, se gjykimi në gjykatat e faktit është bërë në seancë gjyqësore dhe kërkuesi, në cilësinë e personit të tretë, ka marrë pjesë në atë gjykim përmes përfaqësuesit të tij. Kërkuesi është pala që ka vënë në lëvizje Gjykatën e Lartë me rekurs, i cili është regji</w:t>
      </w:r>
      <w:r w:rsidR="00056590">
        <w:rPr>
          <w:rFonts w:ascii="Garamond" w:eastAsiaTheme="minorHAnsi" w:hAnsi="Garamond" w:cs="Times New Roman"/>
          <w:color w:val="000000"/>
          <w:sz w:val="24"/>
          <w:szCs w:val="24"/>
        </w:rPr>
        <w:t>struar në atë gjykatë në datën 7.</w:t>
      </w:r>
      <w:r w:rsidRPr="00C34BC8">
        <w:rPr>
          <w:rFonts w:ascii="Garamond" w:eastAsiaTheme="minorHAnsi" w:hAnsi="Garamond" w:cs="Times New Roman"/>
          <w:color w:val="000000"/>
          <w:sz w:val="24"/>
          <w:szCs w:val="24"/>
        </w:rPr>
        <w:t>2.2025. Referuar të dhënave të publikuara në faqen zyrtare të Gjykatës së Lartë, trupi gjykues i caktuar për shqyrtimin e çështjes së kërkuesit, ku bënte pjesë edhe gjyqtarja E.</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M.(S</w:t>
      </w:r>
      <w:r w:rsidR="00056590">
        <w:rPr>
          <w:rFonts w:ascii="Garamond" w:eastAsiaTheme="minorHAnsi" w:hAnsi="Garamond" w:cs="Times New Roman"/>
          <w:color w:val="000000"/>
          <w:sz w:val="24"/>
          <w:szCs w:val="24"/>
        </w:rPr>
        <w:t>.), është shpallur në datën 21.</w:t>
      </w:r>
      <w:r w:rsidRPr="00C34BC8">
        <w:rPr>
          <w:rFonts w:ascii="Garamond" w:eastAsiaTheme="minorHAnsi" w:hAnsi="Garamond" w:cs="Times New Roman"/>
          <w:color w:val="000000"/>
          <w:sz w:val="24"/>
          <w:szCs w:val="24"/>
        </w:rPr>
        <w:t>5.2025. Kërkuesi, edhe pse ka qenë në dijeni të ekzistencës së shkakut të pretenduar për paanshmërinë e gjyqtares dhe kishte të gjitha mundësitë procedurale që ofron legjislacioni për të kërkuar përjas</w:t>
      </w:r>
      <w:r w:rsidR="00056590">
        <w:rPr>
          <w:rFonts w:ascii="Garamond" w:eastAsiaTheme="minorHAnsi" w:hAnsi="Garamond" w:cs="Times New Roman"/>
          <w:color w:val="000000"/>
          <w:sz w:val="24"/>
          <w:szCs w:val="24"/>
        </w:rPr>
        <w:t>htimin e saj, nuk rezulton që t’</w:t>
      </w:r>
      <w:r w:rsidRPr="00C34BC8">
        <w:rPr>
          <w:rFonts w:ascii="Garamond" w:eastAsiaTheme="minorHAnsi" w:hAnsi="Garamond" w:cs="Times New Roman"/>
          <w:color w:val="000000"/>
          <w:sz w:val="24"/>
          <w:szCs w:val="24"/>
        </w:rPr>
        <w:t xml:space="preserve">i ketë përdorur ato. Po kështu, në ankimin kushtetues individual kërkuesi nuk ka parashtruar se kur ka marrë dijeni </w:t>
      </w:r>
      <w:proofErr w:type="spellStart"/>
      <w:r w:rsidRPr="00C34BC8">
        <w:rPr>
          <w:rFonts w:ascii="Garamond" w:eastAsiaTheme="minorHAnsi" w:hAnsi="Garamond" w:cs="Times New Roman"/>
          <w:color w:val="000000"/>
          <w:sz w:val="24"/>
          <w:szCs w:val="24"/>
        </w:rPr>
        <w:t>efektivisht</w:t>
      </w:r>
      <w:proofErr w:type="spellEnd"/>
      <w:r w:rsidRPr="00C34BC8">
        <w:rPr>
          <w:rFonts w:ascii="Garamond" w:eastAsiaTheme="minorHAnsi" w:hAnsi="Garamond" w:cs="Times New Roman"/>
          <w:color w:val="000000"/>
          <w:sz w:val="24"/>
          <w:szCs w:val="24"/>
        </w:rPr>
        <w:t xml:space="preserve"> për përbërjen e trupit gjykues në Gjykatën e Lartë ose për pamundësinë e tij për të kërkuar në atë gjykatë përjashtimin e gjyqtares E.</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M.(S.). Megjithatë, ndonëse për Gjykatën paraqitet për diskutim çështja e shterimit të mjeteve juridike në dispozicion për këtë pretendim, ajo çmon të mos ndalet në këtë aspekt, për sa kohë që ky pretendim rezulton të jetë haptazi i pabazuar për arsyet që do të parashtrohen në vijim (</w:t>
      </w:r>
      <w:r w:rsidRPr="00C34BC8">
        <w:rPr>
          <w:rFonts w:ascii="Garamond" w:eastAsiaTheme="minorHAnsi" w:hAnsi="Garamond" w:cs="Times New Roman"/>
          <w:i/>
          <w:iCs/>
          <w:color w:val="000000"/>
          <w:sz w:val="24"/>
          <w:szCs w:val="24"/>
        </w:rPr>
        <w:t>shih më poshtë paragrafët 33</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35 të vendimit</w:t>
      </w:r>
      <w:r w:rsidRPr="00C34BC8">
        <w:rPr>
          <w:rFonts w:ascii="Garamond" w:eastAsiaTheme="minorHAnsi" w:hAnsi="Garamond" w:cs="Times New Roman"/>
          <w:color w:val="000000"/>
          <w:sz w:val="24"/>
          <w:szCs w:val="24"/>
        </w:rPr>
        <w:t xml:space="preserve">). </w:t>
      </w:r>
    </w:p>
    <w:p w14:paraId="78177BA2"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31. Për sa u përket pretendimeve të tjera të parashtruara në ankimin kushtetues, Gjykata vlerëson se kërkuesi nuk ka mjet tjetër juridik në dispozicion përveç ankimit kushtetues individual.</w:t>
      </w:r>
    </w:p>
    <w:p w14:paraId="37EEFCA6" w14:textId="25BE1B8C"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32. Në lidhje me legjitimimin </w:t>
      </w:r>
      <w:proofErr w:type="spellStart"/>
      <w:r w:rsidRPr="00C34BC8">
        <w:rPr>
          <w:rFonts w:ascii="Garamond" w:eastAsiaTheme="minorHAnsi" w:hAnsi="Garamond" w:cs="Times New Roman"/>
          <w:i/>
          <w:iCs/>
          <w:color w:val="000000"/>
          <w:sz w:val="24"/>
          <w:szCs w:val="24"/>
        </w:rPr>
        <w:t>ratione</w:t>
      </w:r>
      <w:proofErr w:type="spellEnd"/>
      <w:r w:rsidRPr="00C34BC8">
        <w:rPr>
          <w:rFonts w:ascii="Garamond" w:eastAsiaTheme="minorHAnsi" w:hAnsi="Garamond" w:cs="Times New Roman"/>
          <w:i/>
          <w:iCs/>
          <w:color w:val="000000"/>
          <w:sz w:val="24"/>
          <w:szCs w:val="24"/>
        </w:rPr>
        <w:t xml:space="preserve"> </w:t>
      </w:r>
      <w:proofErr w:type="spellStart"/>
      <w:r w:rsidRPr="00C34BC8">
        <w:rPr>
          <w:rFonts w:ascii="Garamond" w:eastAsiaTheme="minorHAnsi" w:hAnsi="Garamond" w:cs="Times New Roman"/>
          <w:i/>
          <w:iCs/>
          <w:color w:val="000000"/>
          <w:sz w:val="24"/>
          <w:szCs w:val="24"/>
        </w:rPr>
        <w:t>materiae</w:t>
      </w:r>
      <w:proofErr w:type="spellEnd"/>
      <w:r w:rsidRPr="00C34BC8">
        <w:rPr>
          <w:rFonts w:ascii="Garamond" w:eastAsiaTheme="minorHAnsi" w:hAnsi="Garamond" w:cs="Times New Roman"/>
          <w:color w:val="000000"/>
          <w:sz w:val="24"/>
          <w:szCs w:val="24"/>
        </w:rPr>
        <w:t xml:space="preserve">, për sa i përket pretendimit për cenimin e </w:t>
      </w:r>
      <w:r w:rsidRPr="00C34BC8">
        <w:rPr>
          <w:rFonts w:ascii="Garamond" w:eastAsiaTheme="minorHAnsi" w:hAnsi="Garamond" w:cs="Times New Roman"/>
          <w:i/>
          <w:iCs/>
          <w:color w:val="000000"/>
          <w:sz w:val="24"/>
          <w:szCs w:val="24"/>
        </w:rPr>
        <w:t>së drejtës për t’u gjykuar nga një gjykatë e caktuar me ligj</w:t>
      </w:r>
      <w:r w:rsidRPr="00C34BC8">
        <w:rPr>
          <w:rFonts w:ascii="Garamond" w:eastAsiaTheme="minorHAnsi" w:hAnsi="Garamond" w:cs="Times New Roman"/>
          <w:color w:val="000000"/>
          <w:sz w:val="24"/>
          <w:szCs w:val="24"/>
        </w:rPr>
        <w:t>, rezulton se n</w:t>
      </w:r>
      <w:r w:rsidRPr="00C34BC8">
        <w:rPr>
          <w:rFonts w:ascii="Garamond" w:eastAsiaTheme="minorHAnsi" w:hAnsi="Garamond" w:cs="Times New Roman"/>
          <w:color w:val="0D0D0D"/>
          <w:sz w:val="24"/>
          <w:szCs w:val="24"/>
        </w:rPr>
        <w:t xml:space="preserve">ë datën </w:t>
      </w:r>
      <w:r w:rsidR="00056590">
        <w:rPr>
          <w:rFonts w:ascii="Garamond" w:eastAsiaTheme="minorHAnsi" w:hAnsi="Garamond" w:cs="Times New Roman"/>
          <w:color w:val="0D0D0D"/>
          <w:sz w:val="24"/>
          <w:szCs w:val="24"/>
        </w:rPr>
        <w:t>26.2</w:t>
      </w:r>
      <w:r w:rsidRPr="00C34BC8">
        <w:rPr>
          <w:rFonts w:ascii="Garamond" w:eastAsiaTheme="minorHAnsi" w:hAnsi="Garamond" w:cs="Times New Roman"/>
          <w:color w:val="0D0D0D"/>
          <w:sz w:val="24"/>
          <w:szCs w:val="24"/>
        </w:rPr>
        <w:t>.2024, p</w:t>
      </w:r>
      <w:r w:rsidRPr="00C34BC8">
        <w:rPr>
          <w:rFonts w:ascii="Garamond" w:eastAsiaTheme="minorHAnsi" w:hAnsi="Garamond" w:cs="Times New Roman"/>
          <w:color w:val="000000"/>
          <w:sz w:val="24"/>
          <w:szCs w:val="24"/>
        </w:rPr>
        <w:t xml:space="preserve">as përfundimit të çështjes administrative në gjykatën e shkallës së parë dhe gjatë kohës që çështja ishte për gjykim në gjykatën e apelit, </w:t>
      </w:r>
      <w:r w:rsidRPr="00C34BC8">
        <w:rPr>
          <w:rFonts w:ascii="Garamond" w:eastAsiaTheme="minorHAnsi" w:hAnsi="Garamond" w:cs="Times New Roman"/>
          <w:color w:val="0D0D0D"/>
          <w:sz w:val="24"/>
          <w:szCs w:val="24"/>
        </w:rPr>
        <w:t>kërkuesi ka depozituar në Gjykatën e Rrethit Gjyqësor Tiranë padi me objekt kundërshtimin e vendimit nr. 157/1995</w:t>
      </w:r>
      <w:r w:rsidR="00056590">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të </w:t>
      </w:r>
      <w:proofErr w:type="spellStart"/>
      <w:r w:rsidRPr="00C34BC8">
        <w:rPr>
          <w:rFonts w:ascii="Garamond" w:eastAsiaTheme="minorHAnsi" w:hAnsi="Garamond" w:cs="Times New Roman"/>
          <w:color w:val="0D0D0D"/>
          <w:sz w:val="24"/>
          <w:szCs w:val="24"/>
        </w:rPr>
        <w:t>KKKP</w:t>
      </w:r>
      <w:proofErr w:type="spellEnd"/>
      <w:r w:rsidRPr="00C34BC8">
        <w:rPr>
          <w:rFonts w:ascii="Garamond" w:eastAsiaTheme="minorHAnsi" w:hAnsi="Garamond" w:cs="Times New Roman"/>
          <w:color w:val="0D0D0D"/>
          <w:sz w:val="24"/>
          <w:szCs w:val="24"/>
        </w:rPr>
        <w:t xml:space="preserve">-së, për pjesën që ka disponuar kthimin ish-pronarit të pasurisë së paluajtshme nr. 8/409. Për këtë shkak, gjatë procesit administrativ në gjykatën e apelit ai ka kërkuar pezullimin e gjykimit të kësaj çështjeje (administrative) deri në përfundimin me vendim gjyqësor të formës së prerë të çështjes civile. Kjo kërkesë është rrëzuar nga Gjykata Administrative e Apelit, e cila ka vlerësuar se nuk janë kushtet e nenit 297, shkronja “a”, të </w:t>
      </w:r>
      <w:proofErr w:type="spellStart"/>
      <w:r w:rsidRPr="00C34BC8">
        <w:rPr>
          <w:rFonts w:ascii="Garamond" w:eastAsiaTheme="minorHAnsi" w:hAnsi="Garamond" w:cs="Times New Roman"/>
          <w:color w:val="0D0D0D"/>
          <w:sz w:val="24"/>
          <w:szCs w:val="24"/>
        </w:rPr>
        <w:t>KPC</w:t>
      </w:r>
      <w:proofErr w:type="spellEnd"/>
      <w:r w:rsidRPr="00C34BC8">
        <w:rPr>
          <w:rFonts w:ascii="Garamond" w:eastAsiaTheme="minorHAnsi" w:hAnsi="Garamond" w:cs="Times New Roman"/>
          <w:color w:val="0D0D0D"/>
          <w:sz w:val="24"/>
          <w:szCs w:val="24"/>
        </w:rPr>
        <w:t xml:space="preserve">-së pasi, pavarësisht lidhjes mes gjykimeve, gjykata administrative do të kontrollojë nëse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-ja nr. 207/2000</w:t>
      </w:r>
      <w:r w:rsidR="00056590">
        <w:rPr>
          <w:rFonts w:ascii="Garamond" w:eastAsiaTheme="minorHAnsi" w:hAnsi="Garamond" w:cs="Times New Roman"/>
          <w:color w:val="0D0D0D"/>
          <w:sz w:val="24"/>
          <w:szCs w:val="24"/>
        </w:rPr>
        <w:t>,</w:t>
      </w:r>
      <w:r w:rsidRPr="00C34BC8">
        <w:rPr>
          <w:rFonts w:ascii="Garamond" w:eastAsiaTheme="minorHAnsi" w:hAnsi="Garamond" w:cs="Times New Roman"/>
          <w:color w:val="0D0D0D"/>
          <w:sz w:val="24"/>
          <w:szCs w:val="24"/>
        </w:rPr>
        <w:t xml:space="preserve"> është ose jo një akt administrativ pjesërisht absolutisht i pavlefshëm, gjë që nuk varet nga përfundimi i gjykimit civil. Sipas asaj gjykate, nëse personi i tretë (kërkuesi) do të rezultojë </w:t>
      </w:r>
      <w:proofErr w:type="spellStart"/>
      <w:r w:rsidRPr="00C34BC8">
        <w:rPr>
          <w:rFonts w:ascii="Garamond" w:eastAsiaTheme="minorHAnsi" w:hAnsi="Garamond" w:cs="Times New Roman"/>
          <w:color w:val="0D0D0D"/>
          <w:sz w:val="24"/>
          <w:szCs w:val="24"/>
        </w:rPr>
        <w:t>gjyqfitues</w:t>
      </w:r>
      <w:proofErr w:type="spellEnd"/>
      <w:r w:rsidRPr="00C34BC8">
        <w:rPr>
          <w:rFonts w:ascii="Garamond" w:eastAsiaTheme="minorHAnsi" w:hAnsi="Garamond" w:cs="Times New Roman"/>
          <w:color w:val="0D0D0D"/>
          <w:sz w:val="24"/>
          <w:szCs w:val="24"/>
        </w:rPr>
        <w:t xml:space="preserve"> në gjykimin në Gjykatën e Rrethit Gjyqësor Tiranë, ASHK-ja ka detyrimin ligjor të regjistrojë pasurinë sipas </w:t>
      </w:r>
      <w:proofErr w:type="spellStart"/>
      <w:r w:rsidRPr="00C34BC8">
        <w:rPr>
          <w:rFonts w:ascii="Garamond" w:eastAsiaTheme="minorHAnsi" w:hAnsi="Garamond" w:cs="Times New Roman"/>
          <w:color w:val="0D0D0D"/>
          <w:sz w:val="24"/>
          <w:szCs w:val="24"/>
        </w:rPr>
        <w:t>disponimeve</w:t>
      </w:r>
      <w:proofErr w:type="spellEnd"/>
      <w:r w:rsidRPr="00C34BC8">
        <w:rPr>
          <w:rFonts w:ascii="Garamond" w:eastAsiaTheme="minorHAnsi" w:hAnsi="Garamond" w:cs="Times New Roman"/>
          <w:color w:val="0D0D0D"/>
          <w:sz w:val="24"/>
          <w:szCs w:val="24"/>
        </w:rPr>
        <w:t xml:space="preserve"> të vendimit gjyqësor civil të formës së prerë. Po kështu, referuar edhe përmbajtjes së vendimeve gjyqësore, nuk rezulton që gjykata e apelit të ketë vënë në diskutim vetë titullin e pronësisë së paditësit, por mënyrën e ushtrimit të kompetencave të tij nga organi administrativ (Këshilli i Ministrave) në miratimin e aktit administrativ të kundërshtuar, referuar akteve dhe provave në kohën e miratimit të </w:t>
      </w:r>
      <w:proofErr w:type="spellStart"/>
      <w:r w:rsidRPr="00C34BC8">
        <w:rPr>
          <w:rFonts w:ascii="Garamond" w:eastAsiaTheme="minorHAnsi" w:hAnsi="Garamond" w:cs="Times New Roman"/>
          <w:color w:val="0D0D0D"/>
          <w:sz w:val="24"/>
          <w:szCs w:val="24"/>
        </w:rPr>
        <w:t>VKM</w:t>
      </w:r>
      <w:proofErr w:type="spellEnd"/>
      <w:r w:rsidRPr="00C34BC8">
        <w:rPr>
          <w:rFonts w:ascii="Garamond" w:eastAsiaTheme="minorHAnsi" w:hAnsi="Garamond" w:cs="Times New Roman"/>
          <w:color w:val="0D0D0D"/>
          <w:sz w:val="24"/>
          <w:szCs w:val="24"/>
        </w:rPr>
        <w:t xml:space="preserve">-së nr. 207/2000. Gjykata e apelit është shprehur për faktin se kjo çështje i përket juridiksionit administrativ, çka do të thotë se ka marrë në shqyrtim dhe i ka dhënë përgjigje në thelb këtij pretendimi, duke u shprehur edhe se çdo pretendim që mund të kenë palët për ligjshmërinë e titullit të pronësisë i takon një gjykimi tjetër, atij civil, dhe nuk mund të merret në shqyrtim në procesin administrativ përpara saj. </w:t>
      </w:r>
      <w:r w:rsidRPr="00C34BC8">
        <w:rPr>
          <w:rFonts w:ascii="Garamond" w:eastAsiaTheme="minorHAnsi" w:hAnsi="Garamond" w:cs="Times New Roman"/>
          <w:color w:val="0D0D0D"/>
          <w:sz w:val="24"/>
          <w:szCs w:val="24"/>
        </w:rPr>
        <w:lastRenderedPageBreak/>
        <w:t>P</w:t>
      </w:r>
      <w:r w:rsidRPr="00C34BC8">
        <w:rPr>
          <w:rFonts w:ascii="Garamond" w:eastAsiaTheme="minorHAnsi" w:hAnsi="Garamond" w:cs="Times New Roman"/>
          <w:color w:val="000000"/>
          <w:sz w:val="24"/>
          <w:szCs w:val="24"/>
        </w:rPr>
        <w:t xml:space="preserve">ër rrjedhojë, për sa kohë që edhe pretendimi për cenimin e </w:t>
      </w:r>
      <w:r w:rsidRPr="00C34BC8">
        <w:rPr>
          <w:rFonts w:ascii="Garamond" w:eastAsiaTheme="minorHAnsi" w:hAnsi="Garamond" w:cs="Times New Roman"/>
          <w:i/>
          <w:iCs/>
          <w:color w:val="000000"/>
          <w:sz w:val="24"/>
          <w:szCs w:val="24"/>
        </w:rPr>
        <w:t xml:space="preserve">parimit të sigurisë juridike të lidhur me </w:t>
      </w:r>
      <w:proofErr w:type="spellStart"/>
      <w:r w:rsidRPr="00C34BC8">
        <w:rPr>
          <w:rFonts w:ascii="Garamond" w:eastAsiaTheme="minorHAnsi" w:hAnsi="Garamond" w:cs="Times New Roman"/>
          <w:i/>
          <w:iCs/>
          <w:color w:val="000000"/>
          <w:sz w:val="24"/>
          <w:szCs w:val="24"/>
        </w:rPr>
        <w:t>pritshmëritë</w:t>
      </w:r>
      <w:proofErr w:type="spellEnd"/>
      <w:r w:rsidRPr="00C34BC8">
        <w:rPr>
          <w:rFonts w:ascii="Garamond" w:eastAsiaTheme="minorHAnsi" w:hAnsi="Garamond" w:cs="Times New Roman"/>
          <w:i/>
          <w:iCs/>
          <w:color w:val="000000"/>
          <w:sz w:val="24"/>
          <w:szCs w:val="24"/>
        </w:rPr>
        <w:t xml:space="preserve"> e ligjshme </w:t>
      </w:r>
      <w:r w:rsidRPr="00C34BC8">
        <w:rPr>
          <w:rFonts w:ascii="Garamond" w:eastAsiaTheme="minorHAnsi" w:hAnsi="Garamond" w:cs="Times New Roman"/>
          <w:color w:val="000000"/>
          <w:sz w:val="24"/>
          <w:szCs w:val="24"/>
        </w:rPr>
        <w:t xml:space="preserve">lidhet me zbatimin e normës ligjore detyruese për shqyrtimin kryesisht të kompetencës lëndore të gjykatave administrative për shqyrtimin e çështjes, ai është, gjithashtu, haptazi i pabazuar. </w:t>
      </w:r>
    </w:p>
    <w:p w14:paraId="665F3D73" w14:textId="705B9CD8"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33. Për sa i përket pretendimit për njëanshmërinë e gjyqtares E.</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 xml:space="preserve">M.(S.) që ka marrë pjesë në trupin gjykues që ka shqyrtuar çështjen në Gjykatën e Lartë, në jurisprudencën kushtetuese është theksuar se respektimi i </w:t>
      </w:r>
      <w:r w:rsidRPr="00C34BC8">
        <w:rPr>
          <w:rFonts w:ascii="Garamond" w:eastAsiaTheme="minorHAnsi" w:hAnsi="Garamond" w:cs="Times New Roman"/>
          <w:i/>
          <w:iCs/>
          <w:color w:val="000000"/>
          <w:sz w:val="24"/>
          <w:szCs w:val="24"/>
        </w:rPr>
        <w:t>parimit të paanshmërisë</w:t>
      </w:r>
      <w:r w:rsidRPr="00C34BC8">
        <w:rPr>
          <w:rFonts w:ascii="Garamond" w:eastAsiaTheme="minorHAnsi" w:hAnsi="Garamond" w:cs="Times New Roman"/>
          <w:color w:val="000000"/>
          <w:sz w:val="24"/>
          <w:szCs w:val="24"/>
        </w:rPr>
        <w:t>, i garantuar nga neni 42 i Kushtetutës, duhet të verifikohet duke aplikuar testin</w:t>
      </w:r>
      <w:r w:rsidRPr="00C34BC8">
        <w:rPr>
          <w:rFonts w:ascii="Garamond" w:eastAsiaTheme="minorHAnsi" w:hAnsi="Garamond" w:cs="Times New Roman"/>
          <w:i/>
          <w:iCs/>
          <w:color w:val="000000"/>
          <w:sz w:val="24"/>
          <w:szCs w:val="24"/>
        </w:rPr>
        <w:t xml:space="preserve"> subjektiv</w:t>
      </w:r>
      <w:r w:rsidRPr="00C34BC8">
        <w:rPr>
          <w:rFonts w:ascii="Garamond" w:eastAsiaTheme="minorHAnsi" w:hAnsi="Garamond" w:cs="Times New Roman"/>
          <w:color w:val="000000"/>
          <w:sz w:val="24"/>
          <w:szCs w:val="24"/>
        </w:rPr>
        <w:t xml:space="preserve">, që ka të bëjë me verifikimin e bindjes ose interesit personal të një gjyqtari në një çështje të caktuar dhe testin </w:t>
      </w:r>
      <w:r w:rsidRPr="00C34BC8">
        <w:rPr>
          <w:rFonts w:ascii="Garamond" w:eastAsiaTheme="minorHAnsi" w:hAnsi="Garamond" w:cs="Times New Roman"/>
          <w:i/>
          <w:iCs/>
          <w:color w:val="000000"/>
          <w:sz w:val="24"/>
          <w:szCs w:val="24"/>
        </w:rPr>
        <w:t>objektiv</w:t>
      </w:r>
      <w:r w:rsidRPr="00C34BC8">
        <w:rPr>
          <w:rFonts w:ascii="Garamond" w:eastAsiaTheme="minorHAnsi" w:hAnsi="Garamond" w:cs="Times New Roman"/>
          <w:color w:val="000000"/>
          <w:sz w:val="24"/>
          <w:szCs w:val="24"/>
        </w:rPr>
        <w:t xml:space="preserve">, me të cilin shqyrtohet nëse gjyqtari ka ofruar garanci procedurale të mjaftueshme për të përjashtuar çdo dyshim legjitim të anshmërisë. Veçanërisht për sa i përket kriterit të dytë, kur zbatohet për anëtarët e trupit gjykues, ai nënkupton se përveç sjelljes personale të çdo anëtari të trupit gjykues, duhet të provohet nëse ka fakte bindëse të cilat vënë në dyshim paanshmërinë. Në këtë kuadër, edhe dukja e jashtme mund të ketë njëfarë rëndësie. Në përcaktimin nëse, në një çështje konkrete, ekzistojnë arsye logjike për të dyshuar se një gjyqtar nuk është i paanshëm, këndvështrimi i atyre që ankohen për diçka të tillë është i rëndësishëm, por jo vendimtar. Në fakt, vendimtar është nëse objektiviteti i këtyre dyshimeve është </w:t>
      </w:r>
      <w:proofErr w:type="spellStart"/>
      <w:r w:rsidRPr="00C34BC8">
        <w:rPr>
          <w:rFonts w:ascii="Garamond" w:eastAsiaTheme="minorHAnsi" w:hAnsi="Garamond" w:cs="Times New Roman"/>
          <w:color w:val="000000"/>
          <w:sz w:val="24"/>
          <w:szCs w:val="24"/>
        </w:rPr>
        <w:t>mjaftueshmër</w:t>
      </w:r>
      <w:bookmarkStart w:id="0" w:name="_GoBack"/>
      <w:bookmarkEnd w:id="0"/>
      <w:r w:rsidRPr="00C34BC8">
        <w:rPr>
          <w:rFonts w:ascii="Garamond" w:eastAsiaTheme="minorHAnsi" w:hAnsi="Garamond" w:cs="Times New Roman"/>
          <w:color w:val="000000"/>
          <w:sz w:val="24"/>
          <w:szCs w:val="24"/>
        </w:rPr>
        <w:t>isht</w:t>
      </w:r>
      <w:proofErr w:type="spellEnd"/>
      <w:r w:rsidRPr="00C34BC8">
        <w:rPr>
          <w:rFonts w:ascii="Garamond" w:eastAsiaTheme="minorHAnsi" w:hAnsi="Garamond" w:cs="Times New Roman"/>
          <w:color w:val="000000"/>
          <w:sz w:val="24"/>
          <w:szCs w:val="24"/>
        </w:rPr>
        <w:t xml:space="preserve"> i bazuar </w:t>
      </w:r>
      <w:r w:rsidRPr="00C34BC8">
        <w:rPr>
          <w:rFonts w:ascii="Garamond" w:eastAsiaTheme="minorHAnsi" w:hAnsi="Garamond" w:cs="Times New Roman"/>
          <w:i/>
          <w:iCs/>
          <w:color w:val="000000"/>
          <w:sz w:val="24"/>
          <w:szCs w:val="24"/>
        </w:rPr>
        <w:t>(shih vendimet nr. 81, datë 21.11.2024; nr. 49, datë 16.10.2023</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w:t>
      </w:r>
    </w:p>
    <w:p w14:paraId="6EC55A1D" w14:textId="204DC50D"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34. Paragjykimi eventual për paanshmërinë e gjyqtarit mund të ngrihet edhe në hipotezën se gjyqtari është shprehur në një procedim tjetër me një vlerësim që ka të bëjë me përmbajtjen e të njëjtit fakt, në lidhje me të njëjtin subjekt (</w:t>
      </w:r>
      <w:r w:rsidRPr="00C34BC8">
        <w:rPr>
          <w:rFonts w:ascii="Garamond" w:eastAsiaTheme="minorHAnsi" w:hAnsi="Garamond" w:cs="Times New Roman"/>
          <w:i/>
          <w:iCs/>
          <w:color w:val="000000"/>
          <w:sz w:val="24"/>
          <w:szCs w:val="24"/>
        </w:rPr>
        <w:t>shih vendimet nr. 15, da</w:t>
      </w:r>
      <w:r w:rsidR="00056590">
        <w:rPr>
          <w:rFonts w:ascii="Garamond" w:eastAsiaTheme="minorHAnsi" w:hAnsi="Garamond" w:cs="Times New Roman"/>
          <w:i/>
          <w:iCs/>
          <w:color w:val="000000"/>
          <w:sz w:val="24"/>
          <w:szCs w:val="24"/>
        </w:rPr>
        <w:t>të 26.3.2012; nr. 12, datë 13.</w:t>
      </w:r>
      <w:r w:rsidRPr="00C34BC8">
        <w:rPr>
          <w:rFonts w:ascii="Garamond" w:eastAsiaTheme="minorHAnsi" w:hAnsi="Garamond" w:cs="Times New Roman"/>
          <w:i/>
          <w:iCs/>
          <w:color w:val="000000"/>
          <w:sz w:val="24"/>
          <w:szCs w:val="24"/>
        </w:rPr>
        <w:t>4.2007</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Megjithatë, fakti i thjeshtë që gjyqtari ka marrë vendim, në vetvete nuk mjafton për të mbështetur dyshimet rreth paanshmërisë së tij, por ajo që ka rëndësi është qëllimi dhe natyra e veprimeve që kryen ai gjatë procesit gjyqësor. Në të njëjtën mënyrë, njohuritë e detajuara të gjyqtarit për çështjen nuk përbëjnë ndonjë shkak për të dyshuar për paanshmërinë e tij gjatë marrjes së vendimit në themel (</w:t>
      </w:r>
      <w:r w:rsidRPr="00C34BC8">
        <w:rPr>
          <w:rFonts w:ascii="Garamond" w:eastAsiaTheme="minorHAnsi" w:hAnsi="Garamond" w:cs="Times New Roman"/>
          <w:i/>
          <w:iCs/>
          <w:color w:val="000000"/>
          <w:sz w:val="24"/>
          <w:szCs w:val="24"/>
        </w:rPr>
        <w:t xml:space="preserve">shih vendimet nr. 25, </w:t>
      </w:r>
      <w:r w:rsidR="00056590">
        <w:rPr>
          <w:rFonts w:ascii="Garamond" w:eastAsiaTheme="minorHAnsi" w:hAnsi="Garamond" w:cs="Times New Roman"/>
          <w:i/>
          <w:iCs/>
          <w:color w:val="000000"/>
          <w:sz w:val="24"/>
          <w:szCs w:val="24"/>
        </w:rPr>
        <w:t>datë 11.</w:t>
      </w:r>
      <w:r w:rsidRPr="00C34BC8">
        <w:rPr>
          <w:rFonts w:ascii="Garamond" w:eastAsiaTheme="minorHAnsi" w:hAnsi="Garamond" w:cs="Times New Roman"/>
          <w:i/>
          <w:iCs/>
          <w:color w:val="000000"/>
          <w:sz w:val="24"/>
          <w:szCs w:val="24"/>
        </w:rPr>
        <w:t>6.2013</w:t>
      </w:r>
      <w:r w:rsidRPr="00C34BC8">
        <w:rPr>
          <w:rFonts w:ascii="Garamond" w:eastAsiaTheme="minorHAnsi" w:hAnsi="Garamond" w:cs="Times New Roman"/>
          <w:color w:val="000000"/>
          <w:sz w:val="24"/>
          <w:szCs w:val="24"/>
        </w:rPr>
        <w:t xml:space="preserve">; </w:t>
      </w:r>
      <w:r w:rsidR="00056590">
        <w:rPr>
          <w:rFonts w:ascii="Garamond" w:eastAsiaTheme="minorHAnsi" w:hAnsi="Garamond" w:cs="Times New Roman"/>
          <w:i/>
          <w:iCs/>
          <w:color w:val="000000"/>
          <w:sz w:val="24"/>
          <w:szCs w:val="24"/>
        </w:rPr>
        <w:t>nr. 16, datë 19.</w:t>
      </w:r>
      <w:r w:rsidRPr="00C34BC8">
        <w:rPr>
          <w:rFonts w:ascii="Garamond" w:eastAsiaTheme="minorHAnsi" w:hAnsi="Garamond" w:cs="Times New Roman"/>
          <w:i/>
          <w:iCs/>
          <w:color w:val="000000"/>
          <w:sz w:val="24"/>
          <w:szCs w:val="24"/>
        </w:rPr>
        <w:t>4.2013</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w:t>
      </w:r>
    </w:p>
    <w:p w14:paraId="241EF59C" w14:textId="74EB0FA1"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35. Gjykata, duke pasur parasysh se procesi i gjykimit kushtetues është i natyrës argumentuese, që nënkupton se u takon palëve të parashtrojnë argumentet faktike dhe ligjore mbi të cilat mbështesin pretendimet e tyre (</w:t>
      </w:r>
      <w:r w:rsidR="00056590">
        <w:rPr>
          <w:rFonts w:ascii="Garamond" w:eastAsiaTheme="minorHAnsi" w:hAnsi="Garamond" w:cs="Times New Roman"/>
          <w:i/>
          <w:iCs/>
          <w:color w:val="000000"/>
          <w:sz w:val="24"/>
          <w:szCs w:val="24"/>
        </w:rPr>
        <w:t>shih vendimet nr. 57, datë 25.7.2017; nr. 42, datë 25.5.2017; nr. 45, datë 29.</w:t>
      </w:r>
      <w:r w:rsidRPr="00C34BC8">
        <w:rPr>
          <w:rFonts w:ascii="Garamond" w:eastAsiaTheme="minorHAnsi" w:hAnsi="Garamond" w:cs="Times New Roman"/>
          <w:i/>
          <w:iCs/>
          <w:color w:val="000000"/>
          <w:sz w:val="24"/>
          <w:szCs w:val="24"/>
        </w:rPr>
        <w:t>6.2015</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vlerëson se në lidhje me këtë pretendim kërkuesi nuk ka paraqitur asnjë provë për ta mbështetur atë, përveçse ai është edhe haptazi i pabazuar, për sa kohë që pjesëmarrja në Kolegjin Administrativ të Gjykatës së Lartë edhe e një gjyqtari që ka dhënë, më parë, disa vendime të ndërmjetme në gjykatën e apelit, nuk sjell </w:t>
      </w:r>
      <w:r w:rsidRPr="00C34BC8">
        <w:rPr>
          <w:rFonts w:ascii="Garamond" w:eastAsiaTheme="minorHAnsi" w:hAnsi="Garamond" w:cs="Times New Roman"/>
          <w:i/>
          <w:iCs/>
          <w:color w:val="000000"/>
          <w:sz w:val="24"/>
          <w:szCs w:val="24"/>
        </w:rPr>
        <w:t xml:space="preserve">a </w:t>
      </w:r>
      <w:proofErr w:type="spellStart"/>
      <w:r w:rsidRPr="00C34BC8">
        <w:rPr>
          <w:rFonts w:ascii="Garamond" w:eastAsiaTheme="minorHAnsi" w:hAnsi="Garamond" w:cs="Times New Roman"/>
          <w:i/>
          <w:iCs/>
          <w:color w:val="000000"/>
          <w:sz w:val="24"/>
          <w:szCs w:val="24"/>
        </w:rPr>
        <w:t>priori</w:t>
      </w:r>
      <w:proofErr w:type="spellEnd"/>
      <w:r w:rsidRPr="00C34BC8">
        <w:rPr>
          <w:rFonts w:ascii="Garamond" w:eastAsiaTheme="minorHAnsi" w:hAnsi="Garamond" w:cs="Times New Roman"/>
          <w:color w:val="000000"/>
          <w:sz w:val="24"/>
          <w:szCs w:val="24"/>
        </w:rPr>
        <w:t xml:space="preserve"> cenim të parimit të paanshmërisë. Edhe pse gjyqtarja E.</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M.</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(S.), gjatë ushtrimit të funksionit të saj si gjyqtare në Gjykatën Administrative të Apelit ka dhënë disa vendime të ndërmjetme në çështjen e kërkuesit, pjesëmarrja në këto vendimmarrje të mëparshme nuk përfshin qëndrime që mund të krijonin dyshime objektivisht të justifikuara për paanshmërinë e saj në shqyrtimin e çështjes së kërkuesit si anëtare e trupës gjyqësore të Kolegjit Administrativ të Gjykatës së Lartë. Gjyqtarja E.</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M.</w:t>
      </w:r>
      <w:r w:rsidR="00056590">
        <w:rPr>
          <w:rFonts w:ascii="Garamond" w:eastAsiaTheme="minorHAnsi" w:hAnsi="Garamond" w:cs="Times New Roman"/>
          <w:color w:val="000000"/>
          <w:sz w:val="24"/>
          <w:szCs w:val="24"/>
        </w:rPr>
        <w:t xml:space="preserve"> </w:t>
      </w:r>
      <w:r w:rsidRPr="00C34BC8">
        <w:rPr>
          <w:rFonts w:ascii="Garamond" w:eastAsiaTheme="minorHAnsi" w:hAnsi="Garamond" w:cs="Times New Roman"/>
          <w:color w:val="000000"/>
          <w:sz w:val="24"/>
          <w:szCs w:val="24"/>
        </w:rPr>
        <w:t xml:space="preserve">(S.). nuk rezulton dhe as nuk pretendohet të ketë gjykuar dhe të jetë shprehur për faktet dhe ligjin që qëndrojnë në themel të mosmarrëveshjes së palëve </w:t>
      </w:r>
      <w:proofErr w:type="spellStart"/>
      <w:r w:rsidRPr="00C34BC8">
        <w:rPr>
          <w:rFonts w:ascii="Garamond" w:eastAsiaTheme="minorHAnsi" w:hAnsi="Garamond" w:cs="Times New Roman"/>
          <w:color w:val="000000"/>
          <w:sz w:val="24"/>
          <w:szCs w:val="24"/>
        </w:rPr>
        <w:t>ndërgjyqëse</w:t>
      </w:r>
      <w:proofErr w:type="spellEnd"/>
      <w:r w:rsidRPr="00C34BC8">
        <w:rPr>
          <w:rFonts w:ascii="Garamond" w:eastAsiaTheme="minorHAnsi" w:hAnsi="Garamond" w:cs="Times New Roman"/>
          <w:color w:val="000000"/>
          <w:sz w:val="24"/>
          <w:szCs w:val="24"/>
        </w:rPr>
        <w:t xml:space="preserve">, e cila ka qenë objekt i procesit gjyqësor të kundërshtuar. Në kontekst të rrethanave të rastit konkret, për sa kohë që ajo gjyqtare nuk ka gjykuar dhe nuk është shprehur më parë për themelin e kësaj çështjeje, pra për të njëjtën çështje, vetëm fakti se ajo ka qenë më parë anëtare e trupës gjyqësore që ka dhënë vendimet e ndërmjetme në gjykatën e apelit nuk krijon dyshim të justifikuar për mungesën e paanshmërisë në procesin gjyqësor të kundërshtuar. Për rrjedhojë, Gjykata vlerëson se pretendimi për cenimin e </w:t>
      </w:r>
      <w:r w:rsidRPr="00C34BC8">
        <w:rPr>
          <w:rFonts w:ascii="Garamond" w:eastAsiaTheme="minorHAnsi" w:hAnsi="Garamond" w:cs="Times New Roman"/>
          <w:i/>
          <w:iCs/>
          <w:color w:val="000000"/>
          <w:sz w:val="24"/>
          <w:szCs w:val="24"/>
        </w:rPr>
        <w:t xml:space="preserve">së drejtës për t’u gjykuar nga një gjykatë e paanshme </w:t>
      </w:r>
      <w:r w:rsidRPr="00C34BC8">
        <w:rPr>
          <w:rFonts w:ascii="Garamond" w:eastAsiaTheme="minorHAnsi" w:hAnsi="Garamond" w:cs="Times New Roman"/>
          <w:color w:val="000000"/>
          <w:sz w:val="24"/>
          <w:szCs w:val="24"/>
        </w:rPr>
        <w:t>është haptazi i pabazuar.</w:t>
      </w:r>
    </w:p>
    <w:p w14:paraId="52C12AE0" w14:textId="5AFFD1EC"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36. Gjykata vëren se kërkuesi ka pretenduar edhe cenimin e </w:t>
      </w:r>
      <w:r w:rsidRPr="00C34BC8">
        <w:rPr>
          <w:rFonts w:ascii="Garamond" w:eastAsiaTheme="minorHAnsi" w:hAnsi="Garamond" w:cs="Times New Roman"/>
          <w:i/>
          <w:iCs/>
          <w:color w:val="000000"/>
          <w:sz w:val="24"/>
          <w:szCs w:val="24"/>
        </w:rPr>
        <w:t xml:space="preserve">së drejtës së </w:t>
      </w:r>
      <w:proofErr w:type="spellStart"/>
      <w:r w:rsidRPr="00C34BC8">
        <w:rPr>
          <w:rFonts w:ascii="Garamond" w:eastAsiaTheme="minorHAnsi" w:hAnsi="Garamond" w:cs="Times New Roman"/>
          <w:i/>
          <w:iCs/>
          <w:color w:val="000000"/>
          <w:sz w:val="24"/>
          <w:szCs w:val="24"/>
        </w:rPr>
        <w:t>aksesit</w:t>
      </w:r>
      <w:proofErr w:type="spellEnd"/>
      <w:r w:rsidRPr="00C34BC8">
        <w:rPr>
          <w:rFonts w:ascii="Garamond" w:eastAsiaTheme="minorHAnsi" w:hAnsi="Garamond" w:cs="Times New Roman"/>
          <w:i/>
          <w:iCs/>
          <w:color w:val="000000"/>
          <w:sz w:val="24"/>
          <w:szCs w:val="24"/>
        </w:rPr>
        <w:t xml:space="preserve"> substancial, </w:t>
      </w:r>
      <w:r w:rsidRPr="00C34BC8">
        <w:rPr>
          <w:rFonts w:ascii="Garamond" w:eastAsiaTheme="minorHAnsi" w:hAnsi="Garamond" w:cs="Times New Roman"/>
          <w:color w:val="000000"/>
          <w:sz w:val="24"/>
          <w:szCs w:val="24"/>
        </w:rPr>
        <w:t xml:space="preserve">pasi Kolegji Administrativ nuk ka shqyrtuar kryesisht çështjet ligjore që janë parakushte procedurale në çdo fazë gjykimi dhe shkaqet e rekursit, duke mos u dhënë përgjigje. Po kështu, ai ka pretenduar edhe cenimin e </w:t>
      </w:r>
      <w:r w:rsidRPr="00C34BC8">
        <w:rPr>
          <w:rFonts w:ascii="Garamond" w:eastAsiaTheme="minorHAnsi" w:hAnsi="Garamond" w:cs="Times New Roman"/>
          <w:i/>
          <w:iCs/>
          <w:color w:val="000000"/>
          <w:sz w:val="24"/>
          <w:szCs w:val="24"/>
        </w:rPr>
        <w:t xml:space="preserve">standardit të arsyetimit të vendimit gjyqësor, </w:t>
      </w:r>
      <w:r w:rsidRPr="00C34BC8">
        <w:rPr>
          <w:rFonts w:ascii="Garamond" w:eastAsiaTheme="minorHAnsi" w:hAnsi="Garamond" w:cs="Times New Roman"/>
          <w:color w:val="000000"/>
          <w:sz w:val="24"/>
          <w:szCs w:val="24"/>
        </w:rPr>
        <w:t xml:space="preserve">pasi Kolegji Administrativ i Gjykatës së Lartë nuk ka bërë asnjë arsyetim dhe asnjë analizë ligjore se përse shkaqet e ngritura në rekurs nga kërkuesi ishin të pabazuara dhe vendimi i tij nuk plotësonte kriteret e një vendimi gjyqësor të arsyetuar. Në lidhje me </w:t>
      </w:r>
      <w:r w:rsidRPr="00C34BC8">
        <w:rPr>
          <w:rFonts w:ascii="Garamond" w:eastAsiaTheme="minorHAnsi" w:hAnsi="Garamond" w:cs="Times New Roman"/>
          <w:color w:val="000000"/>
          <w:sz w:val="24"/>
          <w:szCs w:val="24"/>
        </w:rPr>
        <w:lastRenderedPageBreak/>
        <w:t>këto pretendime të kërkuesit, për nga natyra dhe përmbajtja e argumenteve mbi të cilat janë ba</w:t>
      </w:r>
      <w:r w:rsidR="00056590">
        <w:rPr>
          <w:rFonts w:ascii="Garamond" w:eastAsiaTheme="minorHAnsi" w:hAnsi="Garamond" w:cs="Times New Roman"/>
          <w:color w:val="000000"/>
          <w:sz w:val="24"/>
          <w:szCs w:val="24"/>
        </w:rPr>
        <w:t>zuar ato, Gjykata vlerëson që t’</w:t>
      </w:r>
      <w:r w:rsidRPr="00C34BC8">
        <w:rPr>
          <w:rFonts w:ascii="Garamond" w:eastAsiaTheme="minorHAnsi" w:hAnsi="Garamond" w:cs="Times New Roman"/>
          <w:color w:val="000000"/>
          <w:sz w:val="24"/>
          <w:szCs w:val="24"/>
        </w:rPr>
        <w:t xml:space="preserve">i shqyrtojë në vijim së bashku në drejtim të </w:t>
      </w:r>
      <w:proofErr w:type="spellStart"/>
      <w:r w:rsidRPr="00C34BC8">
        <w:rPr>
          <w:rFonts w:ascii="Garamond" w:eastAsiaTheme="minorHAnsi" w:hAnsi="Garamond" w:cs="Times New Roman"/>
          <w:color w:val="000000"/>
          <w:sz w:val="24"/>
          <w:szCs w:val="24"/>
        </w:rPr>
        <w:t>bazueshmërisë</w:t>
      </w:r>
      <w:proofErr w:type="spellEnd"/>
      <w:r w:rsidRPr="00C34BC8">
        <w:rPr>
          <w:rFonts w:ascii="Garamond" w:eastAsiaTheme="minorHAnsi" w:hAnsi="Garamond" w:cs="Times New Roman"/>
          <w:color w:val="000000"/>
          <w:sz w:val="24"/>
          <w:szCs w:val="24"/>
        </w:rPr>
        <w:t xml:space="preserve"> së tyre në themel. </w:t>
      </w:r>
    </w:p>
    <w:p w14:paraId="5796BEF9" w14:textId="685D347C" w:rsidR="009F20E3" w:rsidRPr="00C34BC8" w:rsidRDefault="009F20E3" w:rsidP="009F20E3">
      <w:pPr>
        <w:tabs>
          <w:tab w:val="left" w:pos="72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i/>
          <w:iCs/>
          <w:color w:val="000000"/>
          <w:sz w:val="24"/>
          <w:szCs w:val="24"/>
        </w:rPr>
        <w:t>B. Për themelin e pretendimeve</w:t>
      </w:r>
    </w:p>
    <w:p w14:paraId="4D292A00" w14:textId="582B2E33" w:rsidR="009F20E3" w:rsidRPr="00C34BC8" w:rsidRDefault="00056590" w:rsidP="009F20E3">
      <w:pPr>
        <w:tabs>
          <w:tab w:val="left" w:pos="72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i/>
          <w:iCs/>
          <w:color w:val="000000"/>
          <w:sz w:val="24"/>
          <w:szCs w:val="24"/>
        </w:rPr>
        <w:t>B.1</w:t>
      </w:r>
      <w:r w:rsidR="009F20E3" w:rsidRPr="00C34BC8">
        <w:rPr>
          <w:rFonts w:ascii="Garamond" w:eastAsiaTheme="minorHAnsi" w:hAnsi="Garamond" w:cs="Times New Roman"/>
          <w:i/>
          <w:iCs/>
          <w:color w:val="000000"/>
          <w:sz w:val="24"/>
          <w:szCs w:val="24"/>
        </w:rPr>
        <w:t xml:space="preserve"> Për cenimin e së drejtës së </w:t>
      </w:r>
      <w:proofErr w:type="spellStart"/>
      <w:r w:rsidR="009F20E3" w:rsidRPr="00C34BC8">
        <w:rPr>
          <w:rFonts w:ascii="Garamond" w:eastAsiaTheme="minorHAnsi" w:hAnsi="Garamond" w:cs="Times New Roman"/>
          <w:i/>
          <w:iCs/>
          <w:color w:val="000000"/>
          <w:sz w:val="24"/>
          <w:szCs w:val="24"/>
        </w:rPr>
        <w:t>aksesit</w:t>
      </w:r>
      <w:proofErr w:type="spellEnd"/>
      <w:r w:rsidR="009F20E3" w:rsidRPr="00C34BC8">
        <w:rPr>
          <w:rFonts w:ascii="Garamond" w:eastAsiaTheme="minorHAnsi" w:hAnsi="Garamond" w:cs="Times New Roman"/>
          <w:i/>
          <w:iCs/>
          <w:color w:val="000000"/>
          <w:sz w:val="24"/>
          <w:szCs w:val="24"/>
        </w:rPr>
        <w:t xml:space="preserve"> të lidhur me standardin e arsyetimit të vendimit gjyqësor</w:t>
      </w:r>
    </w:p>
    <w:p w14:paraId="3F3D3025"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37. </w:t>
      </w:r>
      <w:r w:rsidRPr="00C34BC8">
        <w:rPr>
          <w:rFonts w:ascii="Garamond" w:eastAsiaTheme="minorHAnsi" w:hAnsi="Garamond" w:cs="Times New Roman"/>
          <w:i/>
          <w:iCs/>
          <w:color w:val="000000"/>
          <w:sz w:val="24"/>
          <w:szCs w:val="24"/>
        </w:rPr>
        <w:t xml:space="preserve">Sipas kërkuesit, </w:t>
      </w:r>
      <w:r w:rsidRPr="00C34BC8">
        <w:rPr>
          <w:rFonts w:ascii="Garamond" w:eastAsiaTheme="minorHAnsi" w:hAnsi="Garamond" w:cs="Times New Roman"/>
          <w:color w:val="000000"/>
          <w:sz w:val="24"/>
          <w:szCs w:val="24"/>
        </w:rPr>
        <w:t xml:space="preserve">Kolegji Administrativ nuk ka shqyrtuar kryesisht çështjet ligjore të cilat, në përputhje me </w:t>
      </w:r>
      <w:proofErr w:type="spellStart"/>
      <w:r w:rsidRPr="00C34BC8">
        <w:rPr>
          <w:rFonts w:ascii="Garamond" w:eastAsiaTheme="minorHAnsi" w:hAnsi="Garamond" w:cs="Times New Roman"/>
          <w:color w:val="000000"/>
          <w:sz w:val="24"/>
          <w:szCs w:val="24"/>
        </w:rPr>
        <w:t>KPC</w:t>
      </w:r>
      <w:proofErr w:type="spellEnd"/>
      <w:r w:rsidRPr="00C34BC8">
        <w:rPr>
          <w:rFonts w:ascii="Garamond" w:eastAsiaTheme="minorHAnsi" w:hAnsi="Garamond" w:cs="Times New Roman"/>
          <w:color w:val="000000"/>
          <w:sz w:val="24"/>
          <w:szCs w:val="24"/>
        </w:rPr>
        <w:t>-në dhe jurisprudencën kushtetuese e të Gjykatës së Lartë, duhen shqyrtuar kryesisht nga gjykata si parakushte procedurale në çdo fazë gjykimi dhe nuk ka shqyrtuar dhe nuk i ka dhënë përgjigje asnjë prej shkaqeve të ngritura në rekurs. Po sipas tij, ai kolegj nuk ka arsyetuar dhe nuk ka bërë analizë ligjore se përse shkaqet e ngritura në rekurs ishin të pabazuara, nuk ka shqyrtuar çështjet ligjore që duhen shqyrtuar kryesisht, konkretisht lidhur me kompetencën e gjykatave dhe pjesëmarrjen e kërkuesit në gjykim në cilësinë e personit të tretë. Kërkuesi ka pretenduar se vendimi i kundërshtuar është kontradiktor, alogjik dhe i pakuptueshëm, duke mos respektuar standardin e arsyetimit të vendimit gjyqësor.</w:t>
      </w:r>
    </w:p>
    <w:p w14:paraId="296CD5BB"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38. </w:t>
      </w:r>
      <w:r w:rsidRPr="00C34BC8">
        <w:rPr>
          <w:rFonts w:ascii="Garamond" w:eastAsiaTheme="minorHAnsi" w:hAnsi="Garamond" w:cs="Times New Roman"/>
          <w:i/>
          <w:iCs/>
          <w:color w:val="000000"/>
          <w:sz w:val="24"/>
          <w:szCs w:val="24"/>
        </w:rPr>
        <w:t xml:space="preserve">Subjekti i interesuar, Genci </w:t>
      </w:r>
      <w:proofErr w:type="spellStart"/>
      <w:r w:rsidRPr="00C34BC8">
        <w:rPr>
          <w:rFonts w:ascii="Garamond" w:eastAsiaTheme="minorHAnsi" w:hAnsi="Garamond" w:cs="Times New Roman"/>
          <w:i/>
          <w:iCs/>
          <w:color w:val="000000"/>
          <w:sz w:val="24"/>
          <w:szCs w:val="24"/>
        </w:rPr>
        <w:t>Beqiri</w:t>
      </w:r>
      <w:proofErr w:type="spellEnd"/>
      <w:r w:rsidRPr="00C34BC8">
        <w:rPr>
          <w:rFonts w:ascii="Garamond" w:eastAsiaTheme="minorHAnsi" w:hAnsi="Garamond" w:cs="Times New Roman"/>
          <w:color w:val="000000"/>
          <w:sz w:val="24"/>
          <w:szCs w:val="24"/>
        </w:rPr>
        <w:t xml:space="preserve">, ka prapësuar se ky pretendim është i pabazuar, pasi kërkuesit i është siguruar </w:t>
      </w:r>
      <w:proofErr w:type="spellStart"/>
      <w:r w:rsidRPr="00C34BC8">
        <w:rPr>
          <w:rFonts w:ascii="Garamond" w:eastAsiaTheme="minorHAnsi" w:hAnsi="Garamond" w:cs="Times New Roman"/>
          <w:color w:val="000000"/>
          <w:sz w:val="24"/>
          <w:szCs w:val="24"/>
        </w:rPr>
        <w:t>akses</w:t>
      </w:r>
      <w:proofErr w:type="spellEnd"/>
      <w:r w:rsidRPr="00C34BC8">
        <w:rPr>
          <w:rFonts w:ascii="Garamond" w:eastAsiaTheme="minorHAnsi" w:hAnsi="Garamond" w:cs="Times New Roman"/>
          <w:color w:val="000000"/>
          <w:sz w:val="24"/>
          <w:szCs w:val="24"/>
        </w:rPr>
        <w:t xml:space="preserve"> formal dhe substancial dhe Gjykata e Lartë ka vepruar në përputhje me jurisprudencën kushtetuese, me ligjin dhe kompetencën e asaj gjykate.  </w:t>
      </w:r>
    </w:p>
    <w:p w14:paraId="4F503C0D"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39. </w:t>
      </w:r>
      <w:r w:rsidRPr="00C34BC8">
        <w:rPr>
          <w:rFonts w:ascii="Garamond" w:eastAsiaTheme="minorHAnsi" w:hAnsi="Garamond" w:cs="Times New Roman"/>
          <w:i/>
          <w:iCs/>
          <w:color w:val="000000"/>
          <w:sz w:val="24"/>
          <w:szCs w:val="24"/>
        </w:rPr>
        <w:t>Subjekti i interesuar, Këshilli i Ministrave</w:t>
      </w:r>
      <w:r w:rsidRPr="00C34BC8">
        <w:rPr>
          <w:rFonts w:ascii="Garamond" w:eastAsiaTheme="minorHAnsi" w:hAnsi="Garamond" w:cs="Times New Roman"/>
          <w:color w:val="000000"/>
          <w:sz w:val="24"/>
          <w:szCs w:val="24"/>
        </w:rPr>
        <w:t xml:space="preserve">, ka parashtruar se këto pretendime janë të bazuara, pasi Kolegji Administrativ nuk ka shqyrtuar kryesisht çështjet ligjore dhe parakushtet procedurale që shqyrtohen në çdo fazë dhe shkallë gjykimi, si kompetenca lëndore, identifikimi i shkakut ligjor të padisë në funksion të përcaktimit të kompetencës lëndore dhe formimi i drejtë i </w:t>
      </w:r>
      <w:proofErr w:type="spellStart"/>
      <w:r w:rsidRPr="00C34BC8">
        <w:rPr>
          <w:rFonts w:ascii="Garamond" w:eastAsiaTheme="minorHAnsi" w:hAnsi="Garamond" w:cs="Times New Roman"/>
          <w:color w:val="000000"/>
          <w:sz w:val="24"/>
          <w:szCs w:val="24"/>
        </w:rPr>
        <w:t>ndërgjyqësisë</w:t>
      </w:r>
      <w:proofErr w:type="spellEnd"/>
      <w:r w:rsidRPr="00C34BC8">
        <w:rPr>
          <w:rFonts w:ascii="Garamond" w:eastAsiaTheme="minorHAnsi" w:hAnsi="Garamond" w:cs="Times New Roman"/>
          <w:color w:val="000000"/>
          <w:sz w:val="24"/>
          <w:szCs w:val="24"/>
        </w:rPr>
        <w:t>. Sipas tij, rekursi është shndërruar në një mjet ankimi formal dhe joefektiv.</w:t>
      </w:r>
    </w:p>
    <w:p w14:paraId="541CA5C0"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40. </w:t>
      </w:r>
      <w:r w:rsidRPr="00C34BC8">
        <w:rPr>
          <w:rFonts w:ascii="Garamond" w:eastAsiaTheme="minorHAnsi" w:hAnsi="Garamond" w:cs="Times New Roman"/>
          <w:i/>
          <w:iCs/>
          <w:color w:val="000000"/>
          <w:sz w:val="24"/>
          <w:szCs w:val="24"/>
        </w:rPr>
        <w:t>Subjekti i interesuar, ASHK-ja</w:t>
      </w:r>
      <w:r w:rsidRPr="00C34BC8">
        <w:rPr>
          <w:rFonts w:ascii="Garamond" w:eastAsiaTheme="minorHAnsi" w:hAnsi="Garamond" w:cs="Times New Roman"/>
          <w:color w:val="000000"/>
          <w:sz w:val="24"/>
          <w:szCs w:val="24"/>
        </w:rPr>
        <w:t>, ka parashtruar se vendimi i Kolegjit Administrativ bie ndesh me nenet 42 dhe 43 të Kushtetutës, duke e shndërruar rekursin në një mjet ankimi formal dhe jo efektiv. Sipas tij, arsyetimi i vendimit është formal dhe ai përmblidhet në një paragraf, çka do të thotë se vendimi që ka mbyllur në mënyrë përfundimtare procesin gjyqësor është i mangët, duke mos respektuar standardin e domosdoshmërisë së arsyetimit të vendimit gjyqësor.</w:t>
      </w:r>
    </w:p>
    <w:p w14:paraId="6A0F8739" w14:textId="047676AF"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41. Në kuptim të nenit 42 të Kushtetutës, e drejta e </w:t>
      </w:r>
      <w:proofErr w:type="spellStart"/>
      <w:r w:rsidRPr="00C34BC8">
        <w:rPr>
          <w:rFonts w:ascii="Garamond" w:eastAsiaTheme="minorHAnsi" w:hAnsi="Garamond" w:cs="Times New Roman"/>
          <w:color w:val="000000"/>
          <w:sz w:val="24"/>
          <w:szCs w:val="24"/>
        </w:rPr>
        <w:t>aksesit</w:t>
      </w:r>
      <w:proofErr w:type="spellEnd"/>
      <w:r w:rsidRPr="00C34BC8">
        <w:rPr>
          <w:rFonts w:ascii="Garamond" w:eastAsiaTheme="minorHAnsi" w:hAnsi="Garamond" w:cs="Times New Roman"/>
          <w:color w:val="000000"/>
          <w:sz w:val="24"/>
          <w:szCs w:val="24"/>
        </w:rPr>
        <w:t xml:space="preserve">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w:t>
      </w:r>
      <w:proofErr w:type="spellStart"/>
      <w:r w:rsidRPr="00C34BC8">
        <w:rPr>
          <w:rFonts w:ascii="Garamond" w:eastAsiaTheme="minorHAnsi" w:hAnsi="Garamond" w:cs="Times New Roman"/>
          <w:color w:val="000000"/>
          <w:sz w:val="24"/>
          <w:szCs w:val="24"/>
        </w:rPr>
        <w:t>aksesi</w:t>
      </w:r>
      <w:proofErr w:type="spellEnd"/>
      <w:r w:rsidRPr="00C34BC8">
        <w:rPr>
          <w:rFonts w:ascii="Garamond" w:eastAsiaTheme="minorHAnsi" w:hAnsi="Garamond" w:cs="Times New Roman"/>
          <w:color w:val="000000"/>
          <w:sz w:val="24"/>
          <w:szCs w:val="24"/>
        </w:rPr>
        <w:t xml:space="preserve"> në gjykatë duhet të jetë substancial dhe jo thjesht formal. Në rast se mohohet kjo e drejtë procesi konsiderohet i parregullt, sepse </w:t>
      </w:r>
      <w:proofErr w:type="spellStart"/>
      <w:r w:rsidRPr="00C34BC8">
        <w:rPr>
          <w:rFonts w:ascii="Garamond" w:eastAsiaTheme="minorHAnsi" w:hAnsi="Garamond" w:cs="Times New Roman"/>
          <w:color w:val="000000"/>
          <w:sz w:val="24"/>
          <w:szCs w:val="24"/>
        </w:rPr>
        <w:t>aksesi</w:t>
      </w:r>
      <w:proofErr w:type="spellEnd"/>
      <w:r w:rsidRPr="00C34BC8">
        <w:rPr>
          <w:rFonts w:ascii="Garamond" w:eastAsiaTheme="minorHAnsi" w:hAnsi="Garamond" w:cs="Times New Roman"/>
          <w:color w:val="000000"/>
          <w:sz w:val="24"/>
          <w:szCs w:val="24"/>
        </w:rPr>
        <w:t xml:space="preserve"> në gjykatë është, përpara së gjithash, një kusht kryesor për të realizuar mbrojtjen e të drejtave të tjera të individit </w:t>
      </w:r>
      <w:r w:rsidR="00056590">
        <w:rPr>
          <w:rFonts w:ascii="Garamond" w:eastAsiaTheme="minorHAnsi" w:hAnsi="Garamond" w:cs="Times New Roman"/>
          <w:i/>
          <w:iCs/>
          <w:color w:val="000000"/>
          <w:sz w:val="24"/>
          <w:szCs w:val="24"/>
        </w:rPr>
        <w:t>(shih vendimet nr. 22, datë 29.4.2021; nr. 3, datë 23.</w:t>
      </w:r>
      <w:r w:rsidRPr="00C34BC8">
        <w:rPr>
          <w:rFonts w:ascii="Garamond" w:eastAsiaTheme="minorHAnsi" w:hAnsi="Garamond" w:cs="Times New Roman"/>
          <w:i/>
          <w:iCs/>
          <w:color w:val="000000"/>
          <w:sz w:val="24"/>
          <w:szCs w:val="24"/>
        </w:rPr>
        <w:t>2.2016</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Në këtë kuptim, e drejta për të pasur </w:t>
      </w:r>
      <w:proofErr w:type="spellStart"/>
      <w:r w:rsidRPr="00C34BC8">
        <w:rPr>
          <w:rFonts w:ascii="Garamond" w:eastAsiaTheme="minorHAnsi" w:hAnsi="Garamond" w:cs="Times New Roman"/>
          <w:color w:val="000000"/>
          <w:sz w:val="24"/>
          <w:szCs w:val="24"/>
        </w:rPr>
        <w:t>akses</w:t>
      </w:r>
      <w:proofErr w:type="spellEnd"/>
      <w:r w:rsidRPr="00C34BC8">
        <w:rPr>
          <w:rFonts w:ascii="Garamond" w:eastAsiaTheme="minorHAnsi" w:hAnsi="Garamond" w:cs="Times New Roman"/>
          <w:color w:val="000000"/>
          <w:sz w:val="24"/>
          <w:szCs w:val="24"/>
        </w:rPr>
        <w:t xml:space="preserve"> në gjykatë i garanton individit të drejtën për t’iu drejtuar gjykatës dhe për të marrë një përgjigje përfundimtare prej saj, të arsyetuar, për pretendimet e ngritura (</w:t>
      </w:r>
      <w:r w:rsidR="00056590">
        <w:rPr>
          <w:rFonts w:ascii="Garamond" w:eastAsiaTheme="minorHAnsi" w:hAnsi="Garamond" w:cs="Times New Roman"/>
          <w:i/>
          <w:iCs/>
          <w:color w:val="000000"/>
          <w:sz w:val="24"/>
          <w:szCs w:val="24"/>
        </w:rPr>
        <w:t>shih vendimet nr. 11, datë 21.4.2022; nr. 17, datë 24.</w:t>
      </w:r>
      <w:r w:rsidRPr="00C34BC8">
        <w:rPr>
          <w:rFonts w:ascii="Garamond" w:eastAsiaTheme="minorHAnsi" w:hAnsi="Garamond" w:cs="Times New Roman"/>
          <w:i/>
          <w:iCs/>
          <w:color w:val="000000"/>
          <w:sz w:val="24"/>
          <w:szCs w:val="24"/>
        </w:rPr>
        <w:t>3.2014</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w:t>
      </w:r>
    </w:p>
    <w:p w14:paraId="70C372B1" w14:textId="058C2B83"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42. E drejta për proces të rregullt ligjor përfshin edhe të drejtën për të pasur një vendim gjyqësor të arsyetuar, që i garantohet individit nga nenet 42 dhe 142, pika 1, të Kushtetutës. Funksioni i vendimit gjyqësor është t’u tregojë palëve që ato janë dëgjuar, duke u dhënë mundësinë atyre ta kundërshtojnë atë. Me arsyetimin gjyqtari tregon me qartësi faktet dhe ligjin e zbatueshëm që e kanë çuar në bërjen e një zgjedhjeje ndërmjet disa mundësive. Në aspektin e kontrollit kushtetues, Gjykata verifikon nëse arsyetimi i vendimit gjyqësor i ka plotësuar ose jo standardet kushtetuese, të cilat garantojnë të drejtën për të pasur një vendim gjyqësor të arsyetuar. </w:t>
      </w:r>
      <w:r w:rsidR="00056590">
        <w:rPr>
          <w:rFonts w:ascii="Garamond" w:eastAsiaTheme="minorHAnsi" w:hAnsi="Garamond" w:cs="Times New Roman"/>
          <w:color w:val="000000"/>
          <w:sz w:val="24"/>
          <w:szCs w:val="24"/>
        </w:rPr>
        <w:t>Arsyetimi duhet domosdoshmërish</w:t>
      </w:r>
      <w:r w:rsidRPr="00C34BC8">
        <w:rPr>
          <w:rFonts w:ascii="Garamond" w:eastAsiaTheme="minorHAnsi" w:hAnsi="Garamond" w:cs="Times New Roman"/>
          <w:color w:val="000000"/>
          <w:sz w:val="24"/>
          <w:szCs w:val="24"/>
        </w:rPr>
        <w:t xml:space="preserve"> të plotësojë kriteret minimale ligjore të përcaktuara dhe të mos ketë të meta të tilla serioze që cenojnë standardin e vendimit gjyqësor të arsyetuar (</w:t>
      </w:r>
      <w:r w:rsidRPr="00C34BC8">
        <w:rPr>
          <w:rFonts w:ascii="Garamond" w:eastAsiaTheme="minorHAnsi" w:hAnsi="Garamond" w:cs="Times New Roman"/>
          <w:i/>
          <w:iCs/>
          <w:color w:val="000000"/>
          <w:sz w:val="24"/>
          <w:szCs w:val="24"/>
        </w:rPr>
        <w:t xml:space="preserve">shih vendimet nr. 2, datë </w:t>
      </w:r>
      <w:r w:rsidR="00056590">
        <w:rPr>
          <w:rFonts w:ascii="Garamond" w:eastAsiaTheme="minorHAnsi" w:hAnsi="Garamond" w:cs="Times New Roman"/>
          <w:i/>
          <w:iCs/>
          <w:color w:val="000000"/>
          <w:sz w:val="24"/>
          <w:szCs w:val="24"/>
        </w:rPr>
        <w:t>11.2.2021; nr. 63, datë 23.</w:t>
      </w:r>
      <w:r w:rsidRPr="00C34BC8">
        <w:rPr>
          <w:rFonts w:ascii="Garamond" w:eastAsiaTheme="minorHAnsi" w:hAnsi="Garamond" w:cs="Times New Roman"/>
          <w:i/>
          <w:iCs/>
          <w:color w:val="000000"/>
          <w:sz w:val="24"/>
          <w:szCs w:val="24"/>
        </w:rPr>
        <w:t>9.2015; nr. 55, datë 18.12.2012</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w:t>
      </w:r>
    </w:p>
    <w:p w14:paraId="1513DA1A" w14:textId="298006CF"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43. Gjykata ka theksuar se është detyrë e gjykatave të juridiksionit të zakonshëm të interpretojnë ligjin për qëllim të procesit gjyqësor që ato zhvillojnë, ndërsa detyra e saj është të vlerësojë nëse gjatë procesit gjyqësor ka pasur shkelje të </w:t>
      </w:r>
      <w:proofErr w:type="spellStart"/>
      <w:r w:rsidRPr="00C34BC8">
        <w:rPr>
          <w:rFonts w:ascii="Garamond" w:eastAsiaTheme="minorHAnsi" w:hAnsi="Garamond" w:cs="Times New Roman"/>
          <w:color w:val="000000"/>
          <w:sz w:val="24"/>
          <w:szCs w:val="24"/>
        </w:rPr>
        <w:t>të</w:t>
      </w:r>
      <w:proofErr w:type="spellEnd"/>
      <w:r w:rsidRPr="00C34BC8">
        <w:rPr>
          <w:rFonts w:ascii="Garamond" w:eastAsiaTheme="minorHAnsi" w:hAnsi="Garamond" w:cs="Times New Roman"/>
          <w:color w:val="000000"/>
          <w:sz w:val="24"/>
          <w:szCs w:val="24"/>
        </w:rPr>
        <w:t xml:space="preserve"> drejtave kushtetuese, si dhe nëse zbatimi i ligjit ka qenë </w:t>
      </w:r>
      <w:r w:rsidRPr="00C34BC8">
        <w:rPr>
          <w:rFonts w:ascii="Garamond" w:eastAsiaTheme="minorHAnsi" w:hAnsi="Garamond" w:cs="Times New Roman"/>
          <w:color w:val="000000"/>
          <w:sz w:val="24"/>
          <w:szCs w:val="24"/>
        </w:rPr>
        <w:lastRenderedPageBreak/>
        <w:t>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w:t>
      </w:r>
      <w:r w:rsidRPr="00C34BC8">
        <w:rPr>
          <w:rFonts w:ascii="Garamond" w:eastAsiaTheme="minorHAnsi" w:hAnsi="Garamond" w:cs="Times New Roman"/>
          <w:i/>
          <w:iCs/>
          <w:color w:val="000000"/>
          <w:sz w:val="24"/>
          <w:szCs w:val="24"/>
        </w:rPr>
        <w:t xml:space="preserve"> </w:t>
      </w:r>
      <w:r w:rsidR="00056590">
        <w:rPr>
          <w:rFonts w:ascii="Garamond" w:eastAsiaTheme="minorHAnsi" w:hAnsi="Garamond" w:cs="Times New Roman"/>
          <w:i/>
          <w:iCs/>
          <w:color w:val="000000"/>
          <w:sz w:val="24"/>
          <w:szCs w:val="24"/>
        </w:rPr>
        <w:t>(shih vendimet nr. 11, datë 11.</w:t>
      </w:r>
      <w:r w:rsidRPr="00C34BC8">
        <w:rPr>
          <w:rFonts w:ascii="Garamond" w:eastAsiaTheme="minorHAnsi" w:hAnsi="Garamond" w:cs="Times New Roman"/>
          <w:i/>
          <w:iCs/>
          <w:color w:val="000000"/>
          <w:sz w:val="24"/>
          <w:szCs w:val="24"/>
        </w:rPr>
        <w:t>2.2026; nr. 59, da</w:t>
      </w:r>
      <w:r w:rsidR="00056590">
        <w:rPr>
          <w:rFonts w:ascii="Garamond" w:eastAsiaTheme="minorHAnsi" w:hAnsi="Garamond" w:cs="Times New Roman"/>
          <w:i/>
          <w:iCs/>
          <w:color w:val="000000"/>
          <w:sz w:val="24"/>
          <w:szCs w:val="24"/>
        </w:rPr>
        <w:t>të 14.11.2023; nr. 30, datë 29.</w:t>
      </w:r>
      <w:r w:rsidRPr="00C34BC8">
        <w:rPr>
          <w:rFonts w:ascii="Garamond" w:eastAsiaTheme="minorHAnsi" w:hAnsi="Garamond" w:cs="Times New Roman"/>
          <w:i/>
          <w:iCs/>
          <w:color w:val="000000"/>
          <w:sz w:val="24"/>
          <w:szCs w:val="24"/>
        </w:rPr>
        <w:t>5.2023</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w:t>
      </w:r>
    </w:p>
    <w:p w14:paraId="35A2DD34"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44. Për sa më sipër, Gjykata vlerësoi të verifikojë, në vijim, nëse Gjykata e Lartë, duke pasur parasysh edhe rolin e funksionin e saj si gjykatë ligji, ka marrë në shqyrtim pretendimet e ngritura në rekurs nga kërkuesi dhe u ka dhënë atyre përgjigje përfundimtare të arsyetuar, në këndvështrim të së drejtës së </w:t>
      </w:r>
      <w:proofErr w:type="spellStart"/>
      <w:r w:rsidRPr="00C34BC8">
        <w:rPr>
          <w:rFonts w:ascii="Garamond" w:eastAsiaTheme="minorHAnsi" w:hAnsi="Garamond" w:cs="Times New Roman"/>
          <w:color w:val="000000"/>
          <w:sz w:val="24"/>
          <w:szCs w:val="24"/>
        </w:rPr>
        <w:t>aksesit</w:t>
      </w:r>
      <w:proofErr w:type="spellEnd"/>
      <w:r w:rsidRPr="00C34BC8">
        <w:rPr>
          <w:rFonts w:ascii="Garamond" w:eastAsiaTheme="minorHAnsi" w:hAnsi="Garamond" w:cs="Times New Roman"/>
          <w:color w:val="000000"/>
          <w:sz w:val="24"/>
          <w:szCs w:val="24"/>
        </w:rPr>
        <w:t xml:space="preserve"> dhe standardit të arsyetimit.</w:t>
      </w:r>
    </w:p>
    <w:p w14:paraId="440CF1DA"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45. Pas shqyrtimit të këtij pretendimi, në përfundim të diskutimeve, vlerësimet e gjyqtarëve u ndanë dhe Gjykata nuk arriti numrin e kërkuar të votave për vendimmarrje në lidhje me (pa)</w:t>
      </w:r>
      <w:proofErr w:type="spellStart"/>
      <w:r w:rsidRPr="00C34BC8">
        <w:rPr>
          <w:rFonts w:ascii="Garamond" w:eastAsiaTheme="minorHAnsi" w:hAnsi="Garamond" w:cs="Times New Roman"/>
          <w:color w:val="000000"/>
          <w:sz w:val="24"/>
          <w:szCs w:val="24"/>
        </w:rPr>
        <w:t>bazueshmërinë</w:t>
      </w:r>
      <w:proofErr w:type="spellEnd"/>
      <w:r w:rsidRPr="00C34BC8">
        <w:rPr>
          <w:rFonts w:ascii="Garamond" w:eastAsiaTheme="minorHAnsi" w:hAnsi="Garamond" w:cs="Times New Roman"/>
          <w:color w:val="000000"/>
          <w:sz w:val="24"/>
          <w:szCs w:val="24"/>
        </w:rPr>
        <w:t xml:space="preserve"> e tij në themel, sipas parashikimeve të nenit 133, pika 2, të Kushtetutës dhe nenit 72, pika 2, të Ligjit Organik të Gjykatës. </w:t>
      </w:r>
    </w:p>
    <w:p w14:paraId="3FA7097E"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46. </w:t>
      </w:r>
      <w:r w:rsidRPr="00C34BC8">
        <w:rPr>
          <w:rFonts w:ascii="Garamond" w:eastAsiaTheme="minorHAnsi" w:hAnsi="Garamond" w:cs="Times New Roman"/>
          <w:i/>
          <w:iCs/>
          <w:color w:val="000000"/>
          <w:sz w:val="24"/>
          <w:szCs w:val="24"/>
        </w:rPr>
        <w:t>Sipas një qëndrimi</w:t>
      </w:r>
      <w:r w:rsidRPr="00C34BC8">
        <w:rPr>
          <w:rStyle w:val="FootnoteReference"/>
          <w:rFonts w:ascii="Garamond" w:eastAsiaTheme="minorHAnsi" w:hAnsi="Garamond" w:cs="Times New Roman"/>
          <w:i/>
          <w:iCs/>
          <w:color w:val="000000"/>
          <w:sz w:val="24"/>
          <w:szCs w:val="24"/>
        </w:rPr>
        <w:footnoteReference w:id="4"/>
      </w:r>
      <w:r w:rsidRPr="00C34BC8">
        <w:rPr>
          <w:rFonts w:ascii="Garamond" w:eastAsiaTheme="minorHAnsi" w:hAnsi="Garamond" w:cs="Times New Roman"/>
          <w:color w:val="000000"/>
          <w:sz w:val="24"/>
          <w:szCs w:val="24"/>
        </w:rPr>
        <w:t xml:space="preserve">, pretendimi i kërkuesit për cenimin e </w:t>
      </w:r>
      <w:r w:rsidRPr="00C34BC8">
        <w:rPr>
          <w:rFonts w:ascii="Garamond" w:eastAsiaTheme="minorHAnsi" w:hAnsi="Garamond" w:cs="Times New Roman"/>
          <w:i/>
          <w:iCs/>
          <w:color w:val="000000"/>
          <w:sz w:val="24"/>
          <w:szCs w:val="24"/>
        </w:rPr>
        <w:t xml:space="preserve">së drejtës së </w:t>
      </w:r>
      <w:proofErr w:type="spellStart"/>
      <w:r w:rsidRPr="00C34BC8">
        <w:rPr>
          <w:rFonts w:ascii="Garamond" w:eastAsiaTheme="minorHAnsi" w:hAnsi="Garamond" w:cs="Times New Roman"/>
          <w:i/>
          <w:iCs/>
          <w:color w:val="000000"/>
          <w:sz w:val="24"/>
          <w:szCs w:val="24"/>
        </w:rPr>
        <w:t>aksesit</w:t>
      </w:r>
      <w:proofErr w:type="spellEnd"/>
      <w:r w:rsidRPr="00C34BC8">
        <w:rPr>
          <w:rFonts w:ascii="Garamond" w:eastAsiaTheme="minorHAnsi" w:hAnsi="Garamond" w:cs="Times New Roman"/>
          <w:i/>
          <w:iCs/>
          <w:color w:val="000000"/>
          <w:sz w:val="24"/>
          <w:szCs w:val="24"/>
        </w:rPr>
        <w:t xml:space="preserve"> në gjykatë</w:t>
      </w:r>
      <w:r w:rsidRPr="00C34BC8">
        <w:rPr>
          <w:rFonts w:ascii="Garamond" w:eastAsiaTheme="minorHAnsi" w:hAnsi="Garamond" w:cs="Times New Roman"/>
          <w:color w:val="000000"/>
          <w:sz w:val="24"/>
          <w:szCs w:val="24"/>
        </w:rPr>
        <w:t xml:space="preserve"> në aspektin e </w:t>
      </w:r>
      <w:r w:rsidRPr="00C34BC8">
        <w:rPr>
          <w:rFonts w:ascii="Garamond" w:eastAsiaTheme="minorHAnsi" w:hAnsi="Garamond" w:cs="Times New Roman"/>
          <w:i/>
          <w:iCs/>
          <w:color w:val="000000"/>
          <w:sz w:val="24"/>
          <w:szCs w:val="24"/>
        </w:rPr>
        <w:t>standardit të arsyetimit të vendimit gjyqësor</w:t>
      </w:r>
      <w:r w:rsidRPr="00C34BC8">
        <w:rPr>
          <w:rFonts w:ascii="Garamond" w:eastAsiaTheme="minorHAnsi" w:hAnsi="Garamond" w:cs="Times New Roman"/>
          <w:color w:val="000000"/>
          <w:sz w:val="24"/>
          <w:szCs w:val="24"/>
        </w:rPr>
        <w:t xml:space="preserve"> është i bazuar. </w:t>
      </w:r>
      <w:r w:rsidRPr="00C34BC8">
        <w:rPr>
          <w:rFonts w:ascii="Garamond" w:eastAsiaTheme="minorHAnsi" w:hAnsi="Garamond" w:cs="Times New Roman"/>
          <w:i/>
          <w:iCs/>
          <w:color w:val="000000"/>
          <w:sz w:val="24"/>
          <w:szCs w:val="24"/>
        </w:rPr>
        <w:t>Së pari</w:t>
      </w:r>
      <w:r w:rsidRPr="00C34BC8">
        <w:rPr>
          <w:rFonts w:ascii="Garamond" w:eastAsiaTheme="minorHAnsi" w:hAnsi="Garamond" w:cs="Times New Roman"/>
          <w:color w:val="000000"/>
          <w:sz w:val="24"/>
          <w:szCs w:val="24"/>
        </w:rPr>
        <w:t xml:space="preserve">, Gjykata e Lartë nuk ka dhënë një përgjigje të arsyetuar ndaj pretendimit, të parashtruar në substancë në rekurs, që lidhej me formimin e rregullt të </w:t>
      </w:r>
      <w:proofErr w:type="spellStart"/>
      <w:r w:rsidRPr="00C34BC8">
        <w:rPr>
          <w:rFonts w:ascii="Garamond" w:eastAsiaTheme="minorHAnsi" w:hAnsi="Garamond" w:cs="Times New Roman"/>
          <w:color w:val="000000"/>
          <w:sz w:val="24"/>
          <w:szCs w:val="24"/>
        </w:rPr>
        <w:t>ndërgjyqësisë</w:t>
      </w:r>
      <w:proofErr w:type="spellEnd"/>
      <w:r w:rsidRPr="00C34BC8">
        <w:rPr>
          <w:rFonts w:ascii="Garamond" w:eastAsiaTheme="minorHAnsi" w:hAnsi="Garamond" w:cs="Times New Roman"/>
          <w:color w:val="000000"/>
          <w:sz w:val="24"/>
          <w:szCs w:val="24"/>
        </w:rPr>
        <w:t xml:space="preserve"> dhe pasojat që kjo çështje kishte mbi pozitën procedurale të kërkuesit, veçanërisht në lidhje me mundësinë e tij për të marrë pjesë </w:t>
      </w:r>
      <w:proofErr w:type="spellStart"/>
      <w:r w:rsidRPr="00C34BC8">
        <w:rPr>
          <w:rFonts w:ascii="Garamond" w:eastAsiaTheme="minorHAnsi" w:hAnsi="Garamond" w:cs="Times New Roman"/>
          <w:color w:val="000000"/>
          <w:sz w:val="24"/>
          <w:szCs w:val="24"/>
        </w:rPr>
        <w:t>efektivisht</w:t>
      </w:r>
      <w:proofErr w:type="spellEnd"/>
      <w:r w:rsidRPr="00C34BC8">
        <w:rPr>
          <w:rFonts w:ascii="Garamond" w:eastAsiaTheme="minorHAnsi" w:hAnsi="Garamond" w:cs="Times New Roman"/>
          <w:color w:val="000000"/>
          <w:sz w:val="24"/>
          <w:szCs w:val="24"/>
        </w:rPr>
        <w:t xml:space="preserve"> në proces dhe për të mbrojtur të drejtat e pretenduara. </w:t>
      </w:r>
      <w:r w:rsidRPr="00C34BC8">
        <w:rPr>
          <w:rFonts w:ascii="Garamond" w:eastAsiaTheme="minorHAnsi" w:hAnsi="Garamond" w:cs="Times New Roman"/>
          <w:i/>
          <w:iCs/>
          <w:color w:val="000000"/>
          <w:sz w:val="24"/>
          <w:szCs w:val="24"/>
        </w:rPr>
        <w:t>Së dyti</w:t>
      </w:r>
      <w:r w:rsidRPr="00C34BC8">
        <w:rPr>
          <w:rFonts w:ascii="Garamond" w:eastAsiaTheme="minorHAnsi" w:hAnsi="Garamond" w:cs="Times New Roman"/>
          <w:color w:val="000000"/>
          <w:sz w:val="24"/>
          <w:szCs w:val="24"/>
        </w:rPr>
        <w:t xml:space="preserve">, ajo nuk i është përgjigjur as pretendimit për pezullimin e gjykimit administrativ deri në përfundimin e procesit civil, në të cilin po shqyrtohej vlefshmëria e titullit të pronësisë mbi truallin. Ky pretendim kishte rëndësi thelbësore për zgjidhjen e mosmarrëveshjes, pasi vetë </w:t>
      </w:r>
      <w:proofErr w:type="spellStart"/>
      <w:r w:rsidRPr="00C34BC8">
        <w:rPr>
          <w:rFonts w:ascii="Garamond" w:eastAsiaTheme="minorHAnsi" w:hAnsi="Garamond" w:cs="Times New Roman"/>
          <w:color w:val="000000"/>
          <w:sz w:val="24"/>
          <w:szCs w:val="24"/>
        </w:rPr>
        <w:t>VKM</w:t>
      </w:r>
      <w:proofErr w:type="spellEnd"/>
      <w:r w:rsidRPr="00C34BC8">
        <w:rPr>
          <w:rFonts w:ascii="Garamond" w:eastAsiaTheme="minorHAnsi" w:hAnsi="Garamond" w:cs="Times New Roman"/>
          <w:color w:val="000000"/>
          <w:sz w:val="24"/>
          <w:szCs w:val="24"/>
        </w:rPr>
        <w:t>-ja e kundërshtuar kishte disponuar mbi të drejtën e pronësisë mbi atë truall, duke u mbështetur në dispozitat e Kodit Civil që rregullojnë marrëdhëniet e pronësisë. Në këto kushte, Gjykata e Lartë duhej të vlerësonte nëse vijimi i gjykimit administrativ përpara përfundimit të procesit civil ishte i pajtueshëm me kërkesat e një mbrojtjeje gjyqësore efektive dhe me nevojën për të shmangur vendime potencialisht kontradiktore.</w:t>
      </w:r>
    </w:p>
    <w:p w14:paraId="062403B0"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47. Për rrjedhojë, sipas këtij qëndrimi, Gjykata e Lartë nuk ka përmbushur detyrimin kushtetues për t’u dhënë përgjigje të arsyetuar pretendimeve thelbësore të rekursit. Mungesa e arsyetimit, si për çështjen e formimit të rregullt të </w:t>
      </w:r>
      <w:proofErr w:type="spellStart"/>
      <w:r w:rsidRPr="00C34BC8">
        <w:rPr>
          <w:rFonts w:ascii="Garamond" w:eastAsiaTheme="minorHAnsi" w:hAnsi="Garamond" w:cs="Times New Roman"/>
          <w:color w:val="000000"/>
          <w:sz w:val="24"/>
          <w:szCs w:val="24"/>
        </w:rPr>
        <w:t>ndërgjyqësisë</w:t>
      </w:r>
      <w:proofErr w:type="spellEnd"/>
      <w:r w:rsidRPr="00C34BC8">
        <w:rPr>
          <w:rFonts w:ascii="Garamond" w:eastAsiaTheme="minorHAnsi" w:hAnsi="Garamond" w:cs="Times New Roman"/>
          <w:color w:val="000000"/>
          <w:sz w:val="24"/>
          <w:szCs w:val="24"/>
        </w:rPr>
        <w:t xml:space="preserve"> dhe ndikimit të saj në të drejtat procedurale të kërkuesit, ashtu edhe për kërkesën për pezullimin e gjykimit administrativ deri në përfundimin e mosmarrëveshjes civile, ka cenuar të drejtën e </w:t>
      </w:r>
      <w:proofErr w:type="spellStart"/>
      <w:r w:rsidRPr="00C34BC8">
        <w:rPr>
          <w:rFonts w:ascii="Garamond" w:eastAsiaTheme="minorHAnsi" w:hAnsi="Garamond" w:cs="Times New Roman"/>
          <w:color w:val="000000"/>
          <w:sz w:val="24"/>
          <w:szCs w:val="24"/>
        </w:rPr>
        <w:t>aksesit</w:t>
      </w:r>
      <w:proofErr w:type="spellEnd"/>
      <w:r w:rsidRPr="00C34BC8">
        <w:rPr>
          <w:rFonts w:ascii="Garamond" w:eastAsiaTheme="minorHAnsi" w:hAnsi="Garamond" w:cs="Times New Roman"/>
          <w:color w:val="000000"/>
          <w:sz w:val="24"/>
          <w:szCs w:val="24"/>
        </w:rPr>
        <w:t xml:space="preserve"> në gjykatë në aspektin e standardit të arsyetimit të vendimit gjyqësor. Për këtë arsye, në respektim të parimit të </w:t>
      </w:r>
      <w:proofErr w:type="spellStart"/>
      <w:r w:rsidRPr="00C34BC8">
        <w:rPr>
          <w:rFonts w:ascii="Garamond" w:eastAsiaTheme="minorHAnsi" w:hAnsi="Garamond" w:cs="Times New Roman"/>
          <w:color w:val="000000"/>
          <w:sz w:val="24"/>
          <w:szCs w:val="24"/>
        </w:rPr>
        <w:t>subsidiaritetit</w:t>
      </w:r>
      <w:proofErr w:type="spellEnd"/>
      <w:r w:rsidRPr="00C34BC8">
        <w:rPr>
          <w:rFonts w:ascii="Garamond" w:eastAsiaTheme="minorHAnsi" w:hAnsi="Garamond" w:cs="Times New Roman"/>
          <w:color w:val="000000"/>
          <w:sz w:val="24"/>
          <w:szCs w:val="24"/>
        </w:rPr>
        <w:t>, vendimi i Gjykatës së Lartë duhej të shfuqizohej dhe çështja t’i kthehej asaj për rishqyrtim, me qëllim që këto pretendime të shqyrtoheshin dhe të merrnin përgjigje në përputhje me standardet kushtetuese të procesit të rregullt ligjor.</w:t>
      </w:r>
    </w:p>
    <w:p w14:paraId="2EAE3368" w14:textId="3D4A75D9"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48. </w:t>
      </w:r>
      <w:r w:rsidRPr="00C34BC8">
        <w:rPr>
          <w:rFonts w:ascii="Garamond" w:eastAsiaTheme="minorHAnsi" w:hAnsi="Garamond" w:cs="Times New Roman"/>
          <w:i/>
          <w:iCs/>
          <w:color w:val="000000"/>
          <w:sz w:val="24"/>
          <w:szCs w:val="24"/>
        </w:rPr>
        <w:t>Sipas qëndrimit tjetër</w:t>
      </w:r>
      <w:r w:rsidRPr="00C34BC8">
        <w:rPr>
          <w:rStyle w:val="FootnoteReference"/>
          <w:rFonts w:ascii="Garamond" w:eastAsiaTheme="minorHAnsi" w:hAnsi="Garamond" w:cs="Times New Roman"/>
          <w:i/>
          <w:iCs/>
          <w:color w:val="000000"/>
          <w:sz w:val="24"/>
          <w:szCs w:val="24"/>
        </w:rPr>
        <w:footnoteReference w:id="5"/>
      </w:r>
      <w:r w:rsidRPr="00C34BC8">
        <w:rPr>
          <w:rFonts w:ascii="Garamond" w:eastAsiaTheme="minorHAnsi" w:hAnsi="Garamond" w:cs="Times New Roman"/>
          <w:i/>
          <w:iCs/>
          <w:color w:val="000000"/>
          <w:sz w:val="24"/>
          <w:szCs w:val="24"/>
        </w:rPr>
        <w:t>,</w:t>
      </w:r>
      <w:r w:rsidRPr="00C34BC8">
        <w:rPr>
          <w:rFonts w:ascii="Garamond" w:eastAsiaTheme="minorHAnsi" w:hAnsi="Garamond" w:cs="Times New Roman"/>
          <w:color w:val="000000"/>
          <w:sz w:val="24"/>
          <w:szCs w:val="24"/>
        </w:rPr>
        <w:t xml:space="preserve"> kërkuesi ka ushtruar lirisht të drejtën e tij të rekursit në Gjykatën e Lartë, ku ka parashtruar pretendimet e tij për vendimin e gjykatës së apelit, shkaqe që rezultojnë të kenë gjetur pasqyrimin në pjesën hyrëse të vendimit të Kolegjit Administrativ. Për sa i përket vlerësimit të këtyre shkaqeve në dhomën e këshillimit, në jurisprudencën kushtetuese është theksuar se kjo është një veprimtari e domosdoshme në funksion të </w:t>
      </w:r>
      <w:proofErr w:type="spellStart"/>
      <w:r w:rsidRPr="00C34BC8">
        <w:rPr>
          <w:rFonts w:ascii="Garamond" w:eastAsiaTheme="minorHAnsi" w:hAnsi="Garamond" w:cs="Times New Roman"/>
          <w:color w:val="000000"/>
          <w:sz w:val="24"/>
          <w:szCs w:val="24"/>
        </w:rPr>
        <w:t>aksesit</w:t>
      </w:r>
      <w:proofErr w:type="spellEnd"/>
      <w:r w:rsidRPr="00C34BC8">
        <w:rPr>
          <w:rFonts w:ascii="Garamond" w:eastAsiaTheme="minorHAnsi" w:hAnsi="Garamond" w:cs="Times New Roman"/>
          <w:color w:val="000000"/>
          <w:sz w:val="24"/>
          <w:szCs w:val="24"/>
        </w:rPr>
        <w:t xml:space="preserve"> në gjykatë vetëm të atyre çështjeve që i parashikon ligji, duke lënë jashtë përzgjedhjes kërkesat e paarsyeshme dhe haptazi të pambështetura në ligj. Dhoma e këshillimit njihet edhe si faza seleksionuese për shqyrtimin e rekursit në lidhje me kushtet e </w:t>
      </w:r>
      <w:proofErr w:type="spellStart"/>
      <w:r w:rsidRPr="00C34BC8">
        <w:rPr>
          <w:rFonts w:ascii="Garamond" w:eastAsiaTheme="minorHAnsi" w:hAnsi="Garamond" w:cs="Times New Roman"/>
          <w:color w:val="000000"/>
          <w:sz w:val="24"/>
          <w:szCs w:val="24"/>
        </w:rPr>
        <w:t>pranueshmërisë</w:t>
      </w:r>
      <w:proofErr w:type="spellEnd"/>
      <w:r w:rsidRPr="00C34BC8">
        <w:rPr>
          <w:rFonts w:ascii="Garamond" w:eastAsiaTheme="minorHAnsi" w:hAnsi="Garamond" w:cs="Times New Roman"/>
          <w:color w:val="000000"/>
          <w:sz w:val="24"/>
          <w:szCs w:val="24"/>
        </w:rPr>
        <w:t xml:space="preserve">, ku në mungesë të ekzistencës të </w:t>
      </w:r>
      <w:proofErr w:type="spellStart"/>
      <w:r w:rsidRPr="00C34BC8">
        <w:rPr>
          <w:rFonts w:ascii="Garamond" w:eastAsiaTheme="minorHAnsi" w:hAnsi="Garamond" w:cs="Times New Roman"/>
          <w:color w:val="000000"/>
          <w:sz w:val="24"/>
          <w:szCs w:val="24"/>
        </w:rPr>
        <w:t>të</w:t>
      </w:r>
      <w:proofErr w:type="spellEnd"/>
      <w:r w:rsidRPr="00C34BC8">
        <w:rPr>
          <w:rFonts w:ascii="Garamond" w:eastAsiaTheme="minorHAnsi" w:hAnsi="Garamond" w:cs="Times New Roman"/>
          <w:color w:val="000000"/>
          <w:sz w:val="24"/>
          <w:szCs w:val="24"/>
        </w:rPr>
        <w:t xml:space="preserve"> cilave Gjykata e Lartë disponon për mospranimin e tij, duke i dhënë kështu fund shqyrtimit (</w:t>
      </w:r>
      <w:r w:rsidR="00056590">
        <w:rPr>
          <w:rFonts w:ascii="Garamond" w:eastAsiaTheme="minorHAnsi" w:hAnsi="Garamond" w:cs="Times New Roman"/>
          <w:i/>
          <w:iCs/>
          <w:color w:val="000000"/>
          <w:sz w:val="24"/>
          <w:szCs w:val="24"/>
        </w:rPr>
        <w:t>shih vendimet nr. 64, datë 1.10.2024; nr. 16, datë 16.</w:t>
      </w:r>
      <w:r w:rsidRPr="00C34BC8">
        <w:rPr>
          <w:rFonts w:ascii="Garamond" w:eastAsiaTheme="minorHAnsi" w:hAnsi="Garamond" w:cs="Times New Roman"/>
          <w:i/>
          <w:iCs/>
          <w:color w:val="000000"/>
          <w:sz w:val="24"/>
          <w:szCs w:val="24"/>
        </w:rPr>
        <w:t>3.2021; nr</w:t>
      </w:r>
      <w:r w:rsidR="00056590">
        <w:rPr>
          <w:rFonts w:ascii="Garamond" w:eastAsiaTheme="minorHAnsi" w:hAnsi="Garamond" w:cs="Times New Roman"/>
          <w:i/>
          <w:iCs/>
          <w:color w:val="000000"/>
          <w:sz w:val="24"/>
          <w:szCs w:val="24"/>
        </w:rPr>
        <w:t>. 26, datë 27.</w:t>
      </w:r>
      <w:r w:rsidRPr="00C34BC8">
        <w:rPr>
          <w:rFonts w:ascii="Garamond" w:eastAsiaTheme="minorHAnsi" w:hAnsi="Garamond" w:cs="Times New Roman"/>
          <w:i/>
          <w:iCs/>
          <w:color w:val="000000"/>
          <w:sz w:val="24"/>
          <w:szCs w:val="24"/>
        </w:rPr>
        <w:t>3.2017</w:t>
      </w:r>
      <w:r w:rsidR="00056590">
        <w:rPr>
          <w:rFonts w:ascii="Garamond" w:eastAsiaTheme="minorHAnsi" w:hAnsi="Garamond" w:cs="Times New Roman"/>
          <w:i/>
          <w:iCs/>
          <w:color w:val="000000"/>
          <w:sz w:val="24"/>
          <w:szCs w:val="24"/>
        </w:rPr>
        <w:t>,</w:t>
      </w:r>
      <w:r w:rsidRPr="00C34BC8">
        <w:rPr>
          <w:rFonts w:ascii="Garamond" w:eastAsiaTheme="minorHAnsi" w:hAnsi="Garamond" w:cs="Times New Roman"/>
          <w:i/>
          <w:iCs/>
          <w:color w:val="000000"/>
          <w:sz w:val="24"/>
          <w:szCs w:val="24"/>
        </w:rPr>
        <w:t xml:space="preserve"> të Gjykatës Kushtetuese</w:t>
      </w:r>
      <w:r w:rsidRPr="00C34BC8">
        <w:rPr>
          <w:rFonts w:ascii="Garamond" w:eastAsiaTheme="minorHAnsi" w:hAnsi="Garamond" w:cs="Times New Roman"/>
          <w:color w:val="000000"/>
          <w:sz w:val="24"/>
          <w:szCs w:val="24"/>
        </w:rPr>
        <w:t xml:space="preserve">). </w:t>
      </w:r>
    </w:p>
    <w:p w14:paraId="6BF6E6A8"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 xml:space="preserve">49. Kolegji Administrativ i Gjykatës së Lartë, edhe pse me një arsyetim të kufizuar, ka vepruar në përputhje me rolin e tij dhe në ushtrim të funksionit si gjykatë ligji, si dhe në zbatim të dispozitave </w:t>
      </w:r>
      <w:r w:rsidRPr="00C34BC8">
        <w:rPr>
          <w:rFonts w:ascii="Garamond" w:eastAsiaTheme="minorHAnsi" w:hAnsi="Garamond" w:cs="Times New Roman"/>
          <w:color w:val="000000"/>
          <w:sz w:val="24"/>
          <w:szCs w:val="24"/>
        </w:rPr>
        <w:lastRenderedPageBreak/>
        <w:t xml:space="preserve">procedurale që rregullojnë atë formë gjykimi, duke vlerësuar se shkaqet e rekursit të parashtruara nga kërkuesi përpara asaj gjykate, qoftë në formë a në substancë, nuk janë të tilla që të bëjnë të cenueshëm procesin gjyqësor të zhvilluar në gjykatën e apelit, për rrjedhojë duke lënë në fuqi interpretimin dhe zbatimin e ligjit nga Gjykata Administrative e Apelit. Ky arsyetim nuk rezulton të jetë alogjik ose haptazi i paarsyeshëm, pra që të vërë në dyshim vetë thelbin e së drejtës për gjykim të drejtë. Duke vendosur mospranimin e rekursit për shkak se nuk përmbante shkaqe ligjore, Kolegji Administrativ i Gjykatës së Lartë, në thelb, i ka dhënë përgjigje kërkuesit për </w:t>
      </w:r>
      <w:proofErr w:type="spellStart"/>
      <w:r w:rsidRPr="00C34BC8">
        <w:rPr>
          <w:rFonts w:ascii="Garamond" w:eastAsiaTheme="minorHAnsi" w:hAnsi="Garamond" w:cs="Times New Roman"/>
          <w:color w:val="000000"/>
          <w:sz w:val="24"/>
          <w:szCs w:val="24"/>
        </w:rPr>
        <w:t>pabazueshmërinë</w:t>
      </w:r>
      <w:proofErr w:type="spellEnd"/>
      <w:r w:rsidRPr="00C34BC8">
        <w:rPr>
          <w:rFonts w:ascii="Garamond" w:eastAsiaTheme="minorHAnsi" w:hAnsi="Garamond" w:cs="Times New Roman"/>
          <w:color w:val="000000"/>
          <w:sz w:val="24"/>
          <w:szCs w:val="24"/>
        </w:rPr>
        <w:t xml:space="preserve"> e shkaqeve të ngritura në formë e substancë në rekurs, duke marrë ai, në këtë mënyrë, përgjigje të arsyetuar për të gjitha pretendimet e tij të parashtruara përpara asaj gjykate. Kolegji Administrativ i Gjykatës së Lartë përmes parashtrimit të shkaqeve të parashtruara në rekurs në vendimin gjyqësor të kundërshtuar tregon se i ka vlerësuar këto shkaqe, duke mos cenuar standardin kushtetues të arsyetimit të vendimit dhe duke konfirmuar në thelb se interpretimi i ligjit nga gjykata e apelit ishte i drejtë. Vetëm fakti se Kolegji Administrativ ka vendosur mospranimin e rekursit në dhomën e këshillimit nuk është i mjaftueshëm, në këndvështrimin kushtetues, për të vënë në dyshim të drejtën për proces të rregullt ligjor. Për këto arsye, sipas këtij qëndrimi, pretendimi për cenimin e së drejtës së </w:t>
      </w:r>
      <w:proofErr w:type="spellStart"/>
      <w:r w:rsidRPr="00C34BC8">
        <w:rPr>
          <w:rFonts w:ascii="Garamond" w:eastAsiaTheme="minorHAnsi" w:hAnsi="Garamond" w:cs="Times New Roman"/>
          <w:color w:val="000000"/>
          <w:sz w:val="24"/>
          <w:szCs w:val="24"/>
        </w:rPr>
        <w:t>aksesit</w:t>
      </w:r>
      <w:proofErr w:type="spellEnd"/>
      <w:r w:rsidRPr="00C34BC8">
        <w:rPr>
          <w:rFonts w:ascii="Garamond" w:eastAsiaTheme="minorHAnsi" w:hAnsi="Garamond" w:cs="Times New Roman"/>
          <w:color w:val="000000"/>
          <w:sz w:val="24"/>
          <w:szCs w:val="24"/>
        </w:rPr>
        <w:t xml:space="preserve"> të lidhur me standardin e arsyetimit të vendimit gjyqësor, si pasojë e mospranimit të rekursit nga Kolegji Administrativ i Gjykatës së Lartë në dhomën e këshillimit është i pabazuar ndaj kërkesa duhej të rrëzohej. </w:t>
      </w:r>
    </w:p>
    <w:p w14:paraId="79FBBEFA"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4BC8">
        <w:rPr>
          <w:rFonts w:ascii="Garamond" w:eastAsiaTheme="minorHAnsi" w:hAnsi="Garamond" w:cs="Times New Roman"/>
          <w:color w:val="000000"/>
          <w:sz w:val="24"/>
          <w:szCs w:val="24"/>
        </w:rPr>
        <w:t>50. Për sa më sipër, në kushtet kur nuk u formua shumica prej 5 gjyqtarësh, ky pretendim, në kuptim të nenit 73, pika 4, të Ligjit Organik të Gjykatës, konsiderohet i rrëzuar.</w:t>
      </w:r>
    </w:p>
    <w:p w14:paraId="49DA7814" w14:textId="77777777" w:rsidR="009F20E3" w:rsidRPr="00C34BC8" w:rsidRDefault="009F20E3" w:rsidP="009F20E3">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D3D6976"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PËR KËTO ARSYE,</w:t>
      </w:r>
    </w:p>
    <w:p w14:paraId="1803B7AD"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61AA1939" w14:textId="01AAFA71"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Gjykata Kushtetuese, në mbështetje të neneve 131, pika 1, shkronja “f” dhe 134, pika 1, shkronja “i”, të Kushtetutës, si dhe neneve 72, 73, pika 4, e vijues</w:t>
      </w:r>
      <w:r w:rsidR="00056590">
        <w:rPr>
          <w:rFonts w:ascii="Garamond" w:eastAsiaTheme="minorHAnsi" w:hAnsi="Garamond" w:cs="Times New Roman"/>
          <w:color w:val="000000"/>
          <w:sz w:val="24"/>
          <w:szCs w:val="24"/>
        </w:rPr>
        <w:t>, të ligjit nr. 8577, datë 10.</w:t>
      </w:r>
      <w:r w:rsidRPr="00C34BC8">
        <w:rPr>
          <w:rFonts w:ascii="Garamond" w:eastAsiaTheme="minorHAnsi" w:hAnsi="Garamond" w:cs="Times New Roman"/>
          <w:color w:val="000000"/>
          <w:sz w:val="24"/>
          <w:szCs w:val="24"/>
        </w:rPr>
        <w:t>2.2000</w:t>
      </w:r>
      <w:r w:rsidR="00056590">
        <w:rPr>
          <w:rFonts w:ascii="Garamond" w:eastAsiaTheme="minorHAnsi" w:hAnsi="Garamond" w:cs="Times New Roman"/>
          <w:color w:val="000000"/>
          <w:sz w:val="24"/>
          <w:szCs w:val="24"/>
        </w:rPr>
        <w:t>,</w:t>
      </w:r>
      <w:r w:rsidRPr="00C34BC8">
        <w:rPr>
          <w:rFonts w:ascii="Garamond" w:eastAsiaTheme="minorHAnsi" w:hAnsi="Garamond" w:cs="Times New Roman"/>
          <w:color w:val="000000"/>
          <w:sz w:val="24"/>
          <w:szCs w:val="24"/>
        </w:rPr>
        <w:t xml:space="preserve"> “Për organizimin dhe funksionimin e Gjykatës Kushtetuese të Republikës së Shqipërisë”, të ndryshuar, </w:t>
      </w:r>
    </w:p>
    <w:p w14:paraId="55969472" w14:textId="77777777" w:rsidR="009F20E3" w:rsidRPr="00C34BC8" w:rsidRDefault="009F20E3" w:rsidP="009F20E3">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CC9B31B"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C34BC8">
        <w:rPr>
          <w:rFonts w:ascii="Garamond" w:eastAsiaTheme="minorHAnsi" w:hAnsi="Garamond" w:cs="Times New Roman"/>
          <w:bCs/>
          <w:color w:val="000000"/>
          <w:sz w:val="24"/>
          <w:szCs w:val="24"/>
        </w:rPr>
        <w:t>VENDOSI:</w:t>
      </w:r>
    </w:p>
    <w:p w14:paraId="30E8D68C" w14:textId="77777777" w:rsidR="009F20E3" w:rsidRPr="00C34BC8" w:rsidRDefault="009F20E3" w:rsidP="009F20E3">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6F7B7420" w14:textId="77777777" w:rsidR="009F20E3" w:rsidRPr="00C34BC8" w:rsidRDefault="009F20E3" w:rsidP="009F20E3">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1. Rrëzimin e kërkesës.</w:t>
      </w:r>
    </w:p>
    <w:p w14:paraId="6E22E376" w14:textId="2444EECB" w:rsidR="009F20E3" w:rsidRDefault="009F20E3" w:rsidP="009F20E3">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4BC8">
        <w:rPr>
          <w:rFonts w:ascii="Garamond" w:eastAsiaTheme="minorHAnsi" w:hAnsi="Garamond" w:cs="Times New Roman"/>
          <w:color w:val="000000"/>
          <w:sz w:val="24"/>
          <w:szCs w:val="24"/>
        </w:rPr>
        <w:t>Ky vendim është përfundimtar dhe hyn në fuqi ditën e botimit në Fletoren Zyrtare.</w:t>
      </w:r>
    </w:p>
    <w:p w14:paraId="0389A423" w14:textId="77777777" w:rsidR="00056590" w:rsidRPr="00C34BC8" w:rsidRDefault="00056590" w:rsidP="009F20E3">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B7D1F2D" w14:textId="7CB73597" w:rsidR="009F20E3" w:rsidRPr="00C34BC8" w:rsidRDefault="00056590" w:rsidP="009F20E3">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Marrë më 23.</w:t>
      </w:r>
      <w:r w:rsidR="009F20E3" w:rsidRPr="00C34BC8">
        <w:rPr>
          <w:rFonts w:ascii="Garamond" w:eastAsiaTheme="minorHAnsi" w:hAnsi="Garamond" w:cs="Times New Roman"/>
          <w:b/>
          <w:bCs/>
          <w:color w:val="000000"/>
          <w:sz w:val="24"/>
          <w:szCs w:val="24"/>
        </w:rPr>
        <w:t>6.2026</w:t>
      </w:r>
      <w:r>
        <w:rPr>
          <w:rFonts w:ascii="Garamond" w:eastAsiaTheme="minorHAnsi" w:hAnsi="Garamond" w:cs="Times New Roman"/>
          <w:b/>
          <w:bCs/>
          <w:color w:val="000000"/>
          <w:sz w:val="24"/>
          <w:szCs w:val="24"/>
        </w:rPr>
        <w:t>.</w:t>
      </w:r>
    </w:p>
    <w:p w14:paraId="1A21DE30" w14:textId="3DCAB315" w:rsidR="009F20E3" w:rsidRPr="00C34BC8" w:rsidRDefault="00056590" w:rsidP="009F20E3">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Shpallur më 31.</w:t>
      </w:r>
      <w:r w:rsidR="009F20E3" w:rsidRPr="00C34BC8">
        <w:rPr>
          <w:rFonts w:ascii="Garamond" w:eastAsiaTheme="minorHAnsi" w:hAnsi="Garamond" w:cs="Times New Roman"/>
          <w:b/>
          <w:bCs/>
          <w:color w:val="000000"/>
          <w:sz w:val="24"/>
          <w:szCs w:val="24"/>
        </w:rPr>
        <w:t>7.2026</w:t>
      </w:r>
      <w:r>
        <w:rPr>
          <w:rFonts w:ascii="Garamond" w:eastAsiaTheme="minorHAnsi" w:hAnsi="Garamond" w:cs="Times New Roman"/>
          <w:b/>
          <w:bCs/>
          <w:color w:val="000000"/>
          <w:sz w:val="24"/>
          <w:szCs w:val="24"/>
        </w:rPr>
        <w:t>.</w:t>
      </w:r>
    </w:p>
    <w:p w14:paraId="20558CF0" w14:textId="77777777" w:rsidR="009F20E3" w:rsidRPr="00C34BC8" w:rsidRDefault="009F20E3" w:rsidP="009F20E3">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0D0CA131" w14:textId="77777777" w:rsidR="009F20E3" w:rsidRPr="00C34BC8" w:rsidRDefault="009F20E3" w:rsidP="009F20E3">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 xml:space="preserve">Kryetare: </w:t>
      </w:r>
      <w:proofErr w:type="spellStart"/>
      <w:r w:rsidRPr="00C34BC8">
        <w:rPr>
          <w:rFonts w:ascii="Garamond" w:eastAsiaTheme="minorHAnsi" w:hAnsi="Garamond" w:cs="Times New Roman"/>
          <w:bCs/>
          <w:color w:val="000000"/>
          <w:sz w:val="24"/>
          <w:szCs w:val="24"/>
        </w:rPr>
        <w:t>Fiona</w:t>
      </w:r>
      <w:proofErr w:type="spellEnd"/>
      <w:r w:rsidRPr="00C34BC8">
        <w:rPr>
          <w:rFonts w:ascii="Garamond" w:eastAsiaTheme="minorHAnsi" w:hAnsi="Garamond" w:cs="Times New Roman"/>
          <w:bCs/>
          <w:color w:val="000000"/>
          <w:sz w:val="24"/>
          <w:szCs w:val="24"/>
        </w:rPr>
        <w:t xml:space="preserve"> </w:t>
      </w:r>
      <w:proofErr w:type="spellStart"/>
      <w:r w:rsidRPr="00C34BC8">
        <w:rPr>
          <w:rFonts w:ascii="Garamond" w:eastAsiaTheme="minorHAnsi" w:hAnsi="Garamond" w:cs="Times New Roman"/>
          <w:bCs/>
          <w:color w:val="000000"/>
          <w:sz w:val="24"/>
          <w:szCs w:val="24"/>
        </w:rPr>
        <w:t>Papajorgji</w:t>
      </w:r>
      <w:proofErr w:type="spellEnd"/>
    </w:p>
    <w:p w14:paraId="38908BA6" w14:textId="77777777" w:rsidR="009F20E3" w:rsidRPr="00C34BC8" w:rsidRDefault="009F20E3" w:rsidP="009F20E3">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C34BC8">
        <w:rPr>
          <w:rFonts w:ascii="Garamond" w:eastAsiaTheme="minorHAnsi" w:hAnsi="Garamond" w:cs="Times New Roman"/>
          <w:b/>
          <w:bCs/>
          <w:color w:val="000000"/>
          <w:sz w:val="24"/>
          <w:szCs w:val="24"/>
        </w:rPr>
        <w:t xml:space="preserve">Anëtarë: </w:t>
      </w:r>
      <w:proofErr w:type="spellStart"/>
      <w:r w:rsidRPr="00C34BC8">
        <w:rPr>
          <w:rFonts w:ascii="Garamond" w:eastAsiaTheme="minorHAnsi" w:hAnsi="Garamond" w:cs="Times New Roman"/>
          <w:bCs/>
          <w:color w:val="000000"/>
          <w:sz w:val="24"/>
          <w:szCs w:val="24"/>
        </w:rPr>
        <w:t>Sandër</w:t>
      </w:r>
      <w:proofErr w:type="spellEnd"/>
      <w:r w:rsidRPr="00C34BC8">
        <w:rPr>
          <w:rFonts w:ascii="Garamond" w:eastAsiaTheme="minorHAnsi" w:hAnsi="Garamond" w:cs="Times New Roman"/>
          <w:bCs/>
          <w:color w:val="000000"/>
          <w:sz w:val="24"/>
          <w:szCs w:val="24"/>
        </w:rPr>
        <w:t xml:space="preserve"> Beci, </w:t>
      </w:r>
      <w:proofErr w:type="spellStart"/>
      <w:r w:rsidRPr="00C34BC8">
        <w:rPr>
          <w:rFonts w:ascii="Garamond" w:eastAsiaTheme="minorHAnsi" w:hAnsi="Garamond" w:cs="Times New Roman"/>
          <w:bCs/>
          <w:color w:val="000000"/>
          <w:sz w:val="24"/>
          <w:szCs w:val="24"/>
        </w:rPr>
        <w:t>Marsida</w:t>
      </w:r>
      <w:proofErr w:type="spellEnd"/>
      <w:r w:rsidRPr="00C34BC8">
        <w:rPr>
          <w:rFonts w:ascii="Garamond" w:eastAsiaTheme="minorHAnsi" w:hAnsi="Garamond" w:cs="Times New Roman"/>
          <w:bCs/>
          <w:color w:val="000000"/>
          <w:sz w:val="24"/>
          <w:szCs w:val="24"/>
        </w:rPr>
        <w:t xml:space="preserve"> </w:t>
      </w:r>
      <w:proofErr w:type="spellStart"/>
      <w:r w:rsidRPr="00C34BC8">
        <w:rPr>
          <w:rFonts w:ascii="Garamond" w:eastAsiaTheme="minorHAnsi" w:hAnsi="Garamond" w:cs="Times New Roman"/>
          <w:bCs/>
          <w:color w:val="000000"/>
          <w:sz w:val="24"/>
          <w:szCs w:val="24"/>
        </w:rPr>
        <w:t>Xhaferllari</w:t>
      </w:r>
      <w:proofErr w:type="spellEnd"/>
      <w:r w:rsidRPr="00C34BC8">
        <w:rPr>
          <w:rFonts w:ascii="Garamond" w:eastAsiaTheme="minorHAnsi" w:hAnsi="Garamond" w:cs="Times New Roman"/>
          <w:bCs/>
          <w:color w:val="000000"/>
          <w:sz w:val="24"/>
          <w:szCs w:val="24"/>
        </w:rPr>
        <w:t xml:space="preserve">, Genti Ibrahimi, Ilir Toska, </w:t>
      </w:r>
      <w:proofErr w:type="spellStart"/>
      <w:r w:rsidRPr="00C34BC8">
        <w:rPr>
          <w:rFonts w:ascii="Garamond" w:eastAsiaTheme="minorHAnsi" w:hAnsi="Garamond" w:cs="Times New Roman"/>
          <w:bCs/>
          <w:color w:val="000000"/>
          <w:sz w:val="24"/>
          <w:szCs w:val="24"/>
        </w:rPr>
        <w:t>Sonila</w:t>
      </w:r>
      <w:proofErr w:type="spellEnd"/>
      <w:r w:rsidRPr="00C34BC8">
        <w:rPr>
          <w:rFonts w:ascii="Garamond" w:eastAsiaTheme="minorHAnsi" w:hAnsi="Garamond" w:cs="Times New Roman"/>
          <w:bCs/>
          <w:color w:val="000000"/>
          <w:sz w:val="24"/>
          <w:szCs w:val="24"/>
        </w:rPr>
        <w:t xml:space="preserve"> Bejtja, </w:t>
      </w:r>
      <w:proofErr w:type="spellStart"/>
      <w:r w:rsidRPr="00C34BC8">
        <w:rPr>
          <w:rFonts w:ascii="Garamond" w:eastAsiaTheme="minorHAnsi" w:hAnsi="Garamond" w:cs="Times New Roman"/>
          <w:bCs/>
          <w:color w:val="000000"/>
          <w:sz w:val="24"/>
          <w:szCs w:val="24"/>
        </w:rPr>
        <w:t>Marjana</w:t>
      </w:r>
      <w:proofErr w:type="spellEnd"/>
      <w:r w:rsidRPr="00C34BC8">
        <w:rPr>
          <w:rFonts w:ascii="Garamond" w:eastAsiaTheme="minorHAnsi" w:hAnsi="Garamond" w:cs="Times New Roman"/>
          <w:bCs/>
          <w:color w:val="000000"/>
          <w:sz w:val="24"/>
          <w:szCs w:val="24"/>
        </w:rPr>
        <w:t xml:space="preserve"> </w:t>
      </w:r>
      <w:proofErr w:type="spellStart"/>
      <w:r w:rsidRPr="00C34BC8">
        <w:rPr>
          <w:rFonts w:ascii="Garamond" w:eastAsiaTheme="minorHAnsi" w:hAnsi="Garamond" w:cs="Times New Roman"/>
          <w:bCs/>
          <w:color w:val="000000"/>
          <w:sz w:val="24"/>
          <w:szCs w:val="24"/>
        </w:rPr>
        <w:t>Semini</w:t>
      </w:r>
      <w:proofErr w:type="spellEnd"/>
    </w:p>
    <w:p w14:paraId="1C4A37A6" w14:textId="77777777" w:rsidR="009F20E3" w:rsidRPr="00C34BC8" w:rsidRDefault="009F20E3" w:rsidP="009F20E3">
      <w:pPr>
        <w:spacing w:after="0" w:line="240" w:lineRule="auto"/>
        <w:ind w:firstLine="284"/>
        <w:rPr>
          <w:rFonts w:ascii="Garamond" w:hAnsi="Garamond"/>
          <w:sz w:val="24"/>
          <w:szCs w:val="24"/>
        </w:rPr>
      </w:pPr>
    </w:p>
    <w:p w14:paraId="63444C7F" w14:textId="3F588D02" w:rsidR="00A66BBE" w:rsidRPr="00C34BC8" w:rsidRDefault="00A66BBE" w:rsidP="009F20E3"/>
    <w:sectPr w:rsidR="00A66BBE" w:rsidRPr="00C34BC8" w:rsidSect="00A66BBE">
      <w:headerReference w:type="first" r:id="rId11"/>
      <w:pgSz w:w="12240" w:h="15840"/>
      <w:pgMar w:top="1170" w:right="1440" w:bottom="99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BD1E27" w16cex:dateUtc="2026-07-18T20:33:00Z"/>
  <w16cex:commentExtensible w16cex:durableId="5DE460C9" w16cex:dateUtc="2026-07-19T15:07:00Z"/>
  <w16cex:commentExtensible w16cex:durableId="4645CE3F" w16cex:dateUtc="2026-07-18T20:57:00Z"/>
  <w16cex:commentExtensible w16cex:durableId="3ABD25D3" w16cex:dateUtc="2026-07-18T21:01:00Z"/>
  <w16cex:commentExtensible w16cex:durableId="5FC4BCB2" w16cex:dateUtc="2026-07-18T21:20:00Z"/>
  <w16cex:commentExtensible w16cex:durableId="7404274D" w16cex:dateUtc="2026-07-18T21:28:00Z"/>
  <w16cex:commentExtensible w16cex:durableId="69BCBD4D" w16cex:dateUtc="2026-07-18T21:32:00Z"/>
  <w16cex:commentExtensible w16cex:durableId="1E161698" w16cex:dateUtc="2026-07-19T13:09:00Z"/>
  <w16cex:commentExtensible w16cex:durableId="5B58128B" w16cex:dateUtc="2026-07-18T22:18:00Z"/>
  <w16cex:commentExtensible w16cex:durableId="5265FBC7" w16cex:dateUtc="2026-07-19T13:16:00Z"/>
  <w16cex:commentExtensible w16cex:durableId="761B36F7" w16cex:dateUtc="2026-07-18T20:1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44C86" w14:textId="77777777" w:rsidR="00834F0D" w:rsidRDefault="00834F0D" w:rsidP="009B6CA1">
      <w:pPr>
        <w:spacing w:after="0" w:line="240" w:lineRule="auto"/>
      </w:pPr>
      <w:r>
        <w:separator/>
      </w:r>
    </w:p>
  </w:endnote>
  <w:endnote w:type="continuationSeparator" w:id="0">
    <w:p w14:paraId="63444C87" w14:textId="77777777" w:rsidR="00834F0D" w:rsidRDefault="00834F0D" w:rsidP="009B6CA1">
      <w:pPr>
        <w:spacing w:after="0" w:line="240" w:lineRule="auto"/>
      </w:pPr>
      <w:r>
        <w:continuationSeparator/>
      </w:r>
    </w:p>
  </w:endnote>
  <w:endnote w:type="continuationNotice" w:id="1">
    <w:p w14:paraId="02A581C1" w14:textId="77777777" w:rsidR="00D47A96" w:rsidRDefault="00D47A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44C84" w14:textId="77777777" w:rsidR="00834F0D" w:rsidRDefault="00834F0D" w:rsidP="009B6CA1">
      <w:pPr>
        <w:spacing w:after="0" w:line="240" w:lineRule="auto"/>
      </w:pPr>
      <w:r>
        <w:separator/>
      </w:r>
    </w:p>
  </w:footnote>
  <w:footnote w:type="continuationSeparator" w:id="0">
    <w:p w14:paraId="63444C85" w14:textId="77777777" w:rsidR="00834F0D" w:rsidRDefault="00834F0D" w:rsidP="009B6CA1">
      <w:pPr>
        <w:spacing w:after="0" w:line="240" w:lineRule="auto"/>
      </w:pPr>
      <w:r>
        <w:continuationSeparator/>
      </w:r>
    </w:p>
  </w:footnote>
  <w:footnote w:type="continuationNotice" w:id="1">
    <w:p w14:paraId="222DD583" w14:textId="77777777" w:rsidR="00D47A96" w:rsidRDefault="00D47A96">
      <w:pPr>
        <w:spacing w:after="0" w:line="240" w:lineRule="auto"/>
      </w:pPr>
    </w:p>
  </w:footnote>
  <w:footnote w:id="2">
    <w:p w14:paraId="664594B3" w14:textId="77777777" w:rsidR="009F20E3" w:rsidRPr="00BF16EB" w:rsidRDefault="009F20E3" w:rsidP="009F20E3">
      <w:pPr>
        <w:pStyle w:val="FootnoteText"/>
        <w:spacing w:after="0" w:line="240" w:lineRule="auto"/>
        <w:rPr>
          <w:rFonts w:ascii="Garamond" w:hAnsi="Garamond"/>
          <w:lang w:val="en-US"/>
        </w:rPr>
      </w:pPr>
      <w:r w:rsidRPr="00BF16EB">
        <w:rPr>
          <w:rStyle w:val="FootnoteReference"/>
          <w:rFonts w:ascii="Garamond" w:hAnsi="Garamond"/>
        </w:rPr>
        <w:footnoteRef/>
      </w:r>
      <w:r w:rsidRPr="00BF16EB">
        <w:rPr>
          <w:rFonts w:ascii="Garamond" w:hAnsi="Garamond"/>
        </w:rPr>
        <w:t xml:space="preserve"> Votuan sipas këtij qëndrimi gjyqtarët Sonila Bejtja, Sandër Beci dhe Genti Ibrahimi.</w:t>
      </w:r>
    </w:p>
  </w:footnote>
  <w:footnote w:id="3">
    <w:p w14:paraId="1666761D" w14:textId="77777777" w:rsidR="009F20E3" w:rsidRPr="00BF16EB" w:rsidRDefault="009F20E3" w:rsidP="009F20E3">
      <w:pPr>
        <w:pStyle w:val="FootnoteText"/>
        <w:spacing w:after="0" w:line="240" w:lineRule="auto"/>
        <w:jc w:val="both"/>
        <w:rPr>
          <w:rFonts w:ascii="Garamond" w:hAnsi="Garamond"/>
          <w:lang w:val="en-US"/>
        </w:rPr>
      </w:pPr>
      <w:r w:rsidRPr="00BF16EB">
        <w:rPr>
          <w:rStyle w:val="FootnoteReference"/>
          <w:rFonts w:ascii="Garamond" w:hAnsi="Garamond"/>
        </w:rPr>
        <w:footnoteRef/>
      </w:r>
      <w:r w:rsidRPr="00BF16EB">
        <w:rPr>
          <w:rFonts w:ascii="Garamond" w:hAnsi="Garamond"/>
        </w:rPr>
        <w:t xml:space="preserve"> </w:t>
      </w:r>
      <w:r w:rsidRPr="00BF16EB">
        <w:rPr>
          <w:rFonts w:ascii="Garamond" w:hAnsi="Garamond"/>
        </w:rPr>
        <w:t xml:space="preserve">Votuan sipas këtij qëndrimi gjyqtarët Fiona Papajorgji, Marsida Xhaferllari, Ilir Toska dhe Marjana Semini. </w:t>
      </w:r>
    </w:p>
    <w:p w14:paraId="73CDFD44" w14:textId="77777777" w:rsidR="009F20E3" w:rsidRPr="00BF16EB" w:rsidRDefault="009F20E3" w:rsidP="009F20E3">
      <w:pPr>
        <w:pStyle w:val="FootnoteText"/>
        <w:spacing w:after="0" w:line="240" w:lineRule="auto"/>
        <w:rPr>
          <w:rFonts w:ascii="Garamond" w:hAnsi="Garamond"/>
          <w:lang w:val="en-US"/>
        </w:rPr>
      </w:pPr>
    </w:p>
  </w:footnote>
  <w:footnote w:id="4">
    <w:p w14:paraId="407A0586" w14:textId="77777777" w:rsidR="009F20E3" w:rsidRPr="00BF16EB" w:rsidRDefault="009F20E3" w:rsidP="009F20E3">
      <w:pPr>
        <w:pStyle w:val="FootnoteText"/>
        <w:spacing w:after="0" w:line="240" w:lineRule="auto"/>
        <w:rPr>
          <w:rFonts w:ascii="Garamond" w:hAnsi="Garamond"/>
          <w:lang w:val="en-US"/>
        </w:rPr>
      </w:pPr>
      <w:r w:rsidRPr="00BF16EB">
        <w:rPr>
          <w:rStyle w:val="FootnoteReference"/>
          <w:rFonts w:ascii="Garamond" w:hAnsi="Garamond"/>
        </w:rPr>
        <w:footnoteRef/>
      </w:r>
      <w:r w:rsidRPr="00BF16EB">
        <w:rPr>
          <w:rFonts w:ascii="Garamond" w:hAnsi="Garamond"/>
        </w:rPr>
        <w:t xml:space="preserve"> </w:t>
      </w:r>
      <w:r w:rsidRPr="00BF16EB">
        <w:rPr>
          <w:rFonts w:ascii="Garamond" w:hAnsi="Garamond"/>
        </w:rPr>
        <w:t>Votuan për pranimin e këtij pretendimi gjyqtarët Fiona Papajorgji, Marsida Xhaferllari, Ilir Toska dhe Marjana Semini.</w:t>
      </w:r>
    </w:p>
  </w:footnote>
  <w:footnote w:id="5">
    <w:p w14:paraId="2432CE35" w14:textId="77777777" w:rsidR="009F20E3" w:rsidRPr="00BF16EB" w:rsidRDefault="009F20E3" w:rsidP="009F20E3">
      <w:pPr>
        <w:pStyle w:val="FootnoteText"/>
        <w:spacing w:after="0" w:line="240" w:lineRule="auto"/>
        <w:rPr>
          <w:rFonts w:ascii="Garamond" w:hAnsi="Garamond"/>
          <w:lang w:val="en-US"/>
        </w:rPr>
      </w:pPr>
      <w:r w:rsidRPr="00BF16EB">
        <w:rPr>
          <w:rStyle w:val="FootnoteReference"/>
          <w:rFonts w:ascii="Garamond" w:hAnsi="Garamond"/>
        </w:rPr>
        <w:footnoteRef/>
      </w:r>
      <w:r w:rsidRPr="00BF16EB">
        <w:rPr>
          <w:rFonts w:ascii="Garamond" w:hAnsi="Garamond"/>
        </w:rPr>
        <w:t xml:space="preserve"> </w:t>
      </w:r>
      <w:r w:rsidRPr="00BF16EB">
        <w:rPr>
          <w:rFonts w:ascii="Garamond" w:hAnsi="Garamond"/>
        </w:rPr>
        <w:t>Votuan për rrëzimin e këtij pretendimi gjyqtarët Sonila Bejtja, Sandër Beci dhe Genti Ibrahimi.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44C8B" w14:textId="77777777" w:rsidR="00834F0D" w:rsidRPr="00C06B3A" w:rsidRDefault="00834F0D" w:rsidP="00C12C58">
    <w:pPr>
      <w:pStyle w:val="Header"/>
      <w:rPr>
        <w:rFonts w:ascii="Times New Roman" w:hAnsi="Times New Roman" w:cs="Times New Roman"/>
        <w:i/>
        <w:sz w:val="24"/>
        <w:szCs w:val="24"/>
      </w:rP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2998"/>
    <w:multiLevelType w:val="hybridMultilevel"/>
    <w:tmpl w:val="701087D8"/>
    <w:lvl w:ilvl="0" w:tplc="041C000F">
      <w:start w:val="1"/>
      <w:numFmt w:val="decimal"/>
      <w:lvlText w:val="%1."/>
      <w:lvlJc w:val="left"/>
      <w:pPr>
        <w:ind w:left="783" w:hanging="360"/>
      </w:pPr>
    </w:lvl>
    <w:lvl w:ilvl="1" w:tplc="041C0019">
      <w:start w:val="1"/>
      <w:numFmt w:val="lowerLetter"/>
      <w:lvlText w:val="%2."/>
      <w:lvlJc w:val="left"/>
      <w:pPr>
        <w:ind w:left="1503" w:hanging="360"/>
      </w:pPr>
    </w:lvl>
    <w:lvl w:ilvl="2" w:tplc="041C001B">
      <w:start w:val="1"/>
      <w:numFmt w:val="lowerRoman"/>
      <w:lvlText w:val="%3."/>
      <w:lvlJc w:val="right"/>
      <w:pPr>
        <w:ind w:left="2223" w:hanging="180"/>
      </w:pPr>
    </w:lvl>
    <w:lvl w:ilvl="3" w:tplc="041C000F">
      <w:start w:val="1"/>
      <w:numFmt w:val="decimal"/>
      <w:lvlText w:val="%4."/>
      <w:lvlJc w:val="left"/>
      <w:pPr>
        <w:ind w:left="2943" w:hanging="360"/>
      </w:pPr>
    </w:lvl>
    <w:lvl w:ilvl="4" w:tplc="041C0019">
      <w:start w:val="1"/>
      <w:numFmt w:val="lowerLetter"/>
      <w:lvlText w:val="%5."/>
      <w:lvlJc w:val="left"/>
      <w:pPr>
        <w:ind w:left="3663" w:hanging="360"/>
      </w:pPr>
    </w:lvl>
    <w:lvl w:ilvl="5" w:tplc="041C001B">
      <w:start w:val="1"/>
      <w:numFmt w:val="lowerRoman"/>
      <w:lvlText w:val="%6."/>
      <w:lvlJc w:val="right"/>
      <w:pPr>
        <w:ind w:left="4383" w:hanging="180"/>
      </w:pPr>
    </w:lvl>
    <w:lvl w:ilvl="6" w:tplc="041C000F">
      <w:start w:val="1"/>
      <w:numFmt w:val="decimal"/>
      <w:lvlText w:val="%7."/>
      <w:lvlJc w:val="left"/>
      <w:pPr>
        <w:ind w:left="5103" w:hanging="360"/>
      </w:pPr>
    </w:lvl>
    <w:lvl w:ilvl="7" w:tplc="041C0019">
      <w:start w:val="1"/>
      <w:numFmt w:val="lowerLetter"/>
      <w:lvlText w:val="%8."/>
      <w:lvlJc w:val="left"/>
      <w:pPr>
        <w:ind w:left="5823" w:hanging="360"/>
      </w:pPr>
    </w:lvl>
    <w:lvl w:ilvl="8" w:tplc="041C001B">
      <w:start w:val="1"/>
      <w:numFmt w:val="lowerRoman"/>
      <w:lvlText w:val="%9."/>
      <w:lvlJc w:val="right"/>
      <w:pPr>
        <w:ind w:left="6543" w:hanging="180"/>
      </w:pPr>
    </w:lvl>
  </w:abstractNum>
  <w:abstractNum w:abstractNumId="1" w15:restartNumberingAfterBreak="0">
    <w:nsid w:val="132476EE"/>
    <w:multiLevelType w:val="hybridMultilevel"/>
    <w:tmpl w:val="47A61162"/>
    <w:lvl w:ilvl="0" w:tplc="08B68CC8">
      <w:start w:val="1"/>
      <w:numFmt w:val="upp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E07F5A"/>
    <w:multiLevelType w:val="hybridMultilevel"/>
    <w:tmpl w:val="F0769EE2"/>
    <w:lvl w:ilvl="0" w:tplc="220EC6BE">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 w15:restartNumberingAfterBreak="0">
    <w:nsid w:val="4482674B"/>
    <w:multiLevelType w:val="multilevel"/>
    <w:tmpl w:val="836E9CFC"/>
    <w:lvl w:ilvl="0">
      <w:start w:val="1"/>
      <w:numFmt w:val="decimal"/>
      <w:lvlText w:val="%1."/>
      <w:lvlJc w:val="left"/>
      <w:pPr>
        <w:ind w:left="1800" w:hanging="360"/>
      </w:pPr>
      <w:rPr>
        <w:rFonts w:hint="default"/>
        <w:b w:val="0"/>
        <w:i w:val="0"/>
        <w:strike w:val="0"/>
        <w:color w:val="auto"/>
      </w:rPr>
    </w:lvl>
    <w:lvl w:ilvl="1">
      <w:start w:val="1"/>
      <w:numFmt w:val="decimal"/>
      <w:lvlText w:val="%1.%2."/>
      <w:lvlJc w:val="left"/>
      <w:pPr>
        <w:ind w:left="1440" w:hanging="360"/>
      </w:pPr>
      <w:rPr>
        <w:rFonts w:hint="default"/>
        <w:b w:val="0"/>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4154B8"/>
    <w:multiLevelType w:val="hybridMultilevel"/>
    <w:tmpl w:val="F924A490"/>
    <w:lvl w:ilvl="0" w:tplc="AF1AEF44">
      <w:start w:val="16"/>
      <w:numFmt w:val="decimal"/>
      <w:lvlText w:val="%1."/>
      <w:lvlJc w:val="left"/>
      <w:pPr>
        <w:ind w:left="720" w:hanging="360"/>
      </w:pPr>
      <w:rPr>
        <w:rFonts w:hint="default"/>
        <w:b w:val="0"/>
        <w:i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4FC2085C"/>
    <w:multiLevelType w:val="multilevel"/>
    <w:tmpl w:val="A51212D4"/>
    <w:lvl w:ilvl="0">
      <w:start w:val="1"/>
      <w:numFmt w:val="decimal"/>
      <w:lvlText w:val="%1."/>
      <w:lvlJc w:val="left"/>
      <w:pPr>
        <w:ind w:left="1440" w:hanging="360"/>
      </w:pPr>
      <w:rPr>
        <w:rFonts w:ascii="Times New Roman" w:eastAsiaTheme="minorHAnsi" w:hAnsi="Times New Roman" w:cs="Times New Roman" w:hint="default"/>
        <w:i w:val="0"/>
        <w:strike w:val="0"/>
        <w:dstrike w:val="0"/>
        <w:sz w:val="24"/>
        <w:szCs w:val="24"/>
        <w:u w:val="none"/>
        <w:effect w:val="none"/>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D56209"/>
    <w:multiLevelType w:val="multilevel"/>
    <w:tmpl w:val="8A380D7E"/>
    <w:lvl w:ilvl="0">
      <w:start w:val="9"/>
      <w:numFmt w:val="decimal"/>
      <w:lvlText w:val="%1."/>
      <w:lvlJc w:val="left"/>
      <w:pPr>
        <w:ind w:left="360" w:hanging="360"/>
      </w:pPr>
    </w:lvl>
    <w:lvl w:ilvl="1">
      <w:start w:val="1"/>
      <w:numFmt w:val="decimal"/>
      <w:lvlText w:val="%1.%2."/>
      <w:lvlJc w:val="left"/>
      <w:pPr>
        <w:ind w:left="387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9" w15:restartNumberingAfterBreak="0">
    <w:nsid w:val="64073F02"/>
    <w:multiLevelType w:val="hybridMultilevel"/>
    <w:tmpl w:val="E132DFEA"/>
    <w:lvl w:ilvl="0" w:tplc="68645B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8F3A90"/>
    <w:multiLevelType w:val="multilevel"/>
    <w:tmpl w:val="836E9CFC"/>
    <w:lvl w:ilvl="0">
      <w:start w:val="1"/>
      <w:numFmt w:val="decimal"/>
      <w:lvlText w:val="%1."/>
      <w:lvlJc w:val="left"/>
      <w:pPr>
        <w:ind w:left="1800" w:hanging="360"/>
      </w:pPr>
      <w:rPr>
        <w:rFonts w:hint="default"/>
        <w:b w:val="0"/>
        <w:i w:val="0"/>
        <w:strike w:val="0"/>
        <w:color w:val="auto"/>
      </w:rPr>
    </w:lvl>
    <w:lvl w:ilvl="1">
      <w:start w:val="1"/>
      <w:numFmt w:val="decimal"/>
      <w:lvlText w:val="%1.%2."/>
      <w:lvlJc w:val="left"/>
      <w:pPr>
        <w:ind w:left="1440" w:hanging="360"/>
      </w:pPr>
      <w:rPr>
        <w:rFonts w:hint="default"/>
        <w:b w:val="0"/>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4"/>
  </w:num>
  <w:num w:numId="2">
    <w:abstractNumId w:val="10"/>
  </w:num>
  <w:num w:numId="3">
    <w:abstractNumId w:val="7"/>
  </w:num>
  <w:num w:numId="4">
    <w:abstractNumId w:val="9"/>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5"/>
  </w:num>
  <w:num w:numId="11">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CA1"/>
    <w:rsid w:val="00001A42"/>
    <w:rsid w:val="00010BF2"/>
    <w:rsid w:val="00040B3F"/>
    <w:rsid w:val="00051992"/>
    <w:rsid w:val="00056590"/>
    <w:rsid w:val="00056E5F"/>
    <w:rsid w:val="0005718F"/>
    <w:rsid w:val="00061FFA"/>
    <w:rsid w:val="00071F1F"/>
    <w:rsid w:val="0008516A"/>
    <w:rsid w:val="00094393"/>
    <w:rsid w:val="000C252A"/>
    <w:rsid w:val="000C708E"/>
    <w:rsid w:val="000D0647"/>
    <w:rsid w:val="000D376C"/>
    <w:rsid w:val="000E0322"/>
    <w:rsid w:val="000F30E6"/>
    <w:rsid w:val="000F5412"/>
    <w:rsid w:val="00100345"/>
    <w:rsid w:val="00110DD4"/>
    <w:rsid w:val="00113950"/>
    <w:rsid w:val="00132AAF"/>
    <w:rsid w:val="00132F1B"/>
    <w:rsid w:val="00176D33"/>
    <w:rsid w:val="001A0DE2"/>
    <w:rsid w:val="001B4E95"/>
    <w:rsid w:val="001B7E17"/>
    <w:rsid w:val="001F1D06"/>
    <w:rsid w:val="001F34EF"/>
    <w:rsid w:val="00214191"/>
    <w:rsid w:val="00225EFB"/>
    <w:rsid w:val="00227C80"/>
    <w:rsid w:val="00230DBB"/>
    <w:rsid w:val="00245CB8"/>
    <w:rsid w:val="00276065"/>
    <w:rsid w:val="0028532C"/>
    <w:rsid w:val="002A1EFF"/>
    <w:rsid w:val="002A7427"/>
    <w:rsid w:val="002C4F53"/>
    <w:rsid w:val="002D63E5"/>
    <w:rsid w:val="002E3303"/>
    <w:rsid w:val="002E527D"/>
    <w:rsid w:val="00313A99"/>
    <w:rsid w:val="00314E9C"/>
    <w:rsid w:val="003327F0"/>
    <w:rsid w:val="00336A8E"/>
    <w:rsid w:val="00342192"/>
    <w:rsid w:val="0034679A"/>
    <w:rsid w:val="00351E08"/>
    <w:rsid w:val="0037537C"/>
    <w:rsid w:val="003771B4"/>
    <w:rsid w:val="00383084"/>
    <w:rsid w:val="00386F15"/>
    <w:rsid w:val="00392047"/>
    <w:rsid w:val="00394CC5"/>
    <w:rsid w:val="003B3837"/>
    <w:rsid w:val="003E769E"/>
    <w:rsid w:val="00406831"/>
    <w:rsid w:val="00440B03"/>
    <w:rsid w:val="00440DAB"/>
    <w:rsid w:val="004519C6"/>
    <w:rsid w:val="00465BD7"/>
    <w:rsid w:val="00483CBF"/>
    <w:rsid w:val="004954D4"/>
    <w:rsid w:val="00497A54"/>
    <w:rsid w:val="004B6900"/>
    <w:rsid w:val="004D5946"/>
    <w:rsid w:val="004E2C38"/>
    <w:rsid w:val="004E498A"/>
    <w:rsid w:val="004F7A0F"/>
    <w:rsid w:val="00504D81"/>
    <w:rsid w:val="00527FED"/>
    <w:rsid w:val="00546AE4"/>
    <w:rsid w:val="00560A66"/>
    <w:rsid w:val="0056720A"/>
    <w:rsid w:val="00590E78"/>
    <w:rsid w:val="00593824"/>
    <w:rsid w:val="005A4D69"/>
    <w:rsid w:val="005B59D3"/>
    <w:rsid w:val="005E0241"/>
    <w:rsid w:val="005F302D"/>
    <w:rsid w:val="005F5C43"/>
    <w:rsid w:val="005F6AB2"/>
    <w:rsid w:val="00607B11"/>
    <w:rsid w:val="00616403"/>
    <w:rsid w:val="00636558"/>
    <w:rsid w:val="0067114F"/>
    <w:rsid w:val="006774E0"/>
    <w:rsid w:val="00692D42"/>
    <w:rsid w:val="006A77B3"/>
    <w:rsid w:val="006B4C8B"/>
    <w:rsid w:val="006C3B7F"/>
    <w:rsid w:val="006D4329"/>
    <w:rsid w:val="007143F2"/>
    <w:rsid w:val="0072657D"/>
    <w:rsid w:val="00730D4C"/>
    <w:rsid w:val="00732010"/>
    <w:rsid w:val="00737F3D"/>
    <w:rsid w:val="00740E2A"/>
    <w:rsid w:val="00742D20"/>
    <w:rsid w:val="00752857"/>
    <w:rsid w:val="00761F82"/>
    <w:rsid w:val="007660B8"/>
    <w:rsid w:val="00774953"/>
    <w:rsid w:val="007774D5"/>
    <w:rsid w:val="00781FB2"/>
    <w:rsid w:val="007839E3"/>
    <w:rsid w:val="00793F73"/>
    <w:rsid w:val="007A6C39"/>
    <w:rsid w:val="007B33CE"/>
    <w:rsid w:val="007D2205"/>
    <w:rsid w:val="007D2EF7"/>
    <w:rsid w:val="007E2EC2"/>
    <w:rsid w:val="007F4DD5"/>
    <w:rsid w:val="008000FC"/>
    <w:rsid w:val="00834F0D"/>
    <w:rsid w:val="00854DC8"/>
    <w:rsid w:val="008635F2"/>
    <w:rsid w:val="00864F42"/>
    <w:rsid w:val="00866DB2"/>
    <w:rsid w:val="0086741E"/>
    <w:rsid w:val="00867773"/>
    <w:rsid w:val="00883F0D"/>
    <w:rsid w:val="00885666"/>
    <w:rsid w:val="008A066C"/>
    <w:rsid w:val="008A75C8"/>
    <w:rsid w:val="00900D35"/>
    <w:rsid w:val="00921C75"/>
    <w:rsid w:val="009321F2"/>
    <w:rsid w:val="0093275A"/>
    <w:rsid w:val="0093450D"/>
    <w:rsid w:val="009538C3"/>
    <w:rsid w:val="00973C39"/>
    <w:rsid w:val="00974A2F"/>
    <w:rsid w:val="009911FA"/>
    <w:rsid w:val="009958A2"/>
    <w:rsid w:val="009A4774"/>
    <w:rsid w:val="009B27EC"/>
    <w:rsid w:val="009B6CA1"/>
    <w:rsid w:val="009D031E"/>
    <w:rsid w:val="009E1552"/>
    <w:rsid w:val="009E355D"/>
    <w:rsid w:val="009E74A2"/>
    <w:rsid w:val="009F1701"/>
    <w:rsid w:val="009F20E3"/>
    <w:rsid w:val="009F6EE1"/>
    <w:rsid w:val="00A05708"/>
    <w:rsid w:val="00A05ADD"/>
    <w:rsid w:val="00A300BE"/>
    <w:rsid w:val="00A37CEF"/>
    <w:rsid w:val="00A46F72"/>
    <w:rsid w:val="00A62C47"/>
    <w:rsid w:val="00A63FBD"/>
    <w:rsid w:val="00A66BBE"/>
    <w:rsid w:val="00A81E6E"/>
    <w:rsid w:val="00A9166C"/>
    <w:rsid w:val="00AD0046"/>
    <w:rsid w:val="00AD4299"/>
    <w:rsid w:val="00AD4F1C"/>
    <w:rsid w:val="00AE1A20"/>
    <w:rsid w:val="00AE4F96"/>
    <w:rsid w:val="00AF3894"/>
    <w:rsid w:val="00AF7678"/>
    <w:rsid w:val="00B06C33"/>
    <w:rsid w:val="00B07D90"/>
    <w:rsid w:val="00B22F5A"/>
    <w:rsid w:val="00B25154"/>
    <w:rsid w:val="00B440EC"/>
    <w:rsid w:val="00B6385E"/>
    <w:rsid w:val="00B65F6F"/>
    <w:rsid w:val="00B727EC"/>
    <w:rsid w:val="00B738B6"/>
    <w:rsid w:val="00BA1C0D"/>
    <w:rsid w:val="00BA5929"/>
    <w:rsid w:val="00BB7EF2"/>
    <w:rsid w:val="00BE6BE5"/>
    <w:rsid w:val="00BF16EB"/>
    <w:rsid w:val="00BF1E9B"/>
    <w:rsid w:val="00C04D46"/>
    <w:rsid w:val="00C05978"/>
    <w:rsid w:val="00C06B3A"/>
    <w:rsid w:val="00C11E46"/>
    <w:rsid w:val="00C12C58"/>
    <w:rsid w:val="00C135FF"/>
    <w:rsid w:val="00C17D85"/>
    <w:rsid w:val="00C30A3F"/>
    <w:rsid w:val="00C34BC8"/>
    <w:rsid w:val="00C4128F"/>
    <w:rsid w:val="00C46E87"/>
    <w:rsid w:val="00C47B92"/>
    <w:rsid w:val="00C63099"/>
    <w:rsid w:val="00C66646"/>
    <w:rsid w:val="00C7284B"/>
    <w:rsid w:val="00C80BDB"/>
    <w:rsid w:val="00C833DD"/>
    <w:rsid w:val="00C87E18"/>
    <w:rsid w:val="00CA240E"/>
    <w:rsid w:val="00CB32C2"/>
    <w:rsid w:val="00CF6B99"/>
    <w:rsid w:val="00CF7731"/>
    <w:rsid w:val="00D20D50"/>
    <w:rsid w:val="00D43EDE"/>
    <w:rsid w:val="00D47273"/>
    <w:rsid w:val="00D47A96"/>
    <w:rsid w:val="00D56D6B"/>
    <w:rsid w:val="00D65715"/>
    <w:rsid w:val="00D77C0C"/>
    <w:rsid w:val="00D825D7"/>
    <w:rsid w:val="00D86426"/>
    <w:rsid w:val="00D9727A"/>
    <w:rsid w:val="00DA007F"/>
    <w:rsid w:val="00DB7B71"/>
    <w:rsid w:val="00DB7F76"/>
    <w:rsid w:val="00DC3F45"/>
    <w:rsid w:val="00DC4EF9"/>
    <w:rsid w:val="00DC5692"/>
    <w:rsid w:val="00DD0BAB"/>
    <w:rsid w:val="00DF487D"/>
    <w:rsid w:val="00E215C7"/>
    <w:rsid w:val="00E41C90"/>
    <w:rsid w:val="00E42ED5"/>
    <w:rsid w:val="00E55A42"/>
    <w:rsid w:val="00E64BFD"/>
    <w:rsid w:val="00E87984"/>
    <w:rsid w:val="00E9674D"/>
    <w:rsid w:val="00EB0D4C"/>
    <w:rsid w:val="00EC32C8"/>
    <w:rsid w:val="00EC7F51"/>
    <w:rsid w:val="00ED67C1"/>
    <w:rsid w:val="00EE1D76"/>
    <w:rsid w:val="00F17524"/>
    <w:rsid w:val="00F271CB"/>
    <w:rsid w:val="00F317C1"/>
    <w:rsid w:val="00F40313"/>
    <w:rsid w:val="00F77223"/>
    <w:rsid w:val="00FB4B50"/>
    <w:rsid w:val="00FD35F4"/>
    <w:rsid w:val="00FD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444BED"/>
  <w15:chartTrackingRefBased/>
  <w15:docId w15:val="{26EB5061-AB35-48A4-9272-5166FB34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CA1"/>
    <w:rPr>
      <w:rFonts w:eastAsia="MS Mincho"/>
      <w:lang w:val="sq-AL"/>
    </w:rPr>
  </w:style>
  <w:style w:type="paragraph" w:styleId="Heading1">
    <w:name w:val="heading 1"/>
    <w:basedOn w:val="Normal"/>
    <w:next w:val="Normal"/>
    <w:link w:val="Heading1Char"/>
    <w:uiPriority w:val="9"/>
    <w:qFormat/>
    <w:rsid w:val="00D56D6B"/>
    <w:pPr>
      <w:keepNext/>
      <w:keepLines/>
      <w:spacing w:before="240" w:after="0" w:line="276" w:lineRule="auto"/>
      <w:outlineLvl w:val="0"/>
    </w:pPr>
    <w:rPr>
      <w:rFonts w:ascii="Calibri Light" w:eastAsia="Times New Roman" w:hAnsi="Calibri Light" w:cs="Times New Roman"/>
      <w:color w:val="2F5496"/>
      <w:sz w:val="32"/>
      <w:szCs w:val="32"/>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B6CA1"/>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9B6CA1"/>
    <w:rPr>
      <w:rFonts w:eastAsia="MS Mincho"/>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9B6CA1"/>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qFormat/>
    <w:rsid w:val="009B6CA1"/>
    <w:rPr>
      <w:rFonts w:ascii="Calibri" w:eastAsia="Calibri" w:hAnsi="Calibri" w:cs="Times New Roman"/>
      <w:noProof/>
      <w:sz w:val="20"/>
      <w:szCs w:val="20"/>
      <w:lang w:val="sq-AL"/>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9B6CA1"/>
    <w:rPr>
      <w:vertAlign w:val="superscript"/>
    </w:rPr>
  </w:style>
  <w:style w:type="paragraph" w:customStyle="1" w:styleId="Char2">
    <w:name w:val="Char2"/>
    <w:basedOn w:val="Normal"/>
    <w:link w:val="FootnoteReference"/>
    <w:uiPriority w:val="99"/>
    <w:rsid w:val="009B6CA1"/>
    <w:pPr>
      <w:spacing w:line="240" w:lineRule="exact"/>
    </w:pPr>
    <w:rPr>
      <w:rFonts w:eastAsiaTheme="minorHAnsi"/>
      <w:vertAlign w:val="superscript"/>
      <w:lang w:val="en-US"/>
    </w:rPr>
  </w:style>
  <w:style w:type="character" w:styleId="CommentReference">
    <w:name w:val="annotation reference"/>
    <w:basedOn w:val="DefaultParagraphFont"/>
    <w:uiPriority w:val="99"/>
    <w:semiHidden/>
    <w:unhideWhenUsed/>
    <w:rsid w:val="009B6CA1"/>
    <w:rPr>
      <w:sz w:val="16"/>
      <w:szCs w:val="16"/>
    </w:rPr>
  </w:style>
  <w:style w:type="paragraph" w:styleId="CommentText">
    <w:name w:val="annotation text"/>
    <w:basedOn w:val="Normal"/>
    <w:link w:val="CommentTextChar"/>
    <w:uiPriority w:val="99"/>
    <w:unhideWhenUsed/>
    <w:rsid w:val="009B6CA1"/>
    <w:pPr>
      <w:spacing w:line="240" w:lineRule="auto"/>
    </w:pPr>
    <w:rPr>
      <w:sz w:val="20"/>
      <w:szCs w:val="20"/>
      <w:lang w:val="en-US"/>
    </w:rPr>
  </w:style>
  <w:style w:type="character" w:customStyle="1" w:styleId="CommentTextChar">
    <w:name w:val="Comment Text Char"/>
    <w:basedOn w:val="DefaultParagraphFont"/>
    <w:link w:val="CommentText"/>
    <w:uiPriority w:val="99"/>
    <w:rsid w:val="009B6CA1"/>
    <w:rPr>
      <w:rFonts w:eastAsia="MS Mincho"/>
      <w:sz w:val="20"/>
      <w:szCs w:val="20"/>
    </w:rPr>
  </w:style>
  <w:style w:type="paragraph" w:styleId="BalloonText">
    <w:name w:val="Balloon Text"/>
    <w:basedOn w:val="Normal"/>
    <w:link w:val="BalloonTextChar"/>
    <w:uiPriority w:val="99"/>
    <w:semiHidden/>
    <w:unhideWhenUsed/>
    <w:rsid w:val="009B6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CA1"/>
    <w:rPr>
      <w:rFonts w:ascii="Segoe UI" w:eastAsia="MS Mincho" w:hAnsi="Segoe UI" w:cs="Segoe UI"/>
      <w:sz w:val="18"/>
      <w:szCs w:val="18"/>
      <w:lang w:val="sq-AL"/>
    </w:rPr>
  </w:style>
  <w:style w:type="paragraph" w:styleId="Header">
    <w:name w:val="header"/>
    <w:basedOn w:val="Normal"/>
    <w:link w:val="HeaderChar"/>
    <w:uiPriority w:val="99"/>
    <w:unhideWhenUsed/>
    <w:rsid w:val="009B6C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CA1"/>
    <w:rPr>
      <w:rFonts w:eastAsia="MS Mincho"/>
      <w:lang w:val="sq-AL"/>
    </w:rPr>
  </w:style>
  <w:style w:type="paragraph" w:styleId="Footer">
    <w:name w:val="footer"/>
    <w:basedOn w:val="Normal"/>
    <w:link w:val="FooterChar"/>
    <w:uiPriority w:val="99"/>
    <w:unhideWhenUsed/>
    <w:rsid w:val="009B6C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CA1"/>
    <w:rPr>
      <w:rFonts w:eastAsia="MS Mincho"/>
      <w:lang w:val="sq-AL"/>
    </w:rPr>
  </w:style>
  <w:style w:type="paragraph" w:styleId="CommentSubject">
    <w:name w:val="annotation subject"/>
    <w:basedOn w:val="CommentText"/>
    <w:next w:val="CommentText"/>
    <w:link w:val="CommentSubjectChar"/>
    <w:uiPriority w:val="99"/>
    <w:semiHidden/>
    <w:unhideWhenUsed/>
    <w:rsid w:val="009B6CA1"/>
    <w:rPr>
      <w:b/>
      <w:bCs/>
      <w:lang w:val="sq-AL"/>
    </w:rPr>
  </w:style>
  <w:style w:type="character" w:customStyle="1" w:styleId="CommentSubjectChar">
    <w:name w:val="Comment Subject Char"/>
    <w:basedOn w:val="CommentTextChar"/>
    <w:link w:val="CommentSubject"/>
    <w:uiPriority w:val="99"/>
    <w:semiHidden/>
    <w:rsid w:val="009B6CA1"/>
    <w:rPr>
      <w:rFonts w:eastAsia="MS Mincho"/>
      <w:b/>
      <w:bCs/>
      <w:sz w:val="20"/>
      <w:szCs w:val="20"/>
      <w:lang w:val="sq-AL"/>
    </w:rPr>
  </w:style>
  <w:style w:type="character" w:customStyle="1" w:styleId="Bodytext3">
    <w:name w:val="Body text (3)_"/>
    <w:link w:val="Bodytext31"/>
    <w:uiPriority w:val="99"/>
    <w:locked/>
    <w:rsid w:val="009B6CA1"/>
    <w:rPr>
      <w:i/>
      <w:iCs/>
      <w:sz w:val="16"/>
      <w:szCs w:val="16"/>
      <w:shd w:val="clear" w:color="auto" w:fill="FFFFFF"/>
    </w:rPr>
  </w:style>
  <w:style w:type="paragraph" w:customStyle="1" w:styleId="Bodytext31">
    <w:name w:val="Body text (3)1"/>
    <w:basedOn w:val="Normal"/>
    <w:link w:val="Bodytext3"/>
    <w:uiPriority w:val="99"/>
    <w:rsid w:val="009B6CA1"/>
    <w:pPr>
      <w:widowControl w:val="0"/>
      <w:shd w:val="clear" w:color="auto" w:fill="FFFFFF"/>
      <w:spacing w:before="180" w:after="0" w:line="202" w:lineRule="exact"/>
      <w:ind w:hanging="480"/>
      <w:jc w:val="both"/>
    </w:pPr>
    <w:rPr>
      <w:rFonts w:eastAsiaTheme="minorHAnsi"/>
      <w:i/>
      <w:iCs/>
      <w:sz w:val="16"/>
      <w:szCs w:val="16"/>
      <w:lang w:val="en-US"/>
    </w:rPr>
  </w:style>
  <w:style w:type="paragraph" w:customStyle="1" w:styleId="Default">
    <w:name w:val="Default"/>
    <w:uiPriority w:val="99"/>
    <w:rsid w:val="009B6CA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a2b98c15">
    <w:name w:val="sa2b98c15"/>
    <w:basedOn w:val="DefaultParagraphFont"/>
    <w:rsid w:val="009B6CA1"/>
  </w:style>
  <w:style w:type="paragraph" w:styleId="HTMLPreformatted">
    <w:name w:val="HTML Preformatted"/>
    <w:basedOn w:val="Normal"/>
    <w:link w:val="HTMLPreformattedChar"/>
    <w:uiPriority w:val="99"/>
    <w:semiHidden/>
    <w:unhideWhenUsed/>
    <w:rsid w:val="009B6CA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B6CA1"/>
    <w:rPr>
      <w:rFonts w:ascii="Consolas" w:eastAsia="MS Mincho" w:hAnsi="Consolas"/>
      <w:sz w:val="20"/>
      <w:szCs w:val="20"/>
      <w:lang w:val="sq-AL"/>
    </w:rPr>
  </w:style>
  <w:style w:type="paragraph" w:styleId="NoSpacing">
    <w:name w:val="No Spacing"/>
    <w:aliases w:val="B"/>
    <w:link w:val="NoSpacingChar"/>
    <w:uiPriority w:val="1"/>
    <w:qFormat/>
    <w:rsid w:val="009B27EC"/>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9B27EC"/>
    <w:rPr>
      <w:rFonts w:ascii="Calibri" w:eastAsia="Calibri" w:hAnsi="Calibri" w:cs="Times New Roman"/>
      <w:lang w:val="sq-AL"/>
    </w:rPr>
  </w:style>
  <w:style w:type="character" w:customStyle="1" w:styleId="contentpasted0">
    <w:name w:val="contentpasted0"/>
    <w:rsid w:val="009B27EC"/>
  </w:style>
  <w:style w:type="character" w:styleId="Strong">
    <w:name w:val="Strong"/>
    <w:basedOn w:val="DefaultParagraphFont"/>
    <w:uiPriority w:val="22"/>
    <w:qFormat/>
    <w:rsid w:val="006C3B7F"/>
    <w:rPr>
      <w:b/>
      <w:bCs/>
    </w:rPr>
  </w:style>
  <w:style w:type="character" w:customStyle="1" w:styleId="hps">
    <w:name w:val="hps"/>
    <w:basedOn w:val="DefaultParagraphFont"/>
    <w:rsid w:val="00245CB8"/>
  </w:style>
  <w:style w:type="character" w:customStyle="1" w:styleId="Heading1Char">
    <w:name w:val="Heading 1 Char"/>
    <w:basedOn w:val="DefaultParagraphFont"/>
    <w:link w:val="Heading1"/>
    <w:uiPriority w:val="9"/>
    <w:rsid w:val="00D56D6B"/>
    <w:rPr>
      <w:rFonts w:ascii="Calibri Light" w:eastAsia="Times New Roman" w:hAnsi="Calibri Light" w:cs="Times New Roman"/>
      <w:color w:val="2F5496"/>
      <w:sz w:val="32"/>
      <w:szCs w:val="32"/>
      <w:lang w:eastAsia="x-none"/>
    </w:rPr>
  </w:style>
  <w:style w:type="paragraph" w:styleId="NormalWeb">
    <w:name w:val="Normal (Web)"/>
    <w:basedOn w:val="Normal"/>
    <w:uiPriority w:val="99"/>
    <w:semiHidden/>
    <w:unhideWhenUsed/>
    <w:rsid w:val="00D56D6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99"/>
    <w:qFormat/>
    <w:rsid w:val="00D56D6B"/>
    <w:pPr>
      <w:spacing w:after="0" w:line="240" w:lineRule="auto"/>
      <w:jc w:val="center"/>
    </w:pPr>
    <w:rPr>
      <w:rFonts w:ascii="Times New Roman" w:eastAsia="Times New Roman" w:hAnsi="Times New Roman" w:cs="Times New Roman"/>
      <w:sz w:val="28"/>
      <w:szCs w:val="28"/>
      <w:lang w:val="en-US" w:eastAsia="x-none"/>
    </w:rPr>
  </w:style>
  <w:style w:type="character" w:customStyle="1" w:styleId="TitleChar">
    <w:name w:val="Title Char"/>
    <w:basedOn w:val="DefaultParagraphFont"/>
    <w:link w:val="Title"/>
    <w:uiPriority w:val="99"/>
    <w:rsid w:val="00D56D6B"/>
    <w:rPr>
      <w:rFonts w:ascii="Times New Roman" w:eastAsia="Times New Roman" w:hAnsi="Times New Roman" w:cs="Times New Roman"/>
      <w:sz w:val="28"/>
      <w:szCs w:val="28"/>
      <w:lang w:eastAsia="x-none"/>
    </w:rPr>
  </w:style>
  <w:style w:type="paragraph" w:customStyle="1" w:styleId="FootnoteReferneceCharChar1">
    <w:name w:val="Footnote Refernece Char Char1"/>
    <w:aliases w:val="Car Char Car Char Car Char Char Char Char Char Char Char Char1"/>
    <w:basedOn w:val="Normal"/>
    <w:uiPriority w:val="99"/>
    <w:rsid w:val="00F40313"/>
    <w:pPr>
      <w:spacing w:line="240" w:lineRule="exact"/>
    </w:pPr>
    <w:rPr>
      <w:rFonts w:eastAsiaTheme="minorHAnsi"/>
      <w:vertAlign w:val="superscript"/>
      <w:lang w:val="en-US"/>
    </w:rPr>
  </w:style>
  <w:style w:type="paragraph" w:styleId="Revision">
    <w:name w:val="Revision"/>
    <w:hidden/>
    <w:uiPriority w:val="99"/>
    <w:semiHidden/>
    <w:rsid w:val="00854DC8"/>
    <w:pPr>
      <w:spacing w:after="0" w:line="240" w:lineRule="auto"/>
    </w:pPr>
    <w:rPr>
      <w:rFonts w:eastAsia="MS Mincho"/>
      <w:lang w:val="sq-AL"/>
    </w:rPr>
  </w:style>
  <w:style w:type="table" w:styleId="TableGrid">
    <w:name w:val="Table Grid"/>
    <w:basedOn w:val="TableNormal"/>
    <w:uiPriority w:val="39"/>
    <w:rsid w:val="00B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9237">
      <w:bodyDiv w:val="1"/>
      <w:marLeft w:val="0"/>
      <w:marRight w:val="0"/>
      <w:marTop w:val="0"/>
      <w:marBottom w:val="0"/>
      <w:divBdr>
        <w:top w:val="none" w:sz="0" w:space="0" w:color="auto"/>
        <w:left w:val="none" w:sz="0" w:space="0" w:color="auto"/>
        <w:bottom w:val="none" w:sz="0" w:space="0" w:color="auto"/>
        <w:right w:val="none" w:sz="0" w:space="0" w:color="auto"/>
      </w:divBdr>
    </w:div>
    <w:div w:id="118115111">
      <w:bodyDiv w:val="1"/>
      <w:marLeft w:val="0"/>
      <w:marRight w:val="0"/>
      <w:marTop w:val="0"/>
      <w:marBottom w:val="0"/>
      <w:divBdr>
        <w:top w:val="none" w:sz="0" w:space="0" w:color="auto"/>
        <w:left w:val="none" w:sz="0" w:space="0" w:color="auto"/>
        <w:bottom w:val="none" w:sz="0" w:space="0" w:color="auto"/>
        <w:right w:val="none" w:sz="0" w:space="0" w:color="auto"/>
      </w:divBdr>
    </w:div>
    <w:div w:id="155345370">
      <w:bodyDiv w:val="1"/>
      <w:marLeft w:val="0"/>
      <w:marRight w:val="0"/>
      <w:marTop w:val="0"/>
      <w:marBottom w:val="0"/>
      <w:divBdr>
        <w:top w:val="none" w:sz="0" w:space="0" w:color="auto"/>
        <w:left w:val="none" w:sz="0" w:space="0" w:color="auto"/>
        <w:bottom w:val="none" w:sz="0" w:space="0" w:color="auto"/>
        <w:right w:val="none" w:sz="0" w:space="0" w:color="auto"/>
      </w:divBdr>
    </w:div>
    <w:div w:id="299962643">
      <w:bodyDiv w:val="1"/>
      <w:marLeft w:val="0"/>
      <w:marRight w:val="0"/>
      <w:marTop w:val="0"/>
      <w:marBottom w:val="0"/>
      <w:divBdr>
        <w:top w:val="none" w:sz="0" w:space="0" w:color="auto"/>
        <w:left w:val="none" w:sz="0" w:space="0" w:color="auto"/>
        <w:bottom w:val="none" w:sz="0" w:space="0" w:color="auto"/>
        <w:right w:val="none" w:sz="0" w:space="0" w:color="auto"/>
      </w:divBdr>
    </w:div>
    <w:div w:id="360976677">
      <w:bodyDiv w:val="1"/>
      <w:marLeft w:val="0"/>
      <w:marRight w:val="0"/>
      <w:marTop w:val="0"/>
      <w:marBottom w:val="0"/>
      <w:divBdr>
        <w:top w:val="none" w:sz="0" w:space="0" w:color="auto"/>
        <w:left w:val="none" w:sz="0" w:space="0" w:color="auto"/>
        <w:bottom w:val="none" w:sz="0" w:space="0" w:color="auto"/>
        <w:right w:val="none" w:sz="0" w:space="0" w:color="auto"/>
      </w:divBdr>
    </w:div>
    <w:div w:id="470093914">
      <w:bodyDiv w:val="1"/>
      <w:marLeft w:val="0"/>
      <w:marRight w:val="0"/>
      <w:marTop w:val="0"/>
      <w:marBottom w:val="0"/>
      <w:divBdr>
        <w:top w:val="none" w:sz="0" w:space="0" w:color="auto"/>
        <w:left w:val="none" w:sz="0" w:space="0" w:color="auto"/>
        <w:bottom w:val="none" w:sz="0" w:space="0" w:color="auto"/>
        <w:right w:val="none" w:sz="0" w:space="0" w:color="auto"/>
      </w:divBdr>
    </w:div>
    <w:div w:id="473716156">
      <w:bodyDiv w:val="1"/>
      <w:marLeft w:val="0"/>
      <w:marRight w:val="0"/>
      <w:marTop w:val="0"/>
      <w:marBottom w:val="0"/>
      <w:divBdr>
        <w:top w:val="none" w:sz="0" w:space="0" w:color="auto"/>
        <w:left w:val="none" w:sz="0" w:space="0" w:color="auto"/>
        <w:bottom w:val="none" w:sz="0" w:space="0" w:color="auto"/>
        <w:right w:val="none" w:sz="0" w:space="0" w:color="auto"/>
      </w:divBdr>
    </w:div>
    <w:div w:id="485246084">
      <w:bodyDiv w:val="1"/>
      <w:marLeft w:val="0"/>
      <w:marRight w:val="0"/>
      <w:marTop w:val="0"/>
      <w:marBottom w:val="0"/>
      <w:divBdr>
        <w:top w:val="none" w:sz="0" w:space="0" w:color="auto"/>
        <w:left w:val="none" w:sz="0" w:space="0" w:color="auto"/>
        <w:bottom w:val="none" w:sz="0" w:space="0" w:color="auto"/>
        <w:right w:val="none" w:sz="0" w:space="0" w:color="auto"/>
      </w:divBdr>
    </w:div>
    <w:div w:id="505091903">
      <w:bodyDiv w:val="1"/>
      <w:marLeft w:val="0"/>
      <w:marRight w:val="0"/>
      <w:marTop w:val="0"/>
      <w:marBottom w:val="0"/>
      <w:divBdr>
        <w:top w:val="none" w:sz="0" w:space="0" w:color="auto"/>
        <w:left w:val="none" w:sz="0" w:space="0" w:color="auto"/>
        <w:bottom w:val="none" w:sz="0" w:space="0" w:color="auto"/>
        <w:right w:val="none" w:sz="0" w:space="0" w:color="auto"/>
      </w:divBdr>
    </w:div>
    <w:div w:id="841818601">
      <w:bodyDiv w:val="1"/>
      <w:marLeft w:val="0"/>
      <w:marRight w:val="0"/>
      <w:marTop w:val="0"/>
      <w:marBottom w:val="0"/>
      <w:divBdr>
        <w:top w:val="none" w:sz="0" w:space="0" w:color="auto"/>
        <w:left w:val="none" w:sz="0" w:space="0" w:color="auto"/>
        <w:bottom w:val="none" w:sz="0" w:space="0" w:color="auto"/>
        <w:right w:val="none" w:sz="0" w:space="0" w:color="auto"/>
      </w:divBdr>
    </w:div>
    <w:div w:id="846289133">
      <w:bodyDiv w:val="1"/>
      <w:marLeft w:val="0"/>
      <w:marRight w:val="0"/>
      <w:marTop w:val="0"/>
      <w:marBottom w:val="0"/>
      <w:divBdr>
        <w:top w:val="none" w:sz="0" w:space="0" w:color="auto"/>
        <w:left w:val="none" w:sz="0" w:space="0" w:color="auto"/>
        <w:bottom w:val="none" w:sz="0" w:space="0" w:color="auto"/>
        <w:right w:val="none" w:sz="0" w:space="0" w:color="auto"/>
      </w:divBdr>
    </w:div>
    <w:div w:id="1164509624">
      <w:bodyDiv w:val="1"/>
      <w:marLeft w:val="0"/>
      <w:marRight w:val="0"/>
      <w:marTop w:val="0"/>
      <w:marBottom w:val="0"/>
      <w:divBdr>
        <w:top w:val="none" w:sz="0" w:space="0" w:color="auto"/>
        <w:left w:val="none" w:sz="0" w:space="0" w:color="auto"/>
        <w:bottom w:val="none" w:sz="0" w:space="0" w:color="auto"/>
        <w:right w:val="none" w:sz="0" w:space="0" w:color="auto"/>
      </w:divBdr>
    </w:div>
    <w:div w:id="1200624799">
      <w:bodyDiv w:val="1"/>
      <w:marLeft w:val="0"/>
      <w:marRight w:val="0"/>
      <w:marTop w:val="0"/>
      <w:marBottom w:val="0"/>
      <w:divBdr>
        <w:top w:val="none" w:sz="0" w:space="0" w:color="auto"/>
        <w:left w:val="none" w:sz="0" w:space="0" w:color="auto"/>
        <w:bottom w:val="none" w:sz="0" w:space="0" w:color="auto"/>
        <w:right w:val="none" w:sz="0" w:space="0" w:color="auto"/>
      </w:divBdr>
    </w:div>
    <w:div w:id="1649018871">
      <w:bodyDiv w:val="1"/>
      <w:marLeft w:val="0"/>
      <w:marRight w:val="0"/>
      <w:marTop w:val="0"/>
      <w:marBottom w:val="0"/>
      <w:divBdr>
        <w:top w:val="none" w:sz="0" w:space="0" w:color="auto"/>
        <w:left w:val="none" w:sz="0" w:space="0" w:color="auto"/>
        <w:bottom w:val="none" w:sz="0" w:space="0" w:color="auto"/>
        <w:right w:val="none" w:sz="0" w:space="0" w:color="auto"/>
      </w:divBdr>
    </w:div>
    <w:div w:id="1665159417">
      <w:bodyDiv w:val="1"/>
      <w:marLeft w:val="0"/>
      <w:marRight w:val="0"/>
      <w:marTop w:val="0"/>
      <w:marBottom w:val="0"/>
      <w:divBdr>
        <w:top w:val="none" w:sz="0" w:space="0" w:color="auto"/>
        <w:left w:val="none" w:sz="0" w:space="0" w:color="auto"/>
        <w:bottom w:val="none" w:sz="0" w:space="0" w:color="auto"/>
        <w:right w:val="none" w:sz="0" w:space="0" w:color="auto"/>
      </w:divBdr>
    </w:div>
    <w:div w:id="167348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4124EB1E70D4AC6A6FB6486415572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Nr_x002e__x0020_akti>
    <Data_x0020_e_x0020_Krijimit xmlns="0e656187-b300-4fb0-8bf4-3a50f872073c">2026-08-07T07:34:40Z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2026-08-06T00:00:00Z</Date_x0020_protokolli>
    <Titulli xmlns="0e656187-b300-4fb0-8bf4-3a50f872073c">Me objekt shfuqizimin e vendimit nr. 00-2025-2121, datë 27.5.2025 të Kolegjit Administrativ të Gjykatës së Lartë, si i papajtueshëm me Kushtetutën e Republikës së Shqipërisë. Kthimin e çështjes për rishqyrtim në Gjykatën e Lartë. </Titulli>
    <Modifikuesi xmlns="0e656187-b300-4fb0-8bf4-3a50f872073c">keisina.zace</Modifikuesi>
    <Nr_x002e__x0020_prot_x0020_QBZ xmlns="0e656187-b300-4fb0-8bf4-3a50f872073c">1833/1</Nr_x002e__x0020_prot_x0020_QBZ>
    <Data_x0020_e_x0020_Modifikimit xmlns="0e656187-b300-4fb0-8bf4-3a50f872073c">2026-08-07T10:12:22Z</Data_x0020_e_x0020_Modifikimit>
    <Dekretuar xmlns="0e656187-b300-4fb0-8bf4-3a50f872073c">false</Dekretuar>
    <Data xmlns="0e656187-b300-4fb0-8bf4-3a50f872073c">2026-06-23T00:00:00Z</Data>
    <Nr_x002e__x0020_protokolli_x0020_i_x0020_aktit xmlns="0e656187-b300-4fb0-8bf4-3a50f872073c">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6FC96-23A3-4368-8122-0C3F4B3B466C}">
  <ds:schemaRefs>
    <ds:schemaRef ds:uri="http://schemas.microsoft.com/sharepoint/v3/contenttype/forms"/>
  </ds:schemaRefs>
</ds:datastoreItem>
</file>

<file path=customXml/itemProps2.xml><?xml version="1.0" encoding="utf-8"?>
<ds:datastoreItem xmlns:ds="http://schemas.openxmlformats.org/officeDocument/2006/customXml" ds:itemID="{64F54563-7658-4153-A2AE-C02DB1E83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C13B006-2AA6-4457-97C0-003EF098E3B5}">
  <ds:schemaRefs>
    <ds:schemaRef ds:uri="0e656187-b300-4fb0-8bf4-3a50f872073c"/>
    <ds:schemaRef ds:uri="http://purl.org/dc/terms/"/>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EB88E212-943F-4F81-8F4B-A19CF8EED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7678</Words>
  <Characters>43769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00-2025-2121, datë 27.5.2025 të Kolegjit Administrativ të Gjykatës së Lartë, si i papajtueshëm me Kushtetutën e Republikës së Shqipërisë. Kthimin e çështjes për rishqyrtim në Gjykatën e Lartë.</dc:title>
  <dc:creator>Kaliona Nushi</dc:creator>
  <cp:lastModifiedBy>fjora.cahani</cp:lastModifiedBy>
  <cp:revision>11</cp:revision>
  <cp:lastPrinted>2026-07-31T12:25:00Z</cp:lastPrinted>
  <dcterms:created xsi:type="dcterms:W3CDTF">2026-08-07T07:19:00Z</dcterms:created>
  <dcterms:modified xsi:type="dcterms:W3CDTF">2026-08-07T10:57:00Z</dcterms:modified>
</cp:coreProperties>
</file>