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B3FA6" w14:textId="598CD0BB" w:rsidR="00B46B26" w:rsidRPr="006931DA" w:rsidRDefault="00B46B26" w:rsidP="00B46B26">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VENDIM</w:t>
      </w:r>
    </w:p>
    <w:p w14:paraId="77458397" w14:textId="0A3089C7" w:rsidR="00B46B26" w:rsidRPr="006931DA" w:rsidRDefault="00B46B26" w:rsidP="00B46B26">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Nr. 79, datë 30.6.2026</w:t>
      </w:r>
    </w:p>
    <w:p w14:paraId="032243BB" w14:textId="77777777" w:rsidR="00B46B26" w:rsidRPr="006931DA" w:rsidRDefault="00B46B26" w:rsidP="00B46B26">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40D63237" w14:textId="4114D0D4" w:rsidR="00B46B26" w:rsidRPr="006931DA" w:rsidRDefault="00B46B26" w:rsidP="00B46B26">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NË EMËR TË REPUBLIKËS SË SHQIPËRISË</w:t>
      </w:r>
    </w:p>
    <w:p w14:paraId="34353409" w14:textId="77777777" w:rsidR="00B46B26" w:rsidRPr="006931DA" w:rsidRDefault="00B46B26" w:rsidP="00B46B26">
      <w:pPr>
        <w:tabs>
          <w:tab w:val="left" w:pos="1080"/>
        </w:tabs>
        <w:autoSpaceDE w:val="0"/>
        <w:autoSpaceDN w:val="0"/>
        <w:adjustRightInd w:val="0"/>
        <w:spacing w:after="0" w:line="240" w:lineRule="auto"/>
        <w:ind w:firstLine="284"/>
        <w:jc w:val="both"/>
        <w:rPr>
          <w:rFonts w:ascii="Garamond" w:hAnsi="Garamond" w:cs="Calibri"/>
          <w:b/>
          <w:bCs/>
          <w:color w:val="000000"/>
          <w:sz w:val="24"/>
          <w:szCs w:val="24"/>
          <w:u w:val="single"/>
        </w:rPr>
      </w:pPr>
    </w:p>
    <w:p w14:paraId="781A1934" w14:textId="77777777"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gridCol w:w="2693"/>
      </w:tblGrid>
      <w:tr w:rsidR="006931DA" w:rsidRPr="006931DA" w14:paraId="7E5768BA" w14:textId="1FDE5A89" w:rsidTr="00890D38">
        <w:tc>
          <w:tcPr>
            <w:tcW w:w="2693" w:type="dxa"/>
          </w:tcPr>
          <w:p w14:paraId="0FF0BB55" w14:textId="0FB5BAE9"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proofErr w:type="spellStart"/>
            <w:r w:rsidRPr="006931DA">
              <w:rPr>
                <w:rFonts w:ascii="Garamond" w:hAnsi="Garamond" w:cs="Times New Roman"/>
                <w:color w:val="000000"/>
                <w:sz w:val="24"/>
                <w:szCs w:val="24"/>
              </w:rPr>
              <w:t>Fiona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Papajorgji</w:t>
            </w:r>
            <w:proofErr w:type="spellEnd"/>
            <w:r w:rsidRPr="006931DA">
              <w:rPr>
                <w:rFonts w:ascii="Garamond" w:hAnsi="Garamond" w:cs="Times New Roman"/>
                <w:color w:val="000000"/>
                <w:sz w:val="24"/>
                <w:szCs w:val="24"/>
              </w:rPr>
              <w:t>,</w:t>
            </w:r>
          </w:p>
        </w:tc>
        <w:tc>
          <w:tcPr>
            <w:tcW w:w="2693" w:type="dxa"/>
          </w:tcPr>
          <w:p w14:paraId="214F680C" w14:textId="11BCC923"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kryetare</w:t>
            </w:r>
            <w:r>
              <w:rPr>
                <w:rFonts w:ascii="Garamond" w:hAnsi="Garamond" w:cs="Times New Roman"/>
                <w:color w:val="000000"/>
                <w:sz w:val="24"/>
                <w:szCs w:val="24"/>
              </w:rPr>
              <w:t>;</w:t>
            </w:r>
          </w:p>
        </w:tc>
        <w:tc>
          <w:tcPr>
            <w:tcW w:w="2693" w:type="dxa"/>
          </w:tcPr>
          <w:p w14:paraId="3043EC1F"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63433BBD" w14:textId="38C63D80" w:rsidTr="00890D38">
        <w:tc>
          <w:tcPr>
            <w:tcW w:w="2693" w:type="dxa"/>
          </w:tcPr>
          <w:p w14:paraId="7A5995A3" w14:textId="28E9709A"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proofErr w:type="spellStart"/>
            <w:r w:rsidRPr="006931DA">
              <w:rPr>
                <w:rFonts w:ascii="Garamond" w:hAnsi="Garamond" w:cs="Times New Roman"/>
                <w:color w:val="000000"/>
                <w:sz w:val="24"/>
                <w:szCs w:val="24"/>
              </w:rPr>
              <w:t>Marsida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Xhaferllari</w:t>
            </w:r>
            <w:proofErr w:type="spellEnd"/>
            <w:r w:rsidRPr="006931DA">
              <w:rPr>
                <w:rFonts w:ascii="Garamond" w:hAnsi="Garamond" w:cs="Times New Roman"/>
                <w:color w:val="000000"/>
                <w:sz w:val="24"/>
                <w:szCs w:val="24"/>
              </w:rPr>
              <w:t xml:space="preserve">, </w:t>
            </w:r>
          </w:p>
        </w:tc>
        <w:tc>
          <w:tcPr>
            <w:tcW w:w="2693" w:type="dxa"/>
          </w:tcPr>
          <w:p w14:paraId="59CE87F9" w14:textId="127D0787"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anëtare</w:t>
            </w:r>
            <w:r>
              <w:rPr>
                <w:rFonts w:ascii="Garamond" w:hAnsi="Garamond" w:cs="Times New Roman"/>
                <w:color w:val="000000"/>
                <w:sz w:val="24"/>
                <w:szCs w:val="24"/>
              </w:rPr>
              <w:t>;</w:t>
            </w:r>
          </w:p>
        </w:tc>
        <w:tc>
          <w:tcPr>
            <w:tcW w:w="2693" w:type="dxa"/>
          </w:tcPr>
          <w:p w14:paraId="283221FB"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61679785" w14:textId="264E62CA" w:rsidTr="00890D38">
        <w:tc>
          <w:tcPr>
            <w:tcW w:w="2693" w:type="dxa"/>
          </w:tcPr>
          <w:p w14:paraId="2557AB29" w14:textId="50DF90A7"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proofErr w:type="spellStart"/>
            <w:r w:rsidRPr="006931DA">
              <w:rPr>
                <w:rFonts w:ascii="Garamond" w:hAnsi="Garamond" w:cs="Times New Roman"/>
                <w:color w:val="000000"/>
                <w:sz w:val="24"/>
                <w:szCs w:val="24"/>
              </w:rPr>
              <w:t>Sonila</w:t>
            </w:r>
            <w:proofErr w:type="spellEnd"/>
            <w:r w:rsidRPr="006931DA">
              <w:rPr>
                <w:rFonts w:ascii="Garamond" w:hAnsi="Garamond" w:cs="Times New Roman"/>
                <w:color w:val="000000"/>
                <w:sz w:val="24"/>
                <w:szCs w:val="24"/>
              </w:rPr>
              <w:t xml:space="preserve"> Bejtja</w:t>
            </w:r>
          </w:p>
        </w:tc>
        <w:tc>
          <w:tcPr>
            <w:tcW w:w="2693" w:type="dxa"/>
          </w:tcPr>
          <w:p w14:paraId="2F4E1425" w14:textId="61968847"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anëtare</w:t>
            </w:r>
            <w:r>
              <w:rPr>
                <w:rFonts w:ascii="Garamond" w:hAnsi="Garamond" w:cs="Times New Roman"/>
                <w:color w:val="000000"/>
                <w:sz w:val="24"/>
                <w:szCs w:val="24"/>
              </w:rPr>
              <w:t>;</w:t>
            </w:r>
          </w:p>
        </w:tc>
        <w:tc>
          <w:tcPr>
            <w:tcW w:w="2693" w:type="dxa"/>
          </w:tcPr>
          <w:p w14:paraId="2830B999"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122589F4" w14:textId="704CF0BB" w:rsidTr="00890D38">
        <w:tc>
          <w:tcPr>
            <w:tcW w:w="2693" w:type="dxa"/>
          </w:tcPr>
          <w:p w14:paraId="5E2CBF7A" w14:textId="65C575A6"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proofErr w:type="spellStart"/>
            <w:r w:rsidRPr="006931DA">
              <w:rPr>
                <w:rFonts w:ascii="Garamond" w:hAnsi="Garamond" w:cs="Times New Roman"/>
                <w:color w:val="000000"/>
                <w:sz w:val="24"/>
                <w:szCs w:val="24"/>
              </w:rPr>
              <w:t>Sandër</w:t>
            </w:r>
            <w:proofErr w:type="spellEnd"/>
            <w:r w:rsidRPr="006931DA">
              <w:rPr>
                <w:rFonts w:ascii="Garamond" w:hAnsi="Garamond" w:cs="Times New Roman"/>
                <w:color w:val="000000"/>
                <w:sz w:val="24"/>
                <w:szCs w:val="24"/>
              </w:rPr>
              <w:t xml:space="preserve"> Beci,</w:t>
            </w:r>
          </w:p>
        </w:tc>
        <w:tc>
          <w:tcPr>
            <w:tcW w:w="2693" w:type="dxa"/>
          </w:tcPr>
          <w:p w14:paraId="75BA9651" w14:textId="66F6FB82"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w:t>
            </w:r>
            <w:r>
              <w:rPr>
                <w:rFonts w:ascii="Garamond" w:hAnsi="Garamond" w:cs="Times New Roman"/>
                <w:color w:val="000000"/>
                <w:sz w:val="24"/>
                <w:szCs w:val="24"/>
              </w:rPr>
              <w:t>;</w:t>
            </w:r>
          </w:p>
        </w:tc>
        <w:tc>
          <w:tcPr>
            <w:tcW w:w="2693" w:type="dxa"/>
          </w:tcPr>
          <w:p w14:paraId="52BC2115"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36F59590" w14:textId="164DF2E1" w:rsidTr="00890D38">
        <w:tc>
          <w:tcPr>
            <w:tcW w:w="2693" w:type="dxa"/>
          </w:tcPr>
          <w:p w14:paraId="452A181A" w14:textId="56EBD9F6"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Ilir Toska,</w:t>
            </w:r>
          </w:p>
        </w:tc>
        <w:tc>
          <w:tcPr>
            <w:tcW w:w="2693" w:type="dxa"/>
          </w:tcPr>
          <w:p w14:paraId="7AEB7BB4" w14:textId="2C1BA3C3"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w:t>
            </w:r>
            <w:r>
              <w:rPr>
                <w:rFonts w:ascii="Garamond" w:hAnsi="Garamond" w:cs="Times New Roman"/>
                <w:color w:val="000000"/>
                <w:sz w:val="24"/>
                <w:szCs w:val="24"/>
              </w:rPr>
              <w:t>;</w:t>
            </w:r>
          </w:p>
        </w:tc>
        <w:tc>
          <w:tcPr>
            <w:tcW w:w="2693" w:type="dxa"/>
          </w:tcPr>
          <w:p w14:paraId="476B69D2"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12871CF6" w14:textId="7EC76D16" w:rsidTr="00890D38">
        <w:tc>
          <w:tcPr>
            <w:tcW w:w="2693" w:type="dxa"/>
          </w:tcPr>
          <w:p w14:paraId="067781D1" w14:textId="4E5B7C14"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proofErr w:type="spellStart"/>
            <w:r w:rsidRPr="006931DA">
              <w:rPr>
                <w:rFonts w:ascii="Garamond" w:hAnsi="Garamond" w:cs="Times New Roman"/>
                <w:color w:val="000000"/>
                <w:sz w:val="24"/>
                <w:szCs w:val="24"/>
              </w:rPr>
              <w:t>Marjana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Semini</w:t>
            </w:r>
            <w:proofErr w:type="spellEnd"/>
            <w:r w:rsidRPr="006931DA">
              <w:rPr>
                <w:rFonts w:ascii="Garamond" w:hAnsi="Garamond" w:cs="Times New Roman"/>
                <w:color w:val="000000"/>
                <w:sz w:val="24"/>
                <w:szCs w:val="24"/>
              </w:rPr>
              <w:t>,</w:t>
            </w:r>
          </w:p>
        </w:tc>
        <w:tc>
          <w:tcPr>
            <w:tcW w:w="2693" w:type="dxa"/>
          </w:tcPr>
          <w:p w14:paraId="31BBF3DC" w14:textId="3B663B25"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anëtare</w:t>
            </w:r>
            <w:r>
              <w:rPr>
                <w:rFonts w:ascii="Garamond" w:hAnsi="Garamond" w:cs="Times New Roman"/>
                <w:color w:val="000000"/>
                <w:sz w:val="24"/>
                <w:szCs w:val="24"/>
              </w:rPr>
              <w:t>;</w:t>
            </w:r>
          </w:p>
        </w:tc>
        <w:tc>
          <w:tcPr>
            <w:tcW w:w="2693" w:type="dxa"/>
          </w:tcPr>
          <w:p w14:paraId="43B0CFFD"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71470FDB" w14:textId="7128056F" w:rsidTr="00890D38">
        <w:tc>
          <w:tcPr>
            <w:tcW w:w="2693" w:type="dxa"/>
          </w:tcPr>
          <w:p w14:paraId="42B0B0B1" w14:textId="1273ADA1"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roofErr w:type="spellStart"/>
            <w:r w:rsidRPr="006931DA">
              <w:rPr>
                <w:rFonts w:ascii="Garamond" w:hAnsi="Garamond" w:cs="Times New Roman"/>
                <w:color w:val="000000"/>
                <w:sz w:val="24"/>
                <w:szCs w:val="24"/>
              </w:rPr>
              <w:t>Asim</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Vokshi</w:t>
            </w:r>
            <w:proofErr w:type="spellEnd"/>
          </w:p>
        </w:tc>
        <w:tc>
          <w:tcPr>
            <w:tcW w:w="2693" w:type="dxa"/>
          </w:tcPr>
          <w:p w14:paraId="0F775D68" w14:textId="5BF7C2F8"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w:t>
            </w:r>
            <w:r>
              <w:rPr>
                <w:rFonts w:ascii="Garamond" w:hAnsi="Garamond" w:cs="Times New Roman"/>
                <w:color w:val="000000"/>
                <w:sz w:val="24"/>
                <w:szCs w:val="24"/>
              </w:rPr>
              <w:t>;</w:t>
            </w:r>
          </w:p>
        </w:tc>
        <w:tc>
          <w:tcPr>
            <w:tcW w:w="2693" w:type="dxa"/>
          </w:tcPr>
          <w:p w14:paraId="27655C13"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r w:rsidR="006931DA" w:rsidRPr="006931DA" w14:paraId="16464238" w14:textId="768A1C57" w:rsidTr="00890D38">
        <w:tc>
          <w:tcPr>
            <w:tcW w:w="2693" w:type="dxa"/>
          </w:tcPr>
          <w:p w14:paraId="2B07AC15" w14:textId="7D863B11"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r w:rsidRPr="006931DA">
              <w:rPr>
                <w:rFonts w:ascii="Garamond" w:hAnsi="Garamond" w:cs="Times New Roman"/>
                <w:color w:val="000000"/>
                <w:sz w:val="24"/>
                <w:szCs w:val="24"/>
              </w:rPr>
              <w:t>Genti Ibrahimi,</w:t>
            </w:r>
          </w:p>
        </w:tc>
        <w:tc>
          <w:tcPr>
            <w:tcW w:w="2693" w:type="dxa"/>
          </w:tcPr>
          <w:p w14:paraId="60617805" w14:textId="4AFF9DB4" w:rsidR="006931DA" w:rsidRPr="006931DA" w:rsidRDefault="006931DA" w:rsidP="00B46B26">
            <w:pPr>
              <w:tabs>
                <w:tab w:val="left" w:pos="1080"/>
              </w:tabs>
              <w:autoSpaceDE w:val="0"/>
              <w:autoSpaceDN w:val="0"/>
              <w:adjustRightInd w:val="0"/>
              <w:jc w:val="both"/>
              <w:rPr>
                <w:rFonts w:ascii="Garamond" w:hAnsi="Garamond" w:cs="Calibri"/>
                <w:color w:val="000000"/>
                <w:sz w:val="24"/>
                <w:szCs w:val="24"/>
              </w:rPr>
            </w:pPr>
            <w:r w:rsidRPr="006931DA">
              <w:rPr>
                <w:rFonts w:ascii="Garamond" w:hAnsi="Garamond" w:cs="Times New Roman"/>
                <w:color w:val="000000"/>
                <w:sz w:val="24"/>
                <w:szCs w:val="24"/>
              </w:rPr>
              <w:t>anëtar</w:t>
            </w:r>
            <w:r>
              <w:rPr>
                <w:rFonts w:ascii="Garamond" w:hAnsi="Garamond" w:cs="Times New Roman"/>
                <w:color w:val="000000"/>
                <w:sz w:val="24"/>
                <w:szCs w:val="24"/>
              </w:rPr>
              <w:t>,</w:t>
            </w:r>
          </w:p>
        </w:tc>
        <w:tc>
          <w:tcPr>
            <w:tcW w:w="2693" w:type="dxa"/>
          </w:tcPr>
          <w:p w14:paraId="2B6E34D6" w14:textId="77777777" w:rsidR="006931DA" w:rsidRPr="006931DA" w:rsidRDefault="006931DA" w:rsidP="00B46B26">
            <w:pPr>
              <w:tabs>
                <w:tab w:val="left" w:pos="1080"/>
              </w:tabs>
              <w:autoSpaceDE w:val="0"/>
              <w:autoSpaceDN w:val="0"/>
              <w:adjustRightInd w:val="0"/>
              <w:jc w:val="both"/>
              <w:rPr>
                <w:rFonts w:ascii="Garamond" w:hAnsi="Garamond" w:cs="Times New Roman"/>
                <w:color w:val="000000"/>
                <w:sz w:val="24"/>
                <w:szCs w:val="24"/>
              </w:rPr>
            </w:pPr>
          </w:p>
        </w:tc>
      </w:tr>
    </w:tbl>
    <w:p w14:paraId="5CDE23CD" w14:textId="5DEF3F3D"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me sekr</w:t>
      </w:r>
      <w:r w:rsidR="006931DA">
        <w:rPr>
          <w:rFonts w:ascii="Garamond" w:hAnsi="Garamond" w:cs="Times New Roman"/>
          <w:color w:val="000000"/>
          <w:sz w:val="24"/>
          <w:szCs w:val="24"/>
        </w:rPr>
        <w:t xml:space="preserve">etare </w:t>
      </w:r>
      <w:proofErr w:type="spellStart"/>
      <w:r w:rsidR="006931DA">
        <w:rPr>
          <w:rFonts w:ascii="Garamond" w:hAnsi="Garamond" w:cs="Times New Roman"/>
          <w:color w:val="000000"/>
          <w:sz w:val="24"/>
          <w:szCs w:val="24"/>
        </w:rPr>
        <w:t>Anjeza</w:t>
      </w:r>
      <w:proofErr w:type="spellEnd"/>
      <w:r w:rsidR="006931DA">
        <w:rPr>
          <w:rFonts w:ascii="Garamond" w:hAnsi="Garamond" w:cs="Times New Roman"/>
          <w:color w:val="000000"/>
          <w:sz w:val="24"/>
          <w:szCs w:val="24"/>
        </w:rPr>
        <w:t xml:space="preserve"> Puka, në datën 30.</w:t>
      </w:r>
      <w:r w:rsidRPr="006931DA">
        <w:rPr>
          <w:rFonts w:ascii="Garamond" w:hAnsi="Garamond" w:cs="Times New Roman"/>
          <w:color w:val="000000"/>
          <w:sz w:val="24"/>
          <w:szCs w:val="24"/>
        </w:rPr>
        <w:t>6.2026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mori në shqyrtim në seancë plenare mbi bazë të dokumenteve kërkesën nr. 14 (I) 2025 të Regjistrit Themeltar, që u përket:</w:t>
      </w:r>
    </w:p>
    <w:p w14:paraId="5558620D" w14:textId="6E08827D" w:rsidR="00B46B26" w:rsidRPr="006931DA" w:rsidRDefault="00B46B26" w:rsidP="00B46B26">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bCs/>
          <w:color w:val="000000"/>
          <w:sz w:val="24"/>
          <w:szCs w:val="24"/>
        </w:rPr>
        <w:t xml:space="preserve">KËRKUES: </w:t>
      </w:r>
      <w:r w:rsidR="006931DA" w:rsidRPr="006931DA">
        <w:rPr>
          <w:rFonts w:ascii="Garamond" w:hAnsi="Garamond" w:cs="Times New Roman"/>
          <w:bCs/>
          <w:color w:val="000000"/>
          <w:sz w:val="24"/>
          <w:szCs w:val="24"/>
        </w:rPr>
        <w:t xml:space="preserve">Ilirian </w:t>
      </w:r>
      <w:proofErr w:type="spellStart"/>
      <w:r w:rsidR="006931DA" w:rsidRPr="006931DA">
        <w:rPr>
          <w:rFonts w:ascii="Garamond" w:hAnsi="Garamond" w:cs="Times New Roman"/>
          <w:bCs/>
          <w:color w:val="000000"/>
          <w:sz w:val="24"/>
          <w:szCs w:val="24"/>
        </w:rPr>
        <w:t>Cani</w:t>
      </w:r>
      <w:proofErr w:type="spellEnd"/>
      <w:r w:rsidRPr="006931DA">
        <w:rPr>
          <w:rFonts w:ascii="Garamond" w:hAnsi="Garamond" w:cs="Times New Roman"/>
          <w:bCs/>
          <w:color w:val="000000"/>
          <w:sz w:val="24"/>
          <w:szCs w:val="24"/>
        </w:rPr>
        <w:t xml:space="preserve">, </w:t>
      </w:r>
      <w:r w:rsidRPr="006931DA">
        <w:rPr>
          <w:rFonts w:ascii="Garamond" w:hAnsi="Garamond" w:cs="Times New Roman"/>
          <w:color w:val="000000"/>
          <w:sz w:val="24"/>
          <w:szCs w:val="24"/>
        </w:rPr>
        <w:t xml:space="preserve">përfaqësuar nga avokati </w:t>
      </w:r>
      <w:proofErr w:type="spellStart"/>
      <w:r w:rsidRPr="006931DA">
        <w:rPr>
          <w:rFonts w:ascii="Garamond" w:hAnsi="Garamond" w:cs="Times New Roman"/>
          <w:color w:val="000000"/>
          <w:sz w:val="24"/>
          <w:szCs w:val="24"/>
        </w:rPr>
        <w:t>Elgert</w:t>
      </w:r>
      <w:proofErr w:type="spellEnd"/>
      <w:r w:rsidRPr="006931DA">
        <w:rPr>
          <w:rFonts w:ascii="Garamond" w:hAnsi="Garamond" w:cs="Times New Roman"/>
          <w:color w:val="000000"/>
          <w:sz w:val="24"/>
          <w:szCs w:val="24"/>
        </w:rPr>
        <w:t xml:space="preserve"> Rusi, me prokurë të posaçme.</w:t>
      </w:r>
    </w:p>
    <w:p w14:paraId="6A5E8B9F" w14:textId="60CFFBC5" w:rsidR="00B46B26" w:rsidRPr="006931DA" w:rsidRDefault="00B46B26" w:rsidP="006931D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931DA">
        <w:rPr>
          <w:rFonts w:ascii="Garamond" w:hAnsi="Garamond" w:cs="Times New Roman"/>
          <w:bCs/>
          <w:color w:val="000000"/>
          <w:sz w:val="24"/>
          <w:szCs w:val="24"/>
        </w:rPr>
        <w:t>SUBJEKTE TË INTERESUARA:</w:t>
      </w:r>
      <w:r w:rsidR="006931DA">
        <w:rPr>
          <w:rFonts w:ascii="Garamond" w:hAnsi="Garamond" w:cs="Times New Roman"/>
          <w:bCs/>
          <w:color w:val="000000"/>
          <w:sz w:val="24"/>
          <w:szCs w:val="24"/>
        </w:rPr>
        <w:t xml:space="preserve"> </w:t>
      </w:r>
      <w:r w:rsidR="006931DA" w:rsidRPr="006931DA">
        <w:rPr>
          <w:rFonts w:ascii="Garamond" w:hAnsi="Garamond" w:cs="Times New Roman"/>
          <w:bCs/>
          <w:color w:val="000000"/>
          <w:sz w:val="24"/>
          <w:szCs w:val="24"/>
        </w:rPr>
        <w:t>Agjencia e</w:t>
      </w:r>
      <w:r w:rsidRPr="006931DA">
        <w:rPr>
          <w:rFonts w:ascii="Garamond" w:hAnsi="Garamond" w:cs="Times New Roman"/>
          <w:bCs/>
          <w:color w:val="000000"/>
          <w:sz w:val="24"/>
          <w:szCs w:val="24"/>
        </w:rPr>
        <w:t xml:space="preserve"> </w:t>
      </w:r>
      <w:r w:rsidR="006931DA" w:rsidRPr="006931DA">
        <w:rPr>
          <w:rFonts w:ascii="Garamond" w:hAnsi="Garamond" w:cs="Times New Roman"/>
          <w:bCs/>
          <w:color w:val="000000"/>
          <w:sz w:val="24"/>
          <w:szCs w:val="24"/>
        </w:rPr>
        <w:t>Trajtimit të</w:t>
      </w:r>
      <w:r w:rsidRPr="006931DA">
        <w:rPr>
          <w:rFonts w:ascii="Garamond" w:hAnsi="Garamond" w:cs="Times New Roman"/>
          <w:bCs/>
          <w:color w:val="000000"/>
          <w:sz w:val="24"/>
          <w:szCs w:val="24"/>
        </w:rPr>
        <w:t xml:space="preserve"> </w:t>
      </w:r>
      <w:r w:rsidR="006931DA" w:rsidRPr="006931DA">
        <w:rPr>
          <w:rFonts w:ascii="Garamond" w:hAnsi="Garamond" w:cs="Times New Roman"/>
          <w:bCs/>
          <w:color w:val="000000"/>
          <w:sz w:val="24"/>
          <w:szCs w:val="24"/>
        </w:rPr>
        <w:t>Pronës</w:t>
      </w:r>
      <w:r w:rsidRPr="006931DA">
        <w:rPr>
          <w:rFonts w:ascii="Garamond" w:hAnsi="Garamond" w:cs="Times New Roman"/>
          <w:bCs/>
          <w:color w:val="000000"/>
          <w:sz w:val="24"/>
          <w:szCs w:val="24"/>
        </w:rPr>
        <w:t xml:space="preserve">, </w:t>
      </w:r>
      <w:r w:rsidRPr="006931DA">
        <w:rPr>
          <w:rFonts w:ascii="Garamond" w:hAnsi="Garamond" w:cs="Times New Roman"/>
          <w:color w:val="000000"/>
          <w:sz w:val="24"/>
          <w:szCs w:val="24"/>
        </w:rPr>
        <w:t>përfaqësuar nga avokati i shtetit Irma Qosja.</w:t>
      </w:r>
    </w:p>
    <w:p w14:paraId="481F42C8" w14:textId="188BB973" w:rsidR="00B46B26" w:rsidRPr="006931DA" w:rsidRDefault="006931DA"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bCs/>
          <w:color w:val="000000"/>
          <w:sz w:val="24"/>
          <w:szCs w:val="24"/>
        </w:rPr>
        <w:t>Avokatura e</w:t>
      </w:r>
      <w:r w:rsidR="00B46B26" w:rsidRPr="006931DA">
        <w:rPr>
          <w:rFonts w:ascii="Garamond" w:hAnsi="Garamond" w:cs="Times New Roman"/>
          <w:bCs/>
          <w:color w:val="000000"/>
          <w:sz w:val="24"/>
          <w:szCs w:val="24"/>
        </w:rPr>
        <w:t xml:space="preserve"> </w:t>
      </w:r>
      <w:r w:rsidRPr="006931DA">
        <w:rPr>
          <w:rFonts w:ascii="Garamond" w:hAnsi="Garamond" w:cs="Times New Roman"/>
          <w:bCs/>
          <w:color w:val="000000"/>
          <w:sz w:val="24"/>
          <w:szCs w:val="24"/>
        </w:rPr>
        <w:t>Shtetit</w:t>
      </w:r>
      <w:r w:rsidR="00B46B26" w:rsidRPr="006931DA">
        <w:rPr>
          <w:rFonts w:ascii="Garamond" w:hAnsi="Garamond" w:cs="Times New Roman"/>
          <w:bCs/>
          <w:color w:val="000000"/>
          <w:sz w:val="24"/>
          <w:szCs w:val="24"/>
        </w:rPr>
        <w:t>,</w:t>
      </w:r>
      <w:r>
        <w:rPr>
          <w:rFonts w:ascii="Garamond" w:hAnsi="Garamond" w:cs="Times New Roman"/>
          <w:bCs/>
          <w:color w:val="000000"/>
          <w:sz w:val="24"/>
          <w:szCs w:val="24"/>
        </w:rPr>
        <w:t xml:space="preserve"> </w:t>
      </w:r>
      <w:r w:rsidR="00B46B26" w:rsidRPr="006931DA">
        <w:rPr>
          <w:rFonts w:ascii="Garamond" w:hAnsi="Garamond" w:cs="Times New Roman"/>
          <w:color w:val="000000"/>
          <w:sz w:val="24"/>
          <w:szCs w:val="24"/>
        </w:rPr>
        <w:t>përfaqësuar nga avokati i shtetit Irma Qosja.</w:t>
      </w:r>
    </w:p>
    <w:p w14:paraId="7251BB55" w14:textId="256E7FF2" w:rsidR="00B46B26" w:rsidRPr="006931DA" w:rsidRDefault="006931DA" w:rsidP="00B46B26">
      <w:pPr>
        <w:autoSpaceDE w:val="0"/>
        <w:autoSpaceDN w:val="0"/>
        <w:adjustRightInd w:val="0"/>
        <w:spacing w:after="0" w:line="240" w:lineRule="auto"/>
        <w:ind w:firstLine="284"/>
        <w:jc w:val="both"/>
        <w:rPr>
          <w:rFonts w:ascii="Garamond" w:hAnsi="Garamond" w:cs="Times New Roman"/>
          <w:bCs/>
          <w:color w:val="000000"/>
          <w:sz w:val="24"/>
          <w:szCs w:val="24"/>
        </w:rPr>
      </w:pPr>
      <w:r w:rsidRPr="006931DA">
        <w:rPr>
          <w:rFonts w:ascii="Garamond" w:hAnsi="Garamond" w:cs="Times New Roman"/>
          <w:bCs/>
          <w:color w:val="000000"/>
          <w:sz w:val="24"/>
          <w:szCs w:val="24"/>
        </w:rPr>
        <w:t xml:space="preserve">Arben </w:t>
      </w:r>
      <w:proofErr w:type="spellStart"/>
      <w:r w:rsidRPr="006931DA">
        <w:rPr>
          <w:rFonts w:ascii="Garamond" w:hAnsi="Garamond" w:cs="Times New Roman"/>
          <w:bCs/>
          <w:color w:val="000000"/>
          <w:sz w:val="24"/>
          <w:szCs w:val="24"/>
        </w:rPr>
        <w:t>Cani</w:t>
      </w:r>
      <w:proofErr w:type="spellEnd"/>
      <w:r w:rsidRPr="006931DA">
        <w:rPr>
          <w:rFonts w:ascii="Garamond" w:hAnsi="Garamond" w:cs="Times New Roman"/>
          <w:bCs/>
          <w:color w:val="000000"/>
          <w:sz w:val="24"/>
          <w:szCs w:val="24"/>
        </w:rPr>
        <w:t xml:space="preserve">, Albana </w:t>
      </w:r>
      <w:proofErr w:type="spellStart"/>
      <w:r w:rsidRPr="006931DA">
        <w:rPr>
          <w:rFonts w:ascii="Garamond" w:hAnsi="Garamond" w:cs="Times New Roman"/>
          <w:bCs/>
          <w:color w:val="000000"/>
          <w:sz w:val="24"/>
          <w:szCs w:val="24"/>
        </w:rPr>
        <w:t>Theodhori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Cani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Enerita</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Vozga</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Cani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Nadire</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Bacelli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Emin</w:t>
      </w:r>
      <w:proofErr w:type="spellEnd"/>
      <w:r w:rsidRPr="006931DA">
        <w:rPr>
          <w:rFonts w:ascii="Garamond" w:hAnsi="Garamond" w:cs="Times New Roman"/>
          <w:bCs/>
          <w:color w:val="000000"/>
          <w:sz w:val="24"/>
          <w:szCs w:val="24"/>
        </w:rPr>
        <w:t xml:space="preserve"> Shijaku, Merita Toska, </w:t>
      </w:r>
      <w:proofErr w:type="spellStart"/>
      <w:r w:rsidRPr="006931DA">
        <w:rPr>
          <w:rFonts w:ascii="Garamond" w:hAnsi="Garamond" w:cs="Times New Roman"/>
          <w:bCs/>
          <w:color w:val="000000"/>
          <w:sz w:val="24"/>
          <w:szCs w:val="24"/>
        </w:rPr>
        <w:t>Ismail</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Murthi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Fatlinda</w:t>
      </w:r>
      <w:proofErr w:type="spellEnd"/>
      <w:r w:rsidRPr="006931DA">
        <w:rPr>
          <w:rFonts w:ascii="Garamond" w:hAnsi="Garamond" w:cs="Times New Roman"/>
          <w:bCs/>
          <w:color w:val="000000"/>
          <w:sz w:val="24"/>
          <w:szCs w:val="24"/>
        </w:rPr>
        <w:t xml:space="preserve"> Struga</w:t>
      </w:r>
      <w:r w:rsidR="00B46B26" w:rsidRPr="006931DA">
        <w:rPr>
          <w:rFonts w:ascii="Garamond" w:hAnsi="Garamond" w:cs="Times New Roman"/>
          <w:bCs/>
          <w:color w:val="000000"/>
          <w:sz w:val="24"/>
          <w:szCs w:val="24"/>
        </w:rPr>
        <w:t xml:space="preserve">, </w:t>
      </w:r>
      <w:r w:rsidR="00B46B26" w:rsidRPr="006931DA">
        <w:rPr>
          <w:rFonts w:ascii="Garamond" w:hAnsi="Garamond" w:cs="Times New Roman"/>
          <w:color w:val="000000"/>
          <w:sz w:val="24"/>
          <w:szCs w:val="24"/>
        </w:rPr>
        <w:t>në mungesë.</w:t>
      </w:r>
    </w:p>
    <w:p w14:paraId="4BFE2B33" w14:textId="5D98D39A" w:rsidR="00B46B26" w:rsidRPr="006931DA" w:rsidRDefault="00B46B26" w:rsidP="00B46B2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931DA">
        <w:rPr>
          <w:rFonts w:ascii="Garamond" w:hAnsi="Garamond" w:cs="Times New Roman"/>
          <w:bCs/>
          <w:color w:val="000000"/>
          <w:sz w:val="24"/>
          <w:szCs w:val="24"/>
        </w:rPr>
        <w:t>OBJEKTI: Shfuqizi</w:t>
      </w:r>
      <w:r w:rsidR="006931DA">
        <w:rPr>
          <w:rFonts w:ascii="Garamond" w:hAnsi="Garamond" w:cs="Times New Roman"/>
          <w:bCs/>
          <w:color w:val="000000"/>
          <w:sz w:val="24"/>
          <w:szCs w:val="24"/>
        </w:rPr>
        <w:t>mi i vendimeve nr. 27, datë 13.</w:t>
      </w:r>
      <w:r w:rsidRPr="006931DA">
        <w:rPr>
          <w:rFonts w:ascii="Garamond" w:hAnsi="Garamond" w:cs="Times New Roman"/>
          <w:bCs/>
          <w:color w:val="000000"/>
          <w:sz w:val="24"/>
          <w:szCs w:val="24"/>
        </w:rPr>
        <w:t>2.2019</w:t>
      </w:r>
      <w:r w:rsidR="006931DA">
        <w:rPr>
          <w:rFonts w:ascii="Garamond" w:hAnsi="Garamond" w:cs="Times New Roman"/>
          <w:bCs/>
          <w:color w:val="000000"/>
          <w:sz w:val="24"/>
          <w:szCs w:val="24"/>
        </w:rPr>
        <w:t>,</w:t>
      </w:r>
      <w:r w:rsidRPr="006931DA">
        <w:rPr>
          <w:rFonts w:ascii="Garamond" w:hAnsi="Garamond" w:cs="Times New Roman"/>
          <w:bCs/>
          <w:color w:val="000000"/>
          <w:sz w:val="24"/>
          <w:szCs w:val="24"/>
        </w:rPr>
        <w:t xml:space="preserve"> të Gjykatës Administrative të </w:t>
      </w:r>
      <w:r w:rsidR="006931DA">
        <w:rPr>
          <w:rFonts w:ascii="Garamond" w:hAnsi="Garamond" w:cs="Times New Roman"/>
          <w:bCs/>
          <w:color w:val="000000"/>
          <w:sz w:val="24"/>
          <w:szCs w:val="24"/>
        </w:rPr>
        <w:t>Apelit, nr. 00-2025-2165, datë 5.</w:t>
      </w:r>
      <w:r w:rsidRPr="006931DA">
        <w:rPr>
          <w:rFonts w:ascii="Garamond" w:hAnsi="Garamond" w:cs="Times New Roman"/>
          <w:bCs/>
          <w:color w:val="000000"/>
          <w:sz w:val="24"/>
          <w:szCs w:val="24"/>
        </w:rPr>
        <w:t>6.2025</w:t>
      </w:r>
      <w:r w:rsidR="006931DA">
        <w:rPr>
          <w:rFonts w:ascii="Garamond" w:hAnsi="Garamond" w:cs="Times New Roman"/>
          <w:bCs/>
          <w:color w:val="000000"/>
          <w:sz w:val="24"/>
          <w:szCs w:val="24"/>
        </w:rPr>
        <w:t>,</w:t>
      </w:r>
      <w:r w:rsidRPr="006931DA">
        <w:rPr>
          <w:rFonts w:ascii="Garamond" w:hAnsi="Garamond" w:cs="Times New Roman"/>
          <w:bCs/>
          <w:color w:val="000000"/>
          <w:sz w:val="24"/>
          <w:szCs w:val="24"/>
        </w:rPr>
        <w:t xml:space="preserve"> të Kolegjit Administrativ të Gjykatës së Lartë, si të papajtueshme me Kushtetutën e Republikës së Shqipërisë.</w:t>
      </w:r>
    </w:p>
    <w:p w14:paraId="70CC1FD6" w14:textId="203865FC" w:rsidR="00B46B26" w:rsidRPr="006931DA" w:rsidRDefault="00B46B26" w:rsidP="00B46B26">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6931DA">
        <w:rPr>
          <w:rFonts w:ascii="Garamond" w:hAnsi="Garamond" w:cs="Times New Roman"/>
          <w:bCs/>
          <w:color w:val="000000"/>
          <w:sz w:val="24"/>
          <w:szCs w:val="24"/>
        </w:rPr>
        <w:t>Kthimi i çështjes për rigjykim në Gjykatën e Lartë, me tjetër trup gjykues.</w:t>
      </w:r>
    </w:p>
    <w:p w14:paraId="42680135" w14:textId="5C9C8D8F" w:rsidR="00B46B26" w:rsidRPr="006931DA" w:rsidRDefault="00B46B26" w:rsidP="00B46B26">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6931DA">
        <w:rPr>
          <w:rFonts w:ascii="Garamond" w:hAnsi="Garamond" w:cs="Times New Roman"/>
          <w:bCs/>
          <w:color w:val="000000"/>
          <w:sz w:val="24"/>
          <w:szCs w:val="24"/>
        </w:rPr>
        <w:t>BAZA LIGJORE: Nenet 4, 17, 18, 41, 42, 122,</w:t>
      </w:r>
      <w:r w:rsidR="006931DA">
        <w:rPr>
          <w:rFonts w:ascii="Garamond" w:hAnsi="Garamond" w:cs="Times New Roman"/>
          <w:bCs/>
          <w:color w:val="000000"/>
          <w:sz w:val="24"/>
          <w:szCs w:val="24"/>
        </w:rPr>
        <w:t xml:space="preserve"> </w:t>
      </w:r>
      <w:r w:rsidRPr="006931DA">
        <w:rPr>
          <w:rFonts w:ascii="Garamond" w:hAnsi="Garamond" w:cs="Times New Roman"/>
          <w:bCs/>
          <w:color w:val="000000"/>
          <w:sz w:val="24"/>
          <w:szCs w:val="24"/>
        </w:rPr>
        <w:t>131, pika 1, shkronja “f” dhe 134, pika 1, shkronja “i”, të Kushtetutës së Republikës së Shqipërisë (</w:t>
      </w:r>
      <w:r w:rsidRPr="006931DA">
        <w:rPr>
          <w:rFonts w:ascii="Garamond" w:hAnsi="Garamond" w:cs="Times New Roman"/>
          <w:bCs/>
          <w:i/>
          <w:iCs/>
          <w:color w:val="000000"/>
          <w:sz w:val="24"/>
          <w:szCs w:val="24"/>
        </w:rPr>
        <w:t>Kushtetuta</w:t>
      </w:r>
      <w:r w:rsidRPr="006931DA">
        <w:rPr>
          <w:rFonts w:ascii="Garamond" w:hAnsi="Garamond" w:cs="Times New Roman"/>
          <w:bCs/>
          <w:color w:val="000000"/>
          <w:sz w:val="24"/>
          <w:szCs w:val="24"/>
        </w:rPr>
        <w:t>); nenet 6 dhe 13</w:t>
      </w:r>
      <w:r w:rsidR="006931DA">
        <w:rPr>
          <w:rFonts w:ascii="Garamond" w:hAnsi="Garamond" w:cs="Times New Roman"/>
          <w:bCs/>
          <w:color w:val="000000"/>
          <w:sz w:val="24"/>
          <w:szCs w:val="24"/>
        </w:rPr>
        <w:t>,</w:t>
      </w:r>
      <w:r w:rsidRPr="006931DA">
        <w:rPr>
          <w:rFonts w:ascii="Garamond" w:hAnsi="Garamond" w:cs="Times New Roman"/>
          <w:bCs/>
          <w:color w:val="000000"/>
          <w:sz w:val="24"/>
          <w:szCs w:val="24"/>
        </w:rPr>
        <w:t xml:space="preserve"> të Konventës Evropiane për të Drejtat e Njeriut (</w:t>
      </w:r>
      <w:r w:rsidRPr="006931DA">
        <w:rPr>
          <w:rFonts w:ascii="Garamond" w:hAnsi="Garamond" w:cs="Times New Roman"/>
          <w:bCs/>
          <w:i/>
          <w:iCs/>
          <w:color w:val="000000"/>
          <w:sz w:val="24"/>
          <w:szCs w:val="24"/>
        </w:rPr>
        <w:t>KEDNJ</w:t>
      </w:r>
      <w:r w:rsidRPr="006931DA">
        <w:rPr>
          <w:rFonts w:ascii="Garamond" w:hAnsi="Garamond" w:cs="Times New Roman"/>
          <w:bCs/>
          <w:color w:val="000000"/>
          <w:sz w:val="24"/>
          <w:szCs w:val="24"/>
        </w:rPr>
        <w:t>), si dhe neni 1</w:t>
      </w:r>
      <w:r w:rsidR="006931DA">
        <w:rPr>
          <w:rFonts w:ascii="Garamond" w:hAnsi="Garamond" w:cs="Times New Roman"/>
          <w:bCs/>
          <w:color w:val="000000"/>
          <w:sz w:val="24"/>
          <w:szCs w:val="24"/>
        </w:rPr>
        <w:t>,</w:t>
      </w:r>
      <w:r w:rsidRPr="006931DA">
        <w:rPr>
          <w:rFonts w:ascii="Garamond" w:hAnsi="Garamond" w:cs="Times New Roman"/>
          <w:bCs/>
          <w:color w:val="000000"/>
          <w:sz w:val="24"/>
          <w:szCs w:val="24"/>
        </w:rPr>
        <w:t xml:space="preserve"> i Protokollit nr.</w:t>
      </w:r>
      <w:r w:rsidR="006931DA">
        <w:rPr>
          <w:rFonts w:ascii="Garamond" w:hAnsi="Garamond" w:cs="Times New Roman"/>
          <w:bCs/>
          <w:color w:val="000000"/>
          <w:sz w:val="24"/>
          <w:szCs w:val="24"/>
        </w:rPr>
        <w:t xml:space="preserve"> </w:t>
      </w:r>
      <w:r w:rsidRPr="006931DA">
        <w:rPr>
          <w:rFonts w:ascii="Garamond" w:hAnsi="Garamond" w:cs="Times New Roman"/>
          <w:bCs/>
          <w:color w:val="000000"/>
          <w:sz w:val="24"/>
          <w:szCs w:val="24"/>
        </w:rPr>
        <w:t>1 të saj; ligji nr. 8577/2000</w:t>
      </w:r>
      <w:r w:rsidR="006931DA">
        <w:rPr>
          <w:rFonts w:ascii="Garamond" w:hAnsi="Garamond" w:cs="Times New Roman"/>
          <w:bCs/>
          <w:color w:val="000000"/>
          <w:sz w:val="24"/>
          <w:szCs w:val="24"/>
        </w:rPr>
        <w:t>,</w:t>
      </w:r>
      <w:r w:rsidRPr="006931DA">
        <w:rPr>
          <w:rFonts w:ascii="Garamond" w:hAnsi="Garamond" w:cs="Times New Roman"/>
          <w:bCs/>
          <w:color w:val="000000"/>
          <w:sz w:val="24"/>
          <w:szCs w:val="24"/>
        </w:rPr>
        <w:t xml:space="preserve"> “Për organizimin dhe funksionimin e Gjykatës Kushtetuese të Republikës së Shqipërisë”, i ndryshuar (</w:t>
      </w:r>
      <w:r w:rsidRPr="006931DA">
        <w:rPr>
          <w:rFonts w:ascii="Garamond" w:hAnsi="Garamond" w:cs="Times New Roman"/>
          <w:bCs/>
          <w:i/>
          <w:iCs/>
          <w:color w:val="000000"/>
          <w:sz w:val="24"/>
          <w:szCs w:val="24"/>
        </w:rPr>
        <w:t>Ligji Organik i Gjykatës</w:t>
      </w:r>
      <w:r w:rsidRPr="006931DA">
        <w:rPr>
          <w:rFonts w:ascii="Garamond" w:hAnsi="Garamond" w:cs="Times New Roman"/>
          <w:bCs/>
          <w:color w:val="000000"/>
          <w:sz w:val="24"/>
          <w:szCs w:val="24"/>
        </w:rPr>
        <w:t>).</w:t>
      </w:r>
    </w:p>
    <w:p w14:paraId="2B0324A6"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b/>
          <w:bCs/>
          <w:color w:val="000000"/>
          <w:sz w:val="24"/>
          <w:szCs w:val="24"/>
        </w:rPr>
      </w:pPr>
    </w:p>
    <w:p w14:paraId="32A1B857"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bCs/>
          <w:color w:val="000000"/>
          <w:sz w:val="24"/>
          <w:szCs w:val="24"/>
        </w:rPr>
      </w:pPr>
      <w:r w:rsidRPr="006931DA">
        <w:rPr>
          <w:rFonts w:ascii="Garamond" w:hAnsi="Garamond" w:cs="Times New Roman"/>
          <w:bCs/>
          <w:color w:val="000000"/>
          <w:sz w:val="24"/>
          <w:szCs w:val="24"/>
        </w:rPr>
        <w:t>GJYKATA KUSHTETUESE,</w:t>
      </w:r>
    </w:p>
    <w:p w14:paraId="4E1236BC"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b/>
          <w:bCs/>
          <w:color w:val="000000"/>
          <w:sz w:val="24"/>
          <w:szCs w:val="24"/>
        </w:rPr>
      </w:pPr>
    </w:p>
    <w:p w14:paraId="0129B8C0" w14:textId="61A507A9" w:rsidR="00B46B26" w:rsidRPr="006931DA" w:rsidRDefault="00B46B26" w:rsidP="00B46B26">
      <w:pPr>
        <w:autoSpaceDE w:val="0"/>
        <w:autoSpaceDN w:val="0"/>
        <w:adjustRightInd w:val="0"/>
        <w:spacing w:after="0" w:line="240" w:lineRule="auto"/>
        <w:ind w:firstLine="284"/>
        <w:jc w:val="both"/>
        <w:rPr>
          <w:rFonts w:ascii="Garamond" w:hAnsi="Garamond" w:cs="Times New Roman"/>
          <w:sz w:val="24"/>
          <w:szCs w:val="24"/>
        </w:rPr>
      </w:pPr>
      <w:r w:rsidRPr="006931DA">
        <w:rPr>
          <w:rFonts w:ascii="Garamond" w:hAnsi="Garamond" w:cs="Times New Roman"/>
          <w:color w:val="000000"/>
          <w:sz w:val="24"/>
          <w:szCs w:val="24"/>
        </w:rPr>
        <w:t xml:space="preserve">pasi dëgjoi relatorin e çështjes Genti Ibrahimi, mori në shqyrtim pretendimet e kërkuesit Ilirian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xml:space="preserve"> (</w:t>
      </w:r>
      <w:r w:rsidRPr="006931DA">
        <w:rPr>
          <w:rFonts w:ascii="Garamond" w:hAnsi="Garamond" w:cs="Times New Roman"/>
          <w:i/>
          <w:iCs/>
          <w:color w:val="000000"/>
          <w:sz w:val="24"/>
          <w:szCs w:val="24"/>
        </w:rPr>
        <w:t>kërkuesi)</w:t>
      </w:r>
      <w:r w:rsidRPr="006931DA">
        <w:rPr>
          <w:rFonts w:ascii="Garamond" w:hAnsi="Garamond" w:cs="Times New Roman"/>
          <w:color w:val="000000"/>
          <w:sz w:val="24"/>
          <w:szCs w:val="24"/>
        </w:rPr>
        <w:t xml:space="preserve">, që ka kërkuar pranimin e kërkesës, prapësimet me shkrim të subjektit të interesuar, Avokaturës së Shtetit si përfaqësuese e Agjencisë së Trajtimit të Pronës </w:t>
      </w:r>
      <w:r w:rsidRPr="006931DA">
        <w:rPr>
          <w:rFonts w:ascii="Garamond" w:hAnsi="Garamond" w:cs="Times New Roman"/>
          <w:i/>
          <w:iCs/>
          <w:color w:val="000000"/>
          <w:sz w:val="24"/>
          <w:szCs w:val="24"/>
        </w:rPr>
        <w:t>(ATP)</w:t>
      </w:r>
      <w:r w:rsidRPr="006931DA">
        <w:rPr>
          <w:rFonts w:ascii="Garamond" w:hAnsi="Garamond" w:cs="Times New Roman"/>
          <w:color w:val="000000"/>
          <w:sz w:val="24"/>
          <w:szCs w:val="24"/>
        </w:rPr>
        <w:t xml:space="preserve">, i cili ka kërkuar rrëzimin e kërkesës, konstatoi mungesën e parashtrimeve me shkrim të subjekteve të interesuara Arben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xml:space="preserve">, Albana </w:t>
      </w:r>
      <w:proofErr w:type="spellStart"/>
      <w:r w:rsidRPr="006931DA">
        <w:rPr>
          <w:rFonts w:ascii="Garamond" w:hAnsi="Garamond" w:cs="Times New Roman"/>
          <w:color w:val="000000"/>
          <w:sz w:val="24"/>
          <w:szCs w:val="24"/>
        </w:rPr>
        <w:t>Theodhori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w:t>
      </w:r>
      <w:r w:rsidRPr="006931DA">
        <w:rPr>
          <w:rFonts w:ascii="Garamond" w:hAnsi="Garamond" w:cs="Times New Roman"/>
          <w:b/>
          <w:bCs/>
          <w:color w:val="000000"/>
          <w:sz w:val="24"/>
          <w:szCs w:val="24"/>
        </w:rPr>
        <w:t xml:space="preserve"> </w:t>
      </w:r>
      <w:proofErr w:type="spellStart"/>
      <w:r w:rsidRPr="006931DA">
        <w:rPr>
          <w:rFonts w:ascii="Garamond" w:hAnsi="Garamond" w:cs="Times New Roman"/>
          <w:color w:val="000000"/>
          <w:sz w:val="24"/>
          <w:szCs w:val="24"/>
        </w:rPr>
        <w:t>Enerieta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Vozga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Nadire</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Bacelli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Emin</w:t>
      </w:r>
      <w:proofErr w:type="spellEnd"/>
      <w:r w:rsidRPr="006931DA">
        <w:rPr>
          <w:rFonts w:ascii="Garamond" w:hAnsi="Garamond" w:cs="Times New Roman"/>
          <w:color w:val="000000"/>
          <w:sz w:val="24"/>
          <w:szCs w:val="24"/>
        </w:rPr>
        <w:t xml:space="preserve"> Shijaku, Merita Toska, </w:t>
      </w:r>
      <w:proofErr w:type="spellStart"/>
      <w:r w:rsidRPr="006931DA">
        <w:rPr>
          <w:rFonts w:ascii="Garamond" w:hAnsi="Garamond" w:cs="Times New Roman"/>
          <w:color w:val="000000"/>
          <w:sz w:val="24"/>
          <w:szCs w:val="24"/>
        </w:rPr>
        <w:t>Ismail</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Murthi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Fatlinda</w:t>
      </w:r>
      <w:proofErr w:type="spellEnd"/>
      <w:r w:rsidRPr="006931DA">
        <w:rPr>
          <w:rFonts w:ascii="Garamond" w:hAnsi="Garamond" w:cs="Times New Roman"/>
          <w:color w:val="000000"/>
          <w:sz w:val="24"/>
          <w:szCs w:val="24"/>
        </w:rPr>
        <w:t xml:space="preserve"> Struga, si dhe diskutoi çështjen në tërësi,</w:t>
      </w:r>
    </w:p>
    <w:p w14:paraId="38A15ABE" w14:textId="77777777"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p>
    <w:p w14:paraId="3282D54F" w14:textId="2F6977F9"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6931DA">
        <w:rPr>
          <w:rFonts w:ascii="Garamond" w:hAnsi="Garamond" w:cs="Times New Roman"/>
          <w:bCs/>
          <w:color w:val="000000"/>
          <w:sz w:val="24"/>
          <w:szCs w:val="24"/>
        </w:rPr>
        <w:t>VËREN:</w:t>
      </w:r>
    </w:p>
    <w:p w14:paraId="2122FF52" w14:textId="56426B1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6A9B8FD"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I</w:t>
      </w:r>
    </w:p>
    <w:p w14:paraId="482AB7B2"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Rrethanat e çështjes</w:t>
      </w:r>
    </w:p>
    <w:p w14:paraId="2D84F2EB"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E90AD48" w14:textId="0AD65AF0"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1. Kërkuesi është një nga trashëgimtarët ligjorë të subjekteve të shpronësuara, bashkëpronarëve S.</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S., M.</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S. dhe M.</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S., të cilët, me vendimin nr. 1278, datë 27.11.1996 (</w:t>
      </w:r>
      <w:r w:rsidRPr="006931DA">
        <w:rPr>
          <w:rFonts w:ascii="Garamond" w:hAnsi="Garamond" w:cs="Times New Roman"/>
          <w:i/>
          <w:iCs/>
          <w:color w:val="000000"/>
          <w:sz w:val="24"/>
          <w:szCs w:val="24"/>
        </w:rPr>
        <w:t>vendimi nr.1278/1996</w:t>
      </w:r>
      <w:r w:rsidRPr="006931DA">
        <w:rPr>
          <w:rFonts w:ascii="Garamond" w:hAnsi="Garamond" w:cs="Times New Roman"/>
          <w:color w:val="000000"/>
          <w:sz w:val="24"/>
          <w:szCs w:val="24"/>
        </w:rPr>
        <w:t xml:space="preserve">) të Komisionit </w:t>
      </w:r>
      <w:r w:rsidRPr="006931DA">
        <w:rPr>
          <w:rFonts w:ascii="Garamond" w:hAnsi="Garamond" w:cs="Times New Roman"/>
          <w:color w:val="000000"/>
          <w:sz w:val="24"/>
          <w:szCs w:val="24"/>
        </w:rPr>
        <w:lastRenderedPageBreak/>
        <w:t>të Kthimit dhe Kompensimit të Pronave (</w:t>
      </w:r>
      <w:r w:rsidRPr="006931DA">
        <w:rPr>
          <w:rFonts w:ascii="Garamond" w:hAnsi="Garamond" w:cs="Times New Roman"/>
          <w:i/>
          <w:iCs/>
          <w:color w:val="000000"/>
          <w:sz w:val="24"/>
          <w:szCs w:val="24"/>
        </w:rPr>
        <w:t>KKKP</w:t>
      </w:r>
      <w:r w:rsidRPr="006931DA">
        <w:rPr>
          <w:rFonts w:ascii="Garamond" w:hAnsi="Garamond" w:cs="Times New Roman"/>
          <w:color w:val="000000"/>
          <w:sz w:val="24"/>
          <w:szCs w:val="24"/>
        </w:rPr>
        <w:t>), Tiranë, janë</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 xml:space="preserve">njohur pronarë të një trualli me sipërfaqe 130.000 m², të zënë pjesërisht nga Liqeni Artificial dhe Parku i Madh i Tiranës, si dhe janë kompensuar me një nga mënyrat që parashikon ligji. </w:t>
      </w:r>
    </w:p>
    <w:p w14:paraId="1F5483AB" w14:textId="172BA31E"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2. Në pritje të ekzekutimit të këtij vendimi nga Agjencia e Trajtimit të Pronës (</w:t>
      </w:r>
      <w:r w:rsidRPr="006931DA">
        <w:rPr>
          <w:rFonts w:ascii="Garamond" w:hAnsi="Garamond" w:cs="Times New Roman"/>
          <w:i/>
          <w:iCs/>
          <w:color w:val="000000"/>
          <w:sz w:val="24"/>
          <w:szCs w:val="24"/>
        </w:rPr>
        <w:t>ATP</w:t>
      </w:r>
      <w:r w:rsidRPr="006931DA">
        <w:rPr>
          <w:rFonts w:ascii="Garamond" w:hAnsi="Garamond" w:cs="Times New Roman"/>
          <w:color w:val="000000"/>
          <w:sz w:val="24"/>
          <w:szCs w:val="24"/>
        </w:rPr>
        <w:t>), kërkuesi i është drejtuar Gjykatës Evropiane për të Drejtat e Njeriut (</w:t>
      </w:r>
      <w:r w:rsidRPr="006931DA">
        <w:rPr>
          <w:rFonts w:ascii="Garamond" w:hAnsi="Garamond" w:cs="Times New Roman"/>
          <w:i/>
          <w:iCs/>
          <w:color w:val="000000"/>
          <w:sz w:val="24"/>
          <w:szCs w:val="24"/>
        </w:rPr>
        <w:t>GJEDNJ)</w:t>
      </w:r>
      <w:r w:rsidRPr="006931DA">
        <w:rPr>
          <w:rFonts w:ascii="Garamond" w:hAnsi="Garamond" w:cs="Times New Roman"/>
          <w:color w:val="000000"/>
          <w:sz w:val="24"/>
          <w:szCs w:val="24"/>
        </w:rPr>
        <w:t xml:space="preserve"> me</w:t>
      </w:r>
      <w:r w:rsidR="006931DA">
        <w:rPr>
          <w:rFonts w:ascii="Garamond" w:hAnsi="Garamond" w:cs="Times New Roman"/>
          <w:color w:val="000000"/>
          <w:sz w:val="24"/>
          <w:szCs w:val="24"/>
        </w:rPr>
        <w:t xml:space="preserve"> aplikimin nr. 510/15, datë 12.</w:t>
      </w:r>
      <w:r w:rsidRPr="006931DA">
        <w:rPr>
          <w:rFonts w:ascii="Garamond" w:hAnsi="Garamond" w:cs="Times New Roman"/>
          <w:color w:val="000000"/>
          <w:sz w:val="24"/>
          <w:szCs w:val="24"/>
        </w:rPr>
        <w:t xml:space="preserve">3.2015, duke pretenduar moszbatimin për një kohë të </w:t>
      </w:r>
      <w:proofErr w:type="spellStart"/>
      <w:r w:rsidRPr="006931DA">
        <w:rPr>
          <w:rFonts w:ascii="Garamond" w:hAnsi="Garamond" w:cs="Times New Roman"/>
          <w:color w:val="000000"/>
          <w:sz w:val="24"/>
          <w:szCs w:val="24"/>
        </w:rPr>
        <w:t>tejzgjatur</w:t>
      </w:r>
      <w:proofErr w:type="spellEnd"/>
      <w:r w:rsidRPr="006931DA">
        <w:rPr>
          <w:rFonts w:ascii="Garamond" w:hAnsi="Garamond" w:cs="Times New Roman"/>
          <w:color w:val="000000"/>
          <w:sz w:val="24"/>
          <w:szCs w:val="24"/>
        </w:rPr>
        <w:t xml:space="preserve"> të vendimit të formës së prerë 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e cila më pas është bashkuar me kërkesa të tjera të ngjashme drejtuar asaj gjykate në çështjen nr. 13</w:t>
      </w:r>
      <w:r w:rsidR="006931DA">
        <w:rPr>
          <w:rFonts w:ascii="Garamond" w:hAnsi="Garamond" w:cs="Times New Roman"/>
          <w:color w:val="000000"/>
          <w:sz w:val="24"/>
          <w:szCs w:val="24"/>
        </w:rPr>
        <w:t xml:space="preserve">618/10, datë </w:t>
      </w:r>
      <w:r w:rsidRPr="006931DA">
        <w:rPr>
          <w:rFonts w:ascii="Garamond" w:hAnsi="Garamond" w:cs="Times New Roman"/>
          <w:color w:val="000000"/>
          <w:sz w:val="24"/>
          <w:szCs w:val="24"/>
        </w:rPr>
        <w:t xml:space="preserve">1.10.2020 </w:t>
      </w:r>
      <w:proofErr w:type="spellStart"/>
      <w:r w:rsidRPr="006931DA">
        <w:rPr>
          <w:rFonts w:ascii="Garamond" w:hAnsi="Garamond" w:cs="Times New Roman"/>
          <w:i/>
          <w:iCs/>
          <w:color w:val="000000"/>
          <w:spacing w:val="-15"/>
          <w:sz w:val="24"/>
          <w:szCs w:val="24"/>
        </w:rPr>
        <w:t>Gjergo</w:t>
      </w:r>
      <w:proofErr w:type="spellEnd"/>
      <w:r w:rsidRPr="006931DA">
        <w:rPr>
          <w:rFonts w:ascii="Garamond" w:hAnsi="Garamond" w:cs="Times New Roman"/>
          <w:i/>
          <w:iCs/>
          <w:color w:val="000000"/>
          <w:spacing w:val="-15"/>
          <w:sz w:val="24"/>
          <w:szCs w:val="24"/>
        </w:rPr>
        <w:t xml:space="preserve"> dhe </w:t>
      </w:r>
      <w:proofErr w:type="spellStart"/>
      <w:r w:rsidRPr="006931DA">
        <w:rPr>
          <w:rFonts w:ascii="Garamond" w:hAnsi="Garamond" w:cs="Times New Roman"/>
          <w:i/>
          <w:iCs/>
          <w:color w:val="000000"/>
          <w:spacing w:val="-15"/>
          <w:sz w:val="24"/>
          <w:szCs w:val="24"/>
        </w:rPr>
        <w:t>Babicenko</w:t>
      </w:r>
      <w:proofErr w:type="spellEnd"/>
      <w:r w:rsidRPr="006931DA">
        <w:rPr>
          <w:rFonts w:ascii="Garamond" w:hAnsi="Garamond" w:cs="Times New Roman"/>
          <w:i/>
          <w:iCs/>
          <w:color w:val="000000"/>
          <w:spacing w:val="-15"/>
          <w:sz w:val="24"/>
          <w:szCs w:val="24"/>
        </w:rPr>
        <w:t xml:space="preserve"> kundër Shqipërisë dhe 76 kërkesa të tjera</w:t>
      </w:r>
      <w:r w:rsidRPr="006931DA">
        <w:rPr>
          <w:rFonts w:ascii="Garamond" w:hAnsi="Garamond" w:cs="Times New Roman"/>
          <w:color w:val="000000"/>
          <w:sz w:val="24"/>
          <w:szCs w:val="24"/>
        </w:rPr>
        <w:t>.</w:t>
      </w:r>
    </w:p>
    <w:p w14:paraId="084BE8CD" w14:textId="1C900DF9"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3. Bazuar në parashikim</w:t>
      </w:r>
      <w:r w:rsidR="006931DA">
        <w:rPr>
          <w:rFonts w:ascii="Garamond" w:hAnsi="Garamond" w:cs="Times New Roman"/>
          <w:color w:val="000000"/>
          <w:sz w:val="24"/>
          <w:szCs w:val="24"/>
        </w:rPr>
        <w:t xml:space="preserve">et e ligjit nr. 133/2015, datë </w:t>
      </w:r>
      <w:r w:rsidRPr="006931DA">
        <w:rPr>
          <w:rFonts w:ascii="Garamond" w:hAnsi="Garamond" w:cs="Times New Roman"/>
          <w:color w:val="000000"/>
          <w:sz w:val="24"/>
          <w:szCs w:val="24"/>
        </w:rPr>
        <w:t>5.12.2015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trajtimin e pronës dhe përfundimin e procesit të kompensimit të pronave” (</w:t>
      </w:r>
      <w:r w:rsidRPr="006931DA">
        <w:rPr>
          <w:rFonts w:ascii="Garamond" w:hAnsi="Garamond" w:cs="Times New Roman"/>
          <w:i/>
          <w:iCs/>
          <w:color w:val="000000"/>
          <w:sz w:val="24"/>
          <w:szCs w:val="24"/>
        </w:rPr>
        <w:t>ligji nr.133/2015</w:t>
      </w:r>
      <w:r w:rsidRPr="006931DA">
        <w:rPr>
          <w:rFonts w:ascii="Garamond" w:hAnsi="Garamond" w:cs="Times New Roman"/>
          <w:color w:val="000000"/>
          <w:sz w:val="24"/>
          <w:szCs w:val="24"/>
        </w:rPr>
        <w:t>), ATP-ja ka publikuar në Buletinin e njof</w:t>
      </w:r>
      <w:r w:rsidR="006931DA">
        <w:rPr>
          <w:rFonts w:ascii="Garamond" w:hAnsi="Garamond" w:cs="Times New Roman"/>
          <w:color w:val="000000"/>
          <w:sz w:val="24"/>
          <w:szCs w:val="24"/>
        </w:rPr>
        <w:t>timeve zyrtare nr. 17, datë 10.</w:t>
      </w:r>
      <w:r w:rsidRPr="006931DA">
        <w:rPr>
          <w:rFonts w:ascii="Garamond" w:hAnsi="Garamond" w:cs="Times New Roman"/>
          <w:color w:val="000000"/>
          <w:sz w:val="24"/>
          <w:szCs w:val="24"/>
        </w:rPr>
        <w:t>4.2018</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regjistrin e vendimeve elektronike të vlerësimeve financiare për vendimet e kompensimit të viteve 1993</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1997, ndër to edhe pasurinë e trashëgimlënësve të kërkuesit dhe të trashëgimtarëve të tjerë, e pasqyruar me nr. rendor 214, e vlerësuar me 230 lekë/m² për një shumë totale prej 15.210.000 lekësh,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“kullotë-livadh”.</w:t>
      </w:r>
    </w:p>
    <w:p w14:paraId="632EC45B" w14:textId="33434CAD"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4. Duke mos qenë dakord me vlerën e akorduar, kërkuesi dhe t</w:t>
      </w:r>
      <w:r w:rsidR="006931DA">
        <w:rPr>
          <w:rFonts w:ascii="Garamond" w:hAnsi="Garamond" w:cs="Times New Roman"/>
          <w:color w:val="000000"/>
          <w:sz w:val="24"/>
          <w:szCs w:val="24"/>
        </w:rPr>
        <w:t>rashëgimtarët e tjerë në datën 8.</w:t>
      </w:r>
      <w:r w:rsidRPr="006931DA">
        <w:rPr>
          <w:rFonts w:ascii="Garamond" w:hAnsi="Garamond" w:cs="Times New Roman"/>
          <w:color w:val="000000"/>
          <w:sz w:val="24"/>
          <w:szCs w:val="24"/>
        </w:rPr>
        <w:t>5.2018</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i janë drejtuar Gjykatës Administrative të Apelit me kërkesëpadi kundër ATP-së, me objekt ndryshimin e vendimit administrativ të publikuar në Buletinin e publikimeve zyrtare nr.</w:t>
      </w:r>
      <w:r w:rsidR="006931DA">
        <w:rPr>
          <w:rFonts w:ascii="Garamond" w:hAnsi="Garamond" w:cs="Times New Roman"/>
          <w:color w:val="000000"/>
          <w:sz w:val="24"/>
          <w:szCs w:val="24"/>
        </w:rPr>
        <w:t xml:space="preserve"> 17, datë 10.</w:t>
      </w:r>
      <w:r w:rsidRPr="006931DA">
        <w:rPr>
          <w:rFonts w:ascii="Garamond" w:hAnsi="Garamond" w:cs="Times New Roman"/>
          <w:color w:val="000000"/>
          <w:sz w:val="24"/>
          <w:szCs w:val="24"/>
        </w:rPr>
        <w:t>4.2018, i cili ka bërë vlerësimin financiar të vendimit 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Tiranë, duke vlerësuar sipërfaqen e njohur për kompensim si tokë “kullotë-livadh” dhe jo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“truall” që ka pasur në momentin e shpronësimit.</w:t>
      </w:r>
    </w:p>
    <w:p w14:paraId="142FC6A1" w14:textId="766C512B"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5. </w:t>
      </w:r>
      <w:r w:rsidR="006931DA">
        <w:rPr>
          <w:rFonts w:ascii="Garamond" w:hAnsi="Garamond" w:cs="Times New Roman"/>
          <w:color w:val="000000"/>
          <w:sz w:val="24"/>
          <w:szCs w:val="24"/>
        </w:rPr>
        <w:t>Në datën 8.</w:t>
      </w:r>
      <w:r w:rsidRPr="006931DA">
        <w:rPr>
          <w:rFonts w:ascii="Garamond" w:hAnsi="Garamond" w:cs="Times New Roman"/>
          <w:color w:val="000000"/>
          <w:sz w:val="24"/>
          <w:szCs w:val="24"/>
        </w:rPr>
        <w:t xml:space="preserve">5.2018, ndërkohë që çështja ishte në pritje të gjykimit në Gjykatën Administrative të Apelit, ATP-ja ka </w:t>
      </w:r>
      <w:proofErr w:type="spellStart"/>
      <w:r w:rsidRPr="006931DA">
        <w:rPr>
          <w:rFonts w:ascii="Garamond" w:hAnsi="Garamond" w:cs="Times New Roman"/>
          <w:color w:val="000000"/>
          <w:sz w:val="24"/>
          <w:szCs w:val="24"/>
        </w:rPr>
        <w:t>ripublikuar</w:t>
      </w:r>
      <w:proofErr w:type="spellEnd"/>
      <w:r w:rsidRPr="006931DA">
        <w:rPr>
          <w:rFonts w:ascii="Garamond" w:hAnsi="Garamond" w:cs="Times New Roman"/>
          <w:color w:val="000000"/>
          <w:sz w:val="24"/>
          <w:szCs w:val="24"/>
        </w:rPr>
        <w:t xml:space="preserve"> në Buletinin e pu</w:t>
      </w:r>
      <w:r w:rsidR="006931DA">
        <w:rPr>
          <w:rFonts w:ascii="Garamond" w:hAnsi="Garamond" w:cs="Times New Roman"/>
          <w:color w:val="000000"/>
          <w:sz w:val="24"/>
          <w:szCs w:val="24"/>
        </w:rPr>
        <w:t>blikimeve zyrtare nr. 30, datë 6.</w:t>
      </w:r>
      <w:r w:rsidRPr="006931DA">
        <w:rPr>
          <w:rFonts w:ascii="Garamond" w:hAnsi="Garamond" w:cs="Times New Roman"/>
          <w:color w:val="000000"/>
          <w:sz w:val="24"/>
          <w:szCs w:val="24"/>
        </w:rPr>
        <w:t>8.2018</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vlerësimin financiar të vendimit 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duke përcaktuar të njëjtën vlerë financiare për pronën. Kërkuesi i është drejtuar sërish Gjykatës Administrative të Apelit me kërkesëpadi për kundërshtimin edhe të këtij publikimi dhe, në kushtet kur para gjykatës së apelit ishin ngritur dy padi me të njëjtat palë </w:t>
      </w:r>
      <w:proofErr w:type="spellStart"/>
      <w:r w:rsidRPr="006931DA">
        <w:rPr>
          <w:rFonts w:ascii="Garamond" w:hAnsi="Garamond" w:cs="Times New Roman"/>
          <w:color w:val="000000"/>
          <w:sz w:val="24"/>
          <w:szCs w:val="24"/>
        </w:rPr>
        <w:t>ndërgjyqëse</w:t>
      </w:r>
      <w:proofErr w:type="spellEnd"/>
      <w:r w:rsidRPr="006931DA">
        <w:rPr>
          <w:rFonts w:ascii="Garamond" w:hAnsi="Garamond" w:cs="Times New Roman"/>
          <w:color w:val="000000"/>
          <w:sz w:val="24"/>
          <w:szCs w:val="24"/>
        </w:rPr>
        <w:t xml:space="preserve"> e me të njëjtin objekt gjykimi, ajo gjykatë, me kërkesë të përfaqësuesit ligjor të palës paditëse (trashëgimtarët ligjorë ndër të cilët edhe kërkuesi), ka vendosur bashkimin e padive në një të vetme.</w:t>
      </w:r>
    </w:p>
    <w:p w14:paraId="07E3D3BA" w14:textId="3A43E97B"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6. Në përfundim të gjykimi</w:t>
      </w:r>
      <w:r w:rsidR="006931DA">
        <w:rPr>
          <w:rFonts w:ascii="Garamond" w:hAnsi="Garamond" w:cs="Times New Roman"/>
          <w:color w:val="000000"/>
          <w:sz w:val="24"/>
          <w:szCs w:val="24"/>
        </w:rPr>
        <w:t>t, me vendimin nr. 27, datë 13.</w:t>
      </w:r>
      <w:r w:rsidRPr="006931DA">
        <w:rPr>
          <w:rFonts w:ascii="Garamond" w:hAnsi="Garamond" w:cs="Times New Roman"/>
          <w:color w:val="000000"/>
          <w:sz w:val="24"/>
          <w:szCs w:val="24"/>
        </w:rPr>
        <w:t>2.2019, Gjykata Administrative e Apelit ka vendosur rrëzimin e padisë, me arsyetimin se sipas ligjit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133</w:t>
      </w:r>
      <w:r w:rsidR="006931DA">
        <w:rPr>
          <w:rFonts w:ascii="Garamond" w:hAnsi="Garamond" w:cs="Times New Roman"/>
          <w:color w:val="000000"/>
          <w:sz w:val="24"/>
          <w:szCs w:val="24"/>
        </w:rPr>
        <w:t>/2015, VKM-së nr. 223, datë 23.</w:t>
      </w:r>
      <w:r w:rsidRPr="006931DA">
        <w:rPr>
          <w:rFonts w:ascii="Garamond" w:hAnsi="Garamond" w:cs="Times New Roman"/>
          <w:color w:val="000000"/>
          <w:sz w:val="24"/>
          <w:szCs w:val="24"/>
        </w:rPr>
        <w:t>3.2016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përcaktimin e rregullave dhe të procedurave për vlerësimin dhe shpërndarjen e fondit financiar e fizik për kompensimin e pronave” (</w:t>
      </w:r>
      <w:r w:rsidRPr="006931DA">
        <w:rPr>
          <w:rFonts w:ascii="Garamond" w:hAnsi="Garamond" w:cs="Times New Roman"/>
          <w:i/>
          <w:iCs/>
          <w:color w:val="000000"/>
          <w:sz w:val="24"/>
          <w:szCs w:val="24"/>
        </w:rPr>
        <w:t>VKM-ja nr. 223/2016</w:t>
      </w:r>
      <w:r w:rsidRPr="006931DA">
        <w:rPr>
          <w:rFonts w:ascii="Garamond" w:hAnsi="Garamond" w:cs="Times New Roman"/>
          <w:color w:val="000000"/>
          <w:sz w:val="24"/>
          <w:szCs w:val="24"/>
        </w:rPr>
        <w:t xml:space="preserve">) dhe VKM-së </w:t>
      </w:r>
      <w:r w:rsidR="006931DA">
        <w:rPr>
          <w:rFonts w:ascii="Garamond" w:hAnsi="Garamond" w:cs="Times New Roman"/>
          <w:color w:val="000000"/>
          <w:sz w:val="24"/>
          <w:szCs w:val="24"/>
        </w:rPr>
        <w:t>nr. 89, datë 3.</w:t>
      </w:r>
      <w:r w:rsidRPr="006931DA">
        <w:rPr>
          <w:rFonts w:ascii="Garamond" w:hAnsi="Garamond" w:cs="Times New Roman"/>
          <w:color w:val="000000"/>
          <w:sz w:val="24"/>
          <w:szCs w:val="24"/>
        </w:rPr>
        <w:t>2.2016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miratimin e hartës së vlerës së tokës në Republikën e Shqipërisë” (</w:t>
      </w:r>
      <w:r w:rsidRPr="006931DA">
        <w:rPr>
          <w:rFonts w:ascii="Garamond" w:hAnsi="Garamond" w:cs="Times New Roman"/>
          <w:i/>
          <w:iCs/>
          <w:color w:val="000000"/>
          <w:sz w:val="24"/>
          <w:szCs w:val="24"/>
        </w:rPr>
        <w:t>VKM-ja nr. 89/2016</w:t>
      </w:r>
      <w:r w:rsidRPr="006931DA">
        <w:rPr>
          <w:rFonts w:ascii="Garamond" w:hAnsi="Garamond" w:cs="Times New Roman"/>
          <w:color w:val="000000"/>
          <w:sz w:val="24"/>
          <w:szCs w:val="24"/>
        </w:rPr>
        <w:t xml:space="preserve">), të zbatueshme për zgjidhjen e mosmarrëveshjes, nuk ka vlerë për zërin “tokë bujqësore” në zonën </w:t>
      </w:r>
      <w:proofErr w:type="spellStart"/>
      <w:r w:rsidRPr="006931DA">
        <w:rPr>
          <w:rFonts w:ascii="Garamond" w:hAnsi="Garamond" w:cs="Times New Roman"/>
          <w:color w:val="000000"/>
          <w:sz w:val="24"/>
          <w:szCs w:val="24"/>
        </w:rPr>
        <w:t>kadastrale</w:t>
      </w:r>
      <w:proofErr w:type="spellEnd"/>
      <w:r w:rsidRPr="006931DA">
        <w:rPr>
          <w:rFonts w:ascii="Garamond" w:hAnsi="Garamond" w:cs="Times New Roman"/>
          <w:color w:val="000000"/>
          <w:sz w:val="24"/>
          <w:szCs w:val="24"/>
        </w:rPr>
        <w:t xml:space="preserve"> ku ndodhet prona e kërkuesit dhe e trashëgimtarëve të tjerë paditës dhe vlerësimi financiar i pronës së njohur për kompensim është bërë në zbatim të vlerës së pronës së përcaktuar për “kullotë – livadh”, sipas hartës së miratuar me VKM-në nr. 89/2016, referuar faktit se në origjinën e saj kjo pronë ka pasur këtë zë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Kundër këtij vendimi kanë ushtruar rekurs kërkuesi dhe trashëgimtarët e tjerë paditës, duke pretenduar, ndër të tjera, se Gjykata Administrative e Apelit nuk ka pasur juridiksion për gjykimin në themel të padisë, pasi çështja ishte marrë në shqyrtim nga GJEDNJ-ja, por ndërkohë mund të konstatonte pavlefshmërinë absolute të aktit administrativ.</w:t>
      </w:r>
    </w:p>
    <w:p w14:paraId="4A3E33C0" w14:textId="4FA54BF8"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Arial"/>
          <w:color w:val="000000"/>
          <w:spacing w:val="-15"/>
          <w:sz w:val="24"/>
          <w:szCs w:val="24"/>
        </w:rPr>
      </w:pPr>
      <w:r w:rsidRPr="006931DA">
        <w:rPr>
          <w:rFonts w:ascii="Garamond" w:hAnsi="Garamond" w:cs="Times New Roman"/>
          <w:color w:val="000000"/>
          <w:sz w:val="24"/>
          <w:szCs w:val="24"/>
        </w:rPr>
        <w:t xml:space="preserve">7. Në lidhje me kërkesën e drejtuar GJEDNJ-së </w:t>
      </w:r>
      <w:r w:rsidRPr="006931DA">
        <w:rPr>
          <w:rFonts w:ascii="Garamond" w:hAnsi="Garamond" w:cs="Times New Roman"/>
          <w:i/>
          <w:iCs/>
          <w:color w:val="000000"/>
          <w:sz w:val="24"/>
          <w:szCs w:val="24"/>
        </w:rPr>
        <w:t>(shih paragrafin 2 të vendimit)</w:t>
      </w:r>
      <w:r w:rsidRPr="006931DA">
        <w:rPr>
          <w:rFonts w:ascii="Garamond" w:hAnsi="Garamond" w:cs="Times New Roman"/>
          <w:color w:val="000000"/>
          <w:sz w:val="24"/>
          <w:szCs w:val="24"/>
        </w:rPr>
        <w:t>, kjo</w:t>
      </w:r>
      <w:r w:rsidR="006931DA">
        <w:rPr>
          <w:rFonts w:ascii="Garamond" w:hAnsi="Garamond" w:cs="Times New Roman"/>
          <w:color w:val="000000"/>
          <w:sz w:val="24"/>
          <w:szCs w:val="24"/>
        </w:rPr>
        <w:t xml:space="preserve"> e fundit, me vendimin e datës </w:t>
      </w:r>
      <w:r w:rsidRPr="006931DA">
        <w:rPr>
          <w:rFonts w:ascii="Garamond" w:hAnsi="Garamond" w:cs="Times New Roman"/>
          <w:color w:val="000000"/>
          <w:sz w:val="24"/>
          <w:szCs w:val="24"/>
        </w:rPr>
        <w:t xml:space="preserve">1.10.2020, i </w:t>
      </w:r>
      <w:r w:rsidRPr="006931DA">
        <w:rPr>
          <w:rFonts w:ascii="Garamond" w:hAnsi="Garamond" w:cs="Times New Roman"/>
          <w:color w:val="000000"/>
          <w:spacing w:val="-15"/>
          <w:sz w:val="24"/>
          <w:szCs w:val="24"/>
        </w:rPr>
        <w:t>ka deklaruar kërkesat të papranueshme, përfshirë edhe kërkesën e kërkuesit, me arsyetimin se mjeti juridik i prezantuar nga ligji për pronat i vitit 2015 është efektiv, brenda kuptimit të nenit 35</w:t>
      </w:r>
      <w:r w:rsidRPr="006931DA">
        <w:rPr>
          <w:rFonts w:ascii="Garamond" w:hAnsi="Garamond" w:cs="Times New Roman"/>
          <w:color w:val="000000"/>
          <w:sz w:val="24"/>
          <w:szCs w:val="24"/>
        </w:rPr>
        <w:t xml:space="preserve">, paragrafi 1 dhe nenit 13 të KEDNJ-së, qëndrim ky i mbajtur prej saj edhe në çështjen </w:t>
      </w:r>
      <w:proofErr w:type="spellStart"/>
      <w:r w:rsidRPr="006931DA">
        <w:rPr>
          <w:rFonts w:ascii="Garamond" w:hAnsi="Garamond" w:cs="Times New Roman"/>
          <w:i/>
          <w:iCs/>
          <w:color w:val="000000"/>
          <w:sz w:val="24"/>
          <w:szCs w:val="24"/>
        </w:rPr>
        <w:t>Beshiri</w:t>
      </w:r>
      <w:proofErr w:type="spellEnd"/>
      <w:r w:rsidRPr="006931DA">
        <w:rPr>
          <w:rFonts w:ascii="Garamond" w:hAnsi="Garamond" w:cs="Times New Roman"/>
          <w:i/>
          <w:iCs/>
          <w:color w:val="000000"/>
          <w:sz w:val="24"/>
          <w:szCs w:val="24"/>
        </w:rPr>
        <w:t xml:space="preserve"> dhe të tjerë kundër Shqipërisë, </w:t>
      </w:r>
      <w:r w:rsidRPr="006931DA">
        <w:rPr>
          <w:rFonts w:ascii="Garamond" w:hAnsi="Garamond" w:cs="Times New Roman"/>
          <w:color w:val="000000"/>
          <w:sz w:val="24"/>
          <w:szCs w:val="24"/>
        </w:rPr>
        <w:t xml:space="preserve">ndaj nuk ka asnjë arsye për t’u larguar nga ky konstatim në kontekstin e çështjes në fjalë dhe konsideron se ankimi i kërkuesve, sipas nenit 13 të KEDNJ-së është qartazi i pabazuar e duhet të rrëzohet në përputhje me nenin 35, paragrafët 3 dhe 4, të KEDNJ-së. Gjithashtu, GJEDNJ-ja ka </w:t>
      </w:r>
      <w:r w:rsidRPr="006931DA">
        <w:rPr>
          <w:rFonts w:ascii="Garamond" w:hAnsi="Garamond" w:cs="Times New Roman"/>
          <w:color w:val="000000"/>
          <w:sz w:val="24"/>
          <w:szCs w:val="24"/>
        </w:rPr>
        <w:lastRenderedPageBreak/>
        <w:t>vlerësuar se nuk ka asnjë rrethanë të jashtëzakonshme që mund të përjashtojë kërkuesit nga detyrimi për të shteruar mjetet e brendshme juridike (</w:t>
      </w:r>
      <w:r w:rsidRPr="006931DA">
        <w:rPr>
          <w:rFonts w:ascii="Garamond" w:hAnsi="Garamond" w:cs="Times New Roman"/>
          <w:i/>
          <w:iCs/>
          <w:color w:val="000000"/>
          <w:sz w:val="24"/>
          <w:szCs w:val="24"/>
        </w:rPr>
        <w:t xml:space="preserve">shih </w:t>
      </w:r>
      <w:proofErr w:type="spellStart"/>
      <w:r w:rsidRPr="006931DA">
        <w:rPr>
          <w:rFonts w:ascii="Garamond" w:hAnsi="Garamond" w:cs="Times New Roman"/>
          <w:i/>
          <w:iCs/>
          <w:color w:val="000000"/>
          <w:sz w:val="24"/>
          <w:szCs w:val="24"/>
        </w:rPr>
        <w:t>Beshiri</w:t>
      </w:r>
      <w:proofErr w:type="spellEnd"/>
      <w:r w:rsidRPr="006931DA">
        <w:rPr>
          <w:rFonts w:ascii="Garamond" w:hAnsi="Garamond" w:cs="Times New Roman"/>
          <w:i/>
          <w:iCs/>
          <w:color w:val="000000"/>
          <w:sz w:val="24"/>
          <w:szCs w:val="24"/>
        </w:rPr>
        <w:t xml:space="preserve"> dhe të tjerë kundër Shqipërisë</w:t>
      </w:r>
      <w:r w:rsidRPr="006931DA">
        <w:rPr>
          <w:rFonts w:ascii="Garamond" w:hAnsi="Garamond" w:cs="Times New Roman"/>
          <w:sz w:val="24"/>
          <w:szCs w:val="24"/>
        </w:rPr>
        <w:t>).</w:t>
      </w:r>
    </w:p>
    <w:p w14:paraId="4F543AE5" w14:textId="1A9FAC95"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8. Me v</w:t>
      </w:r>
      <w:r w:rsidR="006931DA">
        <w:rPr>
          <w:rFonts w:ascii="Garamond" w:hAnsi="Garamond" w:cs="Times New Roman"/>
          <w:color w:val="000000"/>
          <w:sz w:val="24"/>
          <w:szCs w:val="24"/>
        </w:rPr>
        <w:t>endimin nr. 00-2025-2165, datë 5.</w:t>
      </w:r>
      <w:r w:rsidRPr="006931DA">
        <w:rPr>
          <w:rFonts w:ascii="Garamond" w:hAnsi="Garamond" w:cs="Times New Roman"/>
          <w:color w:val="000000"/>
          <w:sz w:val="24"/>
          <w:szCs w:val="24"/>
        </w:rPr>
        <w:t>6.2025, Kolegji Administrativ i Gjykatës së Lartë ka vendosur mospranimin e rekursit, pasi nuk i referohej asnjë prej shkaqeve të parashikuara nga neni 58</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i ligjit nr. 49/2012</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gjykatat administrative dhe gjykimin e mosmarrëveshjeve administrative”, të ndryshuar </w:t>
      </w:r>
      <w:r w:rsidRPr="006931DA">
        <w:rPr>
          <w:rFonts w:ascii="Garamond" w:hAnsi="Garamond" w:cs="Times New Roman"/>
          <w:i/>
          <w:iCs/>
          <w:color w:val="000000"/>
          <w:sz w:val="24"/>
          <w:szCs w:val="24"/>
        </w:rPr>
        <w:t>(ligji nr. 49/2012)</w:t>
      </w:r>
      <w:r w:rsidRPr="006931DA">
        <w:rPr>
          <w:rFonts w:ascii="Garamond" w:hAnsi="Garamond" w:cs="Calibri"/>
          <w:i/>
          <w:iCs/>
          <w:color w:val="000000"/>
          <w:sz w:val="24"/>
          <w:szCs w:val="24"/>
        </w:rPr>
        <w:t>.</w:t>
      </w:r>
    </w:p>
    <w:p w14:paraId="6D643D7A" w14:textId="18426B68"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9. Ndërkohë që çështja ishte për gjykim në Gjykatën e Lartë, ATP-ja, pas hyrjes në fuqi të ligjit nr. 77/2022</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disa shtesa dhe ndryshime në ligjin nr. 133/2015 “ Për trajtimin e pronës dhe përfundimin e procesit të kompensimit të pronave” (</w:t>
      </w:r>
      <w:r w:rsidRPr="006931DA">
        <w:rPr>
          <w:rFonts w:ascii="Garamond" w:hAnsi="Garamond" w:cs="Times New Roman"/>
          <w:i/>
          <w:iCs/>
          <w:color w:val="000000"/>
          <w:sz w:val="24"/>
          <w:szCs w:val="24"/>
        </w:rPr>
        <w:t>ligji nr.77/2022</w:t>
      </w:r>
      <w:r w:rsidRPr="006931DA">
        <w:rPr>
          <w:rFonts w:ascii="Garamond" w:hAnsi="Garamond" w:cs="Times New Roman"/>
          <w:color w:val="000000"/>
          <w:sz w:val="24"/>
          <w:szCs w:val="24"/>
        </w:rPr>
        <w:t>), ka kryer një rivlerësim të vendimit 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Tiranë, i cili është publikuar në Buletinin e publ</w:t>
      </w:r>
      <w:r w:rsidR="006931DA">
        <w:rPr>
          <w:rFonts w:ascii="Garamond" w:hAnsi="Garamond" w:cs="Times New Roman"/>
          <w:color w:val="000000"/>
          <w:sz w:val="24"/>
          <w:szCs w:val="24"/>
        </w:rPr>
        <w:t>ikimeve zyrtare nr. 12, datë 30.</w:t>
      </w:r>
      <w:r w:rsidRPr="006931DA">
        <w:rPr>
          <w:rFonts w:ascii="Garamond" w:hAnsi="Garamond" w:cs="Times New Roman"/>
          <w:color w:val="000000"/>
          <w:sz w:val="24"/>
          <w:szCs w:val="24"/>
        </w:rPr>
        <w:t>3.2023 (</w:t>
      </w:r>
      <w:r w:rsidRPr="006931DA">
        <w:rPr>
          <w:rFonts w:ascii="Garamond" w:hAnsi="Garamond" w:cs="Times New Roman"/>
          <w:i/>
          <w:iCs/>
          <w:sz w:val="24"/>
          <w:szCs w:val="24"/>
        </w:rPr>
        <w:t>publikimi i tretë</w:t>
      </w:r>
      <w:r w:rsidRPr="006931DA">
        <w:rPr>
          <w:rFonts w:ascii="Garamond" w:hAnsi="Garamond" w:cs="Times New Roman"/>
          <w:sz w:val="24"/>
          <w:szCs w:val="24"/>
        </w:rPr>
        <w:t>), duke e vlerësuar pronën financiari</w:t>
      </w:r>
      <w:r w:rsidR="006931DA">
        <w:rPr>
          <w:rFonts w:ascii="Garamond" w:hAnsi="Garamond" w:cs="Times New Roman"/>
          <w:sz w:val="24"/>
          <w:szCs w:val="24"/>
        </w:rPr>
        <w:t>sht në shumën 384.059.000 lekë.</w:t>
      </w:r>
    </w:p>
    <w:p w14:paraId="39976CCE" w14:textId="1F277413"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10. Duke mos qenë dakord me vlerësimin e dytë, kërkuesi i është drejtuar sërish Gjykatës Administrative të Apelit me kërkesëpadi me objekt anulimin/shfuqizimin e vlerësimit të dytë të ATP-së dhe detyrimin e këtij organi për të vl</w:t>
      </w:r>
      <w:r w:rsidR="00F319F3">
        <w:rPr>
          <w:rFonts w:ascii="Garamond" w:hAnsi="Garamond" w:cs="Times New Roman"/>
          <w:color w:val="000000"/>
          <w:sz w:val="24"/>
          <w:szCs w:val="24"/>
        </w:rPr>
        <w:t>erësuar pronën si tokë “truall”</w:t>
      </w:r>
      <w:r w:rsidRPr="006931DA">
        <w:rPr>
          <w:rFonts w:ascii="Garamond" w:hAnsi="Garamond" w:cs="Times New Roman"/>
          <w:color w:val="000000"/>
          <w:sz w:val="24"/>
          <w:szCs w:val="24"/>
        </w:rPr>
        <w:t xml:space="preserve">. </w:t>
      </w:r>
    </w:p>
    <w:p w14:paraId="0135DB81" w14:textId="76DBFEB1"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 xml:space="preserve">11. Gjykata Administrative e </w:t>
      </w:r>
      <w:r w:rsidR="006931DA">
        <w:rPr>
          <w:rFonts w:ascii="Garamond" w:hAnsi="Garamond" w:cs="Times New Roman"/>
          <w:color w:val="000000"/>
          <w:sz w:val="24"/>
          <w:szCs w:val="24"/>
        </w:rPr>
        <w:t>Apelit, me vendimin e datës 30.</w:t>
      </w:r>
      <w:r w:rsidRPr="006931DA">
        <w:rPr>
          <w:rFonts w:ascii="Garamond" w:hAnsi="Garamond" w:cs="Times New Roman"/>
          <w:color w:val="000000"/>
          <w:sz w:val="24"/>
          <w:szCs w:val="24"/>
        </w:rPr>
        <w:t>9.2024, ka vendosur pezullimin e gjykimit deri në zgjidhjen përfundimtare të çështjes administrative objekt i vendimit nr. 27,</w:t>
      </w:r>
      <w:r w:rsidR="006931DA">
        <w:rPr>
          <w:rFonts w:ascii="Garamond" w:hAnsi="Garamond" w:cs="Times New Roman"/>
          <w:color w:val="000000"/>
          <w:sz w:val="24"/>
          <w:szCs w:val="24"/>
        </w:rPr>
        <w:t xml:space="preserve"> datë 13.</w:t>
      </w:r>
      <w:r w:rsidRPr="006931DA">
        <w:rPr>
          <w:rFonts w:ascii="Garamond" w:hAnsi="Garamond" w:cs="Times New Roman"/>
          <w:color w:val="000000"/>
          <w:sz w:val="24"/>
          <w:szCs w:val="24"/>
        </w:rPr>
        <w:t>2.2019</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Administrative të Apelit për të cilën ishte ushtruar rekurs në Gjykatën e Lartë. Mbi rekursin e veçantë të kërkuesit dhe të trashëgimtarëve të tjerë paditës, Kolegji Administrativ i Gjykatës së Lartë, me vendimin nr. 00-2025-24</w:t>
      </w:r>
      <w:r w:rsidR="006931DA">
        <w:rPr>
          <w:rFonts w:ascii="Garamond" w:hAnsi="Garamond" w:cs="Times New Roman"/>
          <w:color w:val="000000"/>
          <w:sz w:val="24"/>
          <w:szCs w:val="24"/>
        </w:rPr>
        <w:t>61, datë 19.</w:t>
      </w:r>
      <w:r w:rsidRPr="006931DA">
        <w:rPr>
          <w:rFonts w:ascii="Garamond" w:hAnsi="Garamond" w:cs="Times New Roman"/>
          <w:color w:val="000000"/>
          <w:sz w:val="24"/>
          <w:szCs w:val="24"/>
        </w:rPr>
        <w:t>6.2025, ka vendosur mospranimin e tij, pasi nuk i referohej asnjë prej shkaqeve të parashikuara nga neni 58 i ligjit nr. 49/2012</w:t>
      </w:r>
      <w:r w:rsidRPr="006931DA">
        <w:rPr>
          <w:rFonts w:ascii="Garamond" w:hAnsi="Garamond" w:cs="Calibri"/>
          <w:i/>
          <w:iCs/>
          <w:color w:val="000000"/>
          <w:sz w:val="24"/>
          <w:szCs w:val="24"/>
        </w:rPr>
        <w:t>.</w:t>
      </w:r>
    </w:p>
    <w:p w14:paraId="0A328DFA" w14:textId="1F052977"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Calibri"/>
          <w:b/>
          <w:bCs/>
          <w:color w:val="000000"/>
          <w:sz w:val="24"/>
          <w:szCs w:val="24"/>
        </w:rPr>
      </w:pPr>
      <w:r w:rsidRPr="006931DA">
        <w:rPr>
          <w:rFonts w:ascii="Garamond" w:hAnsi="Garamond" w:cs="Times New Roman"/>
          <w:color w:val="000000"/>
          <w:sz w:val="24"/>
          <w:szCs w:val="24"/>
        </w:rPr>
        <w:t xml:space="preserve">12. </w:t>
      </w:r>
      <w:r w:rsidR="006931DA">
        <w:rPr>
          <w:rFonts w:ascii="Garamond" w:hAnsi="Garamond" w:cs="Times New Roman"/>
          <w:color w:val="000000"/>
          <w:sz w:val="24"/>
          <w:szCs w:val="24"/>
        </w:rPr>
        <w:t xml:space="preserve">Në datën </w:t>
      </w:r>
      <w:r w:rsidRPr="006931DA">
        <w:rPr>
          <w:rFonts w:ascii="Garamond" w:hAnsi="Garamond" w:cs="Times New Roman"/>
          <w:color w:val="000000"/>
          <w:sz w:val="24"/>
          <w:szCs w:val="24"/>
        </w:rPr>
        <w:t>7.10.2025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kërkuesi i është drejtuar Gjykatës Kushtetuese (</w:t>
      </w:r>
      <w:r w:rsidRPr="006931DA">
        <w:rPr>
          <w:rFonts w:ascii="Garamond" w:hAnsi="Garamond" w:cs="Times New Roman"/>
          <w:i/>
          <w:iCs/>
          <w:color w:val="000000"/>
          <w:sz w:val="24"/>
          <w:szCs w:val="24"/>
        </w:rPr>
        <w:t>Gjykata</w:t>
      </w:r>
      <w:r w:rsidRPr="006931DA">
        <w:rPr>
          <w:rFonts w:ascii="Garamond" w:hAnsi="Garamond" w:cs="Times New Roman"/>
          <w:color w:val="000000"/>
          <w:sz w:val="24"/>
          <w:szCs w:val="24"/>
        </w:rPr>
        <w:t>) me ankim kushtetues individual sipas objektit të tij, i cili, pasi është plotësuar sipas kërkesave të Ligjit Organik të Gjykatës, është regjistruar në datën 16.1</w:t>
      </w:r>
      <w:r w:rsidR="006931DA">
        <w:rPr>
          <w:rFonts w:ascii="Garamond" w:hAnsi="Garamond" w:cs="Times New Roman"/>
          <w:color w:val="000000"/>
          <w:sz w:val="24"/>
          <w:szCs w:val="24"/>
        </w:rPr>
        <w:t>0.2025. Me vendimin e datës 13.</w:t>
      </w:r>
      <w:r w:rsidRPr="006931DA">
        <w:rPr>
          <w:rFonts w:ascii="Garamond" w:hAnsi="Garamond" w:cs="Times New Roman"/>
          <w:color w:val="000000"/>
          <w:sz w:val="24"/>
          <w:szCs w:val="24"/>
        </w:rPr>
        <w:t>1.2026, Kolegji i Gjykatës ka vendosur kalimin e çështjes për shqyrtim në seancë plenare mbi bazë të dokumenteve.</w:t>
      </w:r>
      <w:r w:rsidR="006931DA">
        <w:rPr>
          <w:rFonts w:ascii="Garamond" w:hAnsi="Garamond" w:cs="Times New Roman"/>
          <w:color w:val="000000"/>
          <w:sz w:val="24"/>
          <w:szCs w:val="24"/>
        </w:rPr>
        <w:t xml:space="preserve"> </w:t>
      </w:r>
    </w:p>
    <w:p w14:paraId="505E7588" w14:textId="77777777"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Calibri"/>
          <w:b/>
          <w:bCs/>
          <w:color w:val="000000"/>
          <w:sz w:val="24"/>
          <w:szCs w:val="24"/>
        </w:rPr>
      </w:pPr>
    </w:p>
    <w:p w14:paraId="52CFC2FD"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II</w:t>
      </w:r>
    </w:p>
    <w:p w14:paraId="077842EC"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Pretendimet në Gjykatën Kushtetuese</w:t>
      </w:r>
    </w:p>
    <w:p w14:paraId="10D51004" w14:textId="77777777" w:rsidR="00B46B26" w:rsidRPr="006931DA" w:rsidRDefault="00B46B26" w:rsidP="00B46B26">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F93C308" w14:textId="2C5E730D" w:rsidR="00B46B26" w:rsidRPr="006931DA" w:rsidRDefault="00B46B26" w:rsidP="00B46B26">
      <w:pPr>
        <w:tabs>
          <w:tab w:val="left" w:pos="1080"/>
          <w:tab w:val="left" w:pos="1160"/>
          <w:tab w:val="left" w:pos="1260"/>
        </w:tabs>
        <w:autoSpaceDE w:val="0"/>
        <w:autoSpaceDN w:val="0"/>
        <w:adjustRightInd w:val="0"/>
        <w:spacing w:after="0" w:line="240" w:lineRule="auto"/>
        <w:ind w:firstLine="284"/>
        <w:jc w:val="both"/>
        <w:rPr>
          <w:rFonts w:ascii="Garamond" w:hAnsi="Garamond" w:cs="Calibri"/>
          <w:color w:val="000000"/>
          <w:sz w:val="24"/>
          <w:szCs w:val="24"/>
        </w:rPr>
      </w:pPr>
      <w:r w:rsidRPr="006931DA">
        <w:rPr>
          <w:rFonts w:ascii="Garamond" w:hAnsi="Garamond" w:cs="Times New Roman"/>
          <w:color w:val="000000"/>
          <w:sz w:val="24"/>
          <w:szCs w:val="24"/>
        </w:rPr>
        <w:t>13.</w:t>
      </w:r>
      <w:r w:rsidR="006931DA">
        <w:rPr>
          <w:rFonts w:ascii="Garamond" w:hAnsi="Garamond" w:cs="Times New Roman"/>
          <w:color w:val="000000"/>
          <w:sz w:val="24"/>
          <w:szCs w:val="24"/>
        </w:rPr>
        <w:t xml:space="preserve"> </w:t>
      </w:r>
      <w:r w:rsidRPr="006931DA">
        <w:rPr>
          <w:rFonts w:ascii="Garamond" w:hAnsi="Garamond" w:cs="Times New Roman"/>
          <w:b/>
          <w:bCs/>
          <w:i/>
          <w:iCs/>
          <w:color w:val="000000"/>
          <w:sz w:val="24"/>
          <w:szCs w:val="24"/>
        </w:rPr>
        <w:t>Kërkuesi</w:t>
      </w:r>
      <w:r w:rsidRPr="006931DA">
        <w:rPr>
          <w:rFonts w:ascii="Garamond" w:hAnsi="Garamond" w:cs="Times New Roman"/>
          <w:color w:val="000000"/>
          <w:sz w:val="24"/>
          <w:szCs w:val="24"/>
        </w:rPr>
        <w:t>, në mënyrë të përmbledhur, ka pretenduar se vendimet e kundërshtuara kanë cenuar:</w:t>
      </w:r>
    </w:p>
    <w:p w14:paraId="12ADEB2B" w14:textId="64975CE9" w:rsidR="00B46B26" w:rsidRPr="006931DA" w:rsidRDefault="006931DA" w:rsidP="00B46B26">
      <w:pPr>
        <w:tabs>
          <w:tab w:val="left" w:pos="720"/>
          <w:tab w:val="left" w:pos="1080"/>
          <w:tab w:val="left" w:pos="1260"/>
        </w:tabs>
        <w:autoSpaceDE w:val="0"/>
        <w:autoSpaceDN w:val="0"/>
        <w:adjustRightInd w:val="0"/>
        <w:spacing w:after="0" w:line="240" w:lineRule="auto"/>
        <w:ind w:firstLine="284"/>
        <w:jc w:val="both"/>
        <w:rPr>
          <w:rFonts w:ascii="Garamond" w:hAnsi="Garamond" w:cs="Calibri"/>
          <w:i/>
          <w:iCs/>
          <w:color w:val="000000"/>
          <w:sz w:val="24"/>
          <w:szCs w:val="24"/>
        </w:rPr>
      </w:pPr>
      <w:r>
        <w:rPr>
          <w:rFonts w:ascii="Garamond" w:hAnsi="Garamond" w:cs="Times New Roman"/>
          <w:color w:val="000000"/>
          <w:sz w:val="24"/>
          <w:szCs w:val="24"/>
        </w:rPr>
        <w:t>13.1</w:t>
      </w:r>
      <w:r w:rsidR="00B46B26" w:rsidRPr="006931DA">
        <w:rPr>
          <w:rFonts w:ascii="Garamond" w:hAnsi="Garamond" w:cs="Times New Roman"/>
          <w:color w:val="000000"/>
          <w:sz w:val="24"/>
          <w:szCs w:val="24"/>
        </w:rPr>
        <w:t xml:space="preserve"> </w:t>
      </w:r>
      <w:r w:rsidR="00B46B26" w:rsidRPr="006931DA">
        <w:rPr>
          <w:rFonts w:ascii="Garamond" w:hAnsi="Garamond" w:cs="Times New Roman"/>
          <w:i/>
          <w:iCs/>
          <w:color w:val="000000"/>
          <w:sz w:val="24"/>
          <w:szCs w:val="24"/>
        </w:rPr>
        <w:t>Të drejtën për proces të rregullt ligjor në drejtim të:</w:t>
      </w:r>
    </w:p>
    <w:p w14:paraId="35237B68" w14:textId="4BAF7866" w:rsidR="00B46B26" w:rsidRPr="006931DA" w:rsidRDefault="006931DA" w:rsidP="00B46B26">
      <w:pPr>
        <w:tabs>
          <w:tab w:val="left" w:pos="720"/>
          <w:tab w:val="left" w:pos="900"/>
          <w:tab w:val="left" w:pos="980"/>
          <w:tab w:val="left" w:pos="1080"/>
          <w:tab w:val="left" w:pos="170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13.1.1</w:t>
      </w:r>
      <w:r w:rsidR="00B46B26" w:rsidRPr="006931DA">
        <w:rPr>
          <w:rFonts w:ascii="Garamond" w:hAnsi="Garamond" w:cs="Times New Roman"/>
          <w:color w:val="000000"/>
          <w:sz w:val="24"/>
          <w:szCs w:val="24"/>
        </w:rPr>
        <w:t xml:space="preserve"> </w:t>
      </w:r>
      <w:r w:rsidR="00B46B26" w:rsidRPr="006931DA">
        <w:rPr>
          <w:rFonts w:ascii="Garamond" w:hAnsi="Garamond" w:cs="Times New Roman"/>
          <w:i/>
          <w:iCs/>
          <w:color w:val="000000"/>
          <w:sz w:val="24"/>
          <w:szCs w:val="24"/>
        </w:rPr>
        <w:t>Së drejtës së ankimit efektiv,</w:t>
      </w:r>
      <w:r w:rsidR="00B46B26" w:rsidRPr="006931DA">
        <w:rPr>
          <w:rFonts w:ascii="Garamond" w:hAnsi="Garamond" w:cs="Times New Roman"/>
          <w:color w:val="000000"/>
          <w:sz w:val="24"/>
          <w:szCs w:val="24"/>
        </w:rPr>
        <w:t xml:space="preserve"> pasi Gjykata Administrative e Apelit nëpërmjet vendimit të pezullimit i ka mohuar kërkuesit dhe trashëgimtarëve të tjerë të drejtën për të kundërshtuar vlerësimin e dytë të publikuar në Buletinin e publikimeve zyrtare nr.</w:t>
      </w:r>
      <w:r>
        <w:rPr>
          <w:rFonts w:ascii="Garamond" w:hAnsi="Garamond" w:cs="Times New Roman"/>
          <w:color w:val="000000"/>
          <w:sz w:val="24"/>
          <w:szCs w:val="24"/>
        </w:rPr>
        <w:t xml:space="preserve"> 12, datë 30.</w:t>
      </w:r>
      <w:r w:rsidR="00B46B26" w:rsidRPr="006931DA">
        <w:rPr>
          <w:rFonts w:ascii="Garamond" w:hAnsi="Garamond" w:cs="Times New Roman"/>
          <w:color w:val="000000"/>
          <w:sz w:val="24"/>
          <w:szCs w:val="24"/>
        </w:rPr>
        <w:t>3.2023.</w:t>
      </w:r>
    </w:p>
    <w:p w14:paraId="2D4213C2" w14:textId="1C9AAA16" w:rsidR="00B46B26" w:rsidRPr="006931DA" w:rsidRDefault="00B46B26" w:rsidP="00B46B26">
      <w:pPr>
        <w:tabs>
          <w:tab w:val="left" w:pos="720"/>
          <w:tab w:val="left" w:pos="900"/>
          <w:tab w:val="left" w:pos="980"/>
          <w:tab w:val="left" w:pos="108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13.1.</w:t>
      </w:r>
      <w:r w:rsidR="006931DA">
        <w:rPr>
          <w:rFonts w:ascii="Garamond" w:hAnsi="Garamond" w:cs="Times New Roman"/>
          <w:color w:val="000000"/>
          <w:sz w:val="24"/>
          <w:szCs w:val="24"/>
        </w:rPr>
        <w:t xml:space="preserve">2 </w:t>
      </w:r>
      <w:r w:rsidRPr="006931DA">
        <w:rPr>
          <w:rFonts w:ascii="Garamond" w:hAnsi="Garamond" w:cs="Times New Roman"/>
          <w:i/>
          <w:iCs/>
          <w:color w:val="000000"/>
          <w:sz w:val="24"/>
          <w:szCs w:val="24"/>
        </w:rPr>
        <w:t>Së drejtës për gjykim brenda një afati të arsyeshëm,</w:t>
      </w:r>
      <w:r w:rsidRPr="006931DA">
        <w:rPr>
          <w:rFonts w:ascii="Garamond" w:hAnsi="Garamond" w:cs="Times New Roman"/>
          <w:color w:val="000000"/>
          <w:sz w:val="24"/>
          <w:szCs w:val="24"/>
        </w:rPr>
        <w:t xml:space="preserve"> pasi gjykata e apelit përmes vendimit të pezullimit ka shtyrë në mënyrë artificiale procesin e dytë gjyqësor.</w:t>
      </w:r>
    </w:p>
    <w:p w14:paraId="5AFCBE2F" w14:textId="757DD048" w:rsidR="00B46B26" w:rsidRPr="006931DA" w:rsidRDefault="006931DA" w:rsidP="00B46B26">
      <w:pPr>
        <w:tabs>
          <w:tab w:val="left" w:pos="720"/>
          <w:tab w:val="left" w:pos="900"/>
          <w:tab w:val="left" w:pos="980"/>
          <w:tab w:val="left" w:pos="108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13.1.3 </w:t>
      </w:r>
      <w:r w:rsidR="00B46B26" w:rsidRPr="006931DA">
        <w:rPr>
          <w:rFonts w:ascii="Garamond" w:hAnsi="Garamond" w:cs="Times New Roman"/>
          <w:i/>
          <w:iCs/>
          <w:color w:val="000000"/>
          <w:sz w:val="24"/>
          <w:szCs w:val="24"/>
        </w:rPr>
        <w:t>Parimin e sigurisë juridike,</w:t>
      </w:r>
      <w:r w:rsidR="00B46B26" w:rsidRPr="006931DA">
        <w:rPr>
          <w:rFonts w:ascii="Garamond" w:hAnsi="Garamond" w:cs="Times New Roman"/>
          <w:color w:val="000000"/>
          <w:sz w:val="24"/>
          <w:szCs w:val="24"/>
        </w:rPr>
        <w:t xml:space="preserve"> pasi çështja e kërkuesit dhe e trashëgimtarëve të tjerë ligjorë ka qenë objekt shqyrtimi ndërkombëtar dhe GJEDNJ-ja,</w:t>
      </w:r>
      <w:r>
        <w:rPr>
          <w:rFonts w:ascii="Garamond" w:hAnsi="Garamond" w:cs="Times New Roman"/>
          <w:color w:val="000000"/>
          <w:sz w:val="24"/>
          <w:szCs w:val="24"/>
        </w:rPr>
        <w:t xml:space="preserve"> me vendimin nr. 13618/10, datë </w:t>
      </w:r>
      <w:r w:rsidR="00B46B26" w:rsidRPr="006931DA">
        <w:rPr>
          <w:rFonts w:ascii="Garamond" w:hAnsi="Garamond" w:cs="Times New Roman"/>
          <w:color w:val="000000"/>
          <w:sz w:val="24"/>
          <w:szCs w:val="24"/>
        </w:rPr>
        <w:t>1.10.2020</w:t>
      </w:r>
      <w:r>
        <w:rPr>
          <w:rFonts w:ascii="Garamond" w:hAnsi="Garamond" w:cs="Times New Roman"/>
          <w:color w:val="000000"/>
          <w:sz w:val="24"/>
          <w:szCs w:val="24"/>
        </w:rPr>
        <w:t>,</w:t>
      </w:r>
      <w:r w:rsidR="00B46B26" w:rsidRPr="006931DA">
        <w:rPr>
          <w:rFonts w:ascii="Garamond" w:hAnsi="Garamond" w:cs="Times New Roman"/>
          <w:color w:val="000000"/>
          <w:sz w:val="24"/>
          <w:szCs w:val="24"/>
        </w:rPr>
        <w:t xml:space="preserve"> </w:t>
      </w:r>
      <w:proofErr w:type="spellStart"/>
      <w:r w:rsidR="00B46B26" w:rsidRPr="006931DA">
        <w:rPr>
          <w:rFonts w:ascii="Garamond" w:hAnsi="Garamond" w:cs="Times New Roman"/>
          <w:i/>
          <w:iCs/>
          <w:color w:val="000000"/>
          <w:spacing w:val="-15"/>
          <w:sz w:val="24"/>
          <w:szCs w:val="24"/>
        </w:rPr>
        <w:t>Gjergo</w:t>
      </w:r>
      <w:proofErr w:type="spellEnd"/>
      <w:r w:rsidR="00B46B26" w:rsidRPr="006931DA">
        <w:rPr>
          <w:rFonts w:ascii="Garamond" w:hAnsi="Garamond" w:cs="Times New Roman"/>
          <w:i/>
          <w:iCs/>
          <w:color w:val="000000"/>
          <w:spacing w:val="-15"/>
          <w:sz w:val="24"/>
          <w:szCs w:val="24"/>
        </w:rPr>
        <w:t xml:space="preserve"> dhe </w:t>
      </w:r>
      <w:proofErr w:type="spellStart"/>
      <w:r w:rsidR="00B46B26" w:rsidRPr="006931DA">
        <w:rPr>
          <w:rFonts w:ascii="Garamond" w:hAnsi="Garamond" w:cs="Times New Roman"/>
          <w:i/>
          <w:iCs/>
          <w:color w:val="000000"/>
          <w:spacing w:val="-15"/>
          <w:sz w:val="24"/>
          <w:szCs w:val="24"/>
        </w:rPr>
        <w:t>Babicenko</w:t>
      </w:r>
      <w:proofErr w:type="spellEnd"/>
      <w:r w:rsidR="00B46B26" w:rsidRPr="006931DA">
        <w:rPr>
          <w:rFonts w:ascii="Garamond" w:hAnsi="Garamond" w:cs="Times New Roman"/>
          <w:i/>
          <w:iCs/>
          <w:color w:val="000000"/>
          <w:spacing w:val="-15"/>
          <w:sz w:val="24"/>
          <w:szCs w:val="24"/>
        </w:rPr>
        <w:t xml:space="preserve"> kundër Shqipërisë dhe 76 kërkesa të tjera</w:t>
      </w:r>
      <w:r w:rsidR="00B46B26" w:rsidRPr="006931DA">
        <w:rPr>
          <w:rFonts w:ascii="Garamond" w:hAnsi="Garamond" w:cs="Times New Roman"/>
          <w:color w:val="000000"/>
          <w:spacing w:val="-15"/>
          <w:sz w:val="24"/>
          <w:szCs w:val="24"/>
        </w:rPr>
        <w:t>,</w:t>
      </w:r>
      <w:r w:rsidR="00B46B26" w:rsidRPr="006931DA">
        <w:rPr>
          <w:rFonts w:ascii="Garamond" w:hAnsi="Garamond" w:cs="Times New Roman"/>
          <w:color w:val="000000"/>
          <w:sz w:val="24"/>
          <w:szCs w:val="24"/>
        </w:rPr>
        <w:t xml:space="preserve"> ka konstatuar se praktikat e ndjekura nga shteti shqiptar kanë sjellë shkelje të së drejtës për një proces të rregullt ligjor dhe të së drejtës së pronës. Gjykata e Lartë duhet të zbatonte në mënyrë të drejtpërdrejtë këtë vendimmarrje të GJEDNJ-së dhe vendimet e tjera të saj. Po kësh</w:t>
      </w:r>
      <w:r>
        <w:rPr>
          <w:rFonts w:ascii="Garamond" w:hAnsi="Garamond" w:cs="Times New Roman"/>
          <w:color w:val="000000"/>
          <w:sz w:val="24"/>
          <w:szCs w:val="24"/>
        </w:rPr>
        <w:t>tu, vendimi nr. 56937/10, datë 3.</w:t>
      </w:r>
      <w:r w:rsidR="00B46B26" w:rsidRPr="006931DA">
        <w:rPr>
          <w:rFonts w:ascii="Garamond" w:hAnsi="Garamond" w:cs="Times New Roman"/>
          <w:color w:val="000000"/>
          <w:sz w:val="24"/>
          <w:szCs w:val="24"/>
        </w:rPr>
        <w:t>6.2021</w:t>
      </w:r>
      <w:r>
        <w:rPr>
          <w:rFonts w:ascii="Garamond" w:hAnsi="Garamond" w:cs="Times New Roman"/>
          <w:color w:val="000000"/>
          <w:sz w:val="24"/>
          <w:szCs w:val="24"/>
        </w:rPr>
        <w:t>,</w:t>
      </w:r>
      <w:r w:rsidR="00B46B26" w:rsidRPr="006931DA">
        <w:rPr>
          <w:rFonts w:ascii="Garamond" w:hAnsi="Garamond" w:cs="Times New Roman"/>
          <w:color w:val="000000"/>
          <w:sz w:val="24"/>
          <w:szCs w:val="24"/>
        </w:rPr>
        <w:t xml:space="preserve"> </w:t>
      </w:r>
      <w:r w:rsidR="00B46B26" w:rsidRPr="006931DA">
        <w:rPr>
          <w:rFonts w:ascii="Garamond" w:hAnsi="Garamond" w:cs="Times New Roman"/>
          <w:i/>
          <w:iCs/>
          <w:color w:val="000000"/>
          <w:sz w:val="24"/>
          <w:szCs w:val="24"/>
        </w:rPr>
        <w:t xml:space="preserve">Ruci dhe </w:t>
      </w:r>
      <w:proofErr w:type="spellStart"/>
      <w:r w:rsidR="00B46B26" w:rsidRPr="006931DA">
        <w:rPr>
          <w:rFonts w:ascii="Garamond" w:hAnsi="Garamond" w:cs="Times New Roman"/>
          <w:i/>
          <w:iCs/>
          <w:color w:val="000000"/>
          <w:sz w:val="24"/>
          <w:szCs w:val="24"/>
        </w:rPr>
        <w:t>Bejleri</w:t>
      </w:r>
      <w:proofErr w:type="spellEnd"/>
      <w:r w:rsidR="00B46B26" w:rsidRPr="006931DA">
        <w:rPr>
          <w:rFonts w:ascii="Garamond" w:hAnsi="Garamond" w:cs="Times New Roman"/>
          <w:i/>
          <w:iCs/>
          <w:color w:val="000000"/>
          <w:sz w:val="24"/>
          <w:szCs w:val="24"/>
        </w:rPr>
        <w:t xml:space="preserve"> kundër Shqipërisë</w:t>
      </w:r>
      <w:r w:rsidR="00B46B26" w:rsidRPr="006931DA">
        <w:rPr>
          <w:rFonts w:ascii="Garamond" w:hAnsi="Garamond" w:cs="Times New Roman"/>
          <w:color w:val="000000"/>
          <w:sz w:val="24"/>
          <w:szCs w:val="24"/>
        </w:rPr>
        <w:t xml:space="preserve"> dhe </w:t>
      </w:r>
      <w:r w:rsidR="00B46B26" w:rsidRPr="006931DA">
        <w:rPr>
          <w:rFonts w:ascii="Garamond" w:hAnsi="Garamond" w:cs="Times New Roman"/>
          <w:i/>
          <w:iCs/>
          <w:color w:val="000000"/>
          <w:sz w:val="24"/>
          <w:szCs w:val="24"/>
        </w:rPr>
        <w:t>191 kërkesa të tjera</w:t>
      </w:r>
      <w:r w:rsidR="00B46B26" w:rsidRPr="006931DA">
        <w:rPr>
          <w:rFonts w:ascii="Garamond" w:hAnsi="Garamond" w:cs="Times New Roman"/>
          <w:color w:val="000000"/>
          <w:sz w:val="24"/>
          <w:szCs w:val="24"/>
        </w:rPr>
        <w:t>, ka vendosur standardin që shteti shqiptar duhet t’u garantojë ish-pronarëve të paktën 10% të pronës si truall ose një kompensim real që pasqyron vlerën e tregut. Këto vendime të GJEDNJ-së edhe pse janë të detyrueshme nuk janë marrë parasysh nga gjykatat në vendimmarrjet e tyre.</w:t>
      </w:r>
    </w:p>
    <w:p w14:paraId="5116284C" w14:textId="6554F576" w:rsidR="00B46B26" w:rsidRPr="006931DA" w:rsidRDefault="006931DA" w:rsidP="00B46B26">
      <w:pPr>
        <w:tabs>
          <w:tab w:val="left" w:pos="720"/>
          <w:tab w:val="left" w:pos="900"/>
          <w:tab w:val="left" w:pos="980"/>
          <w:tab w:val="left" w:pos="108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13.1.4</w:t>
      </w:r>
      <w:r w:rsidR="00B46B26" w:rsidRPr="006931DA">
        <w:rPr>
          <w:rFonts w:ascii="Garamond" w:hAnsi="Garamond" w:cs="Calibri"/>
          <w:i/>
          <w:iCs/>
          <w:color w:val="000000"/>
          <w:sz w:val="24"/>
          <w:szCs w:val="24"/>
        </w:rPr>
        <w:t xml:space="preserve"> </w:t>
      </w:r>
      <w:r w:rsidR="00B46B26" w:rsidRPr="006931DA">
        <w:rPr>
          <w:rFonts w:ascii="Garamond" w:hAnsi="Garamond" w:cs="Times New Roman"/>
          <w:i/>
          <w:iCs/>
          <w:color w:val="000000"/>
          <w:sz w:val="24"/>
          <w:szCs w:val="24"/>
        </w:rPr>
        <w:t xml:space="preserve">Standardit të arsyetimit të vendimit gjyqësor, </w:t>
      </w:r>
      <w:r w:rsidR="00B46B26" w:rsidRPr="006931DA">
        <w:rPr>
          <w:rFonts w:ascii="Garamond" w:hAnsi="Garamond" w:cs="Times New Roman"/>
          <w:color w:val="000000"/>
          <w:sz w:val="24"/>
          <w:szCs w:val="24"/>
        </w:rPr>
        <w:t xml:space="preserve">pasi Gjykata Administrative e Apelit nuk ka dhënë arsyetim bindës lidhur me konkluzionet në aktin e ekspertimit që e përcaktonin sipërfaqen prej 130.000 m² si tokë “truall” dhe vetëm pjesë të kufizuara të saj mund të kategorizoheshin ndryshe. Ndërkohë, </w:t>
      </w:r>
      <w:r w:rsidR="00B46B26" w:rsidRPr="006931DA">
        <w:rPr>
          <w:rFonts w:ascii="Garamond" w:hAnsi="Garamond" w:cs="Times New Roman"/>
          <w:color w:val="000000"/>
          <w:sz w:val="24"/>
          <w:szCs w:val="24"/>
        </w:rPr>
        <w:lastRenderedPageBreak/>
        <w:t>vendimi përmbyllës i procesit të parë gjyqësor nr. 00-20</w:t>
      </w:r>
      <w:r>
        <w:rPr>
          <w:rFonts w:ascii="Garamond" w:hAnsi="Garamond" w:cs="Times New Roman"/>
          <w:color w:val="000000"/>
          <w:sz w:val="24"/>
          <w:szCs w:val="24"/>
        </w:rPr>
        <w:t>25-2165, datë 5.</w:t>
      </w:r>
      <w:r w:rsidR="00B46B26" w:rsidRPr="006931DA">
        <w:rPr>
          <w:rFonts w:ascii="Garamond" w:hAnsi="Garamond" w:cs="Times New Roman"/>
          <w:color w:val="000000"/>
          <w:sz w:val="24"/>
          <w:szCs w:val="24"/>
        </w:rPr>
        <w:t>6.2025</w:t>
      </w:r>
      <w:r>
        <w:rPr>
          <w:rFonts w:ascii="Garamond" w:hAnsi="Garamond" w:cs="Times New Roman"/>
          <w:color w:val="000000"/>
          <w:sz w:val="24"/>
          <w:szCs w:val="24"/>
        </w:rPr>
        <w:t>,</w:t>
      </w:r>
      <w:r w:rsidR="00B46B26" w:rsidRPr="006931DA">
        <w:rPr>
          <w:rFonts w:ascii="Garamond" w:hAnsi="Garamond" w:cs="Times New Roman"/>
          <w:color w:val="000000"/>
          <w:sz w:val="24"/>
          <w:szCs w:val="24"/>
        </w:rPr>
        <w:t xml:space="preserve"> i Kolegjit Administrativ të Gjykatës së Lartë, në dhomën e këshillimit pa praninë e palëve, nuk ka arsyetuar mjaftueshëm për pretendimet thelbësore të kërkuesit.</w:t>
      </w:r>
    </w:p>
    <w:p w14:paraId="6D17F9B8" w14:textId="6A861B78" w:rsidR="00B46B26" w:rsidRPr="006931DA" w:rsidRDefault="006931DA" w:rsidP="00B46B26">
      <w:pPr>
        <w:tabs>
          <w:tab w:val="left" w:pos="720"/>
          <w:tab w:val="left" w:pos="900"/>
          <w:tab w:val="left" w:pos="980"/>
          <w:tab w:val="left" w:pos="1080"/>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13.2</w:t>
      </w:r>
      <w:r w:rsidR="00B46B26" w:rsidRPr="006931DA">
        <w:rPr>
          <w:rFonts w:ascii="Garamond" w:hAnsi="Garamond" w:cs="Times New Roman"/>
          <w:color w:val="000000"/>
          <w:sz w:val="24"/>
          <w:szCs w:val="24"/>
        </w:rPr>
        <w:t xml:space="preserve"> </w:t>
      </w:r>
      <w:r w:rsidR="00B46B26" w:rsidRPr="006931DA">
        <w:rPr>
          <w:rFonts w:ascii="Garamond" w:hAnsi="Garamond" w:cs="Times New Roman"/>
          <w:i/>
          <w:iCs/>
          <w:color w:val="000000"/>
          <w:sz w:val="24"/>
          <w:szCs w:val="24"/>
        </w:rPr>
        <w:t xml:space="preserve">Të drejtën e pronës lidhur me parimin e </w:t>
      </w:r>
      <w:proofErr w:type="spellStart"/>
      <w:r w:rsidR="00B46B26" w:rsidRPr="006931DA">
        <w:rPr>
          <w:rFonts w:ascii="Garamond" w:hAnsi="Garamond" w:cs="Times New Roman"/>
          <w:i/>
          <w:iCs/>
          <w:color w:val="000000"/>
          <w:sz w:val="24"/>
          <w:szCs w:val="24"/>
        </w:rPr>
        <w:t>proporcionalitetit</w:t>
      </w:r>
      <w:proofErr w:type="spellEnd"/>
      <w:r w:rsidR="00B46B26" w:rsidRPr="006931DA">
        <w:rPr>
          <w:rFonts w:ascii="Garamond" w:hAnsi="Garamond" w:cs="Times New Roman"/>
          <w:i/>
          <w:iCs/>
          <w:color w:val="000000"/>
          <w:sz w:val="24"/>
          <w:szCs w:val="24"/>
        </w:rPr>
        <w:t>,</w:t>
      </w:r>
      <w:r w:rsidR="00B46B26" w:rsidRPr="006931DA">
        <w:rPr>
          <w:rFonts w:ascii="Garamond" w:hAnsi="Garamond" w:cs="Times New Roman"/>
          <w:color w:val="000000"/>
          <w:sz w:val="24"/>
          <w:szCs w:val="24"/>
        </w:rPr>
        <w:t xml:space="preserve"> pasi vendimi nr.</w:t>
      </w:r>
      <w:r>
        <w:rPr>
          <w:rFonts w:ascii="Garamond" w:hAnsi="Garamond" w:cs="Times New Roman"/>
          <w:color w:val="000000"/>
          <w:sz w:val="24"/>
          <w:szCs w:val="24"/>
        </w:rPr>
        <w:t xml:space="preserve"> </w:t>
      </w:r>
      <w:r w:rsidR="00B46B26" w:rsidRPr="006931DA">
        <w:rPr>
          <w:rFonts w:ascii="Garamond" w:hAnsi="Garamond" w:cs="Times New Roman"/>
          <w:color w:val="000000"/>
          <w:sz w:val="24"/>
          <w:szCs w:val="24"/>
        </w:rPr>
        <w:t>1278/1996</w:t>
      </w:r>
      <w:r>
        <w:rPr>
          <w:rFonts w:ascii="Garamond" w:hAnsi="Garamond" w:cs="Times New Roman"/>
          <w:color w:val="000000"/>
          <w:sz w:val="24"/>
          <w:szCs w:val="24"/>
        </w:rPr>
        <w:t>,</w:t>
      </w:r>
      <w:r w:rsidR="00B46B26" w:rsidRPr="006931DA">
        <w:rPr>
          <w:rFonts w:ascii="Garamond" w:hAnsi="Garamond" w:cs="Times New Roman"/>
          <w:color w:val="000000"/>
          <w:sz w:val="24"/>
          <w:szCs w:val="24"/>
        </w:rPr>
        <w:t xml:space="preserve"> është burim fillestar dhe i padiskutueshëm i së drejtës së pronësisë së kërkuesit dhe të trashëgimtarëve të tjerë ligjorë. Mohimi i trajtimit të pronës si truall ka sjellë ulje drastike të vlerës së saj duke përbërë një kufizim arbitrar dhe të padrejtë të saj. Gjithashtu, edhe kompensimi i përcaktuar është në kundërshtim me standardin kushtetues dhe </w:t>
      </w:r>
      <w:proofErr w:type="spellStart"/>
      <w:r w:rsidR="00B46B26" w:rsidRPr="006931DA">
        <w:rPr>
          <w:rFonts w:ascii="Garamond" w:hAnsi="Garamond" w:cs="Times New Roman"/>
          <w:color w:val="000000"/>
          <w:sz w:val="24"/>
          <w:szCs w:val="24"/>
        </w:rPr>
        <w:t>konventor</w:t>
      </w:r>
      <w:proofErr w:type="spellEnd"/>
      <w:r w:rsidR="00B46B26" w:rsidRPr="006931DA">
        <w:rPr>
          <w:rFonts w:ascii="Garamond" w:hAnsi="Garamond" w:cs="Times New Roman"/>
          <w:color w:val="000000"/>
          <w:sz w:val="24"/>
          <w:szCs w:val="24"/>
        </w:rPr>
        <w:t>, i cili kërkon që çdo kufizim i pronës të shoqërohet me një dëmshpërblim proporcional dhe të arsyeshëm.</w:t>
      </w:r>
    </w:p>
    <w:p w14:paraId="77E74B00" w14:textId="7DA38675" w:rsidR="00B46B26" w:rsidRPr="006931DA" w:rsidRDefault="00B46B26" w:rsidP="00B46B26">
      <w:pPr>
        <w:tabs>
          <w:tab w:val="left" w:pos="90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14.</w:t>
      </w:r>
      <w:r w:rsidR="006931DA">
        <w:rPr>
          <w:rFonts w:ascii="Garamond" w:hAnsi="Garamond" w:cs="Times New Roman"/>
          <w:color w:val="000000"/>
          <w:sz w:val="24"/>
          <w:szCs w:val="24"/>
        </w:rPr>
        <w:t xml:space="preserve"> </w:t>
      </w:r>
      <w:r w:rsidRPr="006931DA">
        <w:rPr>
          <w:rFonts w:ascii="Garamond" w:hAnsi="Garamond" w:cs="Times New Roman"/>
          <w:b/>
          <w:bCs/>
          <w:i/>
          <w:iCs/>
          <w:color w:val="000000"/>
          <w:sz w:val="24"/>
          <w:szCs w:val="24"/>
        </w:rPr>
        <w:t>Subjekti i interesuar, Avokatura e Shtetit,</w:t>
      </w:r>
      <w:r w:rsidRPr="006931DA">
        <w:rPr>
          <w:rFonts w:ascii="Garamond" w:hAnsi="Garamond" w:cs="Times New Roman"/>
          <w:color w:val="000000"/>
          <w:sz w:val="24"/>
          <w:szCs w:val="24"/>
        </w:rPr>
        <w:t xml:space="preserve"> në mënyrë të përmbledhur, ka prapësuar:</w:t>
      </w:r>
    </w:p>
    <w:p w14:paraId="7F352CC4" w14:textId="579EE577" w:rsidR="00B46B26" w:rsidRPr="006931DA" w:rsidRDefault="006931DA"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14.1 </w:t>
      </w:r>
      <w:r w:rsidR="00B46B26" w:rsidRPr="006931DA">
        <w:rPr>
          <w:rFonts w:ascii="Garamond" w:hAnsi="Garamond" w:cs="Times New Roman"/>
          <w:sz w:val="24"/>
          <w:szCs w:val="24"/>
        </w:rPr>
        <w:t xml:space="preserve">Pretendimet për </w:t>
      </w:r>
      <w:r w:rsidR="00B46B26" w:rsidRPr="006931DA">
        <w:rPr>
          <w:rFonts w:ascii="Garamond" w:hAnsi="Garamond" w:cs="Times New Roman"/>
          <w:color w:val="000000"/>
          <w:sz w:val="24"/>
          <w:szCs w:val="24"/>
        </w:rPr>
        <w:t xml:space="preserve">cenimin e </w:t>
      </w:r>
      <w:r w:rsidR="00B46B26" w:rsidRPr="006931DA">
        <w:rPr>
          <w:rFonts w:ascii="Garamond" w:hAnsi="Garamond" w:cs="Times New Roman"/>
          <w:i/>
          <w:iCs/>
          <w:color w:val="000000"/>
          <w:sz w:val="24"/>
          <w:szCs w:val="24"/>
        </w:rPr>
        <w:t>standardit të arsyetimit të vendimit gjyqësor</w:t>
      </w:r>
      <w:r w:rsidR="00B46B26" w:rsidRPr="006931DA">
        <w:rPr>
          <w:rFonts w:ascii="Garamond" w:hAnsi="Garamond" w:cs="Times New Roman"/>
          <w:color w:val="000000"/>
          <w:sz w:val="24"/>
          <w:szCs w:val="24"/>
        </w:rPr>
        <w:t xml:space="preserve"> të lidhura me </w:t>
      </w:r>
      <w:r w:rsidR="00B46B26" w:rsidRPr="006931DA">
        <w:rPr>
          <w:rFonts w:ascii="Garamond" w:hAnsi="Garamond" w:cs="Times New Roman"/>
          <w:i/>
          <w:iCs/>
          <w:color w:val="000000"/>
          <w:sz w:val="24"/>
          <w:szCs w:val="24"/>
        </w:rPr>
        <w:t>të drejtën e pronës</w:t>
      </w:r>
      <w:r w:rsidR="00B46B26" w:rsidRPr="006931DA">
        <w:rPr>
          <w:rFonts w:ascii="Garamond" w:hAnsi="Garamond" w:cs="Times New Roman"/>
          <w:color w:val="000000"/>
          <w:sz w:val="24"/>
          <w:szCs w:val="24"/>
        </w:rPr>
        <w:t xml:space="preserve"> dhe </w:t>
      </w:r>
      <w:r w:rsidR="00B46B26" w:rsidRPr="006931DA">
        <w:rPr>
          <w:rFonts w:ascii="Garamond" w:hAnsi="Garamond" w:cs="Times New Roman"/>
          <w:i/>
          <w:iCs/>
          <w:color w:val="000000"/>
          <w:sz w:val="24"/>
          <w:szCs w:val="24"/>
        </w:rPr>
        <w:t xml:space="preserve">parimin e </w:t>
      </w:r>
      <w:proofErr w:type="spellStart"/>
      <w:r w:rsidR="00B46B26" w:rsidRPr="006931DA">
        <w:rPr>
          <w:rFonts w:ascii="Garamond" w:hAnsi="Garamond" w:cs="Times New Roman"/>
          <w:i/>
          <w:iCs/>
          <w:color w:val="000000"/>
          <w:sz w:val="24"/>
          <w:szCs w:val="24"/>
        </w:rPr>
        <w:t>proporcionalitetit</w:t>
      </w:r>
      <w:proofErr w:type="spellEnd"/>
      <w:r w:rsidR="00B46B26" w:rsidRPr="006931DA">
        <w:rPr>
          <w:rFonts w:ascii="Garamond" w:hAnsi="Garamond" w:cs="Times New Roman"/>
          <w:color w:val="000000"/>
          <w:sz w:val="24"/>
          <w:szCs w:val="24"/>
        </w:rPr>
        <w:t xml:space="preserve"> nuk qëndrojnë, pasi kanë të bëjnë me mënyrën e shqyrtimit dhe vlerësimit të provave, si dhe me interpretimin e ligjit nga gjykatat e zakonshme. Gjykata Administrative e Apelit ka arsyetuar qartë dhe ka bërë një cilësim të saktë të fakteve dhe veprimeve, në analizë të hollësishme të kuadrit normativ të zbatueshëm, duke arsyetuar se vlerësimi financiar i pronës së njohur për kompensim kërkuesit dhe paditësve të tjerë është bërë sipas zërit </w:t>
      </w:r>
      <w:proofErr w:type="spellStart"/>
      <w:r w:rsidR="00B46B26" w:rsidRPr="006931DA">
        <w:rPr>
          <w:rFonts w:ascii="Garamond" w:hAnsi="Garamond" w:cs="Times New Roman"/>
          <w:color w:val="000000"/>
          <w:sz w:val="24"/>
          <w:szCs w:val="24"/>
        </w:rPr>
        <w:t>kadastral</w:t>
      </w:r>
      <w:proofErr w:type="spellEnd"/>
      <w:r w:rsidR="00B46B26" w:rsidRPr="006931DA">
        <w:rPr>
          <w:rFonts w:ascii="Garamond" w:hAnsi="Garamond" w:cs="Times New Roman"/>
          <w:color w:val="000000"/>
          <w:sz w:val="24"/>
          <w:szCs w:val="24"/>
        </w:rPr>
        <w:t xml:space="preserve"> “kullotë-livadh”, në zbatim të vlerës të përcaktuar për të me VKM-në nr. 89/2016. Qëndrimi i kësaj gjykate për masën/vlerën e kompensimit financiar është në përputhje me nenin 6.1, shkronja “a”, të ligjit nr.133/2015, VKM-në nr. 89/2016 dhe kreun 1, pika 3, të VKM-së nr. 233/2016, duke qenë se në vlerësimin e pronës ATP-ja i është referuar vlerës për “kullotë-livadh” në zonën më të afërt me zonën </w:t>
      </w:r>
      <w:proofErr w:type="spellStart"/>
      <w:r w:rsidR="00B46B26" w:rsidRPr="006931DA">
        <w:rPr>
          <w:rFonts w:ascii="Garamond" w:hAnsi="Garamond" w:cs="Times New Roman"/>
          <w:color w:val="000000"/>
          <w:sz w:val="24"/>
          <w:szCs w:val="24"/>
        </w:rPr>
        <w:t>kadastrale</w:t>
      </w:r>
      <w:proofErr w:type="spellEnd"/>
      <w:r w:rsidR="00B46B26" w:rsidRPr="006931DA">
        <w:rPr>
          <w:rFonts w:ascii="Garamond" w:hAnsi="Garamond" w:cs="Times New Roman"/>
          <w:color w:val="000000"/>
          <w:sz w:val="24"/>
          <w:szCs w:val="24"/>
        </w:rPr>
        <w:t xml:space="preserve"> ku ndodhet prona, pasi në vendndodhjen e saj (të pronës) mungon çmimi për tokën për këtë zë </w:t>
      </w:r>
      <w:proofErr w:type="spellStart"/>
      <w:r w:rsidR="00B46B26" w:rsidRPr="006931DA">
        <w:rPr>
          <w:rFonts w:ascii="Garamond" w:hAnsi="Garamond" w:cs="Times New Roman"/>
          <w:color w:val="000000"/>
          <w:sz w:val="24"/>
          <w:szCs w:val="24"/>
        </w:rPr>
        <w:t>kadastral</w:t>
      </w:r>
      <w:proofErr w:type="spellEnd"/>
      <w:r w:rsidR="00B46B26" w:rsidRPr="006931DA">
        <w:rPr>
          <w:rFonts w:ascii="Garamond" w:hAnsi="Garamond" w:cs="Times New Roman"/>
          <w:color w:val="000000"/>
          <w:sz w:val="24"/>
          <w:szCs w:val="24"/>
        </w:rPr>
        <w:t>. Po kështu, vendimi i Gjykatës së Lartë ka plotësuar kriteret e vendosura nga jurisprudenca për arsyetimin e vendimit gjyqësor. Arsyetimi i Gjykatës Administrative të Apelit, i cili është gjetur i pacenueshëm nga Gjykata e Lartë, lidhur me shpërblimin e drejtë, nuk rezulton të jetë arbitrar.</w:t>
      </w:r>
    </w:p>
    <w:p w14:paraId="36035F74" w14:textId="7D20D4BF" w:rsidR="00B46B26" w:rsidRPr="006931DA" w:rsidRDefault="006931DA"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sz w:val="24"/>
          <w:szCs w:val="24"/>
        </w:rPr>
        <w:t>14.2</w:t>
      </w:r>
      <w:r>
        <w:rPr>
          <w:rFonts w:ascii="Garamond" w:hAnsi="Garamond" w:cs="Times New Roman"/>
          <w:color w:val="000000"/>
          <w:sz w:val="24"/>
          <w:szCs w:val="24"/>
        </w:rPr>
        <w:t xml:space="preserve"> </w:t>
      </w:r>
      <w:r w:rsidR="00B46B26" w:rsidRPr="006931DA">
        <w:rPr>
          <w:rFonts w:ascii="Garamond" w:hAnsi="Garamond" w:cs="Times New Roman"/>
          <w:color w:val="000000"/>
          <w:sz w:val="24"/>
          <w:szCs w:val="24"/>
        </w:rPr>
        <w:t xml:space="preserve">Pretendimet për cenimin e </w:t>
      </w:r>
      <w:r w:rsidR="00B46B26" w:rsidRPr="006931DA">
        <w:rPr>
          <w:rFonts w:ascii="Garamond" w:hAnsi="Garamond" w:cs="Times New Roman"/>
          <w:i/>
          <w:iCs/>
          <w:color w:val="000000"/>
          <w:sz w:val="24"/>
          <w:szCs w:val="24"/>
        </w:rPr>
        <w:t>parimit të sigurisë juridike</w:t>
      </w:r>
      <w:r w:rsidR="00B46B26" w:rsidRPr="006931DA">
        <w:rPr>
          <w:rFonts w:ascii="Garamond" w:hAnsi="Garamond" w:cs="Times New Roman"/>
          <w:color w:val="000000"/>
          <w:sz w:val="24"/>
          <w:szCs w:val="24"/>
        </w:rPr>
        <w:t xml:space="preserve"> nuk qëndrojnë, pasi vendimi i Gjykatës Administrative të Apelit për rrëzimin e padisë, lënë në fuqi nga Gjykata e Lartë me mospranim rekursi, ka pasur si objekt ligjshmërinë e një akti konkret administrativ dhe jo rivlerësimin e së drejtës së pronës në kuptimin material. Ndërkohë, këto pretendime bien ndesh me faktin se vlerësimi i dytë i ATP-së përbën një akt administrativ të ri, i cili ka krijuar një situatë të re faktike dhe juridike që i është nënshtruar shqyrtimit gjyqësor dhe në këto kushte nuk mund të flitet për rihapje të një çështjeje të gjykuar përfundimisht, por për ushtrim të mekanizmave ligjorë të parashikuar për verifikimin e ligjshmërisë së akteve të reja administrative.</w:t>
      </w:r>
    </w:p>
    <w:p w14:paraId="1F583C8C" w14:textId="14C4A450" w:rsidR="00B46B26" w:rsidRPr="006931DA" w:rsidRDefault="00B46B26" w:rsidP="00B46B26">
      <w:pPr>
        <w:tabs>
          <w:tab w:val="left" w:pos="90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15. </w:t>
      </w:r>
      <w:r w:rsidRPr="006931DA">
        <w:rPr>
          <w:rFonts w:ascii="Garamond" w:hAnsi="Garamond" w:cs="Times New Roman"/>
          <w:b/>
          <w:bCs/>
          <w:i/>
          <w:iCs/>
          <w:color w:val="000000"/>
          <w:sz w:val="24"/>
          <w:szCs w:val="24"/>
        </w:rPr>
        <w:t>Subjektet e interesuara</w:t>
      </w:r>
      <w:r w:rsidRPr="006931DA">
        <w:rPr>
          <w:rFonts w:ascii="Garamond" w:hAnsi="Garamond" w:cs="Times New Roman"/>
          <w:color w:val="000000"/>
          <w:sz w:val="24"/>
          <w:szCs w:val="24"/>
        </w:rPr>
        <w:t xml:space="preserve">, Arben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xml:space="preserve">, Albana </w:t>
      </w:r>
      <w:proofErr w:type="spellStart"/>
      <w:r w:rsidRPr="006931DA">
        <w:rPr>
          <w:rFonts w:ascii="Garamond" w:hAnsi="Garamond" w:cs="Times New Roman"/>
          <w:color w:val="000000"/>
          <w:sz w:val="24"/>
          <w:szCs w:val="24"/>
        </w:rPr>
        <w:t>Theodhori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w:t>
      </w:r>
      <w:r w:rsidRPr="006931DA">
        <w:rPr>
          <w:rFonts w:ascii="Garamond" w:hAnsi="Garamond" w:cs="Times New Roman"/>
          <w:b/>
          <w:bCs/>
          <w:color w:val="000000"/>
          <w:sz w:val="24"/>
          <w:szCs w:val="24"/>
        </w:rPr>
        <w:t xml:space="preserve"> </w:t>
      </w:r>
      <w:proofErr w:type="spellStart"/>
      <w:r w:rsidRPr="006931DA">
        <w:rPr>
          <w:rFonts w:ascii="Garamond" w:hAnsi="Garamond" w:cs="Times New Roman"/>
          <w:color w:val="000000"/>
          <w:sz w:val="24"/>
          <w:szCs w:val="24"/>
        </w:rPr>
        <w:t>Enerieta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Vozga</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Nadire</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Bacelli</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Emin</w:t>
      </w:r>
      <w:proofErr w:type="spellEnd"/>
      <w:r w:rsidRPr="006931DA">
        <w:rPr>
          <w:rFonts w:ascii="Garamond" w:hAnsi="Garamond" w:cs="Times New Roman"/>
          <w:color w:val="000000"/>
          <w:sz w:val="24"/>
          <w:szCs w:val="24"/>
        </w:rPr>
        <w:t xml:space="preserve"> Shijaku, Merita Toska, </w:t>
      </w:r>
      <w:proofErr w:type="spellStart"/>
      <w:r w:rsidRPr="006931DA">
        <w:rPr>
          <w:rFonts w:ascii="Garamond" w:hAnsi="Garamond" w:cs="Times New Roman"/>
          <w:color w:val="000000"/>
          <w:sz w:val="24"/>
          <w:szCs w:val="24"/>
        </w:rPr>
        <w:t>Ismail</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Murthi</w:t>
      </w:r>
      <w:proofErr w:type="spellEnd"/>
      <w:r w:rsidRPr="006931DA">
        <w:rPr>
          <w:rFonts w:ascii="Garamond" w:hAnsi="Garamond" w:cs="Times New Roman"/>
          <w:color w:val="000000"/>
          <w:sz w:val="24"/>
          <w:szCs w:val="24"/>
        </w:rPr>
        <w:t xml:space="preserve"> dhe </w:t>
      </w:r>
      <w:proofErr w:type="spellStart"/>
      <w:r w:rsidRPr="006931DA">
        <w:rPr>
          <w:rFonts w:ascii="Garamond" w:hAnsi="Garamond" w:cs="Times New Roman"/>
          <w:color w:val="000000"/>
          <w:sz w:val="24"/>
          <w:szCs w:val="24"/>
        </w:rPr>
        <w:t>Fatlinda</w:t>
      </w:r>
      <w:proofErr w:type="spellEnd"/>
      <w:r w:rsidRPr="006931DA">
        <w:rPr>
          <w:rFonts w:ascii="Garamond" w:hAnsi="Garamond" w:cs="Times New Roman"/>
          <w:color w:val="000000"/>
          <w:sz w:val="24"/>
          <w:szCs w:val="24"/>
        </w:rPr>
        <w:t xml:space="preserve"> Struga, nuk kanë paraqitur prapësime me shkrim, edhe pse janë njoftuar rregullisht nga Gjykata.</w:t>
      </w:r>
    </w:p>
    <w:p w14:paraId="17178A5F" w14:textId="77777777"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Calibri"/>
          <w:color w:val="000000"/>
          <w:sz w:val="24"/>
          <w:szCs w:val="24"/>
        </w:rPr>
      </w:pPr>
    </w:p>
    <w:p w14:paraId="7D242B3C" w14:textId="77777777" w:rsidR="00B46B26" w:rsidRPr="006931DA" w:rsidRDefault="00B46B26" w:rsidP="00B46B26">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III</w:t>
      </w:r>
    </w:p>
    <w:p w14:paraId="6F9B9CFF" w14:textId="77777777" w:rsidR="00B46B26" w:rsidRPr="006931DA" w:rsidRDefault="00B46B26" w:rsidP="00B46B26">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6931DA">
        <w:rPr>
          <w:rFonts w:ascii="Garamond" w:hAnsi="Garamond" w:cs="Times New Roman"/>
          <w:b/>
          <w:bCs/>
          <w:color w:val="000000"/>
          <w:sz w:val="24"/>
          <w:szCs w:val="24"/>
        </w:rPr>
        <w:t>Vlerësimi i Gjykatës Kushtetuese</w:t>
      </w:r>
    </w:p>
    <w:p w14:paraId="4264C472" w14:textId="77777777" w:rsidR="00B46B26" w:rsidRPr="006931DA" w:rsidRDefault="00B46B26" w:rsidP="00B46B26">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A7AE89B" w14:textId="75D486BD" w:rsidR="00B46B26" w:rsidRPr="006931DA" w:rsidRDefault="00B46B26" w:rsidP="00B46B26">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i/>
          <w:iCs/>
          <w:color w:val="000000"/>
          <w:sz w:val="24"/>
          <w:szCs w:val="24"/>
        </w:rPr>
        <w:t>A. Për legjitimimin e kërkuesit</w:t>
      </w:r>
    </w:p>
    <w:p w14:paraId="483A40A6" w14:textId="00F406EE"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6931DA">
        <w:rPr>
          <w:rFonts w:ascii="Garamond" w:hAnsi="Garamond" w:cs="Times New Roman"/>
          <w:color w:val="000000"/>
          <w:sz w:val="24"/>
          <w:szCs w:val="24"/>
        </w:rPr>
        <w:t xml:space="preserve">16. </w:t>
      </w:r>
      <w:r w:rsidRPr="006931DA">
        <w:rPr>
          <w:rFonts w:ascii="Garamond" w:hAnsi="Garamond" w:cs="Times New Roman"/>
          <w:color w:val="222222"/>
          <w:sz w:val="24"/>
          <w:szCs w:val="24"/>
        </w:rPr>
        <w:t>Çështja e legjitimimit (</w:t>
      </w:r>
      <w:proofErr w:type="spellStart"/>
      <w:r w:rsidRPr="006931DA">
        <w:rPr>
          <w:rFonts w:ascii="Garamond" w:hAnsi="Garamond" w:cs="Times New Roman"/>
          <w:i/>
          <w:iCs/>
          <w:color w:val="222222"/>
          <w:sz w:val="24"/>
          <w:szCs w:val="24"/>
        </w:rPr>
        <w:t>locus</w:t>
      </w:r>
      <w:proofErr w:type="spellEnd"/>
      <w:r w:rsidRPr="006931DA">
        <w:rPr>
          <w:rFonts w:ascii="Garamond" w:hAnsi="Garamond" w:cs="Times New Roman"/>
          <w:i/>
          <w:iCs/>
          <w:color w:val="222222"/>
          <w:sz w:val="24"/>
          <w:szCs w:val="24"/>
        </w:rPr>
        <w:t xml:space="preserve"> </w:t>
      </w:r>
      <w:proofErr w:type="spellStart"/>
      <w:r w:rsidRPr="006931DA">
        <w:rPr>
          <w:rFonts w:ascii="Garamond" w:hAnsi="Garamond" w:cs="Times New Roman"/>
          <w:i/>
          <w:iCs/>
          <w:color w:val="222222"/>
          <w:sz w:val="24"/>
          <w:szCs w:val="24"/>
        </w:rPr>
        <w:t>standi</w:t>
      </w:r>
      <w:proofErr w:type="spellEnd"/>
      <w:r w:rsidRPr="006931DA">
        <w:rPr>
          <w:rFonts w:ascii="Garamond" w:hAnsi="Garamond" w:cs="Times New Roman"/>
          <w:color w:val="222222"/>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afatin e paraqitjes së kërkesës, pasojat negative të </w:t>
      </w:r>
      <w:r w:rsidRPr="006931DA">
        <w:rPr>
          <w:rFonts w:ascii="Garamond" w:hAnsi="Garamond" w:cs="Times New Roman"/>
          <w:color w:val="222222"/>
          <w:sz w:val="24"/>
          <w:szCs w:val="24"/>
        </w:rPr>
        <w:lastRenderedPageBreak/>
        <w:t>pësuara në mënyrë të drejtpërdrejtë e reale, shterimin e mjeteve juridike efektive dhe mundësinë për rivendosjen e së drejtës së shkelur.</w:t>
      </w:r>
    </w:p>
    <w:p w14:paraId="7DCEFEF0" w14:textId="76237047"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222222"/>
          <w:sz w:val="24"/>
          <w:szCs w:val="24"/>
        </w:rPr>
      </w:pPr>
      <w:r w:rsidRPr="006931DA">
        <w:rPr>
          <w:rFonts w:ascii="Garamond" w:hAnsi="Garamond" w:cs="Times New Roman"/>
          <w:color w:val="000000"/>
          <w:sz w:val="24"/>
          <w:szCs w:val="24"/>
        </w:rPr>
        <w:t xml:space="preserve">17. Për sa i takon kriterit për legjitimimin </w:t>
      </w:r>
      <w:proofErr w:type="spellStart"/>
      <w:r w:rsidRPr="006931DA">
        <w:rPr>
          <w:rFonts w:ascii="Garamond" w:hAnsi="Garamond" w:cs="Times New Roman"/>
          <w:i/>
          <w:iCs/>
          <w:color w:val="000000"/>
          <w:sz w:val="24"/>
          <w:szCs w:val="24"/>
        </w:rPr>
        <w:t>ratione</w:t>
      </w:r>
      <w:proofErr w:type="spellEnd"/>
      <w:r w:rsidRPr="006931DA">
        <w:rPr>
          <w:rFonts w:ascii="Garamond" w:hAnsi="Garamond" w:cs="Times New Roman"/>
          <w:i/>
          <w:iCs/>
          <w:color w:val="000000"/>
          <w:sz w:val="24"/>
          <w:szCs w:val="24"/>
        </w:rPr>
        <w:t xml:space="preserve"> </w:t>
      </w:r>
      <w:proofErr w:type="spellStart"/>
      <w:r w:rsidRPr="006931DA">
        <w:rPr>
          <w:rFonts w:ascii="Garamond" w:hAnsi="Garamond" w:cs="Times New Roman"/>
          <w:i/>
          <w:iCs/>
          <w:color w:val="000000"/>
          <w:sz w:val="24"/>
          <w:szCs w:val="24"/>
        </w:rPr>
        <w:t>personae</w:t>
      </w:r>
      <w:proofErr w:type="spellEnd"/>
      <w:r w:rsidRPr="006931DA">
        <w:rPr>
          <w:rFonts w:ascii="Garamond" w:hAnsi="Garamond" w:cs="Times New Roman"/>
          <w:color w:val="000000"/>
          <w:sz w:val="24"/>
          <w:szCs w:val="24"/>
        </w:rPr>
        <w:t xml:space="preserve">, Gjykata vlerëson se </w:t>
      </w:r>
      <w:r w:rsidRPr="006931DA">
        <w:rPr>
          <w:rFonts w:ascii="Garamond" w:hAnsi="Garamond" w:cs="Times New Roman"/>
          <w:color w:val="222222"/>
          <w:sz w:val="24"/>
          <w:szCs w:val="24"/>
        </w:rPr>
        <w:t xml:space="preserve">kërkuesi legjitimohet </w:t>
      </w:r>
      <w:proofErr w:type="spellStart"/>
      <w:r w:rsidRPr="006931DA">
        <w:rPr>
          <w:rFonts w:ascii="Garamond" w:hAnsi="Garamond" w:cs="Times New Roman"/>
          <w:i/>
          <w:iCs/>
          <w:color w:val="222222"/>
          <w:sz w:val="24"/>
          <w:szCs w:val="24"/>
        </w:rPr>
        <w:t>ratione</w:t>
      </w:r>
      <w:proofErr w:type="spellEnd"/>
      <w:r w:rsidRPr="006931DA">
        <w:rPr>
          <w:rFonts w:ascii="Garamond" w:hAnsi="Garamond" w:cs="Times New Roman"/>
          <w:i/>
          <w:iCs/>
          <w:color w:val="222222"/>
          <w:sz w:val="24"/>
          <w:szCs w:val="24"/>
        </w:rPr>
        <w:t xml:space="preserve"> </w:t>
      </w:r>
      <w:proofErr w:type="spellStart"/>
      <w:r w:rsidRPr="006931DA">
        <w:rPr>
          <w:rFonts w:ascii="Garamond" w:hAnsi="Garamond" w:cs="Times New Roman"/>
          <w:i/>
          <w:iCs/>
          <w:color w:val="222222"/>
          <w:sz w:val="24"/>
          <w:szCs w:val="24"/>
        </w:rPr>
        <w:t>personae</w:t>
      </w:r>
      <w:proofErr w:type="spellEnd"/>
      <w:r w:rsidRPr="006931DA">
        <w:rPr>
          <w:rFonts w:ascii="Garamond" w:hAnsi="Garamond" w:cs="Times New Roman"/>
          <w:color w:val="222222"/>
          <w:sz w:val="24"/>
          <w:szCs w:val="24"/>
        </w:rPr>
        <w:t>, në kuptim të shkronjës “f”</w:t>
      </w:r>
      <w:r w:rsidR="006931DA">
        <w:rPr>
          <w:rFonts w:ascii="Garamond" w:hAnsi="Garamond" w:cs="Times New Roman"/>
          <w:color w:val="222222"/>
          <w:sz w:val="24"/>
          <w:szCs w:val="24"/>
        </w:rPr>
        <w:t>,</w:t>
      </w:r>
      <w:r w:rsidRPr="006931DA">
        <w:rPr>
          <w:rFonts w:ascii="Garamond" w:hAnsi="Garamond" w:cs="Times New Roman"/>
          <w:color w:val="222222"/>
          <w:sz w:val="24"/>
          <w:szCs w:val="24"/>
        </w:rPr>
        <w:t xml:space="preserve"> të pikës 1</w:t>
      </w:r>
      <w:r w:rsidR="006931DA">
        <w:rPr>
          <w:rFonts w:ascii="Garamond" w:hAnsi="Garamond" w:cs="Times New Roman"/>
          <w:color w:val="222222"/>
          <w:sz w:val="24"/>
          <w:szCs w:val="24"/>
        </w:rPr>
        <w:t>,</w:t>
      </w:r>
      <w:r w:rsidRPr="006931DA">
        <w:rPr>
          <w:rFonts w:ascii="Garamond" w:hAnsi="Garamond" w:cs="Times New Roman"/>
          <w:color w:val="222222"/>
          <w:sz w:val="24"/>
          <w:szCs w:val="24"/>
        </w:rPr>
        <w:t xml:space="preserve"> të nenit 131 </w:t>
      </w:r>
      <w:r w:rsidRPr="006931DA">
        <w:rPr>
          <w:rFonts w:ascii="Garamond" w:hAnsi="Garamond" w:cs="Times New Roman"/>
          <w:color w:val="000000"/>
          <w:sz w:val="24"/>
          <w:szCs w:val="24"/>
        </w:rPr>
        <w:t>dhe shkronjës “i”</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pikës 1</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nenit 134 të Kushtetutës, pasi ka qenë palë </w:t>
      </w:r>
      <w:proofErr w:type="spellStart"/>
      <w:r w:rsidRPr="006931DA">
        <w:rPr>
          <w:rFonts w:ascii="Garamond" w:hAnsi="Garamond" w:cs="Times New Roman"/>
          <w:color w:val="000000"/>
          <w:sz w:val="24"/>
          <w:szCs w:val="24"/>
        </w:rPr>
        <w:t>ndërgjyqëse</w:t>
      </w:r>
      <w:proofErr w:type="spellEnd"/>
      <w:r w:rsidRPr="006931DA">
        <w:rPr>
          <w:rFonts w:ascii="Garamond" w:hAnsi="Garamond" w:cs="Times New Roman"/>
          <w:color w:val="000000"/>
          <w:sz w:val="24"/>
          <w:szCs w:val="24"/>
        </w:rPr>
        <w:t xml:space="preserve"> në çështjen objekt të ankimit kushtetues individual dhe, për rrjedhojë, ka interes të drejtpërdrejtë për vënien në lëvizje të këtij gjykimi kushtetues.</w:t>
      </w:r>
    </w:p>
    <w:p w14:paraId="091726D7" w14:textId="39003373"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18. Në lidhje me kriterin e </w:t>
      </w:r>
      <w:r w:rsidRPr="006931DA">
        <w:rPr>
          <w:rFonts w:ascii="Garamond" w:hAnsi="Garamond" w:cs="Times New Roman"/>
          <w:i/>
          <w:iCs/>
          <w:color w:val="000000"/>
          <w:sz w:val="24"/>
          <w:szCs w:val="24"/>
        </w:rPr>
        <w:t>shterimit të mjeteve juridike efektive,</w:t>
      </w:r>
      <w:r w:rsidRPr="006931DA">
        <w:rPr>
          <w:rFonts w:ascii="Garamond" w:hAnsi="Garamond" w:cs="Times New Roman"/>
          <w:color w:val="000000"/>
          <w:sz w:val="24"/>
          <w:szCs w:val="24"/>
        </w:rPr>
        <w:t xml:space="preserve"> në kuptim të nenit 131, pika 1, shkronja “f”, i Kushtetutës,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6931DA">
        <w:rPr>
          <w:rFonts w:ascii="Garamond" w:hAnsi="Garamond" w:cs="Times New Roman"/>
          <w:i/>
          <w:iCs/>
          <w:sz w:val="24"/>
          <w:szCs w:val="24"/>
        </w:rPr>
        <w:t xml:space="preserve">shih vendimet </w:t>
      </w:r>
      <w:r w:rsidRPr="006931DA">
        <w:rPr>
          <w:rFonts w:ascii="Garamond" w:hAnsi="Garamond" w:cs="Times New Roman"/>
          <w:i/>
          <w:iCs/>
          <w:color w:val="000000"/>
          <w:sz w:val="24"/>
          <w:szCs w:val="24"/>
        </w:rPr>
        <w:t>nr. 14, da</w:t>
      </w:r>
      <w:r w:rsidR="006931DA">
        <w:rPr>
          <w:rFonts w:ascii="Garamond" w:hAnsi="Garamond" w:cs="Times New Roman"/>
          <w:i/>
          <w:iCs/>
          <w:color w:val="000000"/>
          <w:sz w:val="24"/>
          <w:szCs w:val="24"/>
        </w:rPr>
        <w:t>të 21.6.2022; nr. 12, datë 9.</w:t>
      </w:r>
      <w:r w:rsidRPr="006931DA">
        <w:rPr>
          <w:rFonts w:ascii="Garamond" w:hAnsi="Garamond" w:cs="Times New Roman"/>
          <w:i/>
          <w:iCs/>
          <w:color w:val="000000"/>
          <w:sz w:val="24"/>
          <w:szCs w:val="24"/>
        </w:rPr>
        <w:t>3.2021</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sz w:val="24"/>
          <w:szCs w:val="24"/>
        </w:rPr>
        <w:t>).</w:t>
      </w:r>
    </w:p>
    <w:p w14:paraId="5839BE13" w14:textId="7ADCE45F"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19. Gjykata vëren se kërkuesi ka pretenduar </w:t>
      </w:r>
      <w:r w:rsidRPr="006931DA">
        <w:rPr>
          <w:rFonts w:ascii="Garamond" w:hAnsi="Garamond" w:cs="Times New Roman"/>
          <w:color w:val="222222"/>
          <w:sz w:val="24"/>
          <w:szCs w:val="24"/>
        </w:rPr>
        <w:t xml:space="preserve">cenimin e së </w:t>
      </w:r>
      <w:r w:rsidRPr="006931DA">
        <w:rPr>
          <w:rFonts w:ascii="Garamond" w:hAnsi="Garamond" w:cs="Times New Roman"/>
          <w:i/>
          <w:iCs/>
          <w:color w:val="222222"/>
          <w:sz w:val="24"/>
          <w:szCs w:val="24"/>
        </w:rPr>
        <w:t>drejtës së ankimit efektiv dhe të së drejtës për gjykim brenda një afati të arsyeshëm</w:t>
      </w:r>
      <w:r w:rsidRPr="006931DA">
        <w:rPr>
          <w:rFonts w:ascii="Garamond" w:hAnsi="Garamond" w:cs="Times New Roman"/>
          <w:color w:val="222222"/>
          <w:sz w:val="24"/>
          <w:szCs w:val="24"/>
        </w:rPr>
        <w:t xml:space="preserve">, me argumentin se përmes </w:t>
      </w:r>
      <w:r w:rsidRPr="006931DA">
        <w:rPr>
          <w:rFonts w:ascii="Garamond" w:hAnsi="Garamond" w:cs="Times New Roman"/>
          <w:color w:val="000000"/>
          <w:sz w:val="24"/>
          <w:szCs w:val="24"/>
        </w:rPr>
        <w:t>vend</w:t>
      </w:r>
      <w:r w:rsidR="006931DA">
        <w:rPr>
          <w:rFonts w:ascii="Garamond" w:hAnsi="Garamond" w:cs="Times New Roman"/>
          <w:color w:val="000000"/>
          <w:sz w:val="24"/>
          <w:szCs w:val="24"/>
        </w:rPr>
        <w:t>imit të pezullimit të datës 30.</w:t>
      </w:r>
      <w:r w:rsidRPr="006931DA">
        <w:rPr>
          <w:rFonts w:ascii="Garamond" w:hAnsi="Garamond" w:cs="Times New Roman"/>
          <w:color w:val="000000"/>
          <w:sz w:val="24"/>
          <w:szCs w:val="24"/>
        </w:rPr>
        <w:t>9.2024, i cili ka sjellë si pasojë shtyrjen artificiale të procesit gjyqësor, Gjykata Administrative e Apelit i ka mohuar të drejtën për të kundërshtuar vlerësimi</w:t>
      </w:r>
      <w:r w:rsidR="006931DA">
        <w:rPr>
          <w:rFonts w:ascii="Garamond" w:hAnsi="Garamond" w:cs="Times New Roman"/>
          <w:color w:val="000000"/>
          <w:sz w:val="24"/>
          <w:szCs w:val="24"/>
        </w:rPr>
        <w:t>n e dytë të ATP-së të datës 30.</w:t>
      </w:r>
      <w:r w:rsidRPr="006931DA">
        <w:rPr>
          <w:rFonts w:ascii="Garamond" w:hAnsi="Garamond" w:cs="Times New Roman"/>
          <w:color w:val="000000"/>
          <w:sz w:val="24"/>
          <w:szCs w:val="24"/>
        </w:rPr>
        <w:t>3.2023. Lidhur me këtë kërkim, subjekti i interesuar, Avokatura e Shtetit, ka prapësuar se kërkuesi nuk ka shteruar mjetet juridike efektive për pretendimet që lidhe</w:t>
      </w:r>
      <w:r w:rsidR="006931DA">
        <w:rPr>
          <w:rFonts w:ascii="Garamond" w:hAnsi="Garamond" w:cs="Times New Roman"/>
          <w:color w:val="000000"/>
          <w:sz w:val="24"/>
          <w:szCs w:val="24"/>
        </w:rPr>
        <w:t>n me vendimin e datës 30.</w:t>
      </w:r>
      <w:r w:rsidRPr="006931DA">
        <w:rPr>
          <w:rFonts w:ascii="Garamond" w:hAnsi="Garamond" w:cs="Times New Roman"/>
          <w:color w:val="000000"/>
          <w:sz w:val="24"/>
          <w:szCs w:val="24"/>
        </w:rPr>
        <w:t>9.2024</w:t>
      </w:r>
      <w:r w:rsidR="00702F79">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Administrative të Apelit për pezullimin e gjykimit për vlerësimin e dytë dhe vend</w:t>
      </w:r>
      <w:r w:rsidR="006931DA">
        <w:rPr>
          <w:rFonts w:ascii="Garamond" w:hAnsi="Garamond" w:cs="Times New Roman"/>
          <w:color w:val="000000"/>
          <w:sz w:val="24"/>
          <w:szCs w:val="24"/>
        </w:rPr>
        <w:t>imin nr. 00-2025-2461, datë 19.</w:t>
      </w:r>
      <w:r w:rsidRPr="006931DA">
        <w:rPr>
          <w:rFonts w:ascii="Garamond" w:hAnsi="Garamond" w:cs="Times New Roman"/>
          <w:color w:val="000000"/>
          <w:sz w:val="24"/>
          <w:szCs w:val="24"/>
        </w:rPr>
        <w:t>6.2025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së Lartë që ka vendosur mospranimin e rekursit ndaj këtij vendimi.</w:t>
      </w:r>
    </w:p>
    <w:p w14:paraId="3A3DD30B" w14:textId="12253F84"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i/>
          <w:iCs/>
          <w:sz w:val="24"/>
          <w:szCs w:val="24"/>
        </w:rPr>
      </w:pPr>
      <w:r w:rsidRPr="006931DA">
        <w:rPr>
          <w:rFonts w:ascii="Garamond" w:hAnsi="Garamond" w:cs="Times New Roman"/>
          <w:color w:val="000000"/>
          <w:sz w:val="24"/>
          <w:szCs w:val="24"/>
        </w:rPr>
        <w:t xml:space="preserve">20. </w:t>
      </w:r>
      <w:r w:rsidRPr="006931DA">
        <w:rPr>
          <w:rFonts w:ascii="Garamond" w:hAnsi="Garamond" w:cs="Times New Roman"/>
          <w:color w:val="222222"/>
          <w:sz w:val="24"/>
          <w:szCs w:val="24"/>
        </w:rPr>
        <w:t>Në rastin në shqyrtim, në vlerësim të pretendimeve të kërkuesit dhe prapësimeve të subjektit të interesuar, Gjykata konsta</w:t>
      </w:r>
      <w:r w:rsidRPr="006931DA">
        <w:rPr>
          <w:rFonts w:ascii="Garamond" w:hAnsi="Garamond" w:cs="Times New Roman"/>
          <w:color w:val="000000"/>
          <w:sz w:val="24"/>
          <w:szCs w:val="24"/>
        </w:rPr>
        <w:t>ton se këto pretendime kanë të bëjnë me</w:t>
      </w:r>
      <w:r w:rsidR="006931DA">
        <w:rPr>
          <w:rFonts w:ascii="Garamond" w:hAnsi="Garamond" w:cs="Times New Roman"/>
          <w:color w:val="000000"/>
          <w:sz w:val="24"/>
          <w:szCs w:val="24"/>
        </w:rPr>
        <w:t xml:space="preserve"> vendimin gjyqësor të datës 30.</w:t>
      </w:r>
      <w:r w:rsidRPr="006931DA">
        <w:rPr>
          <w:rFonts w:ascii="Garamond" w:hAnsi="Garamond" w:cs="Times New Roman"/>
          <w:color w:val="000000"/>
          <w:sz w:val="24"/>
          <w:szCs w:val="24"/>
        </w:rPr>
        <w:t>9.2024</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Administrative të Apelit, i cili nuk është objekt i këtij gjykimi kushtetues, ndaj në këto rrethana çdo kërkim për këtë proces gjyqësor nuk mund të merret në shqyrtim nga Gjykata, pasi kërkuesi ka mjete të tjera në dispozicion në lidhje me të.</w:t>
      </w:r>
    </w:p>
    <w:p w14:paraId="70D6154D" w14:textId="67C9F137"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21. Lidhur me pretendimet e tjera, Gjykata konstaton se kërkuesi i është drejtuar Gjykatës me ankim kushtetues individual pas përfundimit të procesit gjyqësor në të dyja shkallët e gjykimit dhe pasi ka shteruar në formë e substancë mjetet e zakonshme të ankimit ndaj vendimit të Gjykatës Administrative të Apelit. Për rrjedhojë, ai nuk ka mjet tjetër juridik në dispozicion për mbrojtjen e të drejtave të tij kushtetuese përveç paraqitjes së ankimit kushtetues individual.</w:t>
      </w:r>
    </w:p>
    <w:p w14:paraId="5FFC0FAD" w14:textId="74D0F920"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22. Lidhur me legjitimimin </w:t>
      </w:r>
      <w:proofErr w:type="spellStart"/>
      <w:r w:rsidRPr="006931DA">
        <w:rPr>
          <w:rFonts w:ascii="Garamond" w:hAnsi="Garamond" w:cs="Times New Roman"/>
          <w:i/>
          <w:iCs/>
          <w:color w:val="000000"/>
          <w:sz w:val="24"/>
          <w:szCs w:val="24"/>
        </w:rPr>
        <w:t>ratione</w:t>
      </w:r>
      <w:proofErr w:type="spellEnd"/>
      <w:r w:rsidRPr="006931DA">
        <w:rPr>
          <w:rFonts w:ascii="Garamond" w:hAnsi="Garamond" w:cs="Times New Roman"/>
          <w:i/>
          <w:iCs/>
          <w:color w:val="000000"/>
          <w:sz w:val="24"/>
          <w:szCs w:val="24"/>
        </w:rPr>
        <w:t xml:space="preserve"> </w:t>
      </w:r>
      <w:proofErr w:type="spellStart"/>
      <w:r w:rsidRPr="006931DA">
        <w:rPr>
          <w:rFonts w:ascii="Garamond" w:hAnsi="Garamond" w:cs="Times New Roman"/>
          <w:i/>
          <w:iCs/>
          <w:color w:val="000000"/>
          <w:sz w:val="24"/>
          <w:szCs w:val="24"/>
        </w:rPr>
        <w:t>temporis</w:t>
      </w:r>
      <w:proofErr w:type="spellEnd"/>
      <w:r w:rsidRPr="006931DA">
        <w:rPr>
          <w:rFonts w:ascii="Garamond" w:hAnsi="Garamond" w:cs="Times New Roman"/>
          <w:color w:val="000000"/>
          <w:sz w:val="24"/>
          <w:szCs w:val="24"/>
        </w:rPr>
        <w:t>, në kuptim të përmbajtjes së nenit 71/a, pika 1, shkronja “b”, të Ligjit Organik të Gjykatës, vendimi më i fundit në kohë i kundërshtuar, ai i Kolegjit Administrativ të</w:t>
      </w:r>
      <w:r w:rsidR="006931DA">
        <w:rPr>
          <w:rFonts w:ascii="Garamond" w:hAnsi="Garamond" w:cs="Times New Roman"/>
          <w:color w:val="000000"/>
          <w:sz w:val="24"/>
          <w:szCs w:val="24"/>
        </w:rPr>
        <w:t xml:space="preserve"> Gjykatës së Lartë, mban datën 5.</w:t>
      </w:r>
      <w:r w:rsidRPr="006931DA">
        <w:rPr>
          <w:rFonts w:ascii="Garamond" w:hAnsi="Garamond" w:cs="Times New Roman"/>
          <w:color w:val="000000"/>
          <w:sz w:val="24"/>
          <w:szCs w:val="24"/>
        </w:rPr>
        <w:t>6.2025, ndërkohë që ankimi kusht</w:t>
      </w:r>
      <w:r w:rsidR="006931DA">
        <w:rPr>
          <w:rFonts w:ascii="Garamond" w:hAnsi="Garamond" w:cs="Times New Roman"/>
          <w:color w:val="000000"/>
          <w:sz w:val="24"/>
          <w:szCs w:val="24"/>
        </w:rPr>
        <w:t xml:space="preserve">etues është paraqitur në datën </w:t>
      </w:r>
      <w:r w:rsidRPr="006931DA">
        <w:rPr>
          <w:rFonts w:ascii="Garamond" w:hAnsi="Garamond" w:cs="Times New Roman"/>
          <w:color w:val="000000"/>
          <w:sz w:val="24"/>
          <w:szCs w:val="24"/>
        </w:rPr>
        <w:t>7.10.</w:t>
      </w:r>
      <w:r w:rsidR="006931DA">
        <w:rPr>
          <w:rFonts w:ascii="Garamond" w:hAnsi="Garamond" w:cs="Times New Roman"/>
          <w:color w:val="000000"/>
          <w:sz w:val="24"/>
          <w:szCs w:val="24"/>
        </w:rPr>
        <w:t xml:space="preserve">2025. Me informacionin e datës </w:t>
      </w:r>
      <w:r w:rsidRPr="006931DA">
        <w:rPr>
          <w:rFonts w:ascii="Garamond" w:hAnsi="Garamond" w:cs="Times New Roman"/>
          <w:color w:val="000000"/>
          <w:sz w:val="24"/>
          <w:szCs w:val="24"/>
        </w:rPr>
        <w:t>4.12.2025, Gjykata e Lartë ka sqaruar se vendimi i kundërshtuar nga kërkuesi është publikuar në f</w:t>
      </w:r>
      <w:r w:rsidR="006931DA">
        <w:rPr>
          <w:rFonts w:ascii="Garamond" w:hAnsi="Garamond" w:cs="Times New Roman"/>
          <w:color w:val="000000"/>
          <w:sz w:val="24"/>
          <w:szCs w:val="24"/>
        </w:rPr>
        <w:t>aqen e saj zyrtare në datën 14.</w:t>
      </w:r>
      <w:r w:rsidRPr="006931DA">
        <w:rPr>
          <w:rFonts w:ascii="Garamond" w:hAnsi="Garamond" w:cs="Times New Roman"/>
          <w:color w:val="000000"/>
          <w:sz w:val="24"/>
          <w:szCs w:val="24"/>
        </w:rPr>
        <w:t xml:space="preserve">7.2025, datë nga e cila është bërë i </w:t>
      </w:r>
      <w:proofErr w:type="spellStart"/>
      <w:r w:rsidRPr="006931DA">
        <w:rPr>
          <w:rFonts w:ascii="Garamond" w:hAnsi="Garamond" w:cs="Times New Roman"/>
          <w:color w:val="000000"/>
          <w:sz w:val="24"/>
          <w:szCs w:val="24"/>
        </w:rPr>
        <w:t>disponueshëm</w:t>
      </w:r>
      <w:proofErr w:type="spellEnd"/>
      <w:r w:rsidRPr="006931DA">
        <w:rPr>
          <w:rFonts w:ascii="Garamond" w:hAnsi="Garamond" w:cs="Times New Roman"/>
          <w:color w:val="000000"/>
          <w:sz w:val="24"/>
          <w:szCs w:val="24"/>
        </w:rPr>
        <w:t xml:space="preserve"> për palët.</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 xml:space="preserve">Për rrjedhojë, Gjykata vlerëson se kërkesa është paraqitur brenda afatit ligjor 4-mujor dhe kërkuesi legjitimohet </w:t>
      </w:r>
      <w:proofErr w:type="spellStart"/>
      <w:r w:rsidRPr="006931DA">
        <w:rPr>
          <w:rFonts w:ascii="Garamond" w:hAnsi="Garamond" w:cs="Times New Roman"/>
          <w:i/>
          <w:iCs/>
          <w:color w:val="000000"/>
          <w:sz w:val="24"/>
          <w:szCs w:val="24"/>
        </w:rPr>
        <w:t>ratione</w:t>
      </w:r>
      <w:proofErr w:type="spellEnd"/>
      <w:r w:rsidRPr="006931DA">
        <w:rPr>
          <w:rFonts w:ascii="Garamond" w:hAnsi="Garamond" w:cs="Times New Roman"/>
          <w:i/>
          <w:iCs/>
          <w:color w:val="000000"/>
          <w:sz w:val="24"/>
          <w:szCs w:val="24"/>
        </w:rPr>
        <w:t xml:space="preserve"> </w:t>
      </w:r>
      <w:proofErr w:type="spellStart"/>
      <w:r w:rsidRPr="006931DA">
        <w:rPr>
          <w:rFonts w:ascii="Garamond" w:hAnsi="Garamond" w:cs="Times New Roman"/>
          <w:i/>
          <w:iCs/>
          <w:color w:val="000000"/>
          <w:sz w:val="24"/>
          <w:szCs w:val="24"/>
        </w:rPr>
        <w:t>temporis</w:t>
      </w:r>
      <w:proofErr w:type="spellEnd"/>
      <w:r w:rsidRPr="006931DA">
        <w:rPr>
          <w:rFonts w:ascii="Garamond" w:hAnsi="Garamond" w:cs="Times New Roman"/>
          <w:color w:val="000000"/>
          <w:sz w:val="24"/>
          <w:szCs w:val="24"/>
        </w:rPr>
        <w:t xml:space="preserve">. </w:t>
      </w:r>
    </w:p>
    <w:p w14:paraId="63F23E7B" w14:textId="26A3D678" w:rsidR="00B46B26" w:rsidRPr="006931DA" w:rsidRDefault="00B46B26" w:rsidP="00B46B26">
      <w:pPr>
        <w:tabs>
          <w:tab w:val="left" w:pos="720"/>
          <w:tab w:val="left" w:pos="980"/>
          <w:tab w:val="left" w:pos="1080"/>
          <w:tab w:val="left" w:pos="134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23. Për sa i përket legjitimimit </w:t>
      </w:r>
      <w:proofErr w:type="spellStart"/>
      <w:r w:rsidRPr="006931DA">
        <w:rPr>
          <w:rFonts w:ascii="Garamond" w:hAnsi="Garamond" w:cs="Times New Roman"/>
          <w:i/>
          <w:iCs/>
          <w:color w:val="000000"/>
          <w:sz w:val="24"/>
          <w:szCs w:val="24"/>
        </w:rPr>
        <w:t>ratione</w:t>
      </w:r>
      <w:proofErr w:type="spellEnd"/>
      <w:r w:rsidRPr="006931DA">
        <w:rPr>
          <w:rFonts w:ascii="Garamond" w:hAnsi="Garamond" w:cs="Times New Roman"/>
          <w:i/>
          <w:iCs/>
          <w:color w:val="000000"/>
          <w:sz w:val="24"/>
          <w:szCs w:val="24"/>
        </w:rPr>
        <w:t xml:space="preserve"> </w:t>
      </w:r>
      <w:proofErr w:type="spellStart"/>
      <w:r w:rsidRPr="006931DA">
        <w:rPr>
          <w:rFonts w:ascii="Garamond" w:hAnsi="Garamond" w:cs="Times New Roman"/>
          <w:i/>
          <w:iCs/>
          <w:color w:val="000000"/>
          <w:sz w:val="24"/>
          <w:szCs w:val="24"/>
        </w:rPr>
        <w:t>materiae</w:t>
      </w:r>
      <w:proofErr w:type="spellEnd"/>
      <w:r w:rsidRPr="006931DA">
        <w:rPr>
          <w:rFonts w:ascii="Garamond" w:hAnsi="Garamond" w:cs="Times New Roman"/>
          <w:color w:val="000000"/>
          <w:sz w:val="24"/>
          <w:szCs w:val="24"/>
        </w:rPr>
        <w:t xml:space="preserve">, kërkuesi ka pretenduar cenimin e </w:t>
      </w:r>
      <w:r w:rsidRPr="006931DA">
        <w:rPr>
          <w:rFonts w:ascii="Garamond" w:hAnsi="Garamond" w:cs="Times New Roman"/>
          <w:i/>
          <w:iCs/>
          <w:color w:val="000000"/>
          <w:sz w:val="24"/>
          <w:szCs w:val="24"/>
        </w:rPr>
        <w:t>së drejtës për proces të rregullt ligjor në drejtim të standardit të arsyetimit të vendimit gjyqësor, parimit të sigurisë juridike</w:t>
      </w:r>
      <w:r w:rsidRPr="006931DA">
        <w:rPr>
          <w:rFonts w:ascii="Garamond" w:hAnsi="Garamond" w:cs="Times New Roman"/>
          <w:color w:val="000000"/>
          <w:sz w:val="24"/>
          <w:szCs w:val="24"/>
        </w:rPr>
        <w:t xml:space="preserve">, si dhe </w:t>
      </w:r>
      <w:r w:rsidRPr="006931DA">
        <w:rPr>
          <w:rFonts w:ascii="Garamond" w:hAnsi="Garamond" w:cs="Times New Roman"/>
          <w:i/>
          <w:iCs/>
          <w:color w:val="000000"/>
          <w:sz w:val="24"/>
          <w:szCs w:val="24"/>
        </w:rPr>
        <w:t>të</w:t>
      </w:r>
      <w:r w:rsidRPr="006931DA">
        <w:rPr>
          <w:rFonts w:ascii="Garamond" w:hAnsi="Garamond" w:cs="Times New Roman"/>
          <w:color w:val="000000"/>
          <w:sz w:val="24"/>
          <w:szCs w:val="24"/>
        </w:rPr>
        <w:t xml:space="preserve"> </w:t>
      </w:r>
      <w:r w:rsidRPr="006931DA">
        <w:rPr>
          <w:rFonts w:ascii="Garamond" w:hAnsi="Garamond" w:cs="Times New Roman"/>
          <w:i/>
          <w:iCs/>
          <w:color w:val="000000"/>
          <w:sz w:val="24"/>
          <w:szCs w:val="24"/>
        </w:rPr>
        <w:t>së drejtës së pronës</w:t>
      </w:r>
      <w:r w:rsidRPr="006931DA">
        <w:rPr>
          <w:rFonts w:ascii="Garamond" w:hAnsi="Garamond" w:cs="Times New Roman"/>
          <w:color w:val="000000"/>
          <w:sz w:val="24"/>
          <w:szCs w:val="24"/>
        </w:rPr>
        <w:t xml:space="preserve"> të lidhur </w:t>
      </w:r>
      <w:r w:rsidRPr="006931DA">
        <w:rPr>
          <w:rFonts w:ascii="Garamond" w:hAnsi="Garamond" w:cs="Times New Roman"/>
          <w:i/>
          <w:iCs/>
          <w:color w:val="000000"/>
          <w:sz w:val="24"/>
          <w:szCs w:val="24"/>
        </w:rPr>
        <w:t xml:space="preserve">me parimin e </w:t>
      </w:r>
      <w:proofErr w:type="spellStart"/>
      <w:r w:rsidRPr="006931DA">
        <w:rPr>
          <w:rFonts w:ascii="Garamond" w:hAnsi="Garamond" w:cs="Times New Roman"/>
          <w:i/>
          <w:iCs/>
          <w:color w:val="000000"/>
          <w:sz w:val="24"/>
          <w:szCs w:val="24"/>
        </w:rPr>
        <w:t>proporcionalitetit</w:t>
      </w:r>
      <w:proofErr w:type="spellEnd"/>
      <w:r w:rsidRPr="006931DA">
        <w:rPr>
          <w:rFonts w:ascii="Garamond" w:hAnsi="Garamond" w:cs="Times New Roman"/>
          <w:color w:val="000000"/>
          <w:sz w:val="24"/>
          <w:szCs w:val="24"/>
        </w:rPr>
        <w:t xml:space="preserve">, të garantuara respektivisht nga nenet 42, 41 dhe 17 të Kushtetutës, të cilat në thelb lidhen me përmbushjen e </w:t>
      </w:r>
      <w:proofErr w:type="spellStart"/>
      <w:r w:rsidRPr="006931DA">
        <w:rPr>
          <w:rFonts w:ascii="Garamond" w:hAnsi="Garamond" w:cs="Times New Roman"/>
          <w:color w:val="000000"/>
          <w:sz w:val="24"/>
          <w:szCs w:val="24"/>
        </w:rPr>
        <w:t>pritshmërive</w:t>
      </w:r>
      <w:proofErr w:type="spellEnd"/>
      <w:r w:rsidRPr="006931DA">
        <w:rPr>
          <w:rFonts w:ascii="Garamond" w:hAnsi="Garamond" w:cs="Times New Roman"/>
          <w:color w:val="000000"/>
          <w:sz w:val="24"/>
          <w:szCs w:val="24"/>
        </w:rPr>
        <w:t xml:space="preserve"> të ligjshme të kërkuesit për një shpërblim të drejtë për pronën. Duke mbajtur në konsideratë se neni 41 i Kushtetutës parashikon se e drejta e pronës private është e garantuar (</w:t>
      </w:r>
      <w:r w:rsidRPr="006931DA">
        <w:rPr>
          <w:rFonts w:ascii="Garamond" w:hAnsi="Garamond" w:cs="Times New Roman"/>
          <w:i/>
          <w:iCs/>
          <w:color w:val="000000"/>
          <w:sz w:val="24"/>
          <w:szCs w:val="24"/>
        </w:rPr>
        <w:t>pika 1</w:t>
      </w:r>
      <w:r w:rsidRPr="006931DA">
        <w:rPr>
          <w:rFonts w:ascii="Garamond" w:hAnsi="Garamond" w:cs="Times New Roman"/>
          <w:color w:val="000000"/>
          <w:sz w:val="24"/>
          <w:szCs w:val="24"/>
        </w:rPr>
        <w:t>) dhe shpronësimet ose ato kufizime të së drejtës së pronës që barazohen me shpronësimin lejohen vetëm përkundrejt një shpërblimi të drejtë (</w:t>
      </w:r>
      <w:r w:rsidRPr="006931DA">
        <w:rPr>
          <w:rFonts w:ascii="Garamond" w:hAnsi="Garamond" w:cs="Times New Roman"/>
          <w:i/>
          <w:iCs/>
          <w:color w:val="000000"/>
          <w:sz w:val="24"/>
          <w:szCs w:val="24"/>
        </w:rPr>
        <w:t>pika 4</w:t>
      </w:r>
      <w:r w:rsidRPr="006931DA">
        <w:rPr>
          <w:rFonts w:ascii="Garamond" w:hAnsi="Garamond" w:cs="Times New Roman"/>
          <w:color w:val="000000"/>
          <w:sz w:val="24"/>
          <w:szCs w:val="24"/>
        </w:rPr>
        <w:t xml:space="preserve">), ndërsa neni 42 garanton shprehimisht procesin e rregullt ligjor për të drejtën e pronës, duke u shprehur se prona nuk mund të cenohet pa një proces të rregullt ligjor dhe se kushdo, për mbrojtjen e së drejtës </w:t>
      </w:r>
      <w:r w:rsidRPr="006931DA">
        <w:rPr>
          <w:rFonts w:ascii="Garamond" w:hAnsi="Garamond" w:cs="Times New Roman"/>
          <w:color w:val="000000"/>
          <w:sz w:val="24"/>
          <w:szCs w:val="24"/>
        </w:rPr>
        <w:lastRenderedPageBreak/>
        <w:t>kushtetuese të pronës, ka të drejtën e një gjykimi të drejtë, Gjykata do t’i analizojë pretendimet në vijim në këndvështrim të parimit të sigurisë juridike të lidhur me standardin e arsyetimit të vendimit gjyqësor, me pasoja në të drejtën e pronës.</w:t>
      </w:r>
    </w:p>
    <w:p w14:paraId="427906BD" w14:textId="7DC983EB" w:rsidR="00B46B26" w:rsidRPr="006931DA" w:rsidRDefault="00B46B26" w:rsidP="00B46B26">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i/>
          <w:iCs/>
          <w:color w:val="000000"/>
          <w:sz w:val="24"/>
          <w:szCs w:val="24"/>
        </w:rPr>
        <w:t>B. Për themelin e pretendimeve</w:t>
      </w:r>
    </w:p>
    <w:p w14:paraId="380464D7" w14:textId="59F60A9F" w:rsidR="00B46B26" w:rsidRPr="006931DA" w:rsidRDefault="006931DA" w:rsidP="00B46B26">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 xml:space="preserve">B.1 </w:t>
      </w:r>
      <w:r w:rsidR="00B46B26" w:rsidRPr="006931DA">
        <w:rPr>
          <w:rFonts w:ascii="Garamond" w:hAnsi="Garamond" w:cs="Times New Roman"/>
          <w:i/>
          <w:iCs/>
          <w:color w:val="000000"/>
          <w:sz w:val="24"/>
          <w:szCs w:val="24"/>
        </w:rPr>
        <w:t>Për cenimin e parimit të sigurisë juridike të lidhur me standardin e arsyetimit të vendimit</w:t>
      </w:r>
      <w:r>
        <w:rPr>
          <w:rFonts w:ascii="Garamond" w:hAnsi="Garamond" w:cs="Times New Roman"/>
          <w:i/>
          <w:iCs/>
          <w:color w:val="000000"/>
          <w:sz w:val="24"/>
          <w:szCs w:val="24"/>
        </w:rPr>
        <w:t xml:space="preserve"> </w:t>
      </w:r>
    </w:p>
    <w:p w14:paraId="64810F00" w14:textId="75759A3D"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24. Kërkuesi ka pretenduar se Gjykata e Lartë duhet të zbatonte në mënyrë të drejtpërdrejtë vendimet e</w:t>
      </w:r>
      <w:r w:rsidR="006931DA">
        <w:rPr>
          <w:rFonts w:ascii="Garamond" w:hAnsi="Garamond" w:cs="Times New Roman"/>
          <w:color w:val="000000"/>
          <w:sz w:val="24"/>
          <w:szCs w:val="24"/>
        </w:rPr>
        <w:t xml:space="preserve"> detyrueshme nr.13618/10, datë </w:t>
      </w:r>
      <w:r w:rsidRPr="006931DA">
        <w:rPr>
          <w:rFonts w:ascii="Garamond" w:hAnsi="Garamond" w:cs="Times New Roman"/>
          <w:color w:val="000000"/>
          <w:sz w:val="24"/>
          <w:szCs w:val="24"/>
        </w:rPr>
        <w:t>1.10.2020</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w:t>
      </w:r>
      <w:proofErr w:type="spellStart"/>
      <w:r w:rsidRPr="006931DA">
        <w:rPr>
          <w:rFonts w:ascii="Garamond" w:hAnsi="Garamond" w:cs="Times New Roman"/>
          <w:i/>
          <w:iCs/>
          <w:color w:val="000000"/>
          <w:spacing w:val="-15"/>
          <w:sz w:val="24"/>
          <w:szCs w:val="24"/>
        </w:rPr>
        <w:t>Gjergo</w:t>
      </w:r>
      <w:proofErr w:type="spellEnd"/>
      <w:r w:rsidRPr="006931DA">
        <w:rPr>
          <w:rFonts w:ascii="Garamond" w:hAnsi="Garamond" w:cs="Times New Roman"/>
          <w:i/>
          <w:iCs/>
          <w:color w:val="000000"/>
          <w:spacing w:val="-15"/>
          <w:sz w:val="24"/>
          <w:szCs w:val="24"/>
        </w:rPr>
        <w:t xml:space="preserve"> dhe </w:t>
      </w:r>
      <w:proofErr w:type="spellStart"/>
      <w:r w:rsidRPr="006931DA">
        <w:rPr>
          <w:rFonts w:ascii="Garamond" w:hAnsi="Garamond" w:cs="Times New Roman"/>
          <w:i/>
          <w:iCs/>
          <w:color w:val="000000"/>
          <w:spacing w:val="-15"/>
          <w:sz w:val="24"/>
          <w:szCs w:val="24"/>
        </w:rPr>
        <w:t>Babicenko</w:t>
      </w:r>
      <w:proofErr w:type="spellEnd"/>
      <w:r w:rsidRPr="006931DA">
        <w:rPr>
          <w:rFonts w:ascii="Garamond" w:hAnsi="Garamond" w:cs="Times New Roman"/>
          <w:i/>
          <w:iCs/>
          <w:color w:val="000000"/>
          <w:spacing w:val="-15"/>
          <w:sz w:val="24"/>
          <w:szCs w:val="24"/>
        </w:rPr>
        <w:t xml:space="preserve"> kundër Shqipërisë dhe 76 kërkesa të tjera</w:t>
      </w:r>
      <w:r w:rsidR="006931DA">
        <w:rPr>
          <w:rFonts w:ascii="Garamond" w:hAnsi="Garamond" w:cs="Times New Roman"/>
          <w:color w:val="000000"/>
          <w:sz w:val="24"/>
          <w:szCs w:val="24"/>
        </w:rPr>
        <w:t xml:space="preserve"> dhe nr. 56937/10, datë 3.</w:t>
      </w:r>
      <w:r w:rsidRPr="006931DA">
        <w:rPr>
          <w:rFonts w:ascii="Garamond" w:hAnsi="Garamond" w:cs="Times New Roman"/>
          <w:color w:val="000000"/>
          <w:sz w:val="24"/>
          <w:szCs w:val="24"/>
        </w:rPr>
        <w:t>6.2021</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w:t>
      </w:r>
      <w:r w:rsidRPr="006931DA">
        <w:rPr>
          <w:rFonts w:ascii="Garamond" w:hAnsi="Garamond" w:cs="Times New Roman"/>
          <w:i/>
          <w:iCs/>
          <w:color w:val="000000"/>
          <w:sz w:val="24"/>
          <w:szCs w:val="24"/>
        </w:rPr>
        <w:t xml:space="preserve">Ruci dhe </w:t>
      </w:r>
      <w:proofErr w:type="spellStart"/>
      <w:r w:rsidRPr="006931DA">
        <w:rPr>
          <w:rFonts w:ascii="Garamond" w:hAnsi="Garamond" w:cs="Times New Roman"/>
          <w:i/>
          <w:iCs/>
          <w:color w:val="000000"/>
          <w:sz w:val="24"/>
          <w:szCs w:val="24"/>
        </w:rPr>
        <w:t>Bejleri</w:t>
      </w:r>
      <w:proofErr w:type="spellEnd"/>
      <w:r w:rsidRPr="006931DA">
        <w:rPr>
          <w:rFonts w:ascii="Garamond" w:hAnsi="Garamond" w:cs="Times New Roman"/>
          <w:i/>
          <w:iCs/>
          <w:color w:val="000000"/>
          <w:sz w:val="24"/>
          <w:szCs w:val="24"/>
        </w:rPr>
        <w:t xml:space="preserve"> kundër Shqipërisë dhe 191 kërkesa të tjera</w:t>
      </w:r>
      <w:r w:rsidRPr="006931DA">
        <w:rPr>
          <w:rFonts w:ascii="Garamond" w:hAnsi="Garamond" w:cs="Times New Roman"/>
          <w:color w:val="000000"/>
          <w:sz w:val="24"/>
          <w:szCs w:val="24"/>
        </w:rPr>
        <w:t xml:space="preserve"> të GJEDNJ-së që kanë vendosur standardin që shteti shqiptar duhet t’iu garantojë ish-pronarëve të paktën 10% të pronës si truall ose një kompensim real që pasqyron vlerën e tregut. Sipas tij, këto vendime të GJEDNJ-së edhe pse janë të detyrueshme nuk janë marrë parasysh nga gjykatat në vendimmarrjet e tyre. Nga ana tjetër, po sipas tij, Gjykata Administrative e Apelit nuk ka dhënë arsyetim bindës lidhur me konkluzionet në aktin e ekspertimit, ndërsa Gjykata e Lartë, në dhomën e këshillimit, pa praninë e palëve, nuk ka arsyetuar mjaftueshëm për pretendimet thelbësore të tij. Vendimi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i KKKP-së, Tiranë është burim fillestar dhe i padiskutueshëm i së drejtës së pronësisë dhe mohimi i trajtimit të pronës si “truall” ka sjellë ulje drastike të vlerës së saj, duke përbërë një kufizim arbitrar dhe të padrejtë të saj. Kompensimi i përcaktuar nga ATP-ja dhe gjykatat është në kundërshtim me standardin kushtetues dhe </w:t>
      </w:r>
      <w:proofErr w:type="spellStart"/>
      <w:r w:rsidRPr="006931DA">
        <w:rPr>
          <w:rFonts w:ascii="Garamond" w:hAnsi="Garamond" w:cs="Times New Roman"/>
          <w:color w:val="000000"/>
          <w:sz w:val="24"/>
          <w:szCs w:val="24"/>
        </w:rPr>
        <w:t>konventor</w:t>
      </w:r>
      <w:proofErr w:type="spellEnd"/>
      <w:r w:rsidRPr="006931DA">
        <w:rPr>
          <w:rFonts w:ascii="Garamond" w:hAnsi="Garamond" w:cs="Times New Roman"/>
          <w:color w:val="000000"/>
          <w:sz w:val="24"/>
          <w:szCs w:val="24"/>
        </w:rPr>
        <w:t>, i cili kërkon që çdo kufizim i pronës të shoqërohet me një dëmshpërblim proporcional dhe të arsyeshëm.</w:t>
      </w:r>
    </w:p>
    <w:p w14:paraId="462956F4" w14:textId="3BAB08E0"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25. Subjekti i interesuar, Avokatura e Shtetit, ka prapësuar se Gjykata Administrative e Apelit ka bërë një cilësim të saktë të fakteve e veprimeve, në analizë të hollësishme të kuadrit normativ të zbatueshëm, duke arsyetuar se vlerësimi financiar i pronës së njohur për kompensim kërkuesit dhe paditësve të tjerë është bërë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“kullotë-livadh”, në zbatim të vlerës të përcaktuar për të me VKM-në nr. 89/2016, ndërsa masa e vlerës së kompensimit financiar është në përputhje me nenin 6.1, shkronja “a”, të ligjit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 xml:space="preserve">133/2015, VKM-në nr. 89/2016 dhe kreun 1, pika 3, të VKM-së nr. 233/2016. Po kështu, sipas subjektit të interesuar, vendimi i Gjykatës Administrative të Apelit për rrëzimin e padisë, lënë në fuqi nga Gjykata e Lartë me mospranim rekursi, ka pasur si objekt ligjshmërinë e një akti konkret administrativ dhe jo rivlerësimin e së drejtës së pronës në kuptimin material. </w:t>
      </w:r>
    </w:p>
    <w:p w14:paraId="3AF9B452" w14:textId="713431A1" w:rsidR="00B46B26" w:rsidRPr="006931DA" w:rsidRDefault="00B46B26" w:rsidP="00B46B26">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6931DA">
        <w:rPr>
          <w:rFonts w:ascii="Garamond" w:hAnsi="Garamond" w:cs="Times New Roman"/>
          <w:color w:val="000000"/>
          <w:sz w:val="24"/>
          <w:szCs w:val="24"/>
        </w:rPr>
        <w:t>26. Gjykata thekson se siguria juridike nënkupton, ndërmjet të tjerash, garantimin e besueshmërisë së individit te shteti, institucionet e tij dhe tek aktet që ato nxjerrin (</w:t>
      </w:r>
      <w:r w:rsidRPr="006931DA">
        <w:rPr>
          <w:rFonts w:ascii="Garamond" w:hAnsi="Garamond" w:cs="Times New Roman"/>
          <w:i/>
          <w:iCs/>
          <w:color w:val="000000"/>
          <w:sz w:val="24"/>
          <w:szCs w:val="24"/>
        </w:rPr>
        <w:t>shih vendimet nr.</w:t>
      </w:r>
      <w:r w:rsidRPr="006931DA">
        <w:rPr>
          <w:rFonts w:ascii="Garamond" w:hAnsi="Garamond" w:cs="Times New Roman"/>
          <w:b/>
          <w:bCs/>
          <w:color w:val="000000"/>
          <w:sz w:val="24"/>
          <w:szCs w:val="24"/>
        </w:rPr>
        <w:t xml:space="preserve"> </w:t>
      </w:r>
      <w:r w:rsidRPr="006931DA">
        <w:rPr>
          <w:rFonts w:ascii="Garamond" w:hAnsi="Garamond" w:cs="Times New Roman"/>
          <w:i/>
          <w:iCs/>
          <w:color w:val="000000"/>
          <w:sz w:val="24"/>
          <w:szCs w:val="24"/>
        </w:rPr>
        <w:t>2, datë</w:t>
      </w:r>
      <w:r w:rsidR="006931DA">
        <w:rPr>
          <w:rFonts w:ascii="Garamond" w:hAnsi="Garamond" w:cs="Times New Roman"/>
          <w:i/>
          <w:iCs/>
          <w:color w:val="000000"/>
          <w:sz w:val="24"/>
          <w:szCs w:val="24"/>
        </w:rPr>
        <w:t xml:space="preserve"> 11.2.2021; nr. 50, datë 3.</w:t>
      </w:r>
      <w:r w:rsidRPr="006931DA">
        <w:rPr>
          <w:rFonts w:ascii="Garamond" w:hAnsi="Garamond" w:cs="Times New Roman"/>
          <w:i/>
          <w:iCs/>
          <w:color w:val="000000"/>
          <w:sz w:val="24"/>
          <w:szCs w:val="24"/>
        </w:rPr>
        <w:t>7.2017</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 Për sa u përket të drejtave të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për rrjedhojë parimi i sigurisë juridike (</w:t>
      </w:r>
      <w:r w:rsidRPr="006931DA">
        <w:rPr>
          <w:rFonts w:ascii="Garamond" w:hAnsi="Garamond" w:cs="Times New Roman"/>
          <w:i/>
          <w:iCs/>
          <w:color w:val="000000"/>
          <w:sz w:val="24"/>
          <w:szCs w:val="24"/>
        </w:rPr>
        <w:t>shih vendime</w:t>
      </w:r>
      <w:r w:rsidR="006931DA">
        <w:rPr>
          <w:rFonts w:ascii="Garamond" w:hAnsi="Garamond" w:cs="Times New Roman"/>
          <w:i/>
          <w:iCs/>
          <w:color w:val="000000"/>
          <w:sz w:val="24"/>
          <w:szCs w:val="24"/>
        </w:rPr>
        <w:t>t nr. 11, datë 16.</w:t>
      </w:r>
      <w:r w:rsidRPr="006931DA">
        <w:rPr>
          <w:rFonts w:ascii="Garamond" w:hAnsi="Garamond" w:cs="Times New Roman"/>
          <w:i/>
          <w:iCs/>
          <w:color w:val="000000"/>
          <w:sz w:val="24"/>
          <w:szCs w:val="24"/>
        </w:rPr>
        <w:t>4.2018</w:t>
      </w:r>
      <w:r w:rsidRPr="006931DA">
        <w:rPr>
          <w:rFonts w:ascii="Garamond" w:hAnsi="Garamond" w:cs="Times New Roman"/>
          <w:color w:val="000000"/>
          <w:sz w:val="24"/>
          <w:szCs w:val="24"/>
        </w:rPr>
        <w:t>;</w:t>
      </w:r>
      <w:r w:rsidRPr="006931DA">
        <w:rPr>
          <w:rFonts w:ascii="Garamond" w:hAnsi="Garamond" w:cs="Times New Roman"/>
          <w:i/>
          <w:iCs/>
          <w:color w:val="000000"/>
          <w:sz w:val="24"/>
          <w:szCs w:val="24"/>
        </w:rPr>
        <w:t xml:space="preserve"> nr.</w:t>
      </w:r>
      <w:r w:rsidR="006931DA">
        <w:rPr>
          <w:rFonts w:ascii="Garamond" w:hAnsi="Garamond" w:cs="Times New Roman"/>
          <w:i/>
          <w:iCs/>
          <w:color w:val="000000"/>
          <w:sz w:val="24"/>
          <w:szCs w:val="24"/>
        </w:rPr>
        <w:t xml:space="preserve"> 10, datë 13.</w:t>
      </w:r>
      <w:r w:rsidRPr="006931DA">
        <w:rPr>
          <w:rFonts w:ascii="Garamond" w:hAnsi="Garamond" w:cs="Times New Roman"/>
          <w:i/>
          <w:iCs/>
          <w:color w:val="000000"/>
          <w:sz w:val="24"/>
          <w:szCs w:val="24"/>
        </w:rPr>
        <w:t>2.2017</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w:t>
      </w:r>
    </w:p>
    <w:p w14:paraId="188773ED" w14:textId="6FE88144" w:rsidR="00B46B26" w:rsidRPr="006931DA" w:rsidRDefault="00B46B26" w:rsidP="00B46B26">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27. E drejta për të pasur një vendim gjyqësor të arsyetuar i garantohet individit nga nenet 42 dhe 142, pika 1, të Kushtetutës. Funksioni i vendimit të arsyetuar është t’u tregojë palëve që ato janë dëgjuar, si dhe u jep mundësinë atyre ta kundërshtojnë atë. Detyrimi për garantimin e standardit të arsyetimit të vendimit gjyqësor nuk nënkupton se kërkohet arsyetim i detajuar për çdo pretendim të palëve </w:t>
      </w:r>
      <w:proofErr w:type="spellStart"/>
      <w:r w:rsidRPr="006931DA">
        <w:rPr>
          <w:rFonts w:ascii="Garamond" w:hAnsi="Garamond" w:cs="Times New Roman"/>
          <w:color w:val="000000"/>
          <w:sz w:val="24"/>
          <w:szCs w:val="24"/>
        </w:rPr>
        <w:t>ndërgjyqëse</w:t>
      </w:r>
      <w:proofErr w:type="spellEnd"/>
      <w:r w:rsidRPr="006931DA">
        <w:rPr>
          <w:rFonts w:ascii="Garamond" w:hAnsi="Garamond" w:cs="Times New Roman"/>
          <w:color w:val="000000"/>
          <w:sz w:val="24"/>
          <w:szCs w:val="24"/>
        </w:rPr>
        <w:t xml:space="preserve">, por ai varet nga natyra e vendimit në fjalë </w:t>
      </w:r>
      <w:r w:rsidR="006931DA">
        <w:rPr>
          <w:rFonts w:ascii="Garamond" w:hAnsi="Garamond" w:cs="Times New Roman"/>
          <w:i/>
          <w:iCs/>
          <w:color w:val="000000"/>
          <w:sz w:val="24"/>
          <w:szCs w:val="24"/>
        </w:rPr>
        <w:t>(shih vendimet nr. 17, datë 23.</w:t>
      </w:r>
      <w:r w:rsidRPr="006931DA">
        <w:rPr>
          <w:rFonts w:ascii="Garamond" w:hAnsi="Garamond" w:cs="Times New Roman"/>
          <w:i/>
          <w:iCs/>
          <w:color w:val="000000"/>
          <w:sz w:val="24"/>
          <w:szCs w:val="24"/>
        </w:rPr>
        <w:t>3.2023; nr. 80, da</w:t>
      </w:r>
      <w:r w:rsidR="006931DA">
        <w:rPr>
          <w:rFonts w:ascii="Garamond" w:hAnsi="Garamond" w:cs="Times New Roman"/>
          <w:i/>
          <w:iCs/>
          <w:color w:val="000000"/>
          <w:sz w:val="24"/>
          <w:szCs w:val="24"/>
        </w:rPr>
        <w:t>të 18.12.2017; nr. 34, datë 13.</w:t>
      </w:r>
      <w:r w:rsidRPr="006931DA">
        <w:rPr>
          <w:rFonts w:ascii="Garamond" w:hAnsi="Garamond" w:cs="Times New Roman"/>
          <w:i/>
          <w:iCs/>
          <w:color w:val="000000"/>
          <w:sz w:val="24"/>
          <w:szCs w:val="24"/>
        </w:rPr>
        <w:t>6.2016</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 xml:space="preserve">. Arsyetimi i kufizuar i vendimeve të mospranimit të rekursit, si rregull, nuk cenon standardin e arsyetimit të vendimit gjyqësor. Megjithatë, kur në rekurs janë ngritur pretendime kushtetuese, Gjykata e Lartë, bazuar në parimin e </w:t>
      </w:r>
      <w:proofErr w:type="spellStart"/>
      <w:r w:rsidRPr="006931DA">
        <w:rPr>
          <w:rFonts w:ascii="Garamond" w:hAnsi="Garamond" w:cs="Times New Roman"/>
          <w:color w:val="000000"/>
          <w:sz w:val="24"/>
          <w:szCs w:val="24"/>
        </w:rPr>
        <w:t>subsidiaritetit</w:t>
      </w:r>
      <w:proofErr w:type="spellEnd"/>
      <w:r w:rsidRPr="006931DA">
        <w:rPr>
          <w:rFonts w:ascii="Garamond" w:hAnsi="Garamond" w:cs="Times New Roman"/>
          <w:color w:val="000000"/>
          <w:sz w:val="24"/>
          <w:szCs w:val="24"/>
        </w:rPr>
        <w:t xml:space="preserve"> që udhëheq raportet ndërmjet juridiksionit kushtetues dhe juridiksionit të gjykatave të zakonshme, duhet të investohet në ekzaminimin e tyre dhe të mbajë një qëndrim të shprehur lidhur me to </w:t>
      </w:r>
      <w:r w:rsidR="006931DA">
        <w:rPr>
          <w:rFonts w:ascii="Garamond" w:hAnsi="Garamond" w:cs="Times New Roman"/>
          <w:i/>
          <w:iCs/>
          <w:color w:val="000000"/>
          <w:sz w:val="24"/>
          <w:szCs w:val="24"/>
        </w:rPr>
        <w:t>(shih vendimet nr. 19, datë 7.</w:t>
      </w:r>
      <w:r w:rsidRPr="006931DA">
        <w:rPr>
          <w:rFonts w:ascii="Garamond" w:hAnsi="Garamond" w:cs="Times New Roman"/>
          <w:i/>
          <w:iCs/>
          <w:color w:val="000000"/>
          <w:sz w:val="24"/>
          <w:szCs w:val="24"/>
        </w:rPr>
        <w:t>7.2022; nr. 11, da</w:t>
      </w:r>
      <w:r w:rsidR="006931DA">
        <w:rPr>
          <w:rFonts w:ascii="Garamond" w:hAnsi="Garamond" w:cs="Times New Roman"/>
          <w:i/>
          <w:iCs/>
          <w:color w:val="000000"/>
          <w:sz w:val="24"/>
          <w:szCs w:val="24"/>
        </w:rPr>
        <w:t>të 16.4.2018; nr. 45, datë 3.</w:t>
      </w:r>
      <w:r w:rsidRPr="006931DA">
        <w:rPr>
          <w:rFonts w:ascii="Garamond" w:hAnsi="Garamond" w:cs="Times New Roman"/>
          <w:i/>
          <w:iCs/>
          <w:color w:val="000000"/>
          <w:sz w:val="24"/>
          <w:szCs w:val="24"/>
        </w:rPr>
        <w:t>7.2017</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w:t>
      </w:r>
    </w:p>
    <w:p w14:paraId="1F76FF2D" w14:textId="0F389136"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lastRenderedPageBreak/>
        <w:t xml:space="preserve">28. Kriteret që parashikon neni 41 i Kushtetutës, që janë garantimi i pronës private dhe shpërblimi i drejtë, si dhe koncepti i përcaktuar nga KEDNJ-ja për gëzimin e pronës në mënyrë të qetë, janë orientimet bazë mbi të cilat duhet të zgjidhen të gjitha çështjet që lidhen me shpronësimet dhe kufizimet e pronës. Për sa i përket konceptit të shpërblimit të drejtë, Gjykata e ka interpretuar të lidhur me konceptet kushtetuese që kanë të bëjnë me interesin publik, si dhe respektimin e parimeve të drejtësisë, të </w:t>
      </w:r>
      <w:proofErr w:type="spellStart"/>
      <w:r w:rsidRPr="006931DA">
        <w:rPr>
          <w:rFonts w:ascii="Garamond" w:hAnsi="Garamond" w:cs="Times New Roman"/>
          <w:color w:val="000000"/>
          <w:sz w:val="24"/>
          <w:szCs w:val="24"/>
        </w:rPr>
        <w:t>proporcionalitetit</w:t>
      </w:r>
      <w:proofErr w:type="spellEnd"/>
      <w:r w:rsidRPr="006931DA">
        <w:rPr>
          <w:rFonts w:ascii="Garamond" w:hAnsi="Garamond" w:cs="Times New Roman"/>
          <w:color w:val="000000"/>
          <w:sz w:val="24"/>
          <w:szCs w:val="24"/>
        </w:rPr>
        <w:t xml:space="preserve"> dhe të shtetit social. Ajo ka vlerësuar se e drejta e pronës, në kuptimin që i jep neni 41 i Kushtetutës dhe neni 1 i Protokollit nr. 1 të KEDNJ-së, nuk mund të barazohet me kuptimin që ka në vetvete e drejta dhe se e drejta e pronës nuk njësohet me të drejtën e kthimit të saj. Referuar kriterit kushtetues të “shpërblimit të drejtë”, Gjykata ka theksuar se shpërblimi ose kompensimi në dobi të subjektit të shpronësuar nuk mund të jetë i plotë, por i drejtë (</w:t>
      </w:r>
      <w:r w:rsidRPr="006931DA">
        <w:rPr>
          <w:rFonts w:ascii="Garamond" w:hAnsi="Garamond" w:cs="Times New Roman"/>
          <w:i/>
          <w:iCs/>
          <w:color w:val="000000"/>
          <w:sz w:val="24"/>
          <w:szCs w:val="24"/>
        </w:rPr>
        <w:t>shih vendimet nr. 33, d</w:t>
      </w:r>
      <w:r w:rsidR="006931DA">
        <w:rPr>
          <w:rFonts w:ascii="Garamond" w:hAnsi="Garamond" w:cs="Times New Roman"/>
          <w:i/>
          <w:iCs/>
          <w:color w:val="000000"/>
          <w:sz w:val="24"/>
          <w:szCs w:val="24"/>
        </w:rPr>
        <w:t>atë 14.11.2022; nr. 4, datë 15.</w:t>
      </w:r>
      <w:r w:rsidRPr="006931DA">
        <w:rPr>
          <w:rFonts w:ascii="Garamond" w:hAnsi="Garamond" w:cs="Times New Roman"/>
          <w:i/>
          <w:iCs/>
          <w:color w:val="000000"/>
          <w:sz w:val="24"/>
          <w:szCs w:val="24"/>
        </w:rPr>
        <w:t xml:space="preserve">2.2021; nr. 30, </w:t>
      </w:r>
      <w:r w:rsidR="006931DA">
        <w:rPr>
          <w:rFonts w:ascii="Garamond" w:hAnsi="Garamond" w:cs="Times New Roman"/>
          <w:i/>
          <w:iCs/>
          <w:color w:val="000000"/>
          <w:sz w:val="24"/>
          <w:szCs w:val="24"/>
        </w:rPr>
        <w:t xml:space="preserve">datë </w:t>
      </w:r>
      <w:r w:rsidRPr="006931DA">
        <w:rPr>
          <w:rFonts w:ascii="Garamond" w:hAnsi="Garamond" w:cs="Times New Roman"/>
          <w:i/>
          <w:iCs/>
          <w:color w:val="000000"/>
          <w:sz w:val="24"/>
          <w:szCs w:val="24"/>
        </w:rPr>
        <w:t>1.12.2005</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w:t>
      </w:r>
    </w:p>
    <w:p w14:paraId="33281E0A" w14:textId="64F3E589"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29. Nisur nga çështja në shqyrtim, Gjykata vlerëson të evidentojë se ligji nr. 133/2015 dhe aktet nënligjore të nxjerra në zbatim të tij kanë qenë objekt shqyrtimi kushtetues. Më konkretisht, me vendimin nr. 1, dat</w:t>
      </w:r>
      <w:r w:rsidR="006931DA">
        <w:rPr>
          <w:rFonts w:ascii="Garamond" w:hAnsi="Garamond" w:cs="Times New Roman"/>
          <w:color w:val="000000"/>
          <w:sz w:val="24"/>
          <w:szCs w:val="24"/>
        </w:rPr>
        <w:t>ë 16.</w:t>
      </w:r>
      <w:r w:rsidRPr="006931DA">
        <w:rPr>
          <w:rFonts w:ascii="Garamond" w:hAnsi="Garamond" w:cs="Times New Roman"/>
          <w:color w:val="000000"/>
          <w:sz w:val="24"/>
          <w:szCs w:val="24"/>
        </w:rPr>
        <w:t xml:space="preserve">1.2017, në vlerësimin e Gjykatës skema e re e kompensimit ka ndryshuar metodën e vlerësimit, e cila, pavarësisht se mund të rezultojë në një masë më të ulët kompensimi për subjektet e shpronësuara, në tërësinë e saj respekton </w:t>
      </w:r>
      <w:proofErr w:type="spellStart"/>
      <w:r w:rsidRPr="006931DA">
        <w:rPr>
          <w:rFonts w:ascii="Garamond" w:hAnsi="Garamond" w:cs="Times New Roman"/>
          <w:color w:val="000000"/>
          <w:sz w:val="24"/>
          <w:szCs w:val="24"/>
        </w:rPr>
        <w:t>proporcionalitetin</w:t>
      </w:r>
      <w:proofErr w:type="spellEnd"/>
      <w:r w:rsidRPr="006931DA">
        <w:rPr>
          <w:rFonts w:ascii="Garamond" w:hAnsi="Garamond" w:cs="Times New Roman"/>
          <w:color w:val="000000"/>
          <w:sz w:val="24"/>
          <w:szCs w:val="24"/>
        </w:rPr>
        <w:t xml:space="preserve"> e ndërhyrjes në të drejtën e pronës dhe, si e tillë, është në respektim të nenit 1 të Protokollit nr. 1 të KEDNJ-së</w:t>
      </w:r>
      <w:r w:rsidRPr="006931DA">
        <w:rPr>
          <w:rFonts w:ascii="Garamond" w:hAnsi="Garamond" w:cs="Times New Roman"/>
          <w:i/>
          <w:iCs/>
          <w:color w:val="000000"/>
          <w:sz w:val="24"/>
          <w:szCs w:val="24"/>
        </w:rPr>
        <w:t>.</w:t>
      </w:r>
      <w:r w:rsidRPr="006931DA">
        <w:rPr>
          <w:rFonts w:ascii="Garamond" w:hAnsi="Garamond" w:cs="Times New Roman"/>
          <w:color w:val="000000"/>
          <w:sz w:val="24"/>
          <w:szCs w:val="24"/>
        </w:rPr>
        <w:t xml:space="preserve"> Ndë</w:t>
      </w:r>
      <w:r w:rsidR="006931DA">
        <w:rPr>
          <w:rFonts w:ascii="Garamond" w:hAnsi="Garamond" w:cs="Times New Roman"/>
          <w:color w:val="000000"/>
          <w:sz w:val="24"/>
          <w:szCs w:val="24"/>
        </w:rPr>
        <w:t>rsa me vendimin nr. 4, datë 15.</w:t>
      </w:r>
      <w:r w:rsidRPr="006931DA">
        <w:rPr>
          <w:rFonts w:ascii="Garamond" w:hAnsi="Garamond" w:cs="Times New Roman"/>
          <w:color w:val="000000"/>
          <w:sz w:val="24"/>
          <w:szCs w:val="24"/>
        </w:rPr>
        <w:t xml:space="preserve">2.2021, objekt i të cilit kanë qenë sërish dispozitat e ligjit nr. 133/2015 dhe të akteve nënligjore në zbatim të tij, përfshirë edhe VKM-ja nr. 223/2016, duke mbajtur në konsideratë edhe qëndrimin e mbajtur nga GJEDNJ-ja në çështjen </w:t>
      </w:r>
      <w:proofErr w:type="spellStart"/>
      <w:r w:rsidRPr="006931DA">
        <w:rPr>
          <w:rFonts w:ascii="Garamond" w:hAnsi="Garamond" w:cs="Times New Roman"/>
          <w:i/>
          <w:iCs/>
          <w:color w:val="000000"/>
          <w:sz w:val="24"/>
          <w:szCs w:val="24"/>
        </w:rPr>
        <w:t>Beshiri</w:t>
      </w:r>
      <w:proofErr w:type="spellEnd"/>
      <w:r w:rsidRPr="006931DA">
        <w:rPr>
          <w:rFonts w:ascii="Garamond" w:hAnsi="Garamond" w:cs="Times New Roman"/>
          <w:i/>
          <w:iCs/>
          <w:color w:val="000000"/>
          <w:sz w:val="24"/>
          <w:szCs w:val="24"/>
        </w:rPr>
        <w:t xml:space="preserve"> dhe të tjerë kundër Shqipërisë, </w:t>
      </w:r>
      <w:r w:rsidRPr="006931DA">
        <w:rPr>
          <w:rFonts w:ascii="Garamond" w:hAnsi="Garamond" w:cs="Times New Roman"/>
          <w:color w:val="000000"/>
          <w:sz w:val="24"/>
          <w:szCs w:val="24"/>
        </w:rPr>
        <w:t xml:space="preserve">Gjykata ka vlerësuar se sistemi aktual i vlerësimit të pronës nuk respekton në të gjitha rastet pragun minimal prej 10% të vlerësimit financiar dhe, për këtë arsye, është një ndërhyrje </w:t>
      </w:r>
      <w:proofErr w:type="spellStart"/>
      <w:r w:rsidRPr="006931DA">
        <w:rPr>
          <w:rFonts w:ascii="Garamond" w:hAnsi="Garamond" w:cs="Times New Roman"/>
          <w:color w:val="000000"/>
          <w:sz w:val="24"/>
          <w:szCs w:val="24"/>
        </w:rPr>
        <w:t>joproporcionale</w:t>
      </w:r>
      <w:proofErr w:type="spellEnd"/>
      <w:r w:rsidRPr="006931DA">
        <w:rPr>
          <w:rFonts w:ascii="Garamond" w:hAnsi="Garamond" w:cs="Times New Roman"/>
          <w:color w:val="000000"/>
          <w:sz w:val="24"/>
          <w:szCs w:val="24"/>
        </w:rPr>
        <w:t xml:space="preserve"> në të drejtën e pronës private. Sipas Gjykatës, kufizimi i së drejtës së pronës private ishte rrjedhojë e mungesës së rregullimit nga pika 2</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e nenit 7</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ligjit nr. 133/2015 të ndryshimit që ka pësuar zëri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i pronës ndër vite, çka përbënte një boshllëk ligjor nga i cili vinin pasoja negative për të drejtat kushtetuese të individëve, të cilëve u mohohej kompensimi i drejtë. </w:t>
      </w:r>
    </w:p>
    <w:p w14:paraId="2515446B" w14:textId="251E9C0D"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30. Gjykata ka theksuar se zbatimi i detyrueshëm i vendimeve të saj garantohet nga Kushtetuta, e cila në nenet 132 dhe 145 sanksionon shprehimisht këtë koncept kushtetues. Ndikimi i padiskutueshëm i vendimeve të Gjykatës është i tillë që iu imponon të gjitha organeve shtetërore fuqinë detyruese të arsyetimit të vendimit të saj (</w:t>
      </w:r>
      <w:r w:rsidR="006931DA">
        <w:rPr>
          <w:rFonts w:ascii="Garamond" w:hAnsi="Garamond" w:cs="Times New Roman"/>
          <w:i/>
          <w:iCs/>
          <w:color w:val="000000"/>
          <w:sz w:val="24"/>
          <w:szCs w:val="24"/>
        </w:rPr>
        <w:t>shih vendimin nr. 17, datë 10.</w:t>
      </w:r>
      <w:r w:rsidRPr="006931DA">
        <w:rPr>
          <w:rFonts w:ascii="Garamond" w:hAnsi="Garamond" w:cs="Times New Roman"/>
          <w:i/>
          <w:iCs/>
          <w:color w:val="000000"/>
          <w:sz w:val="24"/>
          <w:szCs w:val="24"/>
        </w:rPr>
        <w:t>4.2015</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 Arsyetimi që përdor Gjykata në vendimet e saj ka forcën e ligjit, çka buron nga autoriteti i këtij organi për të thënë fjalën e fundit në çështjet për të cilat të tjerët tashmë janë shprehur (</w:t>
      </w:r>
      <w:r w:rsidRPr="006931DA">
        <w:rPr>
          <w:rFonts w:ascii="Garamond" w:hAnsi="Garamond" w:cs="Times New Roman"/>
          <w:i/>
          <w:iCs/>
          <w:color w:val="000000"/>
          <w:sz w:val="24"/>
          <w:szCs w:val="24"/>
        </w:rPr>
        <w:t>shih vendimin nr. 78, datë 12.12.2017</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 xml:space="preserve">). Në këtë kuptim, në jurisprudencën kushtetuese është theksuar se nga standardi i </w:t>
      </w:r>
      <w:proofErr w:type="spellStart"/>
      <w:r w:rsidRPr="006931DA">
        <w:rPr>
          <w:rFonts w:ascii="Garamond" w:hAnsi="Garamond" w:cs="Times New Roman"/>
          <w:color w:val="000000"/>
          <w:sz w:val="24"/>
          <w:szCs w:val="24"/>
        </w:rPr>
        <w:t>detyrueshmërisë</w:t>
      </w:r>
      <w:proofErr w:type="spellEnd"/>
      <w:r w:rsidRPr="006931DA">
        <w:rPr>
          <w:rFonts w:ascii="Garamond" w:hAnsi="Garamond" w:cs="Times New Roman"/>
          <w:color w:val="000000"/>
          <w:sz w:val="24"/>
          <w:szCs w:val="24"/>
        </w:rPr>
        <w:t xml:space="preserve"> së zbatimit të vendimmarrjes kushtetuese nuk mund të bëjë përjashtim as vetë Gjykata (</w:t>
      </w:r>
      <w:r w:rsidR="006931DA">
        <w:rPr>
          <w:rFonts w:ascii="Garamond" w:hAnsi="Garamond" w:cs="Times New Roman"/>
          <w:i/>
          <w:iCs/>
          <w:color w:val="000000"/>
          <w:sz w:val="24"/>
          <w:szCs w:val="24"/>
        </w:rPr>
        <w:t>shih vendimet nr. 4, datë 15.</w:t>
      </w:r>
      <w:r w:rsidRPr="006931DA">
        <w:rPr>
          <w:rFonts w:ascii="Garamond" w:hAnsi="Garamond" w:cs="Times New Roman"/>
          <w:i/>
          <w:iCs/>
          <w:color w:val="000000"/>
          <w:sz w:val="24"/>
          <w:szCs w:val="24"/>
        </w:rPr>
        <w:t>2.2021; nr. 78, da</w:t>
      </w:r>
      <w:r w:rsidR="006931DA">
        <w:rPr>
          <w:rFonts w:ascii="Garamond" w:hAnsi="Garamond" w:cs="Times New Roman"/>
          <w:i/>
          <w:iCs/>
          <w:color w:val="000000"/>
          <w:sz w:val="24"/>
          <w:szCs w:val="24"/>
        </w:rPr>
        <w:t>të 12.12.2017; nr. 44, datë 29.</w:t>
      </w:r>
      <w:r w:rsidRPr="006931DA">
        <w:rPr>
          <w:rFonts w:ascii="Garamond" w:hAnsi="Garamond" w:cs="Times New Roman"/>
          <w:i/>
          <w:iCs/>
          <w:color w:val="000000"/>
          <w:sz w:val="24"/>
          <w:szCs w:val="24"/>
        </w:rPr>
        <w:t>6.2015</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 xml:space="preserve"> </w:t>
      </w:r>
    </w:p>
    <w:p w14:paraId="3BEE8E18" w14:textId="631CDCDE"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31. Po ashtu, Gjykata rithekson detyrimin e shtetit shqiptar për zbatimin e së drejtës ndërkombëtare mbështetur në nenin 5 të Kushtetutës. Në këtë drejtim, vendimet e GJEDNJ-së janë të detyrueshme për t’u zbatuar, në përputhje me angazhimin që Republika e Shqipërisë, si shtet anëtar i Këshillit të Evropës, ka ndërmarrë sipas nenit 46, pika 1, të KEDNJ-së, që parashikon se palët e larta kontraktuese zotohen t’u binden vendimeve përfundimtare të GJEDNJ-së në mosmarrëveshjet në të cilat janë palë (</w:t>
      </w:r>
      <w:r w:rsidRPr="006931DA">
        <w:rPr>
          <w:rFonts w:ascii="Garamond" w:hAnsi="Garamond" w:cs="Times New Roman"/>
          <w:i/>
          <w:iCs/>
          <w:color w:val="000000"/>
          <w:sz w:val="24"/>
          <w:szCs w:val="24"/>
        </w:rPr>
        <w:t>shih vendimet nr. 33,</w:t>
      </w:r>
      <w:r w:rsidR="006931DA">
        <w:rPr>
          <w:rFonts w:ascii="Garamond" w:hAnsi="Garamond" w:cs="Times New Roman"/>
          <w:i/>
          <w:iCs/>
          <w:color w:val="000000"/>
          <w:sz w:val="24"/>
          <w:szCs w:val="24"/>
        </w:rPr>
        <w:t xml:space="preserve"> datë 14.11.2022; nr. 20, datë 1.</w:t>
      </w:r>
      <w:r w:rsidRPr="006931DA">
        <w:rPr>
          <w:rFonts w:ascii="Garamond" w:hAnsi="Garamond" w:cs="Times New Roman"/>
          <w:i/>
          <w:iCs/>
          <w:color w:val="000000"/>
          <w:sz w:val="24"/>
          <w:szCs w:val="24"/>
        </w:rPr>
        <w:t>6.2011</w:t>
      </w:r>
      <w:r w:rsidR="006931DA">
        <w:rPr>
          <w:rFonts w:ascii="Garamond" w:hAnsi="Garamond" w:cs="Times New Roman"/>
          <w:i/>
          <w:iCs/>
          <w:color w:val="000000"/>
          <w:sz w:val="24"/>
          <w:szCs w:val="24"/>
        </w:rPr>
        <w:t>,</w:t>
      </w:r>
      <w:r w:rsidRPr="006931DA">
        <w:rPr>
          <w:rFonts w:ascii="Garamond" w:hAnsi="Garamond" w:cs="Times New Roman"/>
          <w:i/>
          <w:iCs/>
          <w:color w:val="000000"/>
          <w:sz w:val="24"/>
          <w:szCs w:val="24"/>
        </w:rPr>
        <w:t xml:space="preserve"> të Gjykatës Kushtetuese)</w:t>
      </w:r>
      <w:r w:rsidRPr="006931DA">
        <w:rPr>
          <w:rFonts w:ascii="Garamond" w:hAnsi="Garamond" w:cs="Times New Roman"/>
          <w:color w:val="000000"/>
          <w:sz w:val="24"/>
          <w:szCs w:val="24"/>
        </w:rPr>
        <w:t>.</w:t>
      </w:r>
      <w:r w:rsidRPr="006931DA">
        <w:rPr>
          <w:rFonts w:ascii="Garamond" w:hAnsi="Garamond" w:cs="Times New Roman"/>
          <w:b/>
          <w:bCs/>
          <w:color w:val="000000"/>
          <w:sz w:val="24"/>
          <w:szCs w:val="24"/>
        </w:rPr>
        <w:t xml:space="preserve"> </w:t>
      </w:r>
    </w:p>
    <w:p w14:paraId="49CE04A9" w14:textId="08A83A0A"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 xml:space="preserve">32. Në këndvështrim të standardeve të mësipërme, Gjykata do të vlerësojë nëse Gjykata Administrative e Apelit ka arsyetuar në mënyrë të mjaftueshme në përcaktimin e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pronës dhe të vlerës së kompensimit financiar të saj, duke mbajtur në konsideratë respektimin e parimit të sigurisë juridike, si dhe nëse Gjykata e Lartë u ka kthyer përgjigje të arsyetuar pretendimeve me natyrë kushtetuese të ngritura në rekurs në përputhje me jurisprudencën kushtetuese dhe të GJEDNJ-së.</w:t>
      </w:r>
    </w:p>
    <w:p w14:paraId="7F95AE58" w14:textId="75576829"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lastRenderedPageBreak/>
        <w:t xml:space="preserve">33. Duke iu rikthyer çështjes në shqyrtim, Gjykata vëren se kërkuesi është një nga trashëgimtarët ligjorë të subjektit të shpronësuar, të cilit me vendimin nr. 1278/1996 të KKKP-së, Tiranë i është njohur pronësia mbi një sipërfaqe 130.000 m², si dhe e drejta për kompensim sipas ligjit. Ndërkohë që kërkuesi i ishte drejtuar GJEDNJ-së lidhur me moszbatimin e </w:t>
      </w:r>
      <w:proofErr w:type="spellStart"/>
      <w:r w:rsidRPr="006931DA">
        <w:rPr>
          <w:rFonts w:ascii="Garamond" w:hAnsi="Garamond" w:cs="Times New Roman"/>
          <w:color w:val="000000"/>
          <w:sz w:val="24"/>
          <w:szCs w:val="24"/>
        </w:rPr>
        <w:t>tejzgjatur</w:t>
      </w:r>
      <w:proofErr w:type="spellEnd"/>
      <w:r w:rsidRPr="006931DA">
        <w:rPr>
          <w:rFonts w:ascii="Garamond" w:hAnsi="Garamond" w:cs="Times New Roman"/>
          <w:color w:val="000000"/>
          <w:sz w:val="24"/>
          <w:szCs w:val="24"/>
        </w:rPr>
        <w:t xml:space="preserve"> të vendimit të KKKP-së, Tiranë, ATP-ja ka publikuar vlerësimin e parë financiar të vendimit të KKKP-së në shumën 15.210.000 lekë. Kërkuesi, duke mos qenë dakord me këtë vlerësim, e ka kundërshtuar atë në gjykatën e apelit, por ndërkohë që çështja ishte në shqyrtim në atë gjykatë, ATP-ja ka publikuar rivlerësimin financiar të vendimit nr. 1278/1996 të KKKP-së, duke dhënë të njëjtën vlerë. Edhe ky rivlerësim është kundërshtuar nga kërkuesi në gjykatën e apelit dhe gjykata ka vendosur bashkimin e padive në një të vetme. Në përfundim të shqyrtimit gjyqësor gjykata e apelit ka vendosur rrëzimin e padisë, me arsyetimin se, në përputhje me kuadrin ligjor të zbatueshëm për zgjidhjen e mosmarrëveshjes (ligji nr. 133/2015, VKM-ja nr. 223/2016 dhe VKM-ja nr. 89/2016), vlerësimi financiar i pronës së njohur për kompensim ishte bërë në zbatim të vlerës së pron</w:t>
      </w:r>
      <w:r w:rsidR="006931DA">
        <w:rPr>
          <w:rFonts w:ascii="Garamond" w:hAnsi="Garamond" w:cs="Times New Roman"/>
          <w:color w:val="000000"/>
          <w:sz w:val="24"/>
          <w:szCs w:val="24"/>
        </w:rPr>
        <w:t>ës së përcaktuar për “kullotë–</w:t>
      </w:r>
      <w:r w:rsidRPr="006931DA">
        <w:rPr>
          <w:rFonts w:ascii="Garamond" w:hAnsi="Garamond" w:cs="Times New Roman"/>
          <w:color w:val="000000"/>
          <w:sz w:val="24"/>
          <w:szCs w:val="24"/>
        </w:rPr>
        <w:t>livadh”, sipas hartës së miratuar me VKM-në nr. 89/2016, referuar faktit se në kohën e shpronësimit kjo pronë ka qe</w:t>
      </w:r>
      <w:r w:rsidR="006931DA">
        <w:rPr>
          <w:rFonts w:ascii="Garamond" w:hAnsi="Garamond" w:cs="Times New Roman"/>
          <w:color w:val="000000"/>
          <w:sz w:val="24"/>
          <w:szCs w:val="24"/>
        </w:rPr>
        <w:t xml:space="preserve">në e zërit </w:t>
      </w:r>
      <w:proofErr w:type="spellStart"/>
      <w:r w:rsidR="006931DA">
        <w:rPr>
          <w:rFonts w:ascii="Garamond" w:hAnsi="Garamond" w:cs="Times New Roman"/>
          <w:color w:val="000000"/>
          <w:sz w:val="24"/>
          <w:szCs w:val="24"/>
        </w:rPr>
        <w:t>kadastral</w:t>
      </w:r>
      <w:proofErr w:type="spellEnd"/>
      <w:r w:rsidR="006931DA">
        <w:rPr>
          <w:rFonts w:ascii="Garamond" w:hAnsi="Garamond" w:cs="Times New Roman"/>
          <w:color w:val="000000"/>
          <w:sz w:val="24"/>
          <w:szCs w:val="24"/>
        </w:rPr>
        <w:t xml:space="preserve"> “kullotë–</w:t>
      </w:r>
      <w:r w:rsidRPr="006931DA">
        <w:rPr>
          <w:rFonts w:ascii="Garamond" w:hAnsi="Garamond" w:cs="Times New Roman"/>
          <w:color w:val="000000"/>
          <w:sz w:val="24"/>
          <w:szCs w:val="24"/>
        </w:rPr>
        <w:t xml:space="preserve">livadh” dhe jo “truall” (brenda vijave kufizuese të qytetit), sikurse ka pretenduar kërkuesi. Sipas asaj gjykate, metoda e vlerësimit ishte në përputhje me Kushtetutën </w:t>
      </w:r>
      <w:r w:rsidR="006931DA">
        <w:rPr>
          <w:rFonts w:ascii="Garamond" w:hAnsi="Garamond" w:cs="Times New Roman"/>
          <w:color w:val="000000"/>
          <w:sz w:val="24"/>
          <w:szCs w:val="24"/>
        </w:rPr>
        <w:t>dhe me vendimin nr. 1, datë 16.</w:t>
      </w:r>
      <w:r w:rsidRPr="006931DA">
        <w:rPr>
          <w:rFonts w:ascii="Garamond" w:hAnsi="Garamond" w:cs="Times New Roman"/>
          <w:color w:val="000000"/>
          <w:sz w:val="24"/>
          <w:szCs w:val="24"/>
        </w:rPr>
        <w:t>1.</w:t>
      </w:r>
      <w:r w:rsidR="006931DA">
        <w:rPr>
          <w:rFonts w:ascii="Garamond" w:hAnsi="Garamond" w:cs="Times New Roman"/>
          <w:color w:val="000000"/>
          <w:sz w:val="24"/>
          <w:szCs w:val="24"/>
        </w:rPr>
        <w:t>2017, të Gjykatës. Në datën 5.</w:t>
      </w:r>
      <w:r w:rsidRPr="006931DA">
        <w:rPr>
          <w:rFonts w:ascii="Garamond" w:hAnsi="Garamond" w:cs="Times New Roman"/>
          <w:color w:val="000000"/>
          <w:sz w:val="24"/>
          <w:szCs w:val="24"/>
        </w:rPr>
        <w:t>6.2025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Gjykata e Lartë ka vendosur mospranimin e rekursit të kërkuesit.</w:t>
      </w:r>
    </w:p>
    <w:p w14:paraId="2C4E55D7" w14:textId="34795B53"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34.</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Në kohën kur çështja ishte për gjykim në Gjykatën e Lartë, GJEDNJ-ja,</w:t>
      </w:r>
      <w:r w:rsidR="006931DA">
        <w:rPr>
          <w:rFonts w:ascii="Garamond" w:hAnsi="Garamond" w:cs="Times New Roman"/>
          <w:color w:val="000000"/>
          <w:sz w:val="24"/>
          <w:szCs w:val="24"/>
        </w:rPr>
        <w:t xml:space="preserve"> me vendimin nr. 13618/10, datë </w:t>
      </w:r>
      <w:r w:rsidRPr="006931DA">
        <w:rPr>
          <w:rFonts w:ascii="Garamond" w:hAnsi="Garamond" w:cs="Times New Roman"/>
          <w:color w:val="000000"/>
          <w:sz w:val="24"/>
          <w:szCs w:val="24"/>
        </w:rPr>
        <w:t>1.10.2020</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w:t>
      </w:r>
      <w:proofErr w:type="spellStart"/>
      <w:r w:rsidRPr="006931DA">
        <w:rPr>
          <w:rFonts w:ascii="Garamond" w:hAnsi="Garamond" w:cs="Times New Roman"/>
          <w:i/>
          <w:iCs/>
          <w:color w:val="000000"/>
          <w:spacing w:val="-15"/>
          <w:sz w:val="24"/>
          <w:szCs w:val="24"/>
        </w:rPr>
        <w:t>Gjergo</w:t>
      </w:r>
      <w:proofErr w:type="spellEnd"/>
      <w:r w:rsidRPr="006931DA">
        <w:rPr>
          <w:rFonts w:ascii="Garamond" w:hAnsi="Garamond" w:cs="Times New Roman"/>
          <w:i/>
          <w:iCs/>
          <w:color w:val="000000"/>
          <w:spacing w:val="-15"/>
          <w:sz w:val="24"/>
          <w:szCs w:val="24"/>
        </w:rPr>
        <w:t xml:space="preserve"> dhe </w:t>
      </w:r>
      <w:proofErr w:type="spellStart"/>
      <w:r w:rsidRPr="006931DA">
        <w:rPr>
          <w:rFonts w:ascii="Garamond" w:hAnsi="Garamond" w:cs="Times New Roman"/>
          <w:i/>
          <w:iCs/>
          <w:color w:val="000000"/>
          <w:spacing w:val="-15"/>
          <w:sz w:val="24"/>
          <w:szCs w:val="24"/>
        </w:rPr>
        <w:t>Babicenko</w:t>
      </w:r>
      <w:proofErr w:type="spellEnd"/>
      <w:r w:rsidRPr="006931DA">
        <w:rPr>
          <w:rFonts w:ascii="Garamond" w:hAnsi="Garamond" w:cs="Times New Roman"/>
          <w:i/>
          <w:iCs/>
          <w:color w:val="000000"/>
          <w:spacing w:val="-15"/>
          <w:sz w:val="24"/>
          <w:szCs w:val="24"/>
        </w:rPr>
        <w:t xml:space="preserve"> kundër Shqipërisë dhe 76 kërkesa të tjera</w:t>
      </w:r>
      <w:r w:rsidRPr="006931DA">
        <w:rPr>
          <w:rFonts w:ascii="Garamond" w:hAnsi="Garamond" w:cs="Times New Roman"/>
          <w:color w:val="000000"/>
          <w:spacing w:val="-15"/>
          <w:sz w:val="24"/>
          <w:szCs w:val="24"/>
        </w:rPr>
        <w:t xml:space="preserve">, i ka deklaruar kërkesat të papranueshme, përfshirë edhe kërkesën e kërkuesit, me arsyetimin se mjeti juridik i prezantuar nga ligji për pronat i vitit 2015 ishte efektiv, për rrjedhojë </w:t>
      </w:r>
      <w:proofErr w:type="spellStart"/>
      <w:r w:rsidRPr="006931DA">
        <w:rPr>
          <w:rFonts w:ascii="Garamond" w:hAnsi="Garamond" w:cs="Times New Roman"/>
          <w:color w:val="000000"/>
          <w:spacing w:val="-15"/>
          <w:sz w:val="24"/>
          <w:szCs w:val="24"/>
        </w:rPr>
        <w:t>aplikantët</w:t>
      </w:r>
      <w:proofErr w:type="spellEnd"/>
      <w:r w:rsidRPr="006931DA">
        <w:rPr>
          <w:rFonts w:ascii="Garamond" w:hAnsi="Garamond" w:cs="Times New Roman"/>
          <w:color w:val="000000"/>
          <w:spacing w:val="-15"/>
          <w:sz w:val="24"/>
          <w:szCs w:val="24"/>
        </w:rPr>
        <w:t xml:space="preserve"> duhet të përdornin më parë mjetin juridik të brendshëm para se t’i drejtoheshin GJEDNJ-së. Me </w:t>
      </w:r>
      <w:r w:rsidRPr="006931DA">
        <w:rPr>
          <w:rFonts w:ascii="Garamond" w:hAnsi="Garamond" w:cs="Times New Roman"/>
          <w:color w:val="000000"/>
          <w:sz w:val="24"/>
          <w:szCs w:val="24"/>
        </w:rPr>
        <w:t>hyrjen në fuqi të ligjit nr. 77/2022, ATP-ja ka kryer një vlerësim të dytë të vendimit 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në shumën 384.059.000 lekë, të cilin kërkuesi e ka kundërshtuar sërish në gjykatat e juridiksionit të zakonshëm, të cilat kanë vendosur pezullimin e gjykimit deri në përfundimin e procesit gjyqësor të</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vlerësimit të parë.</w:t>
      </w:r>
    </w:p>
    <w:p w14:paraId="543FD3EC" w14:textId="7CB1D78A"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35. Në përmbledhje të rrethanave të konstatuara, Gjykata vëren se kërkuesi në procesin ligjor të zhvilluar nga ATP-ja dhe në vijim në procesin gjyqësor të zhvilluar nga gjykatat, që kanë vendosur për vlerësimin/rivlerësimin e parë financiar të pronës, ka pritur që kompensimi i saj të bëhej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llojit “truall” në kohën e shpronësimit, të njohur edhe me vendimin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Tiranë, ndërkohë që ATP-ja në vitin 2018 e ka vlerësuar pasurinë duke e kategorizuar at</w:t>
      </w:r>
      <w:r w:rsidR="006931DA">
        <w:rPr>
          <w:rFonts w:ascii="Garamond" w:hAnsi="Garamond" w:cs="Times New Roman"/>
          <w:color w:val="000000"/>
          <w:sz w:val="24"/>
          <w:szCs w:val="24"/>
        </w:rPr>
        <w:t xml:space="preserve">ë në zërin </w:t>
      </w:r>
      <w:proofErr w:type="spellStart"/>
      <w:r w:rsidR="006931DA">
        <w:rPr>
          <w:rFonts w:ascii="Garamond" w:hAnsi="Garamond" w:cs="Times New Roman"/>
          <w:color w:val="000000"/>
          <w:sz w:val="24"/>
          <w:szCs w:val="24"/>
        </w:rPr>
        <w:t>kadastral</w:t>
      </w:r>
      <w:proofErr w:type="spellEnd"/>
      <w:r w:rsidR="006931DA">
        <w:rPr>
          <w:rFonts w:ascii="Garamond" w:hAnsi="Garamond" w:cs="Times New Roman"/>
          <w:color w:val="000000"/>
          <w:sz w:val="24"/>
          <w:szCs w:val="24"/>
        </w:rPr>
        <w:t xml:space="preserve"> “kullotë–</w:t>
      </w:r>
      <w:r w:rsidRPr="006931DA">
        <w:rPr>
          <w:rFonts w:ascii="Garamond" w:hAnsi="Garamond" w:cs="Times New Roman"/>
          <w:color w:val="000000"/>
          <w:sz w:val="24"/>
          <w:szCs w:val="24"/>
        </w:rPr>
        <w:t xml:space="preserve">livadh”. Gjykata Administrative e Apelit në vendimmarrjen e saj u referohet të dhënave arsyetuese të ATP-së, por pa marrë parasysh përcaktimin e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sipas vendimit nr. 1278/1996 të KKKP-së, Tiranë, ndërkohë që ka pretenduar që barrën e provës për përcaktimin e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pronës e ka kërkuesi. Pavarësisht se gjatë gjykimit ka vlerësuar domosdoshmërinë e kryerjes të një akti ekspertimi teknik për përcaktimin e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në kohën e shpronësimit, nuk rezulton që gjykata e apelit t’u jetë referuar konkluzioneve të ekspertit, i cili ka konstatuar një paqartësi të dukshme të dokumentacionit shkresor e hartografik të viteve 1930-1945 lidhur me përcaktimin e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pronës. </w:t>
      </w:r>
    </w:p>
    <w:p w14:paraId="2FB1F521" w14:textId="07320794"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b/>
          <w:bCs/>
          <w:color w:val="000000"/>
          <w:sz w:val="24"/>
          <w:szCs w:val="24"/>
        </w:rPr>
      </w:pPr>
      <w:r w:rsidRPr="006931DA">
        <w:rPr>
          <w:rFonts w:ascii="Garamond" w:hAnsi="Garamond" w:cs="Times New Roman"/>
          <w:color w:val="000000"/>
          <w:sz w:val="24"/>
          <w:szCs w:val="24"/>
        </w:rPr>
        <w:t>36. Nga ana tjetër, Gjykata konstaton se Gjykata e Lartë i është re</w:t>
      </w:r>
      <w:r w:rsidR="006931DA">
        <w:rPr>
          <w:rFonts w:ascii="Garamond" w:hAnsi="Garamond" w:cs="Times New Roman"/>
          <w:color w:val="000000"/>
          <w:sz w:val="24"/>
          <w:szCs w:val="24"/>
        </w:rPr>
        <w:t>feruar vendimit nr. 1, datë 16.</w:t>
      </w:r>
      <w:r w:rsidRPr="006931DA">
        <w:rPr>
          <w:rFonts w:ascii="Garamond" w:hAnsi="Garamond" w:cs="Times New Roman"/>
          <w:color w:val="000000"/>
          <w:sz w:val="24"/>
          <w:szCs w:val="24"/>
        </w:rPr>
        <w:t>1.2017</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dhe vendimit të GJEDNJ-së për çështjen </w:t>
      </w:r>
      <w:r w:rsidRPr="006931DA">
        <w:rPr>
          <w:rFonts w:ascii="Garamond" w:hAnsi="Garamond" w:cs="Times New Roman"/>
          <w:i/>
          <w:iCs/>
          <w:color w:val="000000"/>
          <w:sz w:val="24"/>
          <w:szCs w:val="24"/>
        </w:rPr>
        <w:t xml:space="preserve">Manushaqe </w:t>
      </w:r>
      <w:proofErr w:type="spellStart"/>
      <w:r w:rsidRPr="006931DA">
        <w:rPr>
          <w:rFonts w:ascii="Garamond" w:hAnsi="Garamond" w:cs="Times New Roman"/>
          <w:i/>
          <w:iCs/>
          <w:color w:val="000000"/>
          <w:sz w:val="24"/>
          <w:szCs w:val="24"/>
        </w:rPr>
        <w:t>Puto</w:t>
      </w:r>
      <w:proofErr w:type="spellEnd"/>
      <w:r w:rsidRPr="006931DA">
        <w:rPr>
          <w:rFonts w:ascii="Garamond" w:hAnsi="Garamond" w:cs="Times New Roman"/>
          <w:i/>
          <w:iCs/>
          <w:color w:val="000000"/>
          <w:sz w:val="24"/>
          <w:szCs w:val="24"/>
        </w:rPr>
        <w:t xml:space="preserve"> dhe të tjerë kundër Shqipërisë</w:t>
      </w:r>
      <w:r w:rsidR="006931DA">
        <w:rPr>
          <w:rFonts w:ascii="Garamond" w:hAnsi="Garamond" w:cs="Times New Roman"/>
          <w:color w:val="000000"/>
          <w:sz w:val="24"/>
          <w:szCs w:val="24"/>
        </w:rPr>
        <w:t>, datë 31.</w:t>
      </w:r>
      <w:r w:rsidRPr="006931DA">
        <w:rPr>
          <w:rFonts w:ascii="Garamond" w:hAnsi="Garamond" w:cs="Times New Roman"/>
          <w:color w:val="000000"/>
          <w:sz w:val="24"/>
          <w:szCs w:val="24"/>
        </w:rPr>
        <w:t>7.2012, por nuk ka përmendur dhe ana</w:t>
      </w:r>
      <w:r w:rsidR="006931DA">
        <w:rPr>
          <w:rFonts w:ascii="Garamond" w:hAnsi="Garamond" w:cs="Times New Roman"/>
          <w:color w:val="000000"/>
          <w:sz w:val="24"/>
          <w:szCs w:val="24"/>
        </w:rPr>
        <w:t>lizuar vendimin nr. 4, datë 15.</w:t>
      </w:r>
      <w:r w:rsidRPr="006931DA">
        <w:rPr>
          <w:rFonts w:ascii="Garamond" w:hAnsi="Garamond" w:cs="Times New Roman"/>
          <w:color w:val="000000"/>
          <w:sz w:val="24"/>
          <w:szCs w:val="24"/>
        </w:rPr>
        <w:t>2.2021</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w:t>
      </w:r>
      <w:r w:rsidR="006931DA">
        <w:rPr>
          <w:rFonts w:ascii="Garamond" w:hAnsi="Garamond" w:cs="Times New Roman"/>
          <w:color w:val="000000"/>
          <w:sz w:val="24"/>
          <w:szCs w:val="24"/>
        </w:rPr>
        <w:t>që ka hyrë në fuqi në datën 12.</w:t>
      </w:r>
      <w:r w:rsidRPr="006931DA">
        <w:rPr>
          <w:rFonts w:ascii="Garamond" w:hAnsi="Garamond" w:cs="Times New Roman"/>
          <w:color w:val="000000"/>
          <w:sz w:val="24"/>
          <w:szCs w:val="24"/>
        </w:rPr>
        <w:t xml:space="preserve">9.2021 dhe vendimin e GJEDNJ-së për çështjen </w:t>
      </w:r>
      <w:proofErr w:type="spellStart"/>
      <w:r w:rsidRPr="006931DA">
        <w:rPr>
          <w:rFonts w:ascii="Garamond" w:hAnsi="Garamond" w:cs="Times New Roman"/>
          <w:i/>
          <w:iCs/>
          <w:color w:val="000000"/>
          <w:sz w:val="24"/>
          <w:szCs w:val="24"/>
        </w:rPr>
        <w:t>Beshiri</w:t>
      </w:r>
      <w:proofErr w:type="spellEnd"/>
      <w:r w:rsidRPr="006931DA">
        <w:rPr>
          <w:rFonts w:ascii="Garamond" w:hAnsi="Garamond" w:cs="Times New Roman"/>
          <w:i/>
          <w:iCs/>
          <w:color w:val="000000"/>
          <w:sz w:val="24"/>
          <w:szCs w:val="24"/>
        </w:rPr>
        <w:t xml:space="preserve"> dhe të tjerë kundër Shqipërisë</w:t>
      </w:r>
      <w:r w:rsidR="006931DA">
        <w:rPr>
          <w:rFonts w:ascii="Garamond" w:hAnsi="Garamond" w:cs="Times New Roman"/>
          <w:color w:val="000000"/>
          <w:sz w:val="24"/>
          <w:szCs w:val="24"/>
        </w:rPr>
        <w:t>, datë 17.</w:t>
      </w:r>
      <w:r w:rsidRPr="006931DA">
        <w:rPr>
          <w:rFonts w:ascii="Garamond" w:hAnsi="Garamond" w:cs="Times New Roman"/>
          <w:color w:val="000000"/>
          <w:sz w:val="24"/>
          <w:szCs w:val="24"/>
        </w:rPr>
        <w:t xml:space="preserve">3.2020, të </w:t>
      </w:r>
      <w:r w:rsidR="006931DA">
        <w:rPr>
          <w:rFonts w:ascii="Garamond" w:hAnsi="Garamond" w:cs="Times New Roman"/>
          <w:color w:val="000000"/>
          <w:sz w:val="24"/>
          <w:szCs w:val="24"/>
        </w:rPr>
        <w:t>njoftuar me shkrim në datën 7.</w:t>
      </w:r>
      <w:r w:rsidRPr="006931DA">
        <w:rPr>
          <w:rFonts w:ascii="Garamond" w:hAnsi="Garamond" w:cs="Times New Roman"/>
          <w:color w:val="000000"/>
          <w:sz w:val="24"/>
          <w:szCs w:val="24"/>
        </w:rPr>
        <w:t xml:space="preserve">5.2020. Këto dy vendimmarrje të fundit, të cilat janë marrë dhe kanë hyrë në fuqi përpara dhënies së vendimit nga Gjykata e Lartë, kanë sjellë ndryshime me rëndësi për të drejtën e pronës private, duke përcaktuar standardin minimal 10 % të vlerës aktuale të saj. Në këto kushte, Gjykata e Lartë, megjithëse ndodhej përpara pretendimeve me natyrë kushtetuese, në lidhje me të drejtën e pronës </w:t>
      </w:r>
      <w:r w:rsidRPr="006931DA">
        <w:rPr>
          <w:rFonts w:ascii="Garamond" w:hAnsi="Garamond" w:cs="Times New Roman"/>
          <w:color w:val="222222"/>
          <w:sz w:val="24"/>
          <w:szCs w:val="24"/>
        </w:rPr>
        <w:t xml:space="preserve">të kërkuesit për shpërblim të </w:t>
      </w:r>
      <w:r w:rsidRPr="006931DA">
        <w:rPr>
          <w:rFonts w:ascii="Garamond" w:hAnsi="Garamond" w:cs="Times New Roman"/>
          <w:color w:val="222222"/>
          <w:sz w:val="24"/>
          <w:szCs w:val="24"/>
        </w:rPr>
        <w:lastRenderedPageBreak/>
        <w:t xml:space="preserve">drejtë sipas zërit </w:t>
      </w:r>
      <w:proofErr w:type="spellStart"/>
      <w:r w:rsidRPr="006931DA">
        <w:rPr>
          <w:rFonts w:ascii="Garamond" w:hAnsi="Garamond" w:cs="Times New Roman"/>
          <w:color w:val="222222"/>
          <w:sz w:val="24"/>
          <w:szCs w:val="24"/>
        </w:rPr>
        <w:t>kadastral</w:t>
      </w:r>
      <w:proofErr w:type="spellEnd"/>
      <w:r w:rsidRPr="006931DA">
        <w:rPr>
          <w:rFonts w:ascii="Garamond" w:hAnsi="Garamond" w:cs="Times New Roman"/>
          <w:color w:val="222222"/>
          <w:sz w:val="24"/>
          <w:szCs w:val="24"/>
        </w:rPr>
        <w:t xml:space="preserve"> “truall” të përcaktuar me vendimin e formës së prerë </w:t>
      </w:r>
      <w:r w:rsidRPr="006931DA">
        <w:rPr>
          <w:rFonts w:ascii="Garamond" w:hAnsi="Garamond" w:cs="Times New Roman"/>
          <w:color w:val="000000"/>
          <w:sz w:val="24"/>
          <w:szCs w:val="24"/>
        </w:rPr>
        <w:t>nr. 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KKKP-së, Tiranë, në ushtrim të funksionit të saj dhe të parimit të </w:t>
      </w:r>
      <w:proofErr w:type="spellStart"/>
      <w:r w:rsidRPr="006931DA">
        <w:rPr>
          <w:rFonts w:ascii="Garamond" w:hAnsi="Garamond" w:cs="Times New Roman"/>
          <w:color w:val="000000"/>
          <w:sz w:val="24"/>
          <w:szCs w:val="24"/>
        </w:rPr>
        <w:t>subsidiaritetit</w:t>
      </w:r>
      <w:proofErr w:type="spellEnd"/>
      <w:r w:rsidRPr="006931DA">
        <w:rPr>
          <w:rFonts w:ascii="Garamond" w:hAnsi="Garamond" w:cs="Times New Roman"/>
          <w:color w:val="000000"/>
          <w:sz w:val="24"/>
          <w:szCs w:val="24"/>
        </w:rPr>
        <w:t xml:space="preserve">, duhej të kishte mbajtur një qëndrim të shprehur për pretendimet e ngritura në rekurs. Për më tepër, Gjykata vëren se në kuadër të qëndrimit të GJEDNJ-së në çështjen </w:t>
      </w:r>
      <w:proofErr w:type="spellStart"/>
      <w:r w:rsidRPr="006931DA">
        <w:rPr>
          <w:rFonts w:ascii="Garamond" w:hAnsi="Garamond" w:cs="Times New Roman"/>
          <w:i/>
          <w:iCs/>
          <w:color w:val="000000"/>
          <w:sz w:val="24"/>
          <w:szCs w:val="24"/>
        </w:rPr>
        <w:t>Beshiri</w:t>
      </w:r>
      <w:proofErr w:type="spellEnd"/>
      <w:r w:rsidRPr="006931DA">
        <w:rPr>
          <w:rFonts w:ascii="Garamond" w:hAnsi="Garamond" w:cs="Times New Roman"/>
          <w:i/>
          <w:iCs/>
          <w:color w:val="000000"/>
          <w:sz w:val="24"/>
          <w:szCs w:val="24"/>
        </w:rPr>
        <w:t xml:space="preserve"> dhe të tjerë kundër Shqipërisë</w:t>
      </w:r>
      <w:r w:rsidRPr="006931DA">
        <w:rPr>
          <w:rFonts w:ascii="Garamond" w:hAnsi="Garamond" w:cs="Times New Roman"/>
          <w:color w:val="000000"/>
          <w:sz w:val="24"/>
          <w:szCs w:val="24"/>
        </w:rPr>
        <w:t xml:space="preserve"> e jurisprudencës kushtetuese (vendimit nr. 4/</w:t>
      </w:r>
      <w:r w:rsidR="006931DA">
        <w:rPr>
          <w:rFonts w:ascii="Garamond" w:hAnsi="Garamond" w:cs="Times New Roman"/>
          <w:color w:val="000000"/>
          <w:sz w:val="24"/>
          <w:szCs w:val="24"/>
        </w:rPr>
        <w:t>2021</w:t>
      </w:r>
      <w:r w:rsidR="00702F79">
        <w:rPr>
          <w:rFonts w:ascii="Garamond" w:hAnsi="Garamond" w:cs="Times New Roman"/>
          <w:color w:val="000000"/>
          <w:sz w:val="24"/>
          <w:szCs w:val="24"/>
        </w:rPr>
        <w:t>,</w:t>
      </w:r>
      <w:r w:rsidR="006931DA">
        <w:rPr>
          <w:rFonts w:ascii="Garamond" w:hAnsi="Garamond" w:cs="Times New Roman"/>
          <w:color w:val="000000"/>
          <w:sz w:val="24"/>
          <w:szCs w:val="24"/>
        </w:rPr>
        <w:t xml:space="preserve"> të Gjykatës), në datën 30.</w:t>
      </w:r>
      <w:r w:rsidRPr="006931DA">
        <w:rPr>
          <w:rFonts w:ascii="Garamond" w:hAnsi="Garamond" w:cs="Times New Roman"/>
          <w:color w:val="000000"/>
          <w:sz w:val="24"/>
          <w:szCs w:val="24"/>
        </w:rPr>
        <w:t xml:space="preserve">3.2023, pas hyrjes në fuqi të ligjit nr. 77/2022, ATP-ja në rastin në shqyrtim ka bërë rivlerësimin e pronës së kërkuesit, në një vlerë dukshëm të ndryshme nga ajo e përcaktuar në vlerësimin e parë, objekt i kontrollit kushtetues. Mospranimi nga kjo gjykatë i rekursit të kërkuesit, duke u mjaftuar vetëm me shqyrtimin </w:t>
      </w:r>
      <w:r w:rsidRPr="006931DA">
        <w:rPr>
          <w:rFonts w:ascii="Garamond" w:hAnsi="Garamond" w:cs="Times New Roman"/>
          <w:i/>
          <w:iCs/>
          <w:color w:val="000000"/>
          <w:sz w:val="24"/>
          <w:szCs w:val="24"/>
        </w:rPr>
        <w:t>de plano</w:t>
      </w:r>
      <w:r w:rsidRPr="006931DA">
        <w:rPr>
          <w:rFonts w:ascii="Garamond" w:hAnsi="Garamond" w:cs="Times New Roman"/>
          <w:color w:val="000000"/>
          <w:sz w:val="24"/>
          <w:szCs w:val="24"/>
        </w:rPr>
        <w:t xml:space="preserve"> të çështjes dhe me arsyetimin e kufizuar se shkaqet e rekursit nuk janë nga ato të parashikuara nga ligji, pa i dhënë përgjigje të arsyetuar pretendimit me natyrë kushtetuese për të drejtën e pronës, si dhe mosrespektimi i fuqisë detyruese të jurisprudencës kushtetuese dhe asaj ndërkombëtare, ka vënë në dyshim respektimin dhe mbrojtjen e të drejtave themelore kushtetuese. </w:t>
      </w:r>
    </w:p>
    <w:p w14:paraId="5915B825" w14:textId="6AE47C99"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6931DA">
        <w:rPr>
          <w:rFonts w:ascii="Garamond" w:hAnsi="Garamond" w:cs="Times New Roman"/>
          <w:color w:val="000000"/>
          <w:sz w:val="24"/>
          <w:szCs w:val="24"/>
        </w:rPr>
        <w:t>37. Në përmbledhje të rrethanave të konstatuara, në rastin e kërkuesit nuk është analizuar nëse vlerësimi i pronës ka respektuar standardin minimal “</w:t>
      </w:r>
      <w:r w:rsidRPr="006931DA">
        <w:rPr>
          <w:rFonts w:ascii="Garamond" w:hAnsi="Garamond" w:cs="Times New Roman"/>
          <w:i/>
          <w:iCs/>
          <w:color w:val="000000"/>
          <w:sz w:val="24"/>
          <w:szCs w:val="24"/>
        </w:rPr>
        <w:t xml:space="preserve">10% për diferencën në vlerësim midis zërit </w:t>
      </w:r>
      <w:proofErr w:type="spellStart"/>
      <w:r w:rsidRPr="006931DA">
        <w:rPr>
          <w:rFonts w:ascii="Garamond" w:hAnsi="Garamond" w:cs="Times New Roman"/>
          <w:i/>
          <w:iCs/>
          <w:color w:val="000000"/>
          <w:sz w:val="24"/>
          <w:szCs w:val="24"/>
        </w:rPr>
        <w:t>kadastral</w:t>
      </w:r>
      <w:proofErr w:type="spellEnd"/>
      <w:r w:rsidRPr="006931DA">
        <w:rPr>
          <w:rFonts w:ascii="Garamond" w:hAnsi="Garamond" w:cs="Times New Roman"/>
          <w:i/>
          <w:iCs/>
          <w:color w:val="000000"/>
          <w:sz w:val="24"/>
          <w:szCs w:val="24"/>
        </w:rPr>
        <w:t xml:space="preserve"> të sotëm dhe atij të kohës së shpronësimit”,</w:t>
      </w:r>
      <w:r w:rsidRPr="006931DA">
        <w:rPr>
          <w:rFonts w:ascii="Garamond" w:hAnsi="Garamond" w:cs="Times New Roman"/>
          <w:color w:val="000000"/>
          <w:sz w:val="24"/>
          <w:szCs w:val="24"/>
        </w:rPr>
        <w:t xml:space="preserve"> në kuptim të neneve 42 dhe 142, pika 1, të Kushtetutës, pasi në përmbajtjen e vendimit të Gjykatës së Lartë nuk janë marrë në konsideratë vendimet detyruese të Gjykatës dhe të GJEDNJ-së. Kjo situatë është rrjedhojë e disa faktorëve, duke filluar me mosveprimin e Kuvendit për plotësimin e detyrimit të cakt</w:t>
      </w:r>
      <w:r w:rsidR="006931DA">
        <w:rPr>
          <w:rFonts w:ascii="Garamond" w:hAnsi="Garamond" w:cs="Times New Roman"/>
          <w:color w:val="000000"/>
          <w:sz w:val="24"/>
          <w:szCs w:val="24"/>
        </w:rPr>
        <w:t>uar me vendimin nr. 4, datë 15.</w:t>
      </w:r>
      <w:r w:rsidRPr="006931DA">
        <w:rPr>
          <w:rFonts w:ascii="Garamond" w:hAnsi="Garamond" w:cs="Times New Roman"/>
          <w:color w:val="000000"/>
          <w:sz w:val="24"/>
          <w:szCs w:val="24"/>
        </w:rPr>
        <w:t>2.2021</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kësaj Gjykate, me ekzistencën për një kohë të konsiderueshme të boshllëkut ligjor, me mosrespektimin e fuqisë detyruese të jurisprudencës kushtetuese dhe ndërkombëtare, për të përfunduar me arsyetimin e gjykatave, të cilat, në çdo rast, duhet të luajnë rolin e tyre </w:t>
      </w:r>
      <w:proofErr w:type="spellStart"/>
      <w:r w:rsidRPr="006931DA">
        <w:rPr>
          <w:rFonts w:ascii="Garamond" w:hAnsi="Garamond" w:cs="Times New Roman"/>
          <w:color w:val="000000"/>
          <w:sz w:val="24"/>
          <w:szCs w:val="24"/>
        </w:rPr>
        <w:t>subsidiar</w:t>
      </w:r>
      <w:proofErr w:type="spellEnd"/>
      <w:r w:rsidRPr="006931DA">
        <w:rPr>
          <w:rFonts w:ascii="Garamond" w:hAnsi="Garamond" w:cs="Times New Roman"/>
          <w:color w:val="000000"/>
          <w:sz w:val="24"/>
          <w:szCs w:val="24"/>
        </w:rPr>
        <w:t xml:space="preserve"> për respektimin e të drejtave themelore, pa u shmangur nga ky rol edhe në rastet e boshllëkut ligjor.</w:t>
      </w:r>
    </w:p>
    <w:p w14:paraId="31465662" w14:textId="2D53DBE6"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6931DA">
        <w:rPr>
          <w:rFonts w:ascii="Garamond" w:hAnsi="Garamond" w:cs="Times New Roman"/>
          <w:color w:val="000000"/>
          <w:sz w:val="24"/>
          <w:szCs w:val="24"/>
        </w:rPr>
        <w:t>38. Në përmbledhje të argumenteve të mësipërme, Gjykata arrin në përfundimin se në rastin në shqyrtim është cenuar parimi i sigurisë juridike i lidhur me standardin e arsyetimit të vendimit gjyqësor.</w:t>
      </w:r>
    </w:p>
    <w:p w14:paraId="1F98B350" w14:textId="6209E034"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39. Në përfundim, Gjykata çmon se pretendimi i kërkuesit është i bazuar, sipas arsyetimit të mësipërm të këtij vendimi, ndaj kërkesa pranohet pjesërisht.</w:t>
      </w:r>
    </w:p>
    <w:p w14:paraId="4023B48B" w14:textId="77777777" w:rsidR="00B46B26" w:rsidRPr="006931DA" w:rsidRDefault="00B46B26" w:rsidP="00B46B26">
      <w:pPr>
        <w:tabs>
          <w:tab w:val="left" w:pos="980"/>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p>
    <w:p w14:paraId="34D1FFFB"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bCs/>
          <w:color w:val="000000"/>
          <w:sz w:val="24"/>
          <w:szCs w:val="24"/>
        </w:rPr>
      </w:pPr>
      <w:r w:rsidRPr="006931DA">
        <w:rPr>
          <w:rFonts w:ascii="Garamond" w:hAnsi="Garamond" w:cs="Times New Roman"/>
          <w:bCs/>
          <w:color w:val="000000"/>
          <w:sz w:val="24"/>
          <w:szCs w:val="24"/>
        </w:rPr>
        <w:t>PËR KËTO ARSYE,</w:t>
      </w:r>
    </w:p>
    <w:p w14:paraId="29A3D661"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color w:val="000000"/>
          <w:sz w:val="24"/>
          <w:szCs w:val="24"/>
        </w:rPr>
      </w:pPr>
    </w:p>
    <w:p w14:paraId="7755FE99" w14:textId="75433EF7"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Gjykata Kushtetuese, në mbështetje të neneve 131, pika 1, shkronja “f” dhe 134, pika 1, shkronja “i”, të Kushtetutës, si dhe neneve 72 e viju</w:t>
      </w:r>
      <w:r w:rsidR="006931DA">
        <w:rPr>
          <w:rFonts w:ascii="Garamond" w:hAnsi="Garamond" w:cs="Times New Roman"/>
          <w:color w:val="000000"/>
          <w:sz w:val="24"/>
          <w:szCs w:val="24"/>
        </w:rPr>
        <w:t>es, të ligjit nr. 8577, datë 10.</w:t>
      </w:r>
      <w:r w:rsidRPr="006931DA">
        <w:rPr>
          <w:rFonts w:ascii="Garamond" w:hAnsi="Garamond" w:cs="Times New Roman"/>
          <w:color w:val="000000"/>
          <w:sz w:val="24"/>
          <w:szCs w:val="24"/>
        </w:rPr>
        <w:t>2.2000</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“Për organizimin dhe funksionimin e Gjykatës Kushtetuese të Republikës së Shqipërisë”, të ndryshuar, me shumicë votash,</w:t>
      </w:r>
    </w:p>
    <w:p w14:paraId="540B3CCF" w14:textId="77777777"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p>
    <w:p w14:paraId="3D251E52" w14:textId="50253740" w:rsidR="00B46B26" w:rsidRPr="006931DA" w:rsidRDefault="00B46B26" w:rsidP="00B46B26">
      <w:pPr>
        <w:autoSpaceDE w:val="0"/>
        <w:autoSpaceDN w:val="0"/>
        <w:adjustRightInd w:val="0"/>
        <w:spacing w:after="0" w:line="240" w:lineRule="auto"/>
        <w:ind w:firstLine="284"/>
        <w:jc w:val="center"/>
        <w:rPr>
          <w:rFonts w:ascii="Garamond" w:hAnsi="Garamond" w:cs="Times New Roman"/>
          <w:bCs/>
          <w:color w:val="000000"/>
          <w:sz w:val="24"/>
          <w:szCs w:val="24"/>
        </w:rPr>
      </w:pPr>
      <w:r w:rsidRPr="006931DA">
        <w:rPr>
          <w:rFonts w:ascii="Garamond" w:hAnsi="Garamond" w:cs="Times New Roman"/>
          <w:bCs/>
          <w:color w:val="000000"/>
          <w:sz w:val="24"/>
          <w:szCs w:val="24"/>
        </w:rPr>
        <w:t>VENDOSI:</w:t>
      </w:r>
    </w:p>
    <w:p w14:paraId="3EC580C5" w14:textId="77777777" w:rsidR="00B46B26" w:rsidRPr="006931DA" w:rsidRDefault="00B46B26" w:rsidP="00B46B26">
      <w:pPr>
        <w:autoSpaceDE w:val="0"/>
        <w:autoSpaceDN w:val="0"/>
        <w:adjustRightInd w:val="0"/>
        <w:spacing w:after="0" w:line="240" w:lineRule="auto"/>
        <w:ind w:firstLine="284"/>
        <w:jc w:val="center"/>
        <w:rPr>
          <w:rFonts w:ascii="Garamond" w:hAnsi="Garamond" w:cs="Times New Roman"/>
          <w:bCs/>
          <w:color w:val="000000"/>
          <w:sz w:val="24"/>
          <w:szCs w:val="24"/>
        </w:rPr>
      </w:pPr>
    </w:p>
    <w:p w14:paraId="5408F805" w14:textId="687450D5"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1. Pranimin pjesërisht të kërkesës.</w:t>
      </w:r>
    </w:p>
    <w:p w14:paraId="771FB58C" w14:textId="0364534C"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2. Shfuqizimin e vend</w:t>
      </w:r>
      <w:r w:rsidR="006931DA">
        <w:rPr>
          <w:rFonts w:ascii="Garamond" w:hAnsi="Garamond" w:cs="Times New Roman"/>
          <w:color w:val="000000"/>
          <w:sz w:val="24"/>
          <w:szCs w:val="24"/>
        </w:rPr>
        <w:t>imit nr. 00-2025-2165, datë 5.</w:t>
      </w:r>
      <w:r w:rsidRPr="006931DA">
        <w:rPr>
          <w:rFonts w:ascii="Garamond" w:hAnsi="Garamond" w:cs="Times New Roman"/>
          <w:color w:val="000000"/>
          <w:sz w:val="24"/>
          <w:szCs w:val="24"/>
        </w:rPr>
        <w:t>6.2025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Kolegjit Administrativ të Gjykatës së Lartë, si të papajtueshëm me Kushtetutën e Republikës së Shqipërisë.</w:t>
      </w:r>
    </w:p>
    <w:p w14:paraId="7A636DF3" w14:textId="0E32C3C3" w:rsidR="00B46B26" w:rsidRPr="006931DA"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3. Dërgimin e çështjes për shqyrtim në Gjykatën e Lartë. </w:t>
      </w:r>
    </w:p>
    <w:p w14:paraId="537DFA56" w14:textId="7543DDD3" w:rsidR="00B46B26" w:rsidRDefault="00B46B26" w:rsidP="00B46B26">
      <w:pPr>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Ky vendim është përfundimtar dhe hyn në fuqi ditën e botimit në Fletoren Zyrtare.</w:t>
      </w:r>
    </w:p>
    <w:p w14:paraId="47A1E070" w14:textId="77777777" w:rsidR="006931DA" w:rsidRPr="006931DA" w:rsidRDefault="006931DA" w:rsidP="00B46B26">
      <w:pPr>
        <w:autoSpaceDE w:val="0"/>
        <w:autoSpaceDN w:val="0"/>
        <w:adjustRightInd w:val="0"/>
        <w:spacing w:after="0" w:line="240" w:lineRule="auto"/>
        <w:ind w:firstLine="284"/>
        <w:jc w:val="both"/>
        <w:rPr>
          <w:rFonts w:ascii="Garamond" w:hAnsi="Garamond" w:cs="Times New Roman"/>
          <w:color w:val="000000"/>
          <w:sz w:val="24"/>
          <w:szCs w:val="24"/>
        </w:rPr>
      </w:pPr>
    </w:p>
    <w:p w14:paraId="22F9A736" w14:textId="4FB264F4" w:rsidR="00B46B26" w:rsidRPr="006931DA" w:rsidRDefault="006931DA" w:rsidP="00B46B26">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Marrë më 30.</w:t>
      </w:r>
      <w:r w:rsidR="00B46B26" w:rsidRPr="006931DA">
        <w:rPr>
          <w:rFonts w:ascii="Garamond" w:hAnsi="Garamond" w:cs="Times New Roman"/>
          <w:b/>
          <w:bCs/>
          <w:color w:val="000000"/>
          <w:sz w:val="24"/>
          <w:szCs w:val="24"/>
        </w:rPr>
        <w:t>6.2026</w:t>
      </w:r>
      <w:r>
        <w:rPr>
          <w:rFonts w:ascii="Garamond" w:hAnsi="Garamond" w:cs="Times New Roman"/>
          <w:b/>
          <w:bCs/>
          <w:color w:val="000000"/>
          <w:sz w:val="24"/>
          <w:szCs w:val="24"/>
        </w:rPr>
        <w:t>.</w:t>
      </w:r>
    </w:p>
    <w:p w14:paraId="5E9080A8" w14:textId="3D18A377" w:rsidR="00B46B26" w:rsidRPr="006931DA" w:rsidRDefault="006931DA" w:rsidP="00B46B26">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Shpallur më 31.</w:t>
      </w:r>
      <w:r w:rsidR="00B46B26" w:rsidRPr="006931DA">
        <w:rPr>
          <w:rFonts w:ascii="Garamond" w:hAnsi="Garamond" w:cs="Times New Roman"/>
          <w:b/>
          <w:bCs/>
          <w:color w:val="000000"/>
          <w:sz w:val="24"/>
          <w:szCs w:val="24"/>
        </w:rPr>
        <w:t>7.2026</w:t>
      </w:r>
      <w:r>
        <w:rPr>
          <w:rFonts w:ascii="Garamond" w:hAnsi="Garamond" w:cs="Times New Roman"/>
          <w:b/>
          <w:bCs/>
          <w:color w:val="000000"/>
          <w:sz w:val="24"/>
          <w:szCs w:val="24"/>
        </w:rPr>
        <w:t>.</w:t>
      </w:r>
    </w:p>
    <w:p w14:paraId="68A49627" w14:textId="77777777" w:rsidR="00B46B26" w:rsidRPr="006931DA" w:rsidRDefault="00B46B26" w:rsidP="00B46B26">
      <w:pPr>
        <w:autoSpaceDE w:val="0"/>
        <w:autoSpaceDN w:val="0"/>
        <w:adjustRightInd w:val="0"/>
        <w:spacing w:after="0" w:line="240" w:lineRule="auto"/>
        <w:ind w:firstLine="284"/>
        <w:rPr>
          <w:rFonts w:ascii="Garamond" w:hAnsi="Garamond" w:cs="Times New Roman"/>
          <w:b/>
          <w:bCs/>
          <w:color w:val="000000"/>
          <w:sz w:val="24"/>
          <w:szCs w:val="24"/>
        </w:rPr>
      </w:pPr>
    </w:p>
    <w:p w14:paraId="5BB68FC1" w14:textId="66E846FB" w:rsidR="00B46B26" w:rsidRPr="006931DA" w:rsidRDefault="00B46B26" w:rsidP="00B46B26">
      <w:pPr>
        <w:autoSpaceDE w:val="0"/>
        <w:autoSpaceDN w:val="0"/>
        <w:adjustRightInd w:val="0"/>
        <w:spacing w:after="0" w:line="240" w:lineRule="auto"/>
        <w:ind w:firstLine="284"/>
        <w:rPr>
          <w:rFonts w:ascii="Garamond" w:hAnsi="Garamond" w:cs="Times New Roman"/>
          <w:bCs/>
          <w:color w:val="000000"/>
          <w:sz w:val="24"/>
          <w:szCs w:val="24"/>
        </w:rPr>
      </w:pPr>
      <w:r w:rsidRPr="006931DA">
        <w:rPr>
          <w:rFonts w:ascii="Garamond" w:hAnsi="Garamond" w:cs="Times New Roman"/>
          <w:b/>
          <w:bCs/>
          <w:color w:val="000000"/>
          <w:sz w:val="24"/>
          <w:szCs w:val="24"/>
        </w:rPr>
        <w:t xml:space="preserve">Kryetare: </w:t>
      </w:r>
      <w:proofErr w:type="spellStart"/>
      <w:r w:rsidRPr="006931DA">
        <w:rPr>
          <w:rFonts w:ascii="Garamond" w:hAnsi="Garamond" w:cs="Times New Roman"/>
          <w:bCs/>
          <w:color w:val="000000"/>
          <w:sz w:val="24"/>
          <w:szCs w:val="24"/>
        </w:rPr>
        <w:t>Fiona</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Papajorgji</w:t>
      </w:r>
      <w:proofErr w:type="spellEnd"/>
    </w:p>
    <w:p w14:paraId="7615F797" w14:textId="6370D2AE" w:rsidR="00B46B26" w:rsidRPr="006931DA" w:rsidRDefault="00B46B26" w:rsidP="00B46B26">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6931DA">
        <w:rPr>
          <w:rFonts w:ascii="Garamond" w:hAnsi="Garamond" w:cs="Times New Roman"/>
          <w:b/>
          <w:bCs/>
          <w:color w:val="000000"/>
          <w:sz w:val="24"/>
          <w:szCs w:val="24"/>
        </w:rPr>
        <w:t xml:space="preserve">Anëtarë: </w:t>
      </w:r>
      <w:proofErr w:type="spellStart"/>
      <w:r w:rsidRPr="006931DA">
        <w:rPr>
          <w:rFonts w:ascii="Garamond" w:hAnsi="Garamond" w:cs="Times New Roman"/>
          <w:bCs/>
          <w:color w:val="000000"/>
          <w:sz w:val="24"/>
          <w:szCs w:val="24"/>
        </w:rPr>
        <w:t>Sonila</w:t>
      </w:r>
      <w:proofErr w:type="spellEnd"/>
      <w:r w:rsidRPr="006931DA">
        <w:rPr>
          <w:rFonts w:ascii="Garamond" w:hAnsi="Garamond" w:cs="Times New Roman"/>
          <w:bCs/>
          <w:color w:val="000000"/>
          <w:sz w:val="24"/>
          <w:szCs w:val="24"/>
        </w:rPr>
        <w:t xml:space="preserve"> Bejtja, </w:t>
      </w:r>
      <w:proofErr w:type="spellStart"/>
      <w:r w:rsidRPr="006931DA">
        <w:rPr>
          <w:rFonts w:ascii="Garamond" w:hAnsi="Garamond" w:cs="Times New Roman"/>
          <w:bCs/>
          <w:color w:val="000000"/>
          <w:sz w:val="24"/>
          <w:szCs w:val="24"/>
        </w:rPr>
        <w:t>Marsida</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Xhaferllari</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Marjana</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Semini</w:t>
      </w:r>
      <w:proofErr w:type="spellEnd"/>
      <w:r w:rsidRPr="006931DA">
        <w:rPr>
          <w:rFonts w:ascii="Garamond" w:hAnsi="Garamond" w:cs="Times New Roman"/>
          <w:bCs/>
          <w:color w:val="000000"/>
          <w:sz w:val="24"/>
          <w:szCs w:val="24"/>
        </w:rPr>
        <w:t>, Ilir Toska</w:t>
      </w:r>
      <w:r w:rsidRPr="006931DA">
        <w:rPr>
          <w:rFonts w:ascii="Garamond" w:hAnsi="Garamond" w:cs="Times New Roman"/>
          <w:b/>
          <w:bCs/>
          <w:color w:val="000000"/>
          <w:sz w:val="24"/>
          <w:szCs w:val="24"/>
        </w:rPr>
        <w:t xml:space="preserve"> </w:t>
      </w:r>
    </w:p>
    <w:p w14:paraId="799CFBEA" w14:textId="282BFB09" w:rsidR="00B46B26" w:rsidRDefault="00B46B26" w:rsidP="00B46B26">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6931DA">
        <w:rPr>
          <w:rFonts w:ascii="Garamond" w:hAnsi="Garamond" w:cs="Times New Roman"/>
          <w:b/>
          <w:bCs/>
          <w:color w:val="000000"/>
          <w:sz w:val="24"/>
          <w:szCs w:val="24"/>
        </w:rPr>
        <w:t xml:space="preserve">Anëtarë kundër: </w:t>
      </w:r>
      <w:proofErr w:type="spellStart"/>
      <w:r w:rsidRPr="006931DA">
        <w:rPr>
          <w:rFonts w:ascii="Garamond" w:hAnsi="Garamond" w:cs="Times New Roman"/>
          <w:bCs/>
          <w:color w:val="000000"/>
          <w:sz w:val="24"/>
          <w:szCs w:val="24"/>
        </w:rPr>
        <w:t>Sandër</w:t>
      </w:r>
      <w:proofErr w:type="spellEnd"/>
      <w:r w:rsidRPr="006931DA">
        <w:rPr>
          <w:rFonts w:ascii="Garamond" w:hAnsi="Garamond" w:cs="Times New Roman"/>
          <w:bCs/>
          <w:color w:val="000000"/>
          <w:sz w:val="24"/>
          <w:szCs w:val="24"/>
        </w:rPr>
        <w:t xml:space="preserve"> Beci, Genti Ibrahimi, </w:t>
      </w:r>
      <w:proofErr w:type="spellStart"/>
      <w:r w:rsidRPr="006931DA">
        <w:rPr>
          <w:rFonts w:ascii="Garamond" w:hAnsi="Garamond" w:cs="Times New Roman"/>
          <w:bCs/>
          <w:color w:val="000000"/>
          <w:sz w:val="24"/>
          <w:szCs w:val="24"/>
        </w:rPr>
        <w:t>Asim</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Vokshi</w:t>
      </w:r>
      <w:proofErr w:type="spellEnd"/>
    </w:p>
    <w:p w14:paraId="3A4A53A6" w14:textId="77777777" w:rsidR="006931DA" w:rsidRPr="006931DA" w:rsidRDefault="006931DA" w:rsidP="00B46B26">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2D69C196" w14:textId="6C0FF168" w:rsidR="00B46B26" w:rsidRPr="006931DA" w:rsidRDefault="00B46B26" w:rsidP="00B46B26">
      <w:pPr>
        <w:tabs>
          <w:tab w:val="left" w:pos="720"/>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6931DA">
        <w:rPr>
          <w:rFonts w:ascii="Garamond" w:hAnsi="Garamond" w:cs="Times New Roman"/>
          <w:bCs/>
          <w:color w:val="000000"/>
          <w:sz w:val="24"/>
          <w:szCs w:val="24"/>
        </w:rPr>
        <w:lastRenderedPageBreak/>
        <w:t>MENDIM PAKICE</w:t>
      </w:r>
    </w:p>
    <w:p w14:paraId="4D3470F5" w14:textId="77777777" w:rsidR="00B46B26" w:rsidRPr="006931DA" w:rsidRDefault="00B46B26" w:rsidP="00B46B26">
      <w:pPr>
        <w:tabs>
          <w:tab w:val="left" w:pos="720"/>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43CE269D" w14:textId="629C11DE"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6931DA">
        <w:rPr>
          <w:rFonts w:ascii="Garamond" w:hAnsi="Garamond" w:cs="Times New Roman"/>
          <w:color w:val="000000"/>
          <w:sz w:val="24"/>
          <w:szCs w:val="24"/>
        </w:rPr>
        <w:t xml:space="preserve">1. Në shqyrtimin e çështjes që i përket kërkesës së kërkuesit Ilirian </w:t>
      </w:r>
      <w:proofErr w:type="spellStart"/>
      <w:r w:rsidRPr="006931DA">
        <w:rPr>
          <w:rFonts w:ascii="Garamond" w:hAnsi="Garamond" w:cs="Times New Roman"/>
          <w:color w:val="000000"/>
          <w:sz w:val="24"/>
          <w:szCs w:val="24"/>
        </w:rPr>
        <w:t>Cani</w:t>
      </w:r>
      <w:proofErr w:type="spellEnd"/>
      <w:r w:rsidRPr="006931DA">
        <w:rPr>
          <w:rFonts w:ascii="Garamond" w:hAnsi="Garamond" w:cs="Times New Roman"/>
          <w:color w:val="000000"/>
          <w:sz w:val="24"/>
          <w:szCs w:val="24"/>
        </w:rPr>
        <w:t>, me objekt shfuqizi</w:t>
      </w:r>
      <w:r w:rsidR="006931DA">
        <w:rPr>
          <w:rFonts w:ascii="Garamond" w:hAnsi="Garamond" w:cs="Times New Roman"/>
          <w:color w:val="000000"/>
          <w:sz w:val="24"/>
          <w:szCs w:val="24"/>
        </w:rPr>
        <w:t>mi i vendimeve nr. 27, datë 13.</w:t>
      </w:r>
      <w:r w:rsidRPr="006931DA">
        <w:rPr>
          <w:rFonts w:ascii="Garamond" w:hAnsi="Garamond" w:cs="Times New Roman"/>
          <w:color w:val="000000"/>
          <w:sz w:val="24"/>
          <w:szCs w:val="24"/>
        </w:rPr>
        <w:t>2.2019</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Gjykatës Administrative të</w:t>
      </w:r>
      <w:r w:rsidR="006931DA">
        <w:rPr>
          <w:rFonts w:ascii="Garamond" w:hAnsi="Garamond" w:cs="Times New Roman"/>
          <w:color w:val="000000"/>
          <w:sz w:val="24"/>
          <w:szCs w:val="24"/>
        </w:rPr>
        <w:t xml:space="preserve"> Apelit; 00-2025-2165, datë 5.</w:t>
      </w:r>
      <w:r w:rsidRPr="006931DA">
        <w:rPr>
          <w:rFonts w:ascii="Garamond" w:hAnsi="Garamond" w:cs="Times New Roman"/>
          <w:color w:val="000000"/>
          <w:sz w:val="24"/>
          <w:szCs w:val="24"/>
        </w:rPr>
        <w:t>6.2025</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Kolegjit Administrativ të Gjykatës së Lartë, si të papajtueshme me Kushtetutën e Republikës së Shqipërisë, ne gjyqtarët </w:t>
      </w:r>
      <w:proofErr w:type="spellStart"/>
      <w:r w:rsidRPr="006931DA">
        <w:rPr>
          <w:rFonts w:ascii="Garamond" w:hAnsi="Garamond" w:cs="Times New Roman"/>
          <w:color w:val="000000"/>
          <w:sz w:val="24"/>
          <w:szCs w:val="24"/>
        </w:rPr>
        <w:t>Sandër</w:t>
      </w:r>
      <w:proofErr w:type="spellEnd"/>
      <w:r w:rsidRPr="006931DA">
        <w:rPr>
          <w:rFonts w:ascii="Garamond" w:hAnsi="Garamond" w:cs="Times New Roman"/>
          <w:color w:val="000000"/>
          <w:sz w:val="24"/>
          <w:szCs w:val="24"/>
        </w:rPr>
        <w:t xml:space="preserve"> Beci, Genti Ibrahimi dhe </w:t>
      </w:r>
      <w:proofErr w:type="spellStart"/>
      <w:r w:rsidRPr="006931DA">
        <w:rPr>
          <w:rFonts w:ascii="Garamond" w:hAnsi="Garamond" w:cs="Times New Roman"/>
          <w:color w:val="000000"/>
          <w:sz w:val="24"/>
          <w:szCs w:val="24"/>
        </w:rPr>
        <w:t>Asim</w:t>
      </w:r>
      <w:proofErr w:type="spellEnd"/>
      <w:r w:rsidRPr="006931DA">
        <w:rPr>
          <w:rFonts w:ascii="Garamond" w:hAnsi="Garamond" w:cs="Times New Roman"/>
          <w:color w:val="000000"/>
          <w:sz w:val="24"/>
          <w:szCs w:val="24"/>
        </w:rPr>
        <w:t xml:space="preserve"> </w:t>
      </w:r>
      <w:proofErr w:type="spellStart"/>
      <w:r w:rsidRPr="006931DA">
        <w:rPr>
          <w:rFonts w:ascii="Garamond" w:hAnsi="Garamond" w:cs="Times New Roman"/>
          <w:color w:val="000000"/>
          <w:sz w:val="24"/>
          <w:szCs w:val="24"/>
        </w:rPr>
        <w:t>Vokshi</w:t>
      </w:r>
      <w:proofErr w:type="spellEnd"/>
      <w:r w:rsidRPr="006931DA">
        <w:rPr>
          <w:rFonts w:ascii="Garamond" w:hAnsi="Garamond" w:cs="Times New Roman"/>
          <w:color w:val="000000"/>
          <w:sz w:val="24"/>
          <w:szCs w:val="24"/>
        </w:rPr>
        <w:t xml:space="preserve"> jemi kundër vendimit të shumicës për pranimin e kërkesës, për arsyet e mëposhtme.</w:t>
      </w:r>
      <w:r w:rsidR="006931DA">
        <w:rPr>
          <w:rFonts w:ascii="Garamond" w:hAnsi="Garamond" w:cs="Times New Roman"/>
          <w:color w:val="000000"/>
          <w:sz w:val="24"/>
          <w:szCs w:val="24"/>
        </w:rPr>
        <w:t xml:space="preserve"> </w:t>
      </w:r>
    </w:p>
    <w:p w14:paraId="56AC2CB3" w14:textId="6851A656"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2. Shumica vendosi shfuqizimin e vendimit të Gjykatës së Lartë dhe kthimin e çështjes për rishqyrtim pranë asaj gjykate, pasi konstatoi se ajo gjykatë nuk kishte analizuar nëse vlerësimi i pronës ka respektuar standardin minimal “10% për diferencën në vlerësim midis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sotëm dhe atij të kohës së shpronësimit”, në kuptim të neneve 42 dhe 142, pika 1, të Kushtetutës. Po ashtu, Gjykata e Lartë nuk ka marrë në konsideratë vendimet detyruese të Gjykatës dhe GJEDNJ-së, duke cenuar parimin e sigurisë juridike të lidhur me standardin e arsyetimit të vendimit gjyqësor. </w:t>
      </w:r>
    </w:p>
    <w:p w14:paraId="263BBCCD" w14:textId="534E4631"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3. Pakica, për sa i përket çështjes konkrete të shqyrtuar pranë gjykatave të zakonshme dhe veçanërisht fakteve e pretendimeve të ngritura nga kërkuesi në këtë ankim kushtetues, lidhur me rivlerësimin e ri substancial të kryer nga ATP-ja në vitin 2023 (pas hyrjes në fuqi të ligjit nr. 77/2022), vlerëson se jo çdo “gabim” procedural justifikon cenimin e vendimmarrjes së gjykatave të zakonshme. Vetëm gabimet procedurale që pasjellin njëkohësisht dëmtimin serioz edhe të një të drejte substanciale kushtetuese mund të pasjellin cenimin e vendimmarrjes së atyre gjykatave. </w:t>
      </w:r>
    </w:p>
    <w:p w14:paraId="5CC6BBEB" w14:textId="27D1A70A"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4. Rasti në shqyrtim, për shkak të vlerësimit të ri të ATP-së në vitin 2023, i cili zhbënte vlerësimin e parë, nuk ka </w:t>
      </w:r>
      <w:proofErr w:type="spellStart"/>
      <w:r w:rsidRPr="006931DA">
        <w:rPr>
          <w:rFonts w:ascii="Garamond" w:hAnsi="Garamond" w:cs="Times New Roman"/>
          <w:color w:val="000000"/>
          <w:sz w:val="24"/>
          <w:szCs w:val="24"/>
        </w:rPr>
        <w:t>passjellë</w:t>
      </w:r>
      <w:proofErr w:type="spellEnd"/>
      <w:r w:rsidRPr="006931DA">
        <w:rPr>
          <w:rFonts w:ascii="Garamond" w:hAnsi="Garamond" w:cs="Times New Roman"/>
          <w:color w:val="000000"/>
          <w:sz w:val="24"/>
          <w:szCs w:val="24"/>
        </w:rPr>
        <w:t xml:space="preserve"> asnjë cenim substancial të interesave kushtetues të kërkuesit. Rezulton se në kohën kur Gjykata Administrative e Apelit ka dhënë vendimin e saj (2019), nuk ishte miratuar e nuk ishte në fuqi ligji nr. 77/2022, i cili </w:t>
      </w:r>
      <w:proofErr w:type="spellStart"/>
      <w:r w:rsidRPr="006931DA">
        <w:rPr>
          <w:rFonts w:ascii="Garamond" w:hAnsi="Garamond" w:cs="Times New Roman"/>
          <w:color w:val="000000"/>
          <w:sz w:val="24"/>
          <w:szCs w:val="24"/>
        </w:rPr>
        <w:t>implementoi</w:t>
      </w:r>
      <w:proofErr w:type="spellEnd"/>
      <w:r w:rsidRPr="006931DA">
        <w:rPr>
          <w:rFonts w:ascii="Garamond" w:hAnsi="Garamond" w:cs="Times New Roman"/>
          <w:color w:val="000000"/>
          <w:sz w:val="24"/>
          <w:szCs w:val="24"/>
        </w:rPr>
        <w:t xml:space="preserve"> në të drejtën e brendshme parimet e </w:t>
      </w:r>
      <w:proofErr w:type="spellStart"/>
      <w:r w:rsidRPr="006931DA">
        <w:rPr>
          <w:rFonts w:ascii="Garamond" w:hAnsi="Garamond" w:cs="Times New Roman"/>
          <w:color w:val="000000"/>
          <w:sz w:val="24"/>
          <w:szCs w:val="24"/>
        </w:rPr>
        <w:t>afirmuara</w:t>
      </w:r>
      <w:proofErr w:type="spellEnd"/>
      <w:r w:rsidRPr="006931DA">
        <w:rPr>
          <w:rFonts w:ascii="Garamond" w:hAnsi="Garamond" w:cs="Times New Roman"/>
          <w:color w:val="000000"/>
          <w:sz w:val="24"/>
          <w:szCs w:val="24"/>
        </w:rPr>
        <w:t xml:space="preserve"> nga GJEDNJ-ja dhe vendimet e Gjykatës në lidhje me zbatimin e ligjit nr. 133/2015 dhe imponoi respektimin e standardit minimal 10% për dëmshpërblim kur kishte ndryshim të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aktual në raport me atë të kohës së shpronësimit. Në kohën e gjykimit pranë Gjykatës Administrative të Apelit, kjo e fundit ka zbatuar me përpikëri dispozitat ligjore në fuqi, të cilat kërkonin që të përcaktohej sipas rregullave në fuqi “zëri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i pronave sot dhe në kohën e shpronësimit. Ajo gjykatë ka marrë prova të shumta, përfshirë edhe vendimin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1278/1996</w:t>
      </w:r>
      <w:r w:rsidR="006931DA">
        <w:rPr>
          <w:rFonts w:ascii="Garamond" w:hAnsi="Garamond" w:cs="Times New Roman"/>
          <w:color w:val="000000"/>
          <w:sz w:val="24"/>
          <w:szCs w:val="24"/>
        </w:rPr>
        <w:t>,</w:t>
      </w:r>
      <w:r w:rsidRPr="006931DA">
        <w:rPr>
          <w:rFonts w:ascii="Garamond" w:hAnsi="Garamond" w:cs="Times New Roman"/>
          <w:color w:val="000000"/>
          <w:sz w:val="24"/>
          <w:szCs w:val="24"/>
        </w:rPr>
        <w:t xml:space="preserve"> të ish-KKKP-së, si dhe harta të vjetra të Tiranës, për të arritur në përfundimin se, sipas rregullave ligjore në fuqi në kohën e shpronësimit, por edhe atyre që janë të detyrueshme për zbatim sot, zëri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i tokës të vlerësohej si “kullotë-livadh”. Bëhet fjalë për një pronë që ndodhet brenda sipërfaqes së Parkut të Liqenit në Tiranë dhe që ka pasur natyrën e “kullotës-livadh” në periudhën pas vitit 1944 (koha e shpronësimit). Gjykata Administrative e Apelit i është referuar në vendimmarrjen e saj provave të depozituara nga palët dhe aktit të ekspertimit të marrë gjatë gjykimit dhe ka arsyetuar mjaftueshëm për konkluzionet në të cilat ka arritur. Meqë ka konstatuar se zëri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i origjinës nuk ishte truall, por mund të klasifikohej si “kullotë-livadh”, Gjykata Administrative e Apelit në atë kohë nuk kishte mundësi të njihte të drejtën e paditësve për të përfituar 10% të vlerës që do të dilte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aktual, pasi siç u përmend më sipër as Gjykata nuk kishte marrë ende vendimin nr. 4/2021 dhe as ligji nr.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77/2022 nuk ishte miratuar ende.</w:t>
      </w:r>
    </w:p>
    <w:p w14:paraId="4F241018" w14:textId="2DC3DCA5"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5. Gjykata e Lartë, nëse ATP-ja nuk do të kishte zbatuar vetë ligjin nr. 77/2022 e të bënte rivlerësim sipas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aktual (duke njohur një vlerë të </w:t>
      </w:r>
      <w:bookmarkStart w:id="0" w:name="_GoBack"/>
      <w:bookmarkEnd w:id="0"/>
      <w:r w:rsidRPr="00890D38">
        <w:rPr>
          <w:rFonts w:ascii="Garamond" w:hAnsi="Garamond" w:cs="Times New Roman"/>
          <w:color w:val="000000"/>
          <w:sz w:val="24"/>
          <w:szCs w:val="24"/>
        </w:rPr>
        <w:t xml:space="preserve">re </w:t>
      </w:r>
      <w:proofErr w:type="spellStart"/>
      <w:r w:rsidRPr="00890D38">
        <w:rPr>
          <w:rFonts w:ascii="Garamond" w:hAnsi="Garamond" w:cs="Times New Roman"/>
          <w:color w:val="000000"/>
          <w:sz w:val="24"/>
          <w:szCs w:val="24"/>
        </w:rPr>
        <w:t>dhjetrafish</w:t>
      </w:r>
      <w:proofErr w:type="spellEnd"/>
      <w:r w:rsidRPr="00890D38">
        <w:rPr>
          <w:rFonts w:ascii="Garamond" w:hAnsi="Garamond" w:cs="Times New Roman"/>
          <w:color w:val="000000"/>
          <w:sz w:val="24"/>
          <w:szCs w:val="24"/>
        </w:rPr>
        <w:t xml:space="preserve"> më</w:t>
      </w:r>
      <w:r w:rsidRPr="006931DA">
        <w:rPr>
          <w:rFonts w:ascii="Garamond" w:hAnsi="Garamond" w:cs="Times New Roman"/>
          <w:color w:val="000000"/>
          <w:sz w:val="24"/>
          <w:szCs w:val="24"/>
        </w:rPr>
        <w:t xml:space="preserve"> të lartë) për të nxjerrë vlerën 10%, do të duhej të kishte prishur vendimin e Gjykatës Administrative të Apelit e ta kthente për rigjykim vetëm për këtë element ligjor, e jo për faktin e llojit të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pronës në kohën e shpronësimit (që është provuar se nuk ishte truall). Mirëpo, duke qenë se kërkuesi i vuri në dispozicion gjykatës informacionin për vlerësimin e vitit 2023 të ATP-së, ku pozita e tyre financiare ishte përmirësuar ndjeshëm, pakica e sheh të panevojshëm cenimin e vendimmarrjes së Gjykatës së Lartë, pasi ajo vendimmarrje, ndonëse nuk e ka përmendur faktin e ekzistencës së vlerësimit të ri, dukshëm </w:t>
      </w:r>
      <w:r w:rsidRPr="006931DA">
        <w:rPr>
          <w:rFonts w:ascii="Garamond" w:hAnsi="Garamond" w:cs="Times New Roman"/>
          <w:color w:val="000000"/>
          <w:sz w:val="24"/>
          <w:szCs w:val="24"/>
        </w:rPr>
        <w:lastRenderedPageBreak/>
        <w:t xml:space="preserve">rezulton se nuk ka kontribuar në cenimin e së drejtës së kërkuesit në lidhje me standardin minimal prej 10%. </w:t>
      </w:r>
    </w:p>
    <w:p w14:paraId="358A4DDF" w14:textId="301A2530" w:rsidR="00B46B26" w:rsidRPr="006931DA" w:rsidRDefault="00B46B26" w:rsidP="00B46B26">
      <w:pPr>
        <w:tabs>
          <w:tab w:val="left" w:pos="6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6931DA">
        <w:rPr>
          <w:rFonts w:ascii="Garamond" w:hAnsi="Garamond" w:cs="Times New Roman"/>
          <w:color w:val="000000"/>
          <w:sz w:val="24"/>
          <w:szCs w:val="24"/>
        </w:rPr>
        <w:t xml:space="preserve">6. Për këtë arsye jemi të mendimit se nuk kishte vend për cenimin e vendimit të Kolegjit Administrativ të Gjykatës së Lartë, pasi për sa i përket zërit </w:t>
      </w:r>
      <w:proofErr w:type="spellStart"/>
      <w:r w:rsidRPr="006931DA">
        <w:rPr>
          <w:rFonts w:ascii="Garamond" w:hAnsi="Garamond" w:cs="Times New Roman"/>
          <w:color w:val="000000"/>
          <w:sz w:val="24"/>
          <w:szCs w:val="24"/>
        </w:rPr>
        <w:t>kadastral</w:t>
      </w:r>
      <w:proofErr w:type="spellEnd"/>
      <w:r w:rsidRPr="006931DA">
        <w:rPr>
          <w:rFonts w:ascii="Garamond" w:hAnsi="Garamond" w:cs="Times New Roman"/>
          <w:color w:val="000000"/>
          <w:sz w:val="24"/>
          <w:szCs w:val="24"/>
        </w:rPr>
        <w:t xml:space="preserve"> të origjinës, Gjykata Administrative e Apelit ka arsyetuar mjaftueshëm dhe bindshëm sipas kompetencës që i njeh ligji dhe përfundimet e saj e kalojnë testin e dhënies së vendimit nga një gjykatë e kujdesshme (</w:t>
      </w:r>
      <w:r w:rsidRPr="006931DA">
        <w:rPr>
          <w:rFonts w:ascii="Garamond" w:hAnsi="Garamond" w:cs="Times New Roman"/>
          <w:i/>
          <w:iCs/>
          <w:color w:val="000000"/>
          <w:sz w:val="24"/>
          <w:szCs w:val="24"/>
        </w:rPr>
        <w:t>rrjedhimisht të pacenueshme, pasi Gjykata Kushtetuese nuk është shkallë e katërt e gjykimit</w:t>
      </w:r>
      <w:r w:rsidRPr="006931DA">
        <w:rPr>
          <w:rFonts w:ascii="Garamond" w:hAnsi="Garamond" w:cs="Times New Roman"/>
          <w:color w:val="000000"/>
          <w:sz w:val="24"/>
          <w:szCs w:val="24"/>
        </w:rPr>
        <w:t>), ndërsa për sa i përket respektimit të standardit minimal prej 10%, ka rezultuar qartë se cenimi i sigurisë juridike në drejtim të standardit të arsyetimit të vendimit nga Gjykata e Lartë është mënjanuar,</w:t>
      </w:r>
      <w:r w:rsidR="006931DA">
        <w:rPr>
          <w:rFonts w:ascii="Garamond" w:hAnsi="Garamond" w:cs="Times New Roman"/>
          <w:color w:val="000000"/>
          <w:sz w:val="24"/>
          <w:szCs w:val="24"/>
        </w:rPr>
        <w:t xml:space="preserve"> </w:t>
      </w:r>
      <w:r w:rsidRPr="006931DA">
        <w:rPr>
          <w:rFonts w:ascii="Garamond" w:hAnsi="Garamond" w:cs="Times New Roman"/>
          <w:color w:val="000000"/>
          <w:sz w:val="24"/>
          <w:szCs w:val="24"/>
        </w:rPr>
        <w:t xml:space="preserve">zbehur e </w:t>
      </w:r>
      <w:proofErr w:type="spellStart"/>
      <w:r w:rsidRPr="006931DA">
        <w:rPr>
          <w:rFonts w:ascii="Garamond" w:hAnsi="Garamond" w:cs="Times New Roman"/>
          <w:color w:val="000000"/>
          <w:sz w:val="24"/>
          <w:szCs w:val="24"/>
        </w:rPr>
        <w:t>relativizuar</w:t>
      </w:r>
      <w:proofErr w:type="spellEnd"/>
      <w:r w:rsidRPr="006931DA">
        <w:rPr>
          <w:rFonts w:ascii="Garamond" w:hAnsi="Garamond" w:cs="Times New Roman"/>
          <w:color w:val="000000"/>
          <w:sz w:val="24"/>
          <w:szCs w:val="24"/>
        </w:rPr>
        <w:t xml:space="preserve"> ndjeshëm për shkak të vlerësimit të ri të vitit 2023 të ATP-së, që ka rivendosur vetë në vend të drejtën, pa qenë e nevojshme ndërhyrja e gjykatave të zakonshme. Për rrjedhojë kthimi i kësaj çështjeje për rigjykim nuk duket se mund të ndikojë në mbrojtjen e të drejtave kushtetuese të kërkuesit, ndaj jemi kundër vendimmarrjes së shumicës së Gjykatës.</w:t>
      </w:r>
    </w:p>
    <w:p w14:paraId="15DA4619" w14:textId="77777777" w:rsidR="00B46B26" w:rsidRPr="006931DA" w:rsidRDefault="00B46B26" w:rsidP="00B46B26">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1FEAC11A" w14:textId="49EE69DC" w:rsidR="00B46B26" w:rsidRPr="006931DA" w:rsidRDefault="00B46B26" w:rsidP="00B46B26">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r w:rsidRPr="006931DA">
        <w:rPr>
          <w:rFonts w:ascii="Garamond" w:hAnsi="Garamond" w:cs="Times New Roman"/>
          <w:b/>
          <w:bCs/>
          <w:color w:val="000000"/>
          <w:sz w:val="24"/>
          <w:szCs w:val="24"/>
        </w:rPr>
        <w:t xml:space="preserve">Anëtarë: </w:t>
      </w:r>
      <w:proofErr w:type="spellStart"/>
      <w:r w:rsidRPr="006931DA">
        <w:rPr>
          <w:rFonts w:ascii="Garamond" w:hAnsi="Garamond" w:cs="Times New Roman"/>
          <w:bCs/>
          <w:color w:val="000000"/>
          <w:sz w:val="24"/>
          <w:szCs w:val="24"/>
        </w:rPr>
        <w:t>Sandër</w:t>
      </w:r>
      <w:proofErr w:type="spellEnd"/>
      <w:r w:rsidRPr="006931DA">
        <w:rPr>
          <w:rFonts w:ascii="Garamond" w:hAnsi="Garamond" w:cs="Times New Roman"/>
          <w:bCs/>
          <w:color w:val="000000"/>
          <w:sz w:val="24"/>
          <w:szCs w:val="24"/>
        </w:rPr>
        <w:t xml:space="preserve"> Beci, Genti Ibrahimi, </w:t>
      </w:r>
      <w:proofErr w:type="spellStart"/>
      <w:r w:rsidRPr="006931DA">
        <w:rPr>
          <w:rFonts w:ascii="Garamond" w:hAnsi="Garamond" w:cs="Times New Roman"/>
          <w:bCs/>
          <w:color w:val="000000"/>
          <w:sz w:val="24"/>
          <w:szCs w:val="24"/>
        </w:rPr>
        <w:t>Asim</w:t>
      </w:r>
      <w:proofErr w:type="spellEnd"/>
      <w:r w:rsidRPr="006931DA">
        <w:rPr>
          <w:rFonts w:ascii="Garamond" w:hAnsi="Garamond" w:cs="Times New Roman"/>
          <w:bCs/>
          <w:color w:val="000000"/>
          <w:sz w:val="24"/>
          <w:szCs w:val="24"/>
        </w:rPr>
        <w:t xml:space="preserve"> </w:t>
      </w:r>
      <w:proofErr w:type="spellStart"/>
      <w:r w:rsidRPr="006931DA">
        <w:rPr>
          <w:rFonts w:ascii="Garamond" w:hAnsi="Garamond" w:cs="Times New Roman"/>
          <w:bCs/>
          <w:color w:val="000000"/>
          <w:sz w:val="24"/>
          <w:szCs w:val="24"/>
        </w:rPr>
        <w:t>Vokshi</w:t>
      </w:r>
      <w:proofErr w:type="spellEnd"/>
    </w:p>
    <w:p w14:paraId="2BE28DE1" w14:textId="77777777" w:rsidR="00FF6CEB" w:rsidRPr="006931DA" w:rsidRDefault="00FF6CEB" w:rsidP="00B46B26">
      <w:pPr>
        <w:spacing w:after="0" w:line="240" w:lineRule="auto"/>
        <w:ind w:firstLine="284"/>
        <w:rPr>
          <w:rFonts w:ascii="Garamond" w:hAnsi="Garamond"/>
          <w:sz w:val="24"/>
          <w:szCs w:val="24"/>
        </w:rPr>
      </w:pPr>
    </w:p>
    <w:sectPr w:rsidR="00FF6CEB" w:rsidRPr="006931DA" w:rsidSect="00B46B26">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0308F5" w16cex:dateUtc="2026-07-29T19:44:00Z"/>
  <w16cex:commentExtensible w16cex:durableId="4E1E4EB2" w16cex:dateUtc="2026-07-29T19: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20E0E" w14:textId="77777777" w:rsidR="00890D38" w:rsidRDefault="00890D38">
      <w:pPr>
        <w:spacing w:after="0" w:line="240" w:lineRule="auto"/>
      </w:pPr>
      <w:r>
        <w:separator/>
      </w:r>
    </w:p>
  </w:endnote>
  <w:endnote w:type="continuationSeparator" w:id="0">
    <w:p w14:paraId="48826019" w14:textId="77777777" w:rsidR="00890D38" w:rsidRDefault="00890D38">
      <w:pPr>
        <w:spacing w:after="0" w:line="240" w:lineRule="auto"/>
      </w:pPr>
      <w:r>
        <w:continuationSeparator/>
      </w:r>
    </w:p>
  </w:endnote>
  <w:endnote w:type="continuationNotice" w:id="1">
    <w:p w14:paraId="38AE08C2" w14:textId="77777777" w:rsidR="00890D38" w:rsidRDefault="00890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5E8A3" w14:textId="77777777" w:rsidR="00890D38" w:rsidRDefault="00890D38">
      <w:pPr>
        <w:spacing w:after="0" w:line="240" w:lineRule="auto"/>
      </w:pPr>
      <w:r>
        <w:separator/>
      </w:r>
    </w:p>
  </w:footnote>
  <w:footnote w:type="continuationSeparator" w:id="0">
    <w:p w14:paraId="7C4C3833" w14:textId="77777777" w:rsidR="00890D38" w:rsidRDefault="00890D38">
      <w:pPr>
        <w:spacing w:after="0" w:line="240" w:lineRule="auto"/>
      </w:pPr>
      <w:r>
        <w:continuationSeparator/>
      </w:r>
    </w:p>
  </w:footnote>
  <w:footnote w:type="continuationNotice" w:id="1">
    <w:p w14:paraId="2408A819" w14:textId="77777777" w:rsidR="00890D38" w:rsidRDefault="00890D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542C"/>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 w15:restartNumberingAfterBreak="0">
    <w:nsid w:val="06C31197"/>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06D12C45"/>
    <w:multiLevelType w:val="multilevel"/>
    <w:tmpl w:val="247C119E"/>
    <w:lvl w:ilvl="0">
      <w:start w:val="8"/>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887FE4"/>
    <w:multiLevelType w:val="multilevel"/>
    <w:tmpl w:val="537E5822"/>
    <w:lvl w:ilvl="0">
      <w:start w:val="1"/>
      <w:numFmt w:val="decimal"/>
      <w:lvlText w:val="%1."/>
      <w:lvlJc w:val="left"/>
      <w:pPr>
        <w:ind w:left="873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5" w15:restartNumberingAfterBreak="0">
    <w:nsid w:val="0FAF6D7E"/>
    <w:multiLevelType w:val="multilevel"/>
    <w:tmpl w:val="A710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810"/>
        </w:tabs>
        <w:ind w:left="8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5E11645"/>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9" w15:restartNumberingAfterBreak="0">
    <w:nsid w:val="171C44C9"/>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0" w15:restartNumberingAfterBreak="0">
    <w:nsid w:val="174D0C9D"/>
    <w:multiLevelType w:val="multilevel"/>
    <w:tmpl w:val="20B05FCA"/>
    <w:lvl w:ilvl="0">
      <w:start w:val="1"/>
      <w:numFmt w:val="decimal"/>
      <w:lvlText w:val="%1."/>
      <w:lvlJc w:val="left"/>
      <w:pPr>
        <w:ind w:left="225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1" w15:restartNumberingAfterBreak="0">
    <w:nsid w:val="19FC17AB"/>
    <w:multiLevelType w:val="hybridMultilevel"/>
    <w:tmpl w:val="47A02DBC"/>
    <w:lvl w:ilvl="0" w:tplc="9D60E73A">
      <w:start w:val="22"/>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91786D"/>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1EA13F29"/>
    <w:multiLevelType w:val="hybridMultilevel"/>
    <w:tmpl w:val="FA4035BC"/>
    <w:lvl w:ilvl="0" w:tplc="C0201A8C">
      <w:start w:val="1"/>
      <w:numFmt w:val="decimal"/>
      <w:lvlText w:val="%1."/>
      <w:lvlJc w:val="left"/>
      <w:pPr>
        <w:ind w:left="25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3E353F"/>
    <w:multiLevelType w:val="multilevel"/>
    <w:tmpl w:val="5624011E"/>
    <w:lvl w:ilvl="0">
      <w:start w:val="14"/>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5" w15:restartNumberingAfterBreak="0">
    <w:nsid w:val="238312E7"/>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E06498"/>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7" w15:restartNumberingAfterBreak="0">
    <w:nsid w:val="277D23DA"/>
    <w:multiLevelType w:val="multilevel"/>
    <w:tmpl w:val="2F728F2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27E539B3"/>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9"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FC268F"/>
    <w:multiLevelType w:val="hybridMultilevel"/>
    <w:tmpl w:val="7A1628AC"/>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2E2328D0"/>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2" w15:restartNumberingAfterBreak="0">
    <w:nsid w:val="348A42C8"/>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365511AA"/>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4" w15:restartNumberingAfterBreak="0">
    <w:nsid w:val="37700AF7"/>
    <w:multiLevelType w:val="hybridMultilevel"/>
    <w:tmpl w:val="54FE2948"/>
    <w:lvl w:ilvl="0" w:tplc="665EA282">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3BAB45FC"/>
    <w:multiLevelType w:val="hybridMultilevel"/>
    <w:tmpl w:val="296A5414"/>
    <w:lvl w:ilvl="0" w:tplc="F3F8189C">
      <w:start w:val="1"/>
      <w:numFmt w:val="decimal"/>
      <w:lvlText w:val="%1."/>
      <w:lvlJc w:val="left"/>
      <w:pPr>
        <w:ind w:left="3240" w:hanging="360"/>
      </w:pPr>
      <w:rPr>
        <w:b w:val="0"/>
        <w:i w:val="0"/>
        <w:strike w:val="0"/>
        <w:dstrike w:val="0"/>
        <w:u w:val="none"/>
        <w:effect w:val="none"/>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7" w15:restartNumberingAfterBreak="0">
    <w:nsid w:val="3FC075C8"/>
    <w:multiLevelType w:val="multilevel"/>
    <w:tmpl w:val="BAE8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29" w15:restartNumberingAfterBreak="0">
    <w:nsid w:val="4F007E1F"/>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15:restartNumberingAfterBreak="0">
    <w:nsid w:val="523A5360"/>
    <w:multiLevelType w:val="multilevel"/>
    <w:tmpl w:val="B34AC99C"/>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1" w15:restartNumberingAfterBreak="0">
    <w:nsid w:val="56524B4F"/>
    <w:multiLevelType w:val="multilevel"/>
    <w:tmpl w:val="EED610C2"/>
    <w:lvl w:ilvl="0">
      <w:start w:val="10"/>
      <w:numFmt w:val="decimal"/>
      <w:lvlText w:val="%1."/>
      <w:lvlJc w:val="left"/>
      <w:pPr>
        <w:ind w:left="108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7C01B75"/>
    <w:multiLevelType w:val="multilevel"/>
    <w:tmpl w:val="3ED4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1E635E"/>
    <w:multiLevelType w:val="hybridMultilevel"/>
    <w:tmpl w:val="18EA1B04"/>
    <w:lvl w:ilvl="0" w:tplc="0409000F">
      <w:start w:val="1"/>
      <w:numFmt w:val="decimal"/>
      <w:lvlText w:val="%1."/>
      <w:lvlJc w:val="left"/>
      <w:pPr>
        <w:ind w:left="3479"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7311A"/>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5" w15:restartNumberingAfterBreak="0">
    <w:nsid w:val="5BD65A81"/>
    <w:multiLevelType w:val="multilevel"/>
    <w:tmpl w:val="0B26ECBE"/>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i w:val="0"/>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36" w15:restartNumberingAfterBreak="0">
    <w:nsid w:val="5FED5CE3"/>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7" w15:restartNumberingAfterBreak="0">
    <w:nsid w:val="63016590"/>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8" w15:restartNumberingAfterBreak="0">
    <w:nsid w:val="63370004"/>
    <w:multiLevelType w:val="multilevel"/>
    <w:tmpl w:val="59CA046E"/>
    <w:lvl w:ilvl="0">
      <w:start w:val="1"/>
      <w:numFmt w:val="decimal"/>
      <w:lvlText w:val="%1."/>
      <w:lvlJc w:val="left"/>
      <w:pPr>
        <w:ind w:left="60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9" w15:restartNumberingAfterBreak="0">
    <w:nsid w:val="65095D07"/>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40" w15:restartNumberingAfterBreak="0">
    <w:nsid w:val="69437273"/>
    <w:multiLevelType w:val="multilevel"/>
    <w:tmpl w:val="87AEABB2"/>
    <w:lvl w:ilvl="0">
      <w:start w:val="1"/>
      <w:numFmt w:val="decimal"/>
      <w:lvlText w:val="%1."/>
      <w:lvlJc w:val="left"/>
      <w:pPr>
        <w:ind w:left="6660" w:hanging="360"/>
      </w:pPr>
      <w:rPr>
        <w:rFonts w:hint="default"/>
        <w:b w:val="0"/>
        <w:bCs/>
        <w:i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90" w:hanging="1800"/>
      </w:pPr>
      <w:rPr>
        <w:rFonts w:hint="default"/>
      </w:rPr>
    </w:lvl>
  </w:abstractNum>
  <w:abstractNum w:abstractNumId="41" w15:restartNumberingAfterBreak="0">
    <w:nsid w:val="6B364109"/>
    <w:multiLevelType w:val="hybridMultilevel"/>
    <w:tmpl w:val="19BC970C"/>
    <w:lvl w:ilvl="0" w:tplc="4E627A44">
      <w:start w:val="1"/>
      <w:numFmt w:val="decimal"/>
      <w:lvlText w:val="%1."/>
      <w:lvlJc w:val="left"/>
      <w:pPr>
        <w:ind w:left="928" w:hanging="360"/>
      </w:pPr>
      <w:rPr>
        <w:rFonts w:ascii="Times New Roman" w:eastAsia="Times New Roman" w:hAnsi="Times New Roman" w:cs="Times New Roman"/>
        <w:b w:val="0"/>
        <w:i w:val="0"/>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F253FEE"/>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3" w15:restartNumberingAfterBreak="0">
    <w:nsid w:val="6FEE5162"/>
    <w:multiLevelType w:val="hybridMultilevel"/>
    <w:tmpl w:val="D6D40740"/>
    <w:lvl w:ilvl="0" w:tplc="0D802D50">
      <w:start w:val="1"/>
      <w:numFmt w:val="decimal"/>
      <w:lvlText w:val="8.%1."/>
      <w:lvlJc w:val="left"/>
      <w:pPr>
        <w:ind w:left="720"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1F646CC"/>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5" w15:restartNumberingAfterBreak="0">
    <w:nsid w:val="730975C1"/>
    <w:multiLevelType w:val="multilevel"/>
    <w:tmpl w:val="CE7059C6"/>
    <w:lvl w:ilvl="0">
      <w:start w:val="11"/>
      <w:numFmt w:val="decimal"/>
      <w:lvlText w:val="%1."/>
      <w:lvlJc w:val="left"/>
      <w:pPr>
        <w:ind w:left="1560" w:hanging="660"/>
      </w:pPr>
      <w:rPr>
        <w:i w:val="0"/>
      </w:rPr>
    </w:lvl>
    <w:lvl w:ilvl="1">
      <w:start w:val="2"/>
      <w:numFmt w:val="decimal"/>
      <w:lvlText w:val="%1.%2."/>
      <w:lvlJc w:val="left"/>
      <w:pPr>
        <w:ind w:left="1395" w:hanging="720"/>
      </w:pPr>
      <w:rPr>
        <w:i w:val="0"/>
      </w:rPr>
    </w:lvl>
    <w:lvl w:ilvl="2">
      <w:start w:val="1"/>
      <w:numFmt w:val="decimal"/>
      <w:lvlText w:val="%1.%2.%3."/>
      <w:lvlJc w:val="left"/>
      <w:pPr>
        <w:ind w:left="2070" w:hanging="720"/>
      </w:pPr>
    </w:lvl>
    <w:lvl w:ilvl="3">
      <w:start w:val="1"/>
      <w:numFmt w:val="decimal"/>
      <w:lvlText w:val="%1.%2.%3.%4."/>
      <w:lvlJc w:val="left"/>
      <w:pPr>
        <w:ind w:left="3105" w:hanging="1080"/>
      </w:pPr>
    </w:lvl>
    <w:lvl w:ilvl="4">
      <w:start w:val="1"/>
      <w:numFmt w:val="decimal"/>
      <w:lvlText w:val="%1.%2.%3.%4.%5."/>
      <w:lvlJc w:val="left"/>
      <w:pPr>
        <w:ind w:left="3780" w:hanging="1080"/>
      </w:pPr>
    </w:lvl>
    <w:lvl w:ilvl="5">
      <w:start w:val="1"/>
      <w:numFmt w:val="decimal"/>
      <w:lvlText w:val="%1.%2.%3.%4.%5.%6."/>
      <w:lvlJc w:val="left"/>
      <w:pPr>
        <w:ind w:left="4815" w:hanging="1440"/>
      </w:pPr>
    </w:lvl>
    <w:lvl w:ilvl="6">
      <w:start w:val="1"/>
      <w:numFmt w:val="decimal"/>
      <w:lvlText w:val="%1.%2.%3.%4.%5.%6.%7."/>
      <w:lvlJc w:val="left"/>
      <w:pPr>
        <w:ind w:left="5490" w:hanging="1440"/>
      </w:pPr>
    </w:lvl>
    <w:lvl w:ilvl="7">
      <w:start w:val="1"/>
      <w:numFmt w:val="decimal"/>
      <w:lvlText w:val="%1.%2.%3.%4.%5.%6.%7.%8."/>
      <w:lvlJc w:val="left"/>
      <w:pPr>
        <w:ind w:left="6525" w:hanging="1800"/>
      </w:pPr>
    </w:lvl>
    <w:lvl w:ilvl="8">
      <w:start w:val="1"/>
      <w:numFmt w:val="decimal"/>
      <w:lvlText w:val="%1.%2.%3.%4.%5.%6.%7.%8.%9."/>
      <w:lvlJc w:val="left"/>
      <w:pPr>
        <w:ind w:left="7200" w:hanging="1800"/>
      </w:pPr>
    </w:lvl>
  </w:abstractNum>
  <w:abstractNum w:abstractNumId="46" w15:restartNumberingAfterBreak="0">
    <w:nsid w:val="7E2E729B"/>
    <w:multiLevelType w:val="multilevel"/>
    <w:tmpl w:val="59CA046E"/>
    <w:lvl w:ilvl="0">
      <w:start w:val="1"/>
      <w:numFmt w:val="decimal"/>
      <w:lvlText w:val="%1."/>
      <w:lvlJc w:val="left"/>
      <w:pPr>
        <w:ind w:left="144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7" w15:restartNumberingAfterBreak="0">
    <w:nsid w:val="7ED33639"/>
    <w:multiLevelType w:val="multilevel"/>
    <w:tmpl w:val="59CA046E"/>
    <w:lvl w:ilvl="0">
      <w:start w:val="1"/>
      <w:numFmt w:val="decimal"/>
      <w:lvlText w:val="%1."/>
      <w:lvlJc w:val="left"/>
      <w:pPr>
        <w:ind w:left="423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33"/>
  </w:num>
  <w:num w:numId="2">
    <w:abstractNumId w:val="20"/>
  </w:num>
  <w:num w:numId="3">
    <w:abstractNumId w:val="43"/>
  </w:num>
  <w:num w:numId="4">
    <w:abstractNumId w:val="19"/>
  </w:num>
  <w:num w:numId="5">
    <w:abstractNumId w:val="30"/>
  </w:num>
  <w:num w:numId="6">
    <w:abstractNumId w:val="3"/>
  </w:num>
  <w:num w:numId="7">
    <w:abstractNumId w:val="15"/>
  </w:num>
  <w:num w:numId="8">
    <w:abstractNumId w:val="16"/>
  </w:num>
  <w:num w:numId="9">
    <w:abstractNumId w:val="9"/>
  </w:num>
  <w:num w:numId="10">
    <w:abstractNumId w:val="17"/>
  </w:num>
  <w:num w:numId="11">
    <w:abstractNumId w:val="2"/>
  </w:num>
  <w:num w:numId="12">
    <w:abstractNumId w:val="24"/>
  </w:num>
  <w:num w:numId="13">
    <w:abstractNumId w:val="29"/>
  </w:num>
  <w:num w:numId="14">
    <w:abstractNumId w:val="42"/>
  </w:num>
  <w:num w:numId="15">
    <w:abstractNumId w:val="47"/>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22"/>
  </w:num>
  <w:num w:numId="20">
    <w:abstractNumId w:val="18"/>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32"/>
  </w:num>
  <w:num w:numId="24">
    <w:abstractNumId w:val="5"/>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4"/>
  </w:num>
  <w:num w:numId="28">
    <w:abstractNumId w:val="8"/>
  </w:num>
  <w:num w:numId="29">
    <w:abstractNumId w:val="1"/>
  </w:num>
  <w:num w:numId="30">
    <w:abstractNumId w:val="34"/>
  </w:num>
  <w:num w:numId="31">
    <w:abstractNumId w:val="46"/>
  </w:num>
  <w:num w:numId="32">
    <w:abstractNumId w:val="23"/>
  </w:num>
  <w:num w:numId="33">
    <w:abstractNumId w:val="44"/>
  </w:num>
  <w:num w:numId="34">
    <w:abstractNumId w:val="14"/>
  </w:num>
  <w:num w:numId="35">
    <w:abstractNumId w:val="11"/>
  </w:num>
  <w:num w:numId="36">
    <w:abstractNumId w:val="40"/>
  </w:num>
  <w:num w:numId="37">
    <w:abstractNumId w:val="45"/>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 w:numId="39">
    <w:abstractNumId w:val="12"/>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26"/>
  </w:num>
  <w:num w:numId="43">
    <w:abstractNumId w:val="0"/>
  </w:num>
  <w:num w:numId="44">
    <w:abstractNumId w:val="21"/>
  </w:num>
  <w:num w:numId="45">
    <w:abstractNumId w:val="13"/>
  </w:num>
  <w:num w:numId="46">
    <w:abstractNumId w:val="35"/>
  </w:num>
  <w:num w:numId="47">
    <w:abstractNumId w:val="31"/>
  </w:num>
  <w:num w:numId="48">
    <w:abstractNumId w:val="38"/>
  </w:num>
  <w:num w:numId="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20"/>
    <w:rsid w:val="0000280C"/>
    <w:rsid w:val="00002F15"/>
    <w:rsid w:val="00010AB5"/>
    <w:rsid w:val="00011200"/>
    <w:rsid w:val="00013937"/>
    <w:rsid w:val="00013A64"/>
    <w:rsid w:val="00015811"/>
    <w:rsid w:val="00015C50"/>
    <w:rsid w:val="000165D7"/>
    <w:rsid w:val="0002195F"/>
    <w:rsid w:val="00022BD3"/>
    <w:rsid w:val="00023A03"/>
    <w:rsid w:val="000274B5"/>
    <w:rsid w:val="000358C0"/>
    <w:rsid w:val="00037F0A"/>
    <w:rsid w:val="00040E93"/>
    <w:rsid w:val="000507DC"/>
    <w:rsid w:val="00050A52"/>
    <w:rsid w:val="00060575"/>
    <w:rsid w:val="00062F7A"/>
    <w:rsid w:val="000630D4"/>
    <w:rsid w:val="00063772"/>
    <w:rsid w:val="000641D8"/>
    <w:rsid w:val="000664C8"/>
    <w:rsid w:val="0007309A"/>
    <w:rsid w:val="0007694A"/>
    <w:rsid w:val="00080211"/>
    <w:rsid w:val="00080C5D"/>
    <w:rsid w:val="00083472"/>
    <w:rsid w:val="00083FFD"/>
    <w:rsid w:val="00086D33"/>
    <w:rsid w:val="00087794"/>
    <w:rsid w:val="000910D1"/>
    <w:rsid w:val="0009147F"/>
    <w:rsid w:val="00091FF4"/>
    <w:rsid w:val="000925F5"/>
    <w:rsid w:val="00094E44"/>
    <w:rsid w:val="000967B5"/>
    <w:rsid w:val="000A4F1B"/>
    <w:rsid w:val="000A6CBF"/>
    <w:rsid w:val="000B1A53"/>
    <w:rsid w:val="000B38FF"/>
    <w:rsid w:val="000B4801"/>
    <w:rsid w:val="000B51AC"/>
    <w:rsid w:val="000B7964"/>
    <w:rsid w:val="000C217A"/>
    <w:rsid w:val="000C35B9"/>
    <w:rsid w:val="000C4C71"/>
    <w:rsid w:val="000C59C8"/>
    <w:rsid w:val="000D0974"/>
    <w:rsid w:val="000D464B"/>
    <w:rsid w:val="000D7B9F"/>
    <w:rsid w:val="000E0E32"/>
    <w:rsid w:val="000E447B"/>
    <w:rsid w:val="000F051E"/>
    <w:rsid w:val="000F1201"/>
    <w:rsid w:val="000F4616"/>
    <w:rsid w:val="000F571D"/>
    <w:rsid w:val="00103B73"/>
    <w:rsid w:val="00104944"/>
    <w:rsid w:val="001052B4"/>
    <w:rsid w:val="00106D65"/>
    <w:rsid w:val="00124F9F"/>
    <w:rsid w:val="00127D38"/>
    <w:rsid w:val="00130184"/>
    <w:rsid w:val="00133A68"/>
    <w:rsid w:val="001362CF"/>
    <w:rsid w:val="00137E86"/>
    <w:rsid w:val="00140171"/>
    <w:rsid w:val="00143E38"/>
    <w:rsid w:val="00144296"/>
    <w:rsid w:val="00147E8C"/>
    <w:rsid w:val="00151BD2"/>
    <w:rsid w:val="00152A44"/>
    <w:rsid w:val="00153A87"/>
    <w:rsid w:val="00155470"/>
    <w:rsid w:val="001559DF"/>
    <w:rsid w:val="0015606C"/>
    <w:rsid w:val="00156A85"/>
    <w:rsid w:val="001620E6"/>
    <w:rsid w:val="00165E28"/>
    <w:rsid w:val="001668E9"/>
    <w:rsid w:val="00166D90"/>
    <w:rsid w:val="0017212F"/>
    <w:rsid w:val="00173681"/>
    <w:rsid w:val="00174DA5"/>
    <w:rsid w:val="00174FB4"/>
    <w:rsid w:val="001752AD"/>
    <w:rsid w:val="00180991"/>
    <w:rsid w:val="00181E3C"/>
    <w:rsid w:val="00182AD5"/>
    <w:rsid w:val="00184CF1"/>
    <w:rsid w:val="0018696A"/>
    <w:rsid w:val="001934C7"/>
    <w:rsid w:val="00193919"/>
    <w:rsid w:val="001A3946"/>
    <w:rsid w:val="001A6101"/>
    <w:rsid w:val="001A6C3C"/>
    <w:rsid w:val="001A6C40"/>
    <w:rsid w:val="001B12C9"/>
    <w:rsid w:val="001B5198"/>
    <w:rsid w:val="001C091F"/>
    <w:rsid w:val="001C5CE1"/>
    <w:rsid w:val="001D1E2E"/>
    <w:rsid w:val="001D3020"/>
    <w:rsid w:val="001D3C08"/>
    <w:rsid w:val="001D4DDC"/>
    <w:rsid w:val="001D638A"/>
    <w:rsid w:val="001D7076"/>
    <w:rsid w:val="001E045C"/>
    <w:rsid w:val="001E1445"/>
    <w:rsid w:val="001F05E6"/>
    <w:rsid w:val="001F1D5B"/>
    <w:rsid w:val="001F5DA2"/>
    <w:rsid w:val="001F6CAC"/>
    <w:rsid w:val="001F6D14"/>
    <w:rsid w:val="00201AB0"/>
    <w:rsid w:val="00202118"/>
    <w:rsid w:val="002021E7"/>
    <w:rsid w:val="00202935"/>
    <w:rsid w:val="00207224"/>
    <w:rsid w:val="00210E26"/>
    <w:rsid w:val="00222C94"/>
    <w:rsid w:val="00223F89"/>
    <w:rsid w:val="00227E87"/>
    <w:rsid w:val="00230C79"/>
    <w:rsid w:val="00232B15"/>
    <w:rsid w:val="00234B25"/>
    <w:rsid w:val="00235694"/>
    <w:rsid w:val="002378F0"/>
    <w:rsid w:val="00240637"/>
    <w:rsid w:val="00242381"/>
    <w:rsid w:val="0024439B"/>
    <w:rsid w:val="002454E2"/>
    <w:rsid w:val="00247F5B"/>
    <w:rsid w:val="00252CCB"/>
    <w:rsid w:val="002546CB"/>
    <w:rsid w:val="00263344"/>
    <w:rsid w:val="00264486"/>
    <w:rsid w:val="00293506"/>
    <w:rsid w:val="00293A8A"/>
    <w:rsid w:val="00295B5B"/>
    <w:rsid w:val="002B10AB"/>
    <w:rsid w:val="002B6552"/>
    <w:rsid w:val="002C4C15"/>
    <w:rsid w:val="002C7EC6"/>
    <w:rsid w:val="002D1546"/>
    <w:rsid w:val="002E1BCE"/>
    <w:rsid w:val="002E4249"/>
    <w:rsid w:val="002E54DB"/>
    <w:rsid w:val="002F30FE"/>
    <w:rsid w:val="002F4610"/>
    <w:rsid w:val="00305A49"/>
    <w:rsid w:val="0031129A"/>
    <w:rsid w:val="00311624"/>
    <w:rsid w:val="00314AD3"/>
    <w:rsid w:val="003203E7"/>
    <w:rsid w:val="00322F6C"/>
    <w:rsid w:val="003260AD"/>
    <w:rsid w:val="0032683F"/>
    <w:rsid w:val="0032693C"/>
    <w:rsid w:val="00326EF8"/>
    <w:rsid w:val="00330E6B"/>
    <w:rsid w:val="003314ED"/>
    <w:rsid w:val="003318AA"/>
    <w:rsid w:val="003421F1"/>
    <w:rsid w:val="003431FC"/>
    <w:rsid w:val="00344E7F"/>
    <w:rsid w:val="00345E93"/>
    <w:rsid w:val="003474F6"/>
    <w:rsid w:val="00352ED2"/>
    <w:rsid w:val="00354CE8"/>
    <w:rsid w:val="00355F01"/>
    <w:rsid w:val="00356B70"/>
    <w:rsid w:val="0035760B"/>
    <w:rsid w:val="00360F17"/>
    <w:rsid w:val="003639F7"/>
    <w:rsid w:val="00364402"/>
    <w:rsid w:val="0036772B"/>
    <w:rsid w:val="00372603"/>
    <w:rsid w:val="00372D2E"/>
    <w:rsid w:val="00374061"/>
    <w:rsid w:val="0037697B"/>
    <w:rsid w:val="0038412C"/>
    <w:rsid w:val="003922FD"/>
    <w:rsid w:val="003A7AB3"/>
    <w:rsid w:val="003B257C"/>
    <w:rsid w:val="003B7177"/>
    <w:rsid w:val="003B7AF9"/>
    <w:rsid w:val="003C0207"/>
    <w:rsid w:val="003C1DF6"/>
    <w:rsid w:val="003C3FF7"/>
    <w:rsid w:val="003C5615"/>
    <w:rsid w:val="003C69AE"/>
    <w:rsid w:val="003C6ED6"/>
    <w:rsid w:val="003D072C"/>
    <w:rsid w:val="003D200F"/>
    <w:rsid w:val="003D462C"/>
    <w:rsid w:val="003D46B8"/>
    <w:rsid w:val="003D5AF9"/>
    <w:rsid w:val="003D6517"/>
    <w:rsid w:val="003D6738"/>
    <w:rsid w:val="003D78CD"/>
    <w:rsid w:val="003E58E3"/>
    <w:rsid w:val="003E5F79"/>
    <w:rsid w:val="003F2FDF"/>
    <w:rsid w:val="003F4212"/>
    <w:rsid w:val="003F4E24"/>
    <w:rsid w:val="003F55F2"/>
    <w:rsid w:val="004027DC"/>
    <w:rsid w:val="004032A5"/>
    <w:rsid w:val="00412DD2"/>
    <w:rsid w:val="004147A8"/>
    <w:rsid w:val="00414E5E"/>
    <w:rsid w:val="00415202"/>
    <w:rsid w:val="00416BB9"/>
    <w:rsid w:val="004174D7"/>
    <w:rsid w:val="00417DE8"/>
    <w:rsid w:val="00425BD3"/>
    <w:rsid w:val="00432486"/>
    <w:rsid w:val="00436F76"/>
    <w:rsid w:val="00444050"/>
    <w:rsid w:val="00444520"/>
    <w:rsid w:val="004464A1"/>
    <w:rsid w:val="00447151"/>
    <w:rsid w:val="00453713"/>
    <w:rsid w:val="00455EB9"/>
    <w:rsid w:val="00456BC0"/>
    <w:rsid w:val="00460D4F"/>
    <w:rsid w:val="004618A5"/>
    <w:rsid w:val="004648B0"/>
    <w:rsid w:val="0046715F"/>
    <w:rsid w:val="00473E0A"/>
    <w:rsid w:val="00474B53"/>
    <w:rsid w:val="00475344"/>
    <w:rsid w:val="00476586"/>
    <w:rsid w:val="004818CA"/>
    <w:rsid w:val="0048225D"/>
    <w:rsid w:val="00483AAD"/>
    <w:rsid w:val="0048405E"/>
    <w:rsid w:val="00490528"/>
    <w:rsid w:val="00493570"/>
    <w:rsid w:val="00496B27"/>
    <w:rsid w:val="004A518E"/>
    <w:rsid w:val="004C27A6"/>
    <w:rsid w:val="004C2F56"/>
    <w:rsid w:val="004C357F"/>
    <w:rsid w:val="004C5E7F"/>
    <w:rsid w:val="004C6DAD"/>
    <w:rsid w:val="004D31C2"/>
    <w:rsid w:val="004D4ED2"/>
    <w:rsid w:val="004E0B95"/>
    <w:rsid w:val="004E2668"/>
    <w:rsid w:val="004E298C"/>
    <w:rsid w:val="004E4BDB"/>
    <w:rsid w:val="004F5366"/>
    <w:rsid w:val="004F74BD"/>
    <w:rsid w:val="00500D30"/>
    <w:rsid w:val="005019E9"/>
    <w:rsid w:val="00507F01"/>
    <w:rsid w:val="00510A62"/>
    <w:rsid w:val="00515550"/>
    <w:rsid w:val="0052382F"/>
    <w:rsid w:val="00533E61"/>
    <w:rsid w:val="00534910"/>
    <w:rsid w:val="005357C4"/>
    <w:rsid w:val="00535A52"/>
    <w:rsid w:val="00537438"/>
    <w:rsid w:val="005379CF"/>
    <w:rsid w:val="00540458"/>
    <w:rsid w:val="00543D77"/>
    <w:rsid w:val="005451F5"/>
    <w:rsid w:val="005452C4"/>
    <w:rsid w:val="00546BB0"/>
    <w:rsid w:val="0055269A"/>
    <w:rsid w:val="00560045"/>
    <w:rsid w:val="00560223"/>
    <w:rsid w:val="0056472D"/>
    <w:rsid w:val="00565424"/>
    <w:rsid w:val="005724F2"/>
    <w:rsid w:val="00573735"/>
    <w:rsid w:val="005740E1"/>
    <w:rsid w:val="00576261"/>
    <w:rsid w:val="00576625"/>
    <w:rsid w:val="005776F7"/>
    <w:rsid w:val="00577D1B"/>
    <w:rsid w:val="00577DEA"/>
    <w:rsid w:val="00582C74"/>
    <w:rsid w:val="00583393"/>
    <w:rsid w:val="00587EE4"/>
    <w:rsid w:val="00594250"/>
    <w:rsid w:val="00595FD2"/>
    <w:rsid w:val="005A4468"/>
    <w:rsid w:val="005A4504"/>
    <w:rsid w:val="005B2436"/>
    <w:rsid w:val="005B29F1"/>
    <w:rsid w:val="005C0548"/>
    <w:rsid w:val="005C199D"/>
    <w:rsid w:val="005C2D38"/>
    <w:rsid w:val="005D2E86"/>
    <w:rsid w:val="005D5304"/>
    <w:rsid w:val="005D5359"/>
    <w:rsid w:val="005D608F"/>
    <w:rsid w:val="005E0A39"/>
    <w:rsid w:val="005E24B5"/>
    <w:rsid w:val="005E2CDD"/>
    <w:rsid w:val="005E77DB"/>
    <w:rsid w:val="005E7C1D"/>
    <w:rsid w:val="005F5907"/>
    <w:rsid w:val="005F5D14"/>
    <w:rsid w:val="00600EB4"/>
    <w:rsid w:val="00604FC4"/>
    <w:rsid w:val="00607B2D"/>
    <w:rsid w:val="00610B59"/>
    <w:rsid w:val="006127AF"/>
    <w:rsid w:val="0062452D"/>
    <w:rsid w:val="00626D61"/>
    <w:rsid w:val="00626DDB"/>
    <w:rsid w:val="006306E8"/>
    <w:rsid w:val="0063217F"/>
    <w:rsid w:val="0063548A"/>
    <w:rsid w:val="006404D2"/>
    <w:rsid w:val="006405B4"/>
    <w:rsid w:val="006411D8"/>
    <w:rsid w:val="0064199C"/>
    <w:rsid w:val="0064703F"/>
    <w:rsid w:val="00647706"/>
    <w:rsid w:val="00647C57"/>
    <w:rsid w:val="00663825"/>
    <w:rsid w:val="0066645A"/>
    <w:rsid w:val="00671858"/>
    <w:rsid w:val="00672183"/>
    <w:rsid w:val="00672EDC"/>
    <w:rsid w:val="00673C5A"/>
    <w:rsid w:val="00674BC8"/>
    <w:rsid w:val="00676B6B"/>
    <w:rsid w:val="006855E8"/>
    <w:rsid w:val="006875D5"/>
    <w:rsid w:val="0069301B"/>
    <w:rsid w:val="006931DA"/>
    <w:rsid w:val="006939EB"/>
    <w:rsid w:val="0069449A"/>
    <w:rsid w:val="00696D67"/>
    <w:rsid w:val="006A0A85"/>
    <w:rsid w:val="006A4001"/>
    <w:rsid w:val="006A54AB"/>
    <w:rsid w:val="006A7039"/>
    <w:rsid w:val="006B0638"/>
    <w:rsid w:val="006B06B2"/>
    <w:rsid w:val="006B0C49"/>
    <w:rsid w:val="006B46BF"/>
    <w:rsid w:val="006B504D"/>
    <w:rsid w:val="006C5931"/>
    <w:rsid w:val="006D0A9C"/>
    <w:rsid w:val="006D38B9"/>
    <w:rsid w:val="006D639E"/>
    <w:rsid w:val="006D6DA6"/>
    <w:rsid w:val="006E4177"/>
    <w:rsid w:val="006E7A43"/>
    <w:rsid w:val="006F00A7"/>
    <w:rsid w:val="006F01B8"/>
    <w:rsid w:val="006F05E0"/>
    <w:rsid w:val="00702E5E"/>
    <w:rsid w:val="00702F79"/>
    <w:rsid w:val="00707A8A"/>
    <w:rsid w:val="00707DBA"/>
    <w:rsid w:val="007105C9"/>
    <w:rsid w:val="00712A09"/>
    <w:rsid w:val="00714684"/>
    <w:rsid w:val="00722837"/>
    <w:rsid w:val="00722D6D"/>
    <w:rsid w:val="00725532"/>
    <w:rsid w:val="00726EBC"/>
    <w:rsid w:val="00731D36"/>
    <w:rsid w:val="00735297"/>
    <w:rsid w:val="00735726"/>
    <w:rsid w:val="00741D47"/>
    <w:rsid w:val="0074543B"/>
    <w:rsid w:val="00746553"/>
    <w:rsid w:val="00750057"/>
    <w:rsid w:val="00753FE4"/>
    <w:rsid w:val="00754A96"/>
    <w:rsid w:val="00754B49"/>
    <w:rsid w:val="00761A41"/>
    <w:rsid w:val="007700C8"/>
    <w:rsid w:val="007715B6"/>
    <w:rsid w:val="00781F19"/>
    <w:rsid w:val="00783113"/>
    <w:rsid w:val="007B45E9"/>
    <w:rsid w:val="007B4E15"/>
    <w:rsid w:val="007B7888"/>
    <w:rsid w:val="007C60E8"/>
    <w:rsid w:val="007D43EC"/>
    <w:rsid w:val="007D5409"/>
    <w:rsid w:val="007E51FB"/>
    <w:rsid w:val="007E74BD"/>
    <w:rsid w:val="007F0217"/>
    <w:rsid w:val="007F04C1"/>
    <w:rsid w:val="007F4343"/>
    <w:rsid w:val="00804A11"/>
    <w:rsid w:val="00805904"/>
    <w:rsid w:val="008075F5"/>
    <w:rsid w:val="008079F1"/>
    <w:rsid w:val="0081454A"/>
    <w:rsid w:val="008201FA"/>
    <w:rsid w:val="00820AA3"/>
    <w:rsid w:val="00821780"/>
    <w:rsid w:val="00822286"/>
    <w:rsid w:val="0082342D"/>
    <w:rsid w:val="00836073"/>
    <w:rsid w:val="00836B71"/>
    <w:rsid w:val="00840348"/>
    <w:rsid w:val="008406BD"/>
    <w:rsid w:val="00843BA0"/>
    <w:rsid w:val="00851CFE"/>
    <w:rsid w:val="008527FD"/>
    <w:rsid w:val="0085723F"/>
    <w:rsid w:val="00861268"/>
    <w:rsid w:val="0086150C"/>
    <w:rsid w:val="00862E22"/>
    <w:rsid w:val="008632CC"/>
    <w:rsid w:val="008655D2"/>
    <w:rsid w:val="008669F4"/>
    <w:rsid w:val="008719B5"/>
    <w:rsid w:val="008725C9"/>
    <w:rsid w:val="00873D82"/>
    <w:rsid w:val="00874C1F"/>
    <w:rsid w:val="0088296A"/>
    <w:rsid w:val="008833E5"/>
    <w:rsid w:val="00883FAE"/>
    <w:rsid w:val="00884499"/>
    <w:rsid w:val="00884A4C"/>
    <w:rsid w:val="00884C27"/>
    <w:rsid w:val="0088532E"/>
    <w:rsid w:val="008900C6"/>
    <w:rsid w:val="00890D38"/>
    <w:rsid w:val="00893060"/>
    <w:rsid w:val="00896574"/>
    <w:rsid w:val="008A0AA6"/>
    <w:rsid w:val="008A2748"/>
    <w:rsid w:val="008A6610"/>
    <w:rsid w:val="008B3BCC"/>
    <w:rsid w:val="008B6D1D"/>
    <w:rsid w:val="008B74A5"/>
    <w:rsid w:val="008C0C8B"/>
    <w:rsid w:val="008C5128"/>
    <w:rsid w:val="008C76FD"/>
    <w:rsid w:val="008D0105"/>
    <w:rsid w:val="008D02D1"/>
    <w:rsid w:val="008D0B1B"/>
    <w:rsid w:val="008D12E0"/>
    <w:rsid w:val="008D1C2F"/>
    <w:rsid w:val="008D6030"/>
    <w:rsid w:val="008D73C3"/>
    <w:rsid w:val="008D75D4"/>
    <w:rsid w:val="008D7629"/>
    <w:rsid w:val="008E6D62"/>
    <w:rsid w:val="008F6465"/>
    <w:rsid w:val="009007B8"/>
    <w:rsid w:val="009072C1"/>
    <w:rsid w:val="00912BFB"/>
    <w:rsid w:val="009133AD"/>
    <w:rsid w:val="009161E9"/>
    <w:rsid w:val="0092101E"/>
    <w:rsid w:val="00921940"/>
    <w:rsid w:val="00921B51"/>
    <w:rsid w:val="00922432"/>
    <w:rsid w:val="00923B30"/>
    <w:rsid w:val="00933705"/>
    <w:rsid w:val="0093438F"/>
    <w:rsid w:val="00936649"/>
    <w:rsid w:val="009445CF"/>
    <w:rsid w:val="00945B2D"/>
    <w:rsid w:val="00946090"/>
    <w:rsid w:val="00947194"/>
    <w:rsid w:val="0095245C"/>
    <w:rsid w:val="00954949"/>
    <w:rsid w:val="00954D8A"/>
    <w:rsid w:val="0095669A"/>
    <w:rsid w:val="0096086F"/>
    <w:rsid w:val="00962251"/>
    <w:rsid w:val="00964F8A"/>
    <w:rsid w:val="009716D7"/>
    <w:rsid w:val="0097341D"/>
    <w:rsid w:val="00975BA0"/>
    <w:rsid w:val="0097641E"/>
    <w:rsid w:val="009813BA"/>
    <w:rsid w:val="00981876"/>
    <w:rsid w:val="0098424C"/>
    <w:rsid w:val="00986BE6"/>
    <w:rsid w:val="00992463"/>
    <w:rsid w:val="009932BD"/>
    <w:rsid w:val="0099654F"/>
    <w:rsid w:val="009A5AEF"/>
    <w:rsid w:val="009A78FA"/>
    <w:rsid w:val="009B08A7"/>
    <w:rsid w:val="009B08E8"/>
    <w:rsid w:val="009B2422"/>
    <w:rsid w:val="009B43B8"/>
    <w:rsid w:val="009B4AE5"/>
    <w:rsid w:val="009C09F3"/>
    <w:rsid w:val="009C1D65"/>
    <w:rsid w:val="009C29B6"/>
    <w:rsid w:val="009C64D2"/>
    <w:rsid w:val="009C7521"/>
    <w:rsid w:val="009C7A15"/>
    <w:rsid w:val="009D2AD5"/>
    <w:rsid w:val="009E5F99"/>
    <w:rsid w:val="009E65D4"/>
    <w:rsid w:val="009F06B5"/>
    <w:rsid w:val="00A04B06"/>
    <w:rsid w:val="00A04FF4"/>
    <w:rsid w:val="00A07367"/>
    <w:rsid w:val="00A1133F"/>
    <w:rsid w:val="00A11381"/>
    <w:rsid w:val="00A15496"/>
    <w:rsid w:val="00A1654F"/>
    <w:rsid w:val="00A16888"/>
    <w:rsid w:val="00A22957"/>
    <w:rsid w:val="00A313BD"/>
    <w:rsid w:val="00A318A6"/>
    <w:rsid w:val="00A35F65"/>
    <w:rsid w:val="00A36D4A"/>
    <w:rsid w:val="00A40128"/>
    <w:rsid w:val="00A421CB"/>
    <w:rsid w:val="00A44F82"/>
    <w:rsid w:val="00A45F01"/>
    <w:rsid w:val="00A47A62"/>
    <w:rsid w:val="00A535CB"/>
    <w:rsid w:val="00A562F9"/>
    <w:rsid w:val="00A60ACA"/>
    <w:rsid w:val="00A63B72"/>
    <w:rsid w:val="00A658DC"/>
    <w:rsid w:val="00A70317"/>
    <w:rsid w:val="00A717D0"/>
    <w:rsid w:val="00A74908"/>
    <w:rsid w:val="00A7552A"/>
    <w:rsid w:val="00A758E6"/>
    <w:rsid w:val="00A76F35"/>
    <w:rsid w:val="00A85B0E"/>
    <w:rsid w:val="00A861E3"/>
    <w:rsid w:val="00A86A6A"/>
    <w:rsid w:val="00A87962"/>
    <w:rsid w:val="00A908D3"/>
    <w:rsid w:val="00A90B59"/>
    <w:rsid w:val="00A912FD"/>
    <w:rsid w:val="00A914DB"/>
    <w:rsid w:val="00A91666"/>
    <w:rsid w:val="00A9576C"/>
    <w:rsid w:val="00AA0604"/>
    <w:rsid w:val="00AA34DA"/>
    <w:rsid w:val="00AA638C"/>
    <w:rsid w:val="00AB527B"/>
    <w:rsid w:val="00AB61BB"/>
    <w:rsid w:val="00AB6526"/>
    <w:rsid w:val="00AB6F15"/>
    <w:rsid w:val="00AB6F6B"/>
    <w:rsid w:val="00AC0AD0"/>
    <w:rsid w:val="00AC374E"/>
    <w:rsid w:val="00AC5A28"/>
    <w:rsid w:val="00AC7019"/>
    <w:rsid w:val="00AD09FB"/>
    <w:rsid w:val="00AD0C50"/>
    <w:rsid w:val="00AD2DA5"/>
    <w:rsid w:val="00AD361E"/>
    <w:rsid w:val="00AD6A34"/>
    <w:rsid w:val="00AE1879"/>
    <w:rsid w:val="00AE1892"/>
    <w:rsid w:val="00AE1B38"/>
    <w:rsid w:val="00AE3A1F"/>
    <w:rsid w:val="00AE4179"/>
    <w:rsid w:val="00AE4952"/>
    <w:rsid w:val="00AE4A6F"/>
    <w:rsid w:val="00AE4AD9"/>
    <w:rsid w:val="00AE7759"/>
    <w:rsid w:val="00AF36FB"/>
    <w:rsid w:val="00B01240"/>
    <w:rsid w:val="00B02BB7"/>
    <w:rsid w:val="00B037EB"/>
    <w:rsid w:val="00B0388E"/>
    <w:rsid w:val="00B05857"/>
    <w:rsid w:val="00B0799D"/>
    <w:rsid w:val="00B07E64"/>
    <w:rsid w:val="00B10469"/>
    <w:rsid w:val="00B10DBF"/>
    <w:rsid w:val="00B16549"/>
    <w:rsid w:val="00B17279"/>
    <w:rsid w:val="00B17FD4"/>
    <w:rsid w:val="00B2587D"/>
    <w:rsid w:val="00B275A4"/>
    <w:rsid w:val="00B27608"/>
    <w:rsid w:val="00B31C2B"/>
    <w:rsid w:val="00B321E3"/>
    <w:rsid w:val="00B37545"/>
    <w:rsid w:val="00B400EA"/>
    <w:rsid w:val="00B404A4"/>
    <w:rsid w:val="00B42449"/>
    <w:rsid w:val="00B4278C"/>
    <w:rsid w:val="00B4302D"/>
    <w:rsid w:val="00B463CA"/>
    <w:rsid w:val="00B46977"/>
    <w:rsid w:val="00B46B26"/>
    <w:rsid w:val="00B47DA9"/>
    <w:rsid w:val="00B54045"/>
    <w:rsid w:val="00B54F11"/>
    <w:rsid w:val="00B630FC"/>
    <w:rsid w:val="00B63119"/>
    <w:rsid w:val="00B6379C"/>
    <w:rsid w:val="00B637DE"/>
    <w:rsid w:val="00B65491"/>
    <w:rsid w:val="00B656AA"/>
    <w:rsid w:val="00B70455"/>
    <w:rsid w:val="00B73F88"/>
    <w:rsid w:val="00B75AD9"/>
    <w:rsid w:val="00B75B73"/>
    <w:rsid w:val="00B80157"/>
    <w:rsid w:val="00B8465B"/>
    <w:rsid w:val="00B85C93"/>
    <w:rsid w:val="00B87381"/>
    <w:rsid w:val="00B90B2B"/>
    <w:rsid w:val="00B92886"/>
    <w:rsid w:val="00B949CC"/>
    <w:rsid w:val="00BA298F"/>
    <w:rsid w:val="00BA3736"/>
    <w:rsid w:val="00BA61BB"/>
    <w:rsid w:val="00BA7CC8"/>
    <w:rsid w:val="00BB5304"/>
    <w:rsid w:val="00BC0637"/>
    <w:rsid w:val="00BC0B9F"/>
    <w:rsid w:val="00BC155F"/>
    <w:rsid w:val="00BC1993"/>
    <w:rsid w:val="00BC2C8C"/>
    <w:rsid w:val="00BC5668"/>
    <w:rsid w:val="00BC6632"/>
    <w:rsid w:val="00BD0865"/>
    <w:rsid w:val="00BD209D"/>
    <w:rsid w:val="00BD52A1"/>
    <w:rsid w:val="00BD6C8E"/>
    <w:rsid w:val="00BD76AF"/>
    <w:rsid w:val="00BE0DCF"/>
    <w:rsid w:val="00BE1D53"/>
    <w:rsid w:val="00BE228B"/>
    <w:rsid w:val="00BE5286"/>
    <w:rsid w:val="00BE5A5D"/>
    <w:rsid w:val="00BF42FA"/>
    <w:rsid w:val="00BF5CEE"/>
    <w:rsid w:val="00C03563"/>
    <w:rsid w:val="00C0595F"/>
    <w:rsid w:val="00C0674A"/>
    <w:rsid w:val="00C069D3"/>
    <w:rsid w:val="00C10652"/>
    <w:rsid w:val="00C13743"/>
    <w:rsid w:val="00C146D6"/>
    <w:rsid w:val="00C15265"/>
    <w:rsid w:val="00C31EC6"/>
    <w:rsid w:val="00C33EE3"/>
    <w:rsid w:val="00C35200"/>
    <w:rsid w:val="00C37ECA"/>
    <w:rsid w:val="00C4081A"/>
    <w:rsid w:val="00C443AB"/>
    <w:rsid w:val="00C44686"/>
    <w:rsid w:val="00C465FA"/>
    <w:rsid w:val="00C470D0"/>
    <w:rsid w:val="00C47AD8"/>
    <w:rsid w:val="00C56C2D"/>
    <w:rsid w:val="00C57A70"/>
    <w:rsid w:val="00C66943"/>
    <w:rsid w:val="00C67B7F"/>
    <w:rsid w:val="00C71BFB"/>
    <w:rsid w:val="00C73A04"/>
    <w:rsid w:val="00C74EDE"/>
    <w:rsid w:val="00C76970"/>
    <w:rsid w:val="00C80F0C"/>
    <w:rsid w:val="00C86A0F"/>
    <w:rsid w:val="00C875D7"/>
    <w:rsid w:val="00C90D51"/>
    <w:rsid w:val="00C9476B"/>
    <w:rsid w:val="00CA54EA"/>
    <w:rsid w:val="00CA563B"/>
    <w:rsid w:val="00CB11BC"/>
    <w:rsid w:val="00CC1F8C"/>
    <w:rsid w:val="00CC4D57"/>
    <w:rsid w:val="00CC7AC4"/>
    <w:rsid w:val="00CD0255"/>
    <w:rsid w:val="00CD4120"/>
    <w:rsid w:val="00CD664A"/>
    <w:rsid w:val="00CE08EF"/>
    <w:rsid w:val="00CE7834"/>
    <w:rsid w:val="00D05C97"/>
    <w:rsid w:val="00D06D38"/>
    <w:rsid w:val="00D0720D"/>
    <w:rsid w:val="00D102CA"/>
    <w:rsid w:val="00D11807"/>
    <w:rsid w:val="00D11B65"/>
    <w:rsid w:val="00D12AC3"/>
    <w:rsid w:val="00D13A21"/>
    <w:rsid w:val="00D16374"/>
    <w:rsid w:val="00D20396"/>
    <w:rsid w:val="00D21AEF"/>
    <w:rsid w:val="00D22D5E"/>
    <w:rsid w:val="00D24DB3"/>
    <w:rsid w:val="00D266F9"/>
    <w:rsid w:val="00D34002"/>
    <w:rsid w:val="00D44DDB"/>
    <w:rsid w:val="00D46309"/>
    <w:rsid w:val="00D474A0"/>
    <w:rsid w:val="00D500B8"/>
    <w:rsid w:val="00D567B2"/>
    <w:rsid w:val="00D571F1"/>
    <w:rsid w:val="00D603C0"/>
    <w:rsid w:val="00D618A5"/>
    <w:rsid w:val="00D67104"/>
    <w:rsid w:val="00D77543"/>
    <w:rsid w:val="00D81061"/>
    <w:rsid w:val="00D83F3B"/>
    <w:rsid w:val="00D94EA0"/>
    <w:rsid w:val="00D94F38"/>
    <w:rsid w:val="00DA1F4F"/>
    <w:rsid w:val="00DA2164"/>
    <w:rsid w:val="00DA220C"/>
    <w:rsid w:val="00DA4F5A"/>
    <w:rsid w:val="00DA78C5"/>
    <w:rsid w:val="00DA7C48"/>
    <w:rsid w:val="00DB108D"/>
    <w:rsid w:val="00DB2B00"/>
    <w:rsid w:val="00DB2B71"/>
    <w:rsid w:val="00DB368F"/>
    <w:rsid w:val="00DB44F3"/>
    <w:rsid w:val="00DB5AA5"/>
    <w:rsid w:val="00DC09FF"/>
    <w:rsid w:val="00DC0ADB"/>
    <w:rsid w:val="00DC77B3"/>
    <w:rsid w:val="00DD0967"/>
    <w:rsid w:val="00DE14B2"/>
    <w:rsid w:val="00DE5A26"/>
    <w:rsid w:val="00DE78BF"/>
    <w:rsid w:val="00DF183F"/>
    <w:rsid w:val="00DF2AC4"/>
    <w:rsid w:val="00DF3F75"/>
    <w:rsid w:val="00DF4C74"/>
    <w:rsid w:val="00E00282"/>
    <w:rsid w:val="00E01436"/>
    <w:rsid w:val="00E03066"/>
    <w:rsid w:val="00E04E6D"/>
    <w:rsid w:val="00E050AA"/>
    <w:rsid w:val="00E0571A"/>
    <w:rsid w:val="00E070AE"/>
    <w:rsid w:val="00E07177"/>
    <w:rsid w:val="00E07EAD"/>
    <w:rsid w:val="00E10A74"/>
    <w:rsid w:val="00E14DEE"/>
    <w:rsid w:val="00E24B59"/>
    <w:rsid w:val="00E327AE"/>
    <w:rsid w:val="00E35D34"/>
    <w:rsid w:val="00E37145"/>
    <w:rsid w:val="00E419A2"/>
    <w:rsid w:val="00E41C5E"/>
    <w:rsid w:val="00E41F7D"/>
    <w:rsid w:val="00E4539E"/>
    <w:rsid w:val="00E50620"/>
    <w:rsid w:val="00E51494"/>
    <w:rsid w:val="00E51FB0"/>
    <w:rsid w:val="00E55A7B"/>
    <w:rsid w:val="00E604D4"/>
    <w:rsid w:val="00E61673"/>
    <w:rsid w:val="00E6193C"/>
    <w:rsid w:val="00E62797"/>
    <w:rsid w:val="00E66DC8"/>
    <w:rsid w:val="00EA3BDC"/>
    <w:rsid w:val="00EB1076"/>
    <w:rsid w:val="00EB52E8"/>
    <w:rsid w:val="00EC080B"/>
    <w:rsid w:val="00EC653D"/>
    <w:rsid w:val="00EE0C20"/>
    <w:rsid w:val="00EE77B9"/>
    <w:rsid w:val="00EF3CF4"/>
    <w:rsid w:val="00EF4A96"/>
    <w:rsid w:val="00F0089C"/>
    <w:rsid w:val="00F00B98"/>
    <w:rsid w:val="00F01E58"/>
    <w:rsid w:val="00F03467"/>
    <w:rsid w:val="00F06993"/>
    <w:rsid w:val="00F0772C"/>
    <w:rsid w:val="00F07C8A"/>
    <w:rsid w:val="00F10985"/>
    <w:rsid w:val="00F12ABB"/>
    <w:rsid w:val="00F1440D"/>
    <w:rsid w:val="00F152A8"/>
    <w:rsid w:val="00F1693B"/>
    <w:rsid w:val="00F20883"/>
    <w:rsid w:val="00F21D15"/>
    <w:rsid w:val="00F25E4C"/>
    <w:rsid w:val="00F260DB"/>
    <w:rsid w:val="00F26861"/>
    <w:rsid w:val="00F3063B"/>
    <w:rsid w:val="00F30B3F"/>
    <w:rsid w:val="00F3107A"/>
    <w:rsid w:val="00F319F3"/>
    <w:rsid w:val="00F31D62"/>
    <w:rsid w:val="00F33B89"/>
    <w:rsid w:val="00F34028"/>
    <w:rsid w:val="00F406D5"/>
    <w:rsid w:val="00F414EF"/>
    <w:rsid w:val="00F421CD"/>
    <w:rsid w:val="00F514B8"/>
    <w:rsid w:val="00F5351D"/>
    <w:rsid w:val="00F557A6"/>
    <w:rsid w:val="00F60A9F"/>
    <w:rsid w:val="00F64CF4"/>
    <w:rsid w:val="00F701A9"/>
    <w:rsid w:val="00F70611"/>
    <w:rsid w:val="00F75D84"/>
    <w:rsid w:val="00F80872"/>
    <w:rsid w:val="00F816CC"/>
    <w:rsid w:val="00F82B88"/>
    <w:rsid w:val="00F849E4"/>
    <w:rsid w:val="00F94428"/>
    <w:rsid w:val="00F97831"/>
    <w:rsid w:val="00FA0F45"/>
    <w:rsid w:val="00FA28F5"/>
    <w:rsid w:val="00FA4DB1"/>
    <w:rsid w:val="00FA775E"/>
    <w:rsid w:val="00FB0BA4"/>
    <w:rsid w:val="00FB116F"/>
    <w:rsid w:val="00FB79AF"/>
    <w:rsid w:val="00FC39C3"/>
    <w:rsid w:val="00FD2765"/>
    <w:rsid w:val="00FD2B3C"/>
    <w:rsid w:val="00FD3EEF"/>
    <w:rsid w:val="00FD4D8D"/>
    <w:rsid w:val="00FD54A5"/>
    <w:rsid w:val="00FD59EF"/>
    <w:rsid w:val="00FD5E38"/>
    <w:rsid w:val="00FD6A7F"/>
    <w:rsid w:val="00FD7867"/>
    <w:rsid w:val="00FD7C9F"/>
    <w:rsid w:val="00FE3C27"/>
    <w:rsid w:val="00FE5184"/>
    <w:rsid w:val="00FF0C57"/>
    <w:rsid w:val="00FF1C06"/>
    <w:rsid w:val="00FF5DCB"/>
    <w:rsid w:val="00FF6CE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91F214"/>
  <w15:chartTrackingRefBased/>
  <w15:docId w15:val="{7A942B79-C3D3-4E2F-9705-995A005A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4120"/>
  </w:style>
  <w:style w:type="paragraph" w:styleId="Heading4">
    <w:name w:val="heading 4"/>
    <w:basedOn w:val="Normal"/>
    <w:link w:val="Heading4Char"/>
    <w:uiPriority w:val="9"/>
    <w:qFormat/>
    <w:rsid w:val="00BE1D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List Paragraph "/>
    <w:basedOn w:val="Normal"/>
    <w:link w:val="ListParagraphChar"/>
    <w:uiPriority w:val="34"/>
    <w:qFormat/>
    <w:rsid w:val="00CD412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D4120"/>
    <w:rPr>
      <w:lang w:val="en-US"/>
    </w:rPr>
  </w:style>
  <w:style w:type="character" w:customStyle="1" w:styleId="s68f5eaef">
    <w:name w:val="s68f5eaef"/>
    <w:basedOn w:val="DefaultParagraphFont"/>
    <w:rsid w:val="00CD4120"/>
  </w:style>
  <w:style w:type="paragraph" w:styleId="BodyTextIndent2">
    <w:name w:val="Body Text Indent 2"/>
    <w:basedOn w:val="Normal"/>
    <w:link w:val="BodyTextIndent2Char"/>
    <w:uiPriority w:val="99"/>
    <w:unhideWhenUsed/>
    <w:rsid w:val="00CD4120"/>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CD4120"/>
    <w:rPr>
      <w:rFonts w:ascii="Calibri" w:eastAsia="Calibri" w:hAnsi="Calibri" w:cs="Times New Roman"/>
    </w:rPr>
  </w:style>
  <w:style w:type="paragraph" w:styleId="NoSpacing">
    <w:name w:val="No Spacing"/>
    <w:link w:val="NoSpacingChar"/>
    <w:uiPriority w:val="1"/>
    <w:qFormat/>
    <w:rsid w:val="00CD4120"/>
    <w:pPr>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locked/>
    <w:rsid w:val="00CD41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D4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120"/>
    <w:rPr>
      <w:lang w:val="en-US"/>
    </w:rPr>
  </w:style>
  <w:style w:type="paragraph" w:styleId="CommentText">
    <w:name w:val="annotation text"/>
    <w:basedOn w:val="Normal"/>
    <w:link w:val="CommentTextChar"/>
    <w:uiPriority w:val="99"/>
    <w:semiHidden/>
    <w:unhideWhenUsed/>
    <w:rsid w:val="00CD4120"/>
    <w:pPr>
      <w:spacing w:line="240" w:lineRule="auto"/>
    </w:pPr>
    <w:rPr>
      <w:sz w:val="20"/>
      <w:szCs w:val="20"/>
    </w:rPr>
  </w:style>
  <w:style w:type="character" w:customStyle="1" w:styleId="CommentTextChar">
    <w:name w:val="Comment Text Char"/>
    <w:basedOn w:val="DefaultParagraphFont"/>
    <w:link w:val="CommentText"/>
    <w:uiPriority w:val="99"/>
    <w:semiHidden/>
    <w:rsid w:val="00CD4120"/>
    <w:rPr>
      <w:sz w:val="20"/>
      <w:szCs w:val="20"/>
      <w:lang w:val="en-US"/>
    </w:rPr>
  </w:style>
  <w:style w:type="paragraph" w:styleId="CommentSubject">
    <w:name w:val="annotation subject"/>
    <w:basedOn w:val="CommentText"/>
    <w:next w:val="CommentText"/>
    <w:link w:val="CommentSubjectChar"/>
    <w:uiPriority w:val="99"/>
    <w:unhideWhenUsed/>
    <w:rsid w:val="00CD4120"/>
    <w:rPr>
      <w:b/>
      <w:bCs/>
    </w:rPr>
  </w:style>
  <w:style w:type="character" w:customStyle="1" w:styleId="CommentSubjectChar">
    <w:name w:val="Comment Subject Char"/>
    <w:basedOn w:val="CommentTextChar"/>
    <w:link w:val="CommentSubject"/>
    <w:uiPriority w:val="99"/>
    <w:rsid w:val="00CD4120"/>
    <w:rPr>
      <w:b/>
      <w:bCs/>
      <w:sz w:val="20"/>
      <w:szCs w:val="20"/>
      <w:lang w:val="en-US"/>
    </w:rPr>
  </w:style>
  <w:style w:type="paragraph" w:styleId="BalloonText">
    <w:name w:val="Balloon Text"/>
    <w:basedOn w:val="Normal"/>
    <w:link w:val="BalloonTextChar"/>
    <w:uiPriority w:val="99"/>
    <w:semiHidden/>
    <w:unhideWhenUsed/>
    <w:rsid w:val="00CD4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120"/>
    <w:rPr>
      <w:rFonts w:ascii="Segoe UI" w:hAnsi="Segoe UI" w:cs="Segoe UI"/>
      <w:sz w:val="18"/>
      <w:szCs w:val="18"/>
      <w:lang w:val="en-US"/>
    </w:rPr>
  </w:style>
  <w:style w:type="character" w:styleId="CommentReference">
    <w:name w:val="annotation reference"/>
    <w:basedOn w:val="DefaultParagraphFont"/>
    <w:uiPriority w:val="99"/>
    <w:semiHidden/>
    <w:unhideWhenUsed/>
    <w:rsid w:val="00CD4120"/>
    <w:rPr>
      <w:sz w:val="16"/>
      <w:szCs w:val="16"/>
    </w:rPr>
  </w:style>
  <w:style w:type="character" w:customStyle="1" w:styleId="y2iqfc">
    <w:name w:val="y2iqfc"/>
    <w:basedOn w:val="DefaultParagraphFont"/>
    <w:rsid w:val="006A7039"/>
  </w:style>
  <w:style w:type="paragraph" w:styleId="Header">
    <w:name w:val="header"/>
    <w:basedOn w:val="Normal"/>
    <w:link w:val="HeaderChar"/>
    <w:uiPriority w:val="99"/>
    <w:unhideWhenUsed/>
    <w:rsid w:val="001F1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D5B"/>
    <w:rPr>
      <w:lang w:val="en-US"/>
    </w:rPr>
  </w:style>
  <w:style w:type="character" w:styleId="SubtleEmphasis">
    <w:name w:val="Subtle Emphasis"/>
    <w:basedOn w:val="DefaultParagraphFont"/>
    <w:uiPriority w:val="19"/>
    <w:qFormat/>
    <w:rsid w:val="003B7177"/>
    <w:rPr>
      <w:i/>
      <w:iCs/>
      <w:color w:val="404040" w:themeColor="text1" w:themeTint="BF"/>
    </w:rPr>
  </w:style>
  <w:style w:type="character" w:styleId="Emphasis">
    <w:name w:val="Emphasis"/>
    <w:basedOn w:val="DefaultParagraphFont"/>
    <w:uiPriority w:val="20"/>
    <w:qFormat/>
    <w:rsid w:val="003B7177"/>
    <w:rPr>
      <w:i/>
      <w:iCs/>
    </w:rPr>
  </w:style>
  <w:style w:type="character" w:styleId="PlaceholderText">
    <w:name w:val="Placeholder Text"/>
    <w:basedOn w:val="DefaultParagraphFont"/>
    <w:uiPriority w:val="99"/>
    <w:semiHidden/>
    <w:rsid w:val="003F4212"/>
    <w:rPr>
      <w:color w:val="808080"/>
    </w:rPr>
  </w:style>
  <w:style w:type="character" w:customStyle="1" w:styleId="hps">
    <w:name w:val="hps"/>
    <w:basedOn w:val="DefaultParagraphFont"/>
    <w:rsid w:val="009C64D2"/>
  </w:style>
  <w:style w:type="character" w:customStyle="1" w:styleId="float-right">
    <w:name w:val="float-right"/>
    <w:basedOn w:val="DefaultParagraphFont"/>
    <w:rsid w:val="00124F9F"/>
  </w:style>
  <w:style w:type="paragraph" w:customStyle="1" w:styleId="mt-sm-2">
    <w:name w:val="mt-sm-2"/>
    <w:basedOn w:val="Normal"/>
    <w:rsid w:val="00124F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E1D53"/>
    <w:rPr>
      <w:rFonts w:ascii="Times New Roman" w:eastAsia="Times New Roman" w:hAnsi="Times New Roman" w:cs="Times New Roman"/>
      <w:b/>
      <w:bCs/>
      <w:sz w:val="24"/>
      <w:szCs w:val="24"/>
      <w:lang w:val="en-US"/>
    </w:rPr>
  </w:style>
  <w:style w:type="character" w:styleId="Hyperlink">
    <w:name w:val="Hyperlink"/>
    <w:basedOn w:val="DefaultParagraphFont"/>
    <w:uiPriority w:val="99"/>
    <w:semiHidden/>
    <w:unhideWhenUsed/>
    <w:rsid w:val="00BE1D53"/>
    <w:rPr>
      <w:color w:val="0000FF"/>
      <w:u w:val="single"/>
    </w:rPr>
  </w:style>
  <w:style w:type="paragraph" w:styleId="EndnoteText">
    <w:name w:val="endnote text"/>
    <w:basedOn w:val="Normal"/>
    <w:link w:val="EndnoteTextChar"/>
    <w:uiPriority w:val="99"/>
    <w:semiHidden/>
    <w:unhideWhenUsed/>
    <w:rsid w:val="00AA638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638C"/>
    <w:rPr>
      <w:sz w:val="20"/>
      <w:szCs w:val="20"/>
      <w:lang w:val="en-US"/>
    </w:rPr>
  </w:style>
  <w:style w:type="character" w:styleId="EndnoteReference">
    <w:name w:val="endnote reference"/>
    <w:basedOn w:val="DefaultParagraphFont"/>
    <w:uiPriority w:val="99"/>
    <w:semiHidden/>
    <w:unhideWhenUsed/>
    <w:rsid w:val="00AA638C"/>
    <w:rPr>
      <w:vertAlign w:val="superscript"/>
    </w:rPr>
  </w:style>
  <w:style w:type="paragraph" w:styleId="FootnoteText">
    <w:name w:val="footnote text"/>
    <w:basedOn w:val="Normal"/>
    <w:link w:val="FootnoteTextChar"/>
    <w:uiPriority w:val="99"/>
    <w:semiHidden/>
    <w:unhideWhenUsed/>
    <w:rsid w:val="00AA63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638C"/>
    <w:rPr>
      <w:sz w:val="20"/>
      <w:szCs w:val="20"/>
      <w:lang w:val="en-US"/>
    </w:rPr>
  </w:style>
  <w:style w:type="character" w:styleId="FootnoteReference">
    <w:name w:val="footnote reference"/>
    <w:basedOn w:val="DefaultParagraphFont"/>
    <w:uiPriority w:val="99"/>
    <w:semiHidden/>
    <w:unhideWhenUsed/>
    <w:rsid w:val="00AA638C"/>
    <w:rPr>
      <w:vertAlign w:val="superscript"/>
    </w:rPr>
  </w:style>
  <w:style w:type="paragraph" w:styleId="Revision">
    <w:name w:val="Revision"/>
    <w:hidden/>
    <w:uiPriority w:val="99"/>
    <w:semiHidden/>
    <w:rsid w:val="001559DF"/>
    <w:pPr>
      <w:spacing w:after="0" w:line="240" w:lineRule="auto"/>
    </w:pPr>
    <w:rPr>
      <w:lang w:val="en-US"/>
    </w:rPr>
  </w:style>
  <w:style w:type="character" w:customStyle="1" w:styleId="FontStyle16">
    <w:name w:val="Font Style16"/>
    <w:basedOn w:val="DefaultParagraphFont"/>
    <w:uiPriority w:val="99"/>
    <w:rsid w:val="00FF6CEB"/>
    <w:rPr>
      <w:rFonts w:ascii="Book Antiqua" w:hAnsi="Book Antiqua" w:cs="Book Antiqua"/>
      <w:sz w:val="22"/>
      <w:szCs w:val="22"/>
    </w:rPr>
  </w:style>
  <w:style w:type="table" w:styleId="TableGrid">
    <w:name w:val="Table Grid"/>
    <w:basedOn w:val="TableNormal"/>
    <w:uiPriority w:val="39"/>
    <w:rsid w:val="00B46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88872">
      <w:bodyDiv w:val="1"/>
      <w:marLeft w:val="0"/>
      <w:marRight w:val="0"/>
      <w:marTop w:val="0"/>
      <w:marBottom w:val="0"/>
      <w:divBdr>
        <w:top w:val="none" w:sz="0" w:space="0" w:color="auto"/>
        <w:left w:val="none" w:sz="0" w:space="0" w:color="auto"/>
        <w:bottom w:val="none" w:sz="0" w:space="0" w:color="auto"/>
        <w:right w:val="none" w:sz="0" w:space="0" w:color="auto"/>
      </w:divBdr>
    </w:div>
    <w:div w:id="225384941">
      <w:bodyDiv w:val="1"/>
      <w:marLeft w:val="0"/>
      <w:marRight w:val="0"/>
      <w:marTop w:val="0"/>
      <w:marBottom w:val="0"/>
      <w:divBdr>
        <w:top w:val="none" w:sz="0" w:space="0" w:color="auto"/>
        <w:left w:val="none" w:sz="0" w:space="0" w:color="auto"/>
        <w:bottom w:val="none" w:sz="0" w:space="0" w:color="auto"/>
        <w:right w:val="none" w:sz="0" w:space="0" w:color="auto"/>
      </w:divBdr>
    </w:div>
    <w:div w:id="316878704">
      <w:bodyDiv w:val="1"/>
      <w:marLeft w:val="0"/>
      <w:marRight w:val="0"/>
      <w:marTop w:val="0"/>
      <w:marBottom w:val="0"/>
      <w:divBdr>
        <w:top w:val="none" w:sz="0" w:space="0" w:color="auto"/>
        <w:left w:val="none" w:sz="0" w:space="0" w:color="auto"/>
        <w:bottom w:val="none" w:sz="0" w:space="0" w:color="auto"/>
        <w:right w:val="none" w:sz="0" w:space="0" w:color="auto"/>
      </w:divBdr>
      <w:divsChild>
        <w:div w:id="114567158">
          <w:marLeft w:val="0"/>
          <w:marRight w:val="0"/>
          <w:marTop w:val="0"/>
          <w:marBottom w:val="0"/>
          <w:divBdr>
            <w:top w:val="none" w:sz="0" w:space="0" w:color="auto"/>
            <w:left w:val="none" w:sz="0" w:space="0" w:color="auto"/>
            <w:bottom w:val="none" w:sz="0" w:space="0" w:color="auto"/>
            <w:right w:val="none" w:sz="0" w:space="0" w:color="auto"/>
          </w:divBdr>
        </w:div>
        <w:div w:id="430665470">
          <w:marLeft w:val="0"/>
          <w:marRight w:val="0"/>
          <w:marTop w:val="0"/>
          <w:marBottom w:val="0"/>
          <w:divBdr>
            <w:top w:val="none" w:sz="0" w:space="0" w:color="auto"/>
            <w:left w:val="none" w:sz="0" w:space="0" w:color="auto"/>
            <w:bottom w:val="none" w:sz="0" w:space="0" w:color="auto"/>
            <w:right w:val="none" w:sz="0" w:space="0" w:color="auto"/>
          </w:divBdr>
        </w:div>
        <w:div w:id="1080641181">
          <w:marLeft w:val="0"/>
          <w:marRight w:val="0"/>
          <w:marTop w:val="0"/>
          <w:marBottom w:val="0"/>
          <w:divBdr>
            <w:top w:val="none" w:sz="0" w:space="0" w:color="auto"/>
            <w:left w:val="none" w:sz="0" w:space="0" w:color="auto"/>
            <w:bottom w:val="none" w:sz="0" w:space="0" w:color="auto"/>
            <w:right w:val="none" w:sz="0" w:space="0" w:color="auto"/>
          </w:divBdr>
        </w:div>
        <w:div w:id="436565371">
          <w:marLeft w:val="0"/>
          <w:marRight w:val="0"/>
          <w:marTop w:val="0"/>
          <w:marBottom w:val="0"/>
          <w:divBdr>
            <w:top w:val="none" w:sz="0" w:space="0" w:color="auto"/>
            <w:left w:val="none" w:sz="0" w:space="0" w:color="auto"/>
            <w:bottom w:val="none" w:sz="0" w:space="0" w:color="auto"/>
            <w:right w:val="none" w:sz="0" w:space="0" w:color="auto"/>
          </w:divBdr>
        </w:div>
        <w:div w:id="150803460">
          <w:marLeft w:val="0"/>
          <w:marRight w:val="0"/>
          <w:marTop w:val="0"/>
          <w:marBottom w:val="0"/>
          <w:divBdr>
            <w:top w:val="none" w:sz="0" w:space="0" w:color="auto"/>
            <w:left w:val="none" w:sz="0" w:space="0" w:color="auto"/>
            <w:bottom w:val="none" w:sz="0" w:space="0" w:color="auto"/>
            <w:right w:val="none" w:sz="0" w:space="0" w:color="auto"/>
          </w:divBdr>
        </w:div>
        <w:div w:id="1700736478">
          <w:marLeft w:val="0"/>
          <w:marRight w:val="0"/>
          <w:marTop w:val="0"/>
          <w:marBottom w:val="0"/>
          <w:divBdr>
            <w:top w:val="none" w:sz="0" w:space="0" w:color="auto"/>
            <w:left w:val="none" w:sz="0" w:space="0" w:color="auto"/>
            <w:bottom w:val="none" w:sz="0" w:space="0" w:color="auto"/>
            <w:right w:val="none" w:sz="0" w:space="0" w:color="auto"/>
          </w:divBdr>
        </w:div>
        <w:div w:id="619534694">
          <w:marLeft w:val="0"/>
          <w:marRight w:val="0"/>
          <w:marTop w:val="0"/>
          <w:marBottom w:val="0"/>
          <w:divBdr>
            <w:top w:val="none" w:sz="0" w:space="0" w:color="auto"/>
            <w:left w:val="none" w:sz="0" w:space="0" w:color="auto"/>
            <w:bottom w:val="none" w:sz="0" w:space="0" w:color="auto"/>
            <w:right w:val="none" w:sz="0" w:space="0" w:color="auto"/>
          </w:divBdr>
        </w:div>
        <w:div w:id="1122304539">
          <w:marLeft w:val="0"/>
          <w:marRight w:val="0"/>
          <w:marTop w:val="0"/>
          <w:marBottom w:val="0"/>
          <w:divBdr>
            <w:top w:val="none" w:sz="0" w:space="0" w:color="auto"/>
            <w:left w:val="none" w:sz="0" w:space="0" w:color="auto"/>
            <w:bottom w:val="none" w:sz="0" w:space="0" w:color="auto"/>
            <w:right w:val="none" w:sz="0" w:space="0" w:color="auto"/>
          </w:divBdr>
        </w:div>
        <w:div w:id="1071581341">
          <w:marLeft w:val="0"/>
          <w:marRight w:val="0"/>
          <w:marTop w:val="0"/>
          <w:marBottom w:val="0"/>
          <w:divBdr>
            <w:top w:val="none" w:sz="0" w:space="0" w:color="auto"/>
            <w:left w:val="none" w:sz="0" w:space="0" w:color="auto"/>
            <w:bottom w:val="none" w:sz="0" w:space="0" w:color="auto"/>
            <w:right w:val="none" w:sz="0" w:space="0" w:color="auto"/>
          </w:divBdr>
        </w:div>
        <w:div w:id="1736704889">
          <w:marLeft w:val="0"/>
          <w:marRight w:val="0"/>
          <w:marTop w:val="0"/>
          <w:marBottom w:val="0"/>
          <w:divBdr>
            <w:top w:val="none" w:sz="0" w:space="0" w:color="auto"/>
            <w:left w:val="none" w:sz="0" w:space="0" w:color="auto"/>
            <w:bottom w:val="none" w:sz="0" w:space="0" w:color="auto"/>
            <w:right w:val="none" w:sz="0" w:space="0" w:color="auto"/>
          </w:divBdr>
        </w:div>
        <w:div w:id="1097825506">
          <w:marLeft w:val="0"/>
          <w:marRight w:val="0"/>
          <w:marTop w:val="0"/>
          <w:marBottom w:val="0"/>
          <w:divBdr>
            <w:top w:val="none" w:sz="0" w:space="0" w:color="auto"/>
            <w:left w:val="none" w:sz="0" w:space="0" w:color="auto"/>
            <w:bottom w:val="none" w:sz="0" w:space="0" w:color="auto"/>
            <w:right w:val="none" w:sz="0" w:space="0" w:color="auto"/>
          </w:divBdr>
        </w:div>
        <w:div w:id="194583300">
          <w:marLeft w:val="0"/>
          <w:marRight w:val="0"/>
          <w:marTop w:val="0"/>
          <w:marBottom w:val="0"/>
          <w:divBdr>
            <w:top w:val="none" w:sz="0" w:space="0" w:color="auto"/>
            <w:left w:val="none" w:sz="0" w:space="0" w:color="auto"/>
            <w:bottom w:val="none" w:sz="0" w:space="0" w:color="auto"/>
            <w:right w:val="none" w:sz="0" w:space="0" w:color="auto"/>
          </w:divBdr>
        </w:div>
        <w:div w:id="1948075093">
          <w:marLeft w:val="0"/>
          <w:marRight w:val="0"/>
          <w:marTop w:val="0"/>
          <w:marBottom w:val="0"/>
          <w:divBdr>
            <w:top w:val="none" w:sz="0" w:space="0" w:color="auto"/>
            <w:left w:val="none" w:sz="0" w:space="0" w:color="auto"/>
            <w:bottom w:val="none" w:sz="0" w:space="0" w:color="auto"/>
            <w:right w:val="none" w:sz="0" w:space="0" w:color="auto"/>
          </w:divBdr>
        </w:div>
        <w:div w:id="133375006">
          <w:marLeft w:val="0"/>
          <w:marRight w:val="0"/>
          <w:marTop w:val="0"/>
          <w:marBottom w:val="0"/>
          <w:divBdr>
            <w:top w:val="none" w:sz="0" w:space="0" w:color="auto"/>
            <w:left w:val="none" w:sz="0" w:space="0" w:color="auto"/>
            <w:bottom w:val="none" w:sz="0" w:space="0" w:color="auto"/>
            <w:right w:val="none" w:sz="0" w:space="0" w:color="auto"/>
          </w:divBdr>
        </w:div>
        <w:div w:id="778451396">
          <w:marLeft w:val="0"/>
          <w:marRight w:val="0"/>
          <w:marTop w:val="0"/>
          <w:marBottom w:val="0"/>
          <w:divBdr>
            <w:top w:val="none" w:sz="0" w:space="0" w:color="auto"/>
            <w:left w:val="none" w:sz="0" w:space="0" w:color="auto"/>
            <w:bottom w:val="none" w:sz="0" w:space="0" w:color="auto"/>
            <w:right w:val="none" w:sz="0" w:space="0" w:color="auto"/>
          </w:divBdr>
        </w:div>
        <w:div w:id="759981666">
          <w:marLeft w:val="0"/>
          <w:marRight w:val="0"/>
          <w:marTop w:val="0"/>
          <w:marBottom w:val="0"/>
          <w:divBdr>
            <w:top w:val="none" w:sz="0" w:space="0" w:color="auto"/>
            <w:left w:val="none" w:sz="0" w:space="0" w:color="auto"/>
            <w:bottom w:val="none" w:sz="0" w:space="0" w:color="auto"/>
            <w:right w:val="none" w:sz="0" w:space="0" w:color="auto"/>
          </w:divBdr>
        </w:div>
        <w:div w:id="1921064678">
          <w:marLeft w:val="0"/>
          <w:marRight w:val="0"/>
          <w:marTop w:val="0"/>
          <w:marBottom w:val="0"/>
          <w:divBdr>
            <w:top w:val="none" w:sz="0" w:space="0" w:color="auto"/>
            <w:left w:val="none" w:sz="0" w:space="0" w:color="auto"/>
            <w:bottom w:val="none" w:sz="0" w:space="0" w:color="auto"/>
            <w:right w:val="none" w:sz="0" w:space="0" w:color="auto"/>
          </w:divBdr>
        </w:div>
        <w:div w:id="1780222763">
          <w:marLeft w:val="0"/>
          <w:marRight w:val="0"/>
          <w:marTop w:val="0"/>
          <w:marBottom w:val="0"/>
          <w:divBdr>
            <w:top w:val="none" w:sz="0" w:space="0" w:color="auto"/>
            <w:left w:val="none" w:sz="0" w:space="0" w:color="auto"/>
            <w:bottom w:val="none" w:sz="0" w:space="0" w:color="auto"/>
            <w:right w:val="none" w:sz="0" w:space="0" w:color="auto"/>
          </w:divBdr>
        </w:div>
        <w:div w:id="2075853578">
          <w:marLeft w:val="0"/>
          <w:marRight w:val="0"/>
          <w:marTop w:val="0"/>
          <w:marBottom w:val="0"/>
          <w:divBdr>
            <w:top w:val="none" w:sz="0" w:space="0" w:color="auto"/>
            <w:left w:val="none" w:sz="0" w:space="0" w:color="auto"/>
            <w:bottom w:val="none" w:sz="0" w:space="0" w:color="auto"/>
            <w:right w:val="none" w:sz="0" w:space="0" w:color="auto"/>
          </w:divBdr>
        </w:div>
        <w:div w:id="417023249">
          <w:marLeft w:val="0"/>
          <w:marRight w:val="0"/>
          <w:marTop w:val="0"/>
          <w:marBottom w:val="0"/>
          <w:divBdr>
            <w:top w:val="none" w:sz="0" w:space="0" w:color="auto"/>
            <w:left w:val="none" w:sz="0" w:space="0" w:color="auto"/>
            <w:bottom w:val="none" w:sz="0" w:space="0" w:color="auto"/>
            <w:right w:val="none" w:sz="0" w:space="0" w:color="auto"/>
          </w:divBdr>
        </w:div>
        <w:div w:id="672297657">
          <w:marLeft w:val="0"/>
          <w:marRight w:val="0"/>
          <w:marTop w:val="0"/>
          <w:marBottom w:val="0"/>
          <w:divBdr>
            <w:top w:val="none" w:sz="0" w:space="0" w:color="auto"/>
            <w:left w:val="none" w:sz="0" w:space="0" w:color="auto"/>
            <w:bottom w:val="none" w:sz="0" w:space="0" w:color="auto"/>
            <w:right w:val="none" w:sz="0" w:space="0" w:color="auto"/>
          </w:divBdr>
        </w:div>
        <w:div w:id="1297875536">
          <w:marLeft w:val="0"/>
          <w:marRight w:val="0"/>
          <w:marTop w:val="0"/>
          <w:marBottom w:val="0"/>
          <w:divBdr>
            <w:top w:val="none" w:sz="0" w:space="0" w:color="auto"/>
            <w:left w:val="none" w:sz="0" w:space="0" w:color="auto"/>
            <w:bottom w:val="none" w:sz="0" w:space="0" w:color="auto"/>
            <w:right w:val="none" w:sz="0" w:space="0" w:color="auto"/>
          </w:divBdr>
        </w:div>
        <w:div w:id="980617246">
          <w:marLeft w:val="0"/>
          <w:marRight w:val="0"/>
          <w:marTop w:val="0"/>
          <w:marBottom w:val="0"/>
          <w:divBdr>
            <w:top w:val="none" w:sz="0" w:space="0" w:color="auto"/>
            <w:left w:val="none" w:sz="0" w:space="0" w:color="auto"/>
            <w:bottom w:val="none" w:sz="0" w:space="0" w:color="auto"/>
            <w:right w:val="none" w:sz="0" w:space="0" w:color="auto"/>
          </w:divBdr>
        </w:div>
        <w:div w:id="2122066756">
          <w:marLeft w:val="0"/>
          <w:marRight w:val="0"/>
          <w:marTop w:val="0"/>
          <w:marBottom w:val="0"/>
          <w:divBdr>
            <w:top w:val="none" w:sz="0" w:space="0" w:color="auto"/>
            <w:left w:val="none" w:sz="0" w:space="0" w:color="auto"/>
            <w:bottom w:val="none" w:sz="0" w:space="0" w:color="auto"/>
            <w:right w:val="none" w:sz="0" w:space="0" w:color="auto"/>
          </w:divBdr>
        </w:div>
        <w:div w:id="1905947138">
          <w:marLeft w:val="0"/>
          <w:marRight w:val="0"/>
          <w:marTop w:val="0"/>
          <w:marBottom w:val="0"/>
          <w:divBdr>
            <w:top w:val="none" w:sz="0" w:space="0" w:color="auto"/>
            <w:left w:val="none" w:sz="0" w:space="0" w:color="auto"/>
            <w:bottom w:val="none" w:sz="0" w:space="0" w:color="auto"/>
            <w:right w:val="none" w:sz="0" w:space="0" w:color="auto"/>
          </w:divBdr>
        </w:div>
        <w:div w:id="1380325215">
          <w:marLeft w:val="0"/>
          <w:marRight w:val="0"/>
          <w:marTop w:val="0"/>
          <w:marBottom w:val="0"/>
          <w:divBdr>
            <w:top w:val="none" w:sz="0" w:space="0" w:color="auto"/>
            <w:left w:val="none" w:sz="0" w:space="0" w:color="auto"/>
            <w:bottom w:val="none" w:sz="0" w:space="0" w:color="auto"/>
            <w:right w:val="none" w:sz="0" w:space="0" w:color="auto"/>
          </w:divBdr>
        </w:div>
        <w:div w:id="868955970">
          <w:marLeft w:val="0"/>
          <w:marRight w:val="0"/>
          <w:marTop w:val="0"/>
          <w:marBottom w:val="0"/>
          <w:divBdr>
            <w:top w:val="none" w:sz="0" w:space="0" w:color="auto"/>
            <w:left w:val="none" w:sz="0" w:space="0" w:color="auto"/>
            <w:bottom w:val="none" w:sz="0" w:space="0" w:color="auto"/>
            <w:right w:val="none" w:sz="0" w:space="0" w:color="auto"/>
          </w:divBdr>
        </w:div>
        <w:div w:id="18169232">
          <w:marLeft w:val="0"/>
          <w:marRight w:val="0"/>
          <w:marTop w:val="0"/>
          <w:marBottom w:val="0"/>
          <w:divBdr>
            <w:top w:val="none" w:sz="0" w:space="0" w:color="auto"/>
            <w:left w:val="none" w:sz="0" w:space="0" w:color="auto"/>
            <w:bottom w:val="none" w:sz="0" w:space="0" w:color="auto"/>
            <w:right w:val="none" w:sz="0" w:space="0" w:color="auto"/>
          </w:divBdr>
        </w:div>
        <w:div w:id="1421873893">
          <w:marLeft w:val="0"/>
          <w:marRight w:val="0"/>
          <w:marTop w:val="0"/>
          <w:marBottom w:val="0"/>
          <w:divBdr>
            <w:top w:val="none" w:sz="0" w:space="0" w:color="auto"/>
            <w:left w:val="none" w:sz="0" w:space="0" w:color="auto"/>
            <w:bottom w:val="none" w:sz="0" w:space="0" w:color="auto"/>
            <w:right w:val="none" w:sz="0" w:space="0" w:color="auto"/>
          </w:divBdr>
        </w:div>
        <w:div w:id="1825773791">
          <w:marLeft w:val="0"/>
          <w:marRight w:val="0"/>
          <w:marTop w:val="0"/>
          <w:marBottom w:val="0"/>
          <w:divBdr>
            <w:top w:val="none" w:sz="0" w:space="0" w:color="auto"/>
            <w:left w:val="none" w:sz="0" w:space="0" w:color="auto"/>
            <w:bottom w:val="none" w:sz="0" w:space="0" w:color="auto"/>
            <w:right w:val="none" w:sz="0" w:space="0" w:color="auto"/>
          </w:divBdr>
        </w:div>
        <w:div w:id="1141187909">
          <w:marLeft w:val="0"/>
          <w:marRight w:val="0"/>
          <w:marTop w:val="0"/>
          <w:marBottom w:val="0"/>
          <w:divBdr>
            <w:top w:val="none" w:sz="0" w:space="0" w:color="auto"/>
            <w:left w:val="none" w:sz="0" w:space="0" w:color="auto"/>
            <w:bottom w:val="none" w:sz="0" w:space="0" w:color="auto"/>
            <w:right w:val="none" w:sz="0" w:space="0" w:color="auto"/>
          </w:divBdr>
        </w:div>
        <w:div w:id="1638488640">
          <w:marLeft w:val="0"/>
          <w:marRight w:val="0"/>
          <w:marTop w:val="0"/>
          <w:marBottom w:val="0"/>
          <w:divBdr>
            <w:top w:val="none" w:sz="0" w:space="0" w:color="auto"/>
            <w:left w:val="none" w:sz="0" w:space="0" w:color="auto"/>
            <w:bottom w:val="none" w:sz="0" w:space="0" w:color="auto"/>
            <w:right w:val="none" w:sz="0" w:space="0" w:color="auto"/>
          </w:divBdr>
        </w:div>
        <w:div w:id="2038775280">
          <w:marLeft w:val="0"/>
          <w:marRight w:val="0"/>
          <w:marTop w:val="0"/>
          <w:marBottom w:val="0"/>
          <w:divBdr>
            <w:top w:val="none" w:sz="0" w:space="0" w:color="auto"/>
            <w:left w:val="none" w:sz="0" w:space="0" w:color="auto"/>
            <w:bottom w:val="none" w:sz="0" w:space="0" w:color="auto"/>
            <w:right w:val="none" w:sz="0" w:space="0" w:color="auto"/>
          </w:divBdr>
        </w:div>
        <w:div w:id="1087923504">
          <w:marLeft w:val="0"/>
          <w:marRight w:val="0"/>
          <w:marTop w:val="0"/>
          <w:marBottom w:val="0"/>
          <w:divBdr>
            <w:top w:val="none" w:sz="0" w:space="0" w:color="auto"/>
            <w:left w:val="none" w:sz="0" w:space="0" w:color="auto"/>
            <w:bottom w:val="none" w:sz="0" w:space="0" w:color="auto"/>
            <w:right w:val="none" w:sz="0" w:space="0" w:color="auto"/>
          </w:divBdr>
        </w:div>
        <w:div w:id="179853603">
          <w:marLeft w:val="0"/>
          <w:marRight w:val="0"/>
          <w:marTop w:val="0"/>
          <w:marBottom w:val="0"/>
          <w:divBdr>
            <w:top w:val="none" w:sz="0" w:space="0" w:color="auto"/>
            <w:left w:val="none" w:sz="0" w:space="0" w:color="auto"/>
            <w:bottom w:val="none" w:sz="0" w:space="0" w:color="auto"/>
            <w:right w:val="none" w:sz="0" w:space="0" w:color="auto"/>
          </w:divBdr>
        </w:div>
        <w:div w:id="1106924059">
          <w:marLeft w:val="0"/>
          <w:marRight w:val="0"/>
          <w:marTop w:val="0"/>
          <w:marBottom w:val="0"/>
          <w:divBdr>
            <w:top w:val="none" w:sz="0" w:space="0" w:color="auto"/>
            <w:left w:val="none" w:sz="0" w:space="0" w:color="auto"/>
            <w:bottom w:val="none" w:sz="0" w:space="0" w:color="auto"/>
            <w:right w:val="none" w:sz="0" w:space="0" w:color="auto"/>
          </w:divBdr>
        </w:div>
        <w:div w:id="120927297">
          <w:marLeft w:val="0"/>
          <w:marRight w:val="0"/>
          <w:marTop w:val="0"/>
          <w:marBottom w:val="0"/>
          <w:divBdr>
            <w:top w:val="none" w:sz="0" w:space="0" w:color="auto"/>
            <w:left w:val="none" w:sz="0" w:space="0" w:color="auto"/>
            <w:bottom w:val="none" w:sz="0" w:space="0" w:color="auto"/>
            <w:right w:val="none" w:sz="0" w:space="0" w:color="auto"/>
          </w:divBdr>
        </w:div>
        <w:div w:id="786856135">
          <w:marLeft w:val="0"/>
          <w:marRight w:val="0"/>
          <w:marTop w:val="0"/>
          <w:marBottom w:val="0"/>
          <w:divBdr>
            <w:top w:val="none" w:sz="0" w:space="0" w:color="auto"/>
            <w:left w:val="none" w:sz="0" w:space="0" w:color="auto"/>
            <w:bottom w:val="none" w:sz="0" w:space="0" w:color="auto"/>
            <w:right w:val="none" w:sz="0" w:space="0" w:color="auto"/>
          </w:divBdr>
        </w:div>
      </w:divsChild>
    </w:div>
    <w:div w:id="510950993">
      <w:bodyDiv w:val="1"/>
      <w:marLeft w:val="0"/>
      <w:marRight w:val="0"/>
      <w:marTop w:val="0"/>
      <w:marBottom w:val="0"/>
      <w:divBdr>
        <w:top w:val="none" w:sz="0" w:space="0" w:color="auto"/>
        <w:left w:val="none" w:sz="0" w:space="0" w:color="auto"/>
        <w:bottom w:val="none" w:sz="0" w:space="0" w:color="auto"/>
        <w:right w:val="none" w:sz="0" w:space="0" w:color="auto"/>
      </w:divBdr>
    </w:div>
    <w:div w:id="772943287">
      <w:bodyDiv w:val="1"/>
      <w:marLeft w:val="0"/>
      <w:marRight w:val="0"/>
      <w:marTop w:val="0"/>
      <w:marBottom w:val="0"/>
      <w:divBdr>
        <w:top w:val="none" w:sz="0" w:space="0" w:color="auto"/>
        <w:left w:val="none" w:sz="0" w:space="0" w:color="auto"/>
        <w:bottom w:val="none" w:sz="0" w:space="0" w:color="auto"/>
        <w:right w:val="none" w:sz="0" w:space="0" w:color="auto"/>
      </w:divBdr>
    </w:div>
    <w:div w:id="941835824">
      <w:bodyDiv w:val="1"/>
      <w:marLeft w:val="0"/>
      <w:marRight w:val="0"/>
      <w:marTop w:val="0"/>
      <w:marBottom w:val="0"/>
      <w:divBdr>
        <w:top w:val="none" w:sz="0" w:space="0" w:color="auto"/>
        <w:left w:val="none" w:sz="0" w:space="0" w:color="auto"/>
        <w:bottom w:val="none" w:sz="0" w:space="0" w:color="auto"/>
        <w:right w:val="none" w:sz="0" w:space="0" w:color="auto"/>
      </w:divBdr>
      <w:divsChild>
        <w:div w:id="83386364">
          <w:marLeft w:val="0"/>
          <w:marRight w:val="0"/>
          <w:marTop w:val="0"/>
          <w:marBottom w:val="0"/>
          <w:divBdr>
            <w:top w:val="none" w:sz="0" w:space="0" w:color="auto"/>
            <w:left w:val="none" w:sz="0" w:space="0" w:color="auto"/>
            <w:bottom w:val="none" w:sz="0" w:space="0" w:color="auto"/>
            <w:right w:val="none" w:sz="0" w:space="0" w:color="auto"/>
          </w:divBdr>
        </w:div>
        <w:div w:id="1496145941">
          <w:marLeft w:val="0"/>
          <w:marRight w:val="0"/>
          <w:marTop w:val="0"/>
          <w:marBottom w:val="0"/>
          <w:divBdr>
            <w:top w:val="none" w:sz="0" w:space="0" w:color="auto"/>
            <w:left w:val="none" w:sz="0" w:space="0" w:color="auto"/>
            <w:bottom w:val="none" w:sz="0" w:space="0" w:color="auto"/>
            <w:right w:val="none" w:sz="0" w:space="0" w:color="auto"/>
          </w:divBdr>
        </w:div>
        <w:div w:id="949437183">
          <w:marLeft w:val="0"/>
          <w:marRight w:val="0"/>
          <w:marTop w:val="0"/>
          <w:marBottom w:val="0"/>
          <w:divBdr>
            <w:top w:val="none" w:sz="0" w:space="0" w:color="auto"/>
            <w:left w:val="none" w:sz="0" w:space="0" w:color="auto"/>
            <w:bottom w:val="none" w:sz="0" w:space="0" w:color="auto"/>
            <w:right w:val="none" w:sz="0" w:space="0" w:color="auto"/>
          </w:divBdr>
        </w:div>
        <w:div w:id="1544518489">
          <w:marLeft w:val="0"/>
          <w:marRight w:val="0"/>
          <w:marTop w:val="0"/>
          <w:marBottom w:val="0"/>
          <w:divBdr>
            <w:top w:val="none" w:sz="0" w:space="0" w:color="auto"/>
            <w:left w:val="none" w:sz="0" w:space="0" w:color="auto"/>
            <w:bottom w:val="none" w:sz="0" w:space="0" w:color="auto"/>
            <w:right w:val="none" w:sz="0" w:space="0" w:color="auto"/>
          </w:divBdr>
        </w:div>
        <w:div w:id="600452664">
          <w:marLeft w:val="0"/>
          <w:marRight w:val="0"/>
          <w:marTop w:val="0"/>
          <w:marBottom w:val="0"/>
          <w:divBdr>
            <w:top w:val="none" w:sz="0" w:space="0" w:color="auto"/>
            <w:left w:val="none" w:sz="0" w:space="0" w:color="auto"/>
            <w:bottom w:val="none" w:sz="0" w:space="0" w:color="auto"/>
            <w:right w:val="none" w:sz="0" w:space="0" w:color="auto"/>
          </w:divBdr>
        </w:div>
        <w:div w:id="747849196">
          <w:marLeft w:val="0"/>
          <w:marRight w:val="0"/>
          <w:marTop w:val="0"/>
          <w:marBottom w:val="0"/>
          <w:divBdr>
            <w:top w:val="none" w:sz="0" w:space="0" w:color="auto"/>
            <w:left w:val="none" w:sz="0" w:space="0" w:color="auto"/>
            <w:bottom w:val="none" w:sz="0" w:space="0" w:color="auto"/>
            <w:right w:val="none" w:sz="0" w:space="0" w:color="auto"/>
          </w:divBdr>
        </w:div>
        <w:div w:id="492066910">
          <w:marLeft w:val="0"/>
          <w:marRight w:val="0"/>
          <w:marTop w:val="0"/>
          <w:marBottom w:val="0"/>
          <w:divBdr>
            <w:top w:val="none" w:sz="0" w:space="0" w:color="auto"/>
            <w:left w:val="none" w:sz="0" w:space="0" w:color="auto"/>
            <w:bottom w:val="none" w:sz="0" w:space="0" w:color="auto"/>
            <w:right w:val="none" w:sz="0" w:space="0" w:color="auto"/>
          </w:divBdr>
        </w:div>
        <w:div w:id="847254334">
          <w:marLeft w:val="0"/>
          <w:marRight w:val="0"/>
          <w:marTop w:val="0"/>
          <w:marBottom w:val="0"/>
          <w:divBdr>
            <w:top w:val="none" w:sz="0" w:space="0" w:color="auto"/>
            <w:left w:val="none" w:sz="0" w:space="0" w:color="auto"/>
            <w:bottom w:val="none" w:sz="0" w:space="0" w:color="auto"/>
            <w:right w:val="none" w:sz="0" w:space="0" w:color="auto"/>
          </w:divBdr>
        </w:div>
      </w:divsChild>
    </w:div>
    <w:div w:id="962463532">
      <w:bodyDiv w:val="1"/>
      <w:marLeft w:val="0"/>
      <w:marRight w:val="0"/>
      <w:marTop w:val="0"/>
      <w:marBottom w:val="0"/>
      <w:divBdr>
        <w:top w:val="none" w:sz="0" w:space="0" w:color="auto"/>
        <w:left w:val="none" w:sz="0" w:space="0" w:color="auto"/>
        <w:bottom w:val="none" w:sz="0" w:space="0" w:color="auto"/>
        <w:right w:val="none" w:sz="0" w:space="0" w:color="auto"/>
      </w:divBdr>
      <w:divsChild>
        <w:div w:id="77600770">
          <w:marLeft w:val="0"/>
          <w:marRight w:val="0"/>
          <w:marTop w:val="0"/>
          <w:marBottom w:val="0"/>
          <w:divBdr>
            <w:top w:val="none" w:sz="0" w:space="0" w:color="auto"/>
            <w:left w:val="none" w:sz="0" w:space="0" w:color="auto"/>
            <w:bottom w:val="none" w:sz="0" w:space="0" w:color="auto"/>
            <w:right w:val="none" w:sz="0" w:space="0" w:color="auto"/>
          </w:divBdr>
        </w:div>
        <w:div w:id="35274264">
          <w:marLeft w:val="0"/>
          <w:marRight w:val="0"/>
          <w:marTop w:val="0"/>
          <w:marBottom w:val="0"/>
          <w:divBdr>
            <w:top w:val="none" w:sz="0" w:space="0" w:color="auto"/>
            <w:left w:val="none" w:sz="0" w:space="0" w:color="auto"/>
            <w:bottom w:val="none" w:sz="0" w:space="0" w:color="auto"/>
            <w:right w:val="none" w:sz="0" w:space="0" w:color="auto"/>
          </w:divBdr>
        </w:div>
        <w:div w:id="1105884015">
          <w:marLeft w:val="0"/>
          <w:marRight w:val="0"/>
          <w:marTop w:val="0"/>
          <w:marBottom w:val="0"/>
          <w:divBdr>
            <w:top w:val="none" w:sz="0" w:space="0" w:color="auto"/>
            <w:left w:val="none" w:sz="0" w:space="0" w:color="auto"/>
            <w:bottom w:val="none" w:sz="0" w:space="0" w:color="auto"/>
            <w:right w:val="none" w:sz="0" w:space="0" w:color="auto"/>
          </w:divBdr>
        </w:div>
        <w:div w:id="215627208">
          <w:marLeft w:val="0"/>
          <w:marRight w:val="0"/>
          <w:marTop w:val="0"/>
          <w:marBottom w:val="0"/>
          <w:divBdr>
            <w:top w:val="none" w:sz="0" w:space="0" w:color="auto"/>
            <w:left w:val="none" w:sz="0" w:space="0" w:color="auto"/>
            <w:bottom w:val="none" w:sz="0" w:space="0" w:color="auto"/>
            <w:right w:val="none" w:sz="0" w:space="0" w:color="auto"/>
          </w:divBdr>
        </w:div>
        <w:div w:id="1629891195">
          <w:marLeft w:val="0"/>
          <w:marRight w:val="0"/>
          <w:marTop w:val="0"/>
          <w:marBottom w:val="0"/>
          <w:divBdr>
            <w:top w:val="none" w:sz="0" w:space="0" w:color="auto"/>
            <w:left w:val="none" w:sz="0" w:space="0" w:color="auto"/>
            <w:bottom w:val="none" w:sz="0" w:space="0" w:color="auto"/>
            <w:right w:val="none" w:sz="0" w:space="0" w:color="auto"/>
          </w:divBdr>
        </w:div>
        <w:div w:id="1254438928">
          <w:marLeft w:val="0"/>
          <w:marRight w:val="0"/>
          <w:marTop w:val="0"/>
          <w:marBottom w:val="0"/>
          <w:divBdr>
            <w:top w:val="none" w:sz="0" w:space="0" w:color="auto"/>
            <w:left w:val="none" w:sz="0" w:space="0" w:color="auto"/>
            <w:bottom w:val="none" w:sz="0" w:space="0" w:color="auto"/>
            <w:right w:val="none" w:sz="0" w:space="0" w:color="auto"/>
          </w:divBdr>
        </w:div>
        <w:div w:id="1750954841">
          <w:marLeft w:val="0"/>
          <w:marRight w:val="0"/>
          <w:marTop w:val="0"/>
          <w:marBottom w:val="0"/>
          <w:divBdr>
            <w:top w:val="none" w:sz="0" w:space="0" w:color="auto"/>
            <w:left w:val="none" w:sz="0" w:space="0" w:color="auto"/>
            <w:bottom w:val="none" w:sz="0" w:space="0" w:color="auto"/>
            <w:right w:val="none" w:sz="0" w:space="0" w:color="auto"/>
          </w:divBdr>
        </w:div>
      </w:divsChild>
    </w:div>
    <w:div w:id="997424492">
      <w:bodyDiv w:val="1"/>
      <w:marLeft w:val="0"/>
      <w:marRight w:val="0"/>
      <w:marTop w:val="0"/>
      <w:marBottom w:val="0"/>
      <w:divBdr>
        <w:top w:val="none" w:sz="0" w:space="0" w:color="auto"/>
        <w:left w:val="none" w:sz="0" w:space="0" w:color="auto"/>
        <w:bottom w:val="none" w:sz="0" w:space="0" w:color="auto"/>
        <w:right w:val="none" w:sz="0" w:space="0" w:color="auto"/>
      </w:divBdr>
    </w:div>
    <w:div w:id="1265576624">
      <w:bodyDiv w:val="1"/>
      <w:marLeft w:val="0"/>
      <w:marRight w:val="0"/>
      <w:marTop w:val="0"/>
      <w:marBottom w:val="0"/>
      <w:divBdr>
        <w:top w:val="none" w:sz="0" w:space="0" w:color="auto"/>
        <w:left w:val="none" w:sz="0" w:space="0" w:color="auto"/>
        <w:bottom w:val="none" w:sz="0" w:space="0" w:color="auto"/>
        <w:right w:val="none" w:sz="0" w:space="0" w:color="auto"/>
      </w:divBdr>
      <w:divsChild>
        <w:div w:id="1990205818">
          <w:marLeft w:val="0"/>
          <w:marRight w:val="0"/>
          <w:marTop w:val="0"/>
          <w:marBottom w:val="0"/>
          <w:divBdr>
            <w:top w:val="none" w:sz="0" w:space="0" w:color="auto"/>
            <w:left w:val="none" w:sz="0" w:space="0" w:color="auto"/>
            <w:bottom w:val="none" w:sz="0" w:space="0" w:color="auto"/>
            <w:right w:val="none" w:sz="0" w:space="0" w:color="auto"/>
          </w:divBdr>
        </w:div>
      </w:divsChild>
    </w:div>
    <w:div w:id="1337266075">
      <w:bodyDiv w:val="1"/>
      <w:marLeft w:val="0"/>
      <w:marRight w:val="0"/>
      <w:marTop w:val="0"/>
      <w:marBottom w:val="0"/>
      <w:divBdr>
        <w:top w:val="none" w:sz="0" w:space="0" w:color="auto"/>
        <w:left w:val="none" w:sz="0" w:space="0" w:color="auto"/>
        <w:bottom w:val="none" w:sz="0" w:space="0" w:color="auto"/>
        <w:right w:val="none" w:sz="0" w:space="0" w:color="auto"/>
      </w:divBdr>
    </w:div>
    <w:div w:id="1454640829">
      <w:bodyDiv w:val="1"/>
      <w:marLeft w:val="0"/>
      <w:marRight w:val="0"/>
      <w:marTop w:val="0"/>
      <w:marBottom w:val="0"/>
      <w:divBdr>
        <w:top w:val="none" w:sz="0" w:space="0" w:color="auto"/>
        <w:left w:val="none" w:sz="0" w:space="0" w:color="auto"/>
        <w:bottom w:val="none" w:sz="0" w:space="0" w:color="auto"/>
        <w:right w:val="none" w:sz="0" w:space="0" w:color="auto"/>
      </w:divBdr>
      <w:divsChild>
        <w:div w:id="1342463577">
          <w:marLeft w:val="0"/>
          <w:marRight w:val="0"/>
          <w:marTop w:val="0"/>
          <w:marBottom w:val="0"/>
          <w:divBdr>
            <w:top w:val="none" w:sz="0" w:space="0" w:color="auto"/>
            <w:left w:val="none" w:sz="0" w:space="0" w:color="auto"/>
            <w:bottom w:val="none" w:sz="0" w:space="0" w:color="auto"/>
            <w:right w:val="none" w:sz="0" w:space="0" w:color="auto"/>
          </w:divBdr>
        </w:div>
        <w:div w:id="314258699">
          <w:marLeft w:val="0"/>
          <w:marRight w:val="0"/>
          <w:marTop w:val="0"/>
          <w:marBottom w:val="0"/>
          <w:divBdr>
            <w:top w:val="none" w:sz="0" w:space="0" w:color="auto"/>
            <w:left w:val="none" w:sz="0" w:space="0" w:color="auto"/>
            <w:bottom w:val="none" w:sz="0" w:space="0" w:color="auto"/>
            <w:right w:val="none" w:sz="0" w:space="0" w:color="auto"/>
          </w:divBdr>
        </w:div>
        <w:div w:id="1905526613">
          <w:marLeft w:val="0"/>
          <w:marRight w:val="0"/>
          <w:marTop w:val="0"/>
          <w:marBottom w:val="0"/>
          <w:divBdr>
            <w:top w:val="none" w:sz="0" w:space="0" w:color="auto"/>
            <w:left w:val="none" w:sz="0" w:space="0" w:color="auto"/>
            <w:bottom w:val="none" w:sz="0" w:space="0" w:color="auto"/>
            <w:right w:val="none" w:sz="0" w:space="0" w:color="auto"/>
          </w:divBdr>
        </w:div>
      </w:divsChild>
    </w:div>
    <w:div w:id="1680161914">
      <w:bodyDiv w:val="1"/>
      <w:marLeft w:val="0"/>
      <w:marRight w:val="0"/>
      <w:marTop w:val="0"/>
      <w:marBottom w:val="0"/>
      <w:divBdr>
        <w:top w:val="none" w:sz="0" w:space="0" w:color="auto"/>
        <w:left w:val="none" w:sz="0" w:space="0" w:color="auto"/>
        <w:bottom w:val="none" w:sz="0" w:space="0" w:color="auto"/>
        <w:right w:val="none" w:sz="0" w:space="0" w:color="auto"/>
      </w:divBdr>
    </w:div>
    <w:div w:id="2109427812">
      <w:bodyDiv w:val="1"/>
      <w:marLeft w:val="0"/>
      <w:marRight w:val="0"/>
      <w:marTop w:val="0"/>
      <w:marBottom w:val="0"/>
      <w:divBdr>
        <w:top w:val="none" w:sz="0" w:space="0" w:color="auto"/>
        <w:left w:val="none" w:sz="0" w:space="0" w:color="auto"/>
        <w:bottom w:val="none" w:sz="0" w:space="0" w:color="auto"/>
        <w:right w:val="none" w:sz="0" w:space="0" w:color="auto"/>
      </w:divBdr>
      <w:divsChild>
        <w:div w:id="459962181">
          <w:marLeft w:val="0"/>
          <w:marRight w:val="0"/>
          <w:marTop w:val="0"/>
          <w:marBottom w:val="0"/>
          <w:divBdr>
            <w:top w:val="none" w:sz="0" w:space="0" w:color="auto"/>
            <w:left w:val="none" w:sz="0" w:space="0" w:color="auto"/>
            <w:bottom w:val="none" w:sz="0" w:space="0" w:color="auto"/>
            <w:right w:val="none" w:sz="0" w:space="0" w:color="auto"/>
          </w:divBdr>
        </w:div>
        <w:div w:id="1074939458">
          <w:marLeft w:val="0"/>
          <w:marRight w:val="0"/>
          <w:marTop w:val="0"/>
          <w:marBottom w:val="0"/>
          <w:divBdr>
            <w:top w:val="none" w:sz="0" w:space="0" w:color="auto"/>
            <w:left w:val="none" w:sz="0" w:space="0" w:color="auto"/>
            <w:bottom w:val="none" w:sz="0" w:space="0" w:color="auto"/>
            <w:right w:val="none" w:sz="0" w:space="0" w:color="auto"/>
          </w:divBdr>
        </w:div>
        <w:div w:id="1770616830">
          <w:marLeft w:val="0"/>
          <w:marRight w:val="0"/>
          <w:marTop w:val="0"/>
          <w:marBottom w:val="0"/>
          <w:divBdr>
            <w:top w:val="none" w:sz="0" w:space="0" w:color="auto"/>
            <w:left w:val="none" w:sz="0" w:space="0" w:color="auto"/>
            <w:bottom w:val="none" w:sz="0" w:space="0" w:color="auto"/>
            <w:right w:val="none" w:sz="0" w:space="0" w:color="auto"/>
          </w:divBdr>
        </w:div>
      </w:divsChild>
    </w:div>
    <w:div w:id="2118986318">
      <w:bodyDiv w:val="1"/>
      <w:marLeft w:val="0"/>
      <w:marRight w:val="0"/>
      <w:marTop w:val="0"/>
      <w:marBottom w:val="0"/>
      <w:divBdr>
        <w:top w:val="none" w:sz="0" w:space="0" w:color="auto"/>
        <w:left w:val="none" w:sz="0" w:space="0" w:color="auto"/>
        <w:bottom w:val="none" w:sz="0" w:space="0" w:color="auto"/>
        <w:right w:val="none" w:sz="0" w:space="0" w:color="auto"/>
      </w:divBdr>
      <w:divsChild>
        <w:div w:id="177890151">
          <w:marLeft w:val="0"/>
          <w:marRight w:val="0"/>
          <w:marTop w:val="0"/>
          <w:marBottom w:val="0"/>
          <w:divBdr>
            <w:top w:val="none" w:sz="0" w:space="0" w:color="auto"/>
            <w:left w:val="none" w:sz="0" w:space="0" w:color="auto"/>
            <w:bottom w:val="none" w:sz="0" w:space="0" w:color="auto"/>
            <w:right w:val="none" w:sz="0" w:space="0" w:color="auto"/>
          </w:divBdr>
        </w:div>
        <w:div w:id="432629554">
          <w:marLeft w:val="0"/>
          <w:marRight w:val="0"/>
          <w:marTop w:val="0"/>
          <w:marBottom w:val="0"/>
          <w:divBdr>
            <w:top w:val="none" w:sz="0" w:space="0" w:color="auto"/>
            <w:left w:val="none" w:sz="0" w:space="0" w:color="auto"/>
            <w:bottom w:val="none" w:sz="0" w:space="0" w:color="auto"/>
            <w:right w:val="none" w:sz="0" w:space="0" w:color="auto"/>
          </w:divBdr>
        </w:div>
        <w:div w:id="2109739760">
          <w:marLeft w:val="0"/>
          <w:marRight w:val="0"/>
          <w:marTop w:val="0"/>
          <w:marBottom w:val="0"/>
          <w:divBdr>
            <w:top w:val="none" w:sz="0" w:space="0" w:color="auto"/>
            <w:left w:val="none" w:sz="0" w:space="0" w:color="auto"/>
            <w:bottom w:val="none" w:sz="0" w:space="0" w:color="auto"/>
            <w:right w:val="none" w:sz="0" w:space="0" w:color="auto"/>
          </w:divBdr>
        </w:div>
      </w:divsChild>
    </w:div>
    <w:div w:id="211924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6FC233D3F354C4792371FA74FFD6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2026-08-07T07:34:40Z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Me objekt shfuqizimin e vendimeve nr. 27, datë 13.2.2019 të Gjykatës Administrative të Apelit, nr. 00-2025-2165, datë 5.6.2025 të Kolegjit Administrativ të Gjykatës së Lartë, si të papajtueshme me Kushtetutën e Republikës së Shqipërisë. Kthimin i çështjes për rigjykim në Gjykatën e Lartë, me tjetër trup gjykues.</Titulli>
    <Modifikuesi xmlns="0e656187-b300-4fb0-8bf4-3a50f872073c">Fjora.Cahani</Modifikuesi>
    <Nr_x002e__x0020_prot_x0020_QBZ xmlns="0e656187-b300-4fb0-8bf4-3a50f872073c">1832/1</Nr_x002e__x0020_prot_x0020_QBZ>
    <Data_x0020_e_x0020_Modifikimit xmlns="0e656187-b300-4fb0-8bf4-3a50f872073c">2026-08-07T10:54:48Z</Data_x0020_e_x0020_Modifikimit>
    <Dekretuar xmlns="0e656187-b300-4fb0-8bf4-3a50f872073c">false</Dekretuar>
    <Data xmlns="0e656187-b300-4fb0-8bf4-3a50f872073c">2026-06-30T00:00:00Z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FC233D3F354C4792371FA74FFD6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339C4-A0D2-4FA4-AC5F-A292E6CAEE40}">
  <ds:schemaRefs>
    <ds:schemaRef ds:uri="http://schemas.microsoft.com/sharepoint/v3/contenttype/forms"/>
  </ds:schemaRefs>
</ds:datastoreItem>
</file>

<file path=customXml/itemProps2.xml><?xml version="1.0" encoding="utf-8"?>
<ds:datastoreItem xmlns:ds="http://schemas.openxmlformats.org/officeDocument/2006/customXml" ds:itemID="{3ECD8A69-2332-4531-84BA-B17A6CAD1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68FE523-61C2-4739-BE1B-528A5FE0C4C5}">
  <ds:schemaRefs>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 ds:uri="http://purl.org/dc/dcmitype/"/>
    <ds:schemaRef ds:uri="http://purl.org/dc/elements/1.1/"/>
    <ds:schemaRef ds:uri="http://www.w3.org/XML/1998/namespace"/>
    <ds:schemaRef ds:uri="http://purl.org/dc/terms/"/>
  </ds:schemaRefs>
</ds:datastoreItem>
</file>

<file path=customXml/itemProps4.xml><?xml version="1.0" encoding="utf-8"?>
<ds:datastoreItem xmlns:ds="http://schemas.openxmlformats.org/officeDocument/2006/customXml" ds:itemID="{75D544F5-329C-4DCA-9158-CDFFAF229969}">
  <ds:schemaRefs>
    <ds:schemaRef ds:uri="http://schemas.microsoft.com/sharepoint/v3/contenttype/forms"/>
  </ds:schemaRefs>
</ds:datastoreItem>
</file>

<file path=customXml/itemProps5.xml><?xml version="1.0" encoding="utf-8"?>
<ds:datastoreItem xmlns:ds="http://schemas.openxmlformats.org/officeDocument/2006/customXml" ds:itemID="{DFB5A97D-867A-4D43-B83E-157EE2D42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A66EF0-196C-49F5-9565-8940247E9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6387</Words>
  <Characters>36408</Characters>
  <Application>Microsoft Office Word</Application>
  <DocSecurity>0</DocSecurity>
  <Lines>303</Lines>
  <Paragraphs>85</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shfuqizimin e vendimeve nr. 27, datë 13.2.2019 të Gjykatës Administrative të Apelit, nr. 00-2025-2165, datë 5.6.2025 të Kolegjit Administrativ të Gjykatës së Lartë, si të papajtueshme me Kushtetutën e Republikës së Shqipërisë. Kthimin i çështjes</vt:lpstr>
      <vt:lpstr/>
    </vt:vector>
  </TitlesOfParts>
  <Company/>
  <LinksUpToDate>false</LinksUpToDate>
  <CharactersWithSpaces>42710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27, datë 13.2.2019 të Gjykatës Administrative të Apelit, nr. 00-2025-2165, datë 5.6.2025 të Kolegjit Administrativ të Gjykatës së Lartë, si të papajtueshme me Kushtetutën e Republikës së Shqipërisë. Kthimin i çështjes për rigjykim në Gjykatën e Lartë, me tjetër trup gjykues.</dc:title>
  <dc:creator>gj k</dc:creator>
  <cp:lastModifiedBy>Amarilda Muja</cp:lastModifiedBy>
  <cp:revision>7</cp:revision>
  <cp:lastPrinted>2026-07-31T11:23:00Z</cp:lastPrinted>
  <dcterms:created xsi:type="dcterms:W3CDTF">2026-08-07T07:20:00Z</dcterms:created>
  <dcterms:modified xsi:type="dcterms:W3CDTF">2026-08-10T09:50:00Z</dcterms:modified>
</cp:coreProperties>
</file>