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677" w:rsidRPr="009E2C4F" w:rsidRDefault="008B5677" w:rsidP="008B5677">
      <w:pPr>
        <w:pStyle w:val="Akti"/>
      </w:pPr>
      <w:bookmarkStart w:id="0" w:name="_GoBack"/>
      <w:bookmarkEnd w:id="0"/>
      <w:r w:rsidRPr="009E2C4F">
        <w:t>V e n d i m</w:t>
      </w:r>
    </w:p>
    <w:p w:rsidR="008B5677" w:rsidRPr="009E2C4F" w:rsidRDefault="008B5677" w:rsidP="008B5677">
      <w:pPr>
        <w:pStyle w:val="Titulli"/>
      </w:pPr>
      <w:r w:rsidRPr="009E2C4F">
        <w:t>i shkurtuar</w:t>
      </w:r>
    </w:p>
    <w:p w:rsidR="008B5677" w:rsidRPr="009E2C4F" w:rsidRDefault="008B5677" w:rsidP="008B5677">
      <w:pPr>
        <w:pStyle w:val="Paragrafi"/>
      </w:pPr>
    </w:p>
    <w:p w:rsidR="008B5677" w:rsidRPr="009E2C4F" w:rsidRDefault="008B5677" w:rsidP="008B5677">
      <w:pPr>
        <w:pStyle w:val="Paragrafi"/>
      </w:pPr>
      <w:r w:rsidRPr="009E2C4F">
        <w:t>Gjykata e Shkallës së Parë të Rrethit Gjyqësor të Korçës vendosi heqjen e zotësisë  për veprim të shtetasit Astrit Ashiku dhe vënien e tij nën kujdestarinë e vëllait të tij Ismail Ashiku.</w:t>
      </w:r>
    </w:p>
    <w:p w:rsidR="008B5677" w:rsidRPr="007732C8" w:rsidRDefault="008B5677" w:rsidP="008B5677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163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B1BB9">
      <w:r>
        <w:separator/>
      </w:r>
    </w:p>
  </w:endnote>
  <w:endnote w:type="continuationSeparator" w:id="0">
    <w:p w:rsidR="00000000" w:rsidRDefault="004B1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677" w:rsidRDefault="008B567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5677" w:rsidRDefault="008B567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677" w:rsidRDefault="008B567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</w:rPr>
    </w:pPr>
    <w:r>
      <w:rPr>
        <w:rStyle w:val="PageNumber"/>
        <w:rFonts w:ascii="CG Times" w:hAnsi="CG Times"/>
        <w:sz w:val="22"/>
      </w:rPr>
      <w:fldChar w:fldCharType="begin"/>
    </w:r>
    <w:r>
      <w:rPr>
        <w:rStyle w:val="PageNumber"/>
        <w:rFonts w:ascii="CG Times" w:hAnsi="CG Times"/>
        <w:sz w:val="22"/>
      </w:rPr>
      <w:instrText xml:space="preserve">PAGE  </w:instrText>
    </w:r>
    <w:r>
      <w:rPr>
        <w:rStyle w:val="PageNumber"/>
        <w:rFonts w:ascii="CG Times" w:hAnsi="CG Times"/>
        <w:sz w:val="22"/>
      </w:rPr>
      <w:fldChar w:fldCharType="separate"/>
    </w:r>
    <w:r w:rsidR="004B1BB9">
      <w:rPr>
        <w:rStyle w:val="PageNumber"/>
        <w:rFonts w:ascii="CG Times" w:hAnsi="CG Times"/>
        <w:noProof/>
        <w:sz w:val="22"/>
      </w:rPr>
      <w:t>1635</w:t>
    </w:r>
    <w:r>
      <w:rPr>
        <w:rStyle w:val="PageNumber"/>
        <w:rFonts w:ascii="CG Times" w:hAnsi="CG Times"/>
        <w:sz w:val="22"/>
      </w:rPr>
      <w:fldChar w:fldCharType="end"/>
    </w:r>
  </w:p>
  <w:p w:rsidR="008B5677" w:rsidRDefault="008B567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B1BB9">
      <w:r>
        <w:separator/>
      </w:r>
    </w:p>
  </w:footnote>
  <w:footnote w:type="continuationSeparator" w:id="0">
    <w:p w:rsidR="00000000" w:rsidRDefault="004B1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B1BB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B5677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51DD8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4ACD4D-F585-4D64-B1E5-E3B9FC64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677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8B5677"/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B5677"/>
    <w:pPr>
      <w:tabs>
        <w:tab w:val="center" w:pos="4320"/>
        <w:tab w:val="right" w:pos="8640"/>
      </w:tabs>
    </w:pPr>
    <w:rPr>
      <w:sz w:val="24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