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5D4" w:rsidRPr="002E770C" w:rsidRDefault="00E165D4" w:rsidP="002560A0">
      <w:pPr>
        <w:pStyle w:val="Akti"/>
      </w:pPr>
      <w:bookmarkStart w:id="0" w:name="_GoBack"/>
      <w:bookmarkEnd w:id="0"/>
      <w:r w:rsidRPr="002E770C">
        <w:t>VENDIM</w:t>
      </w:r>
    </w:p>
    <w:p w:rsidR="00E165D4" w:rsidRPr="009F03A7" w:rsidRDefault="00E165D4" w:rsidP="00E165D4">
      <w:pPr>
        <w:pStyle w:val="Paragrafi"/>
        <w:ind w:firstLine="0"/>
        <w:jc w:val="center"/>
      </w:pPr>
      <w:r>
        <w:t>(i shkurtuar)</w:t>
      </w:r>
    </w:p>
    <w:p w:rsidR="00E165D4" w:rsidRDefault="00E165D4" w:rsidP="00E165D4">
      <w:pPr>
        <w:pStyle w:val="Paragrafi"/>
        <w:rPr>
          <w:szCs w:val="22"/>
        </w:rPr>
      </w:pPr>
    </w:p>
    <w:p w:rsidR="00E165D4" w:rsidRDefault="00E165D4" w:rsidP="00E165D4">
      <w:pPr>
        <w:pStyle w:val="Paragrafi"/>
        <w:rPr>
          <w:szCs w:val="22"/>
        </w:rPr>
      </w:pPr>
      <w:r>
        <w:rPr>
          <w:szCs w:val="22"/>
        </w:rPr>
        <w:t>Gjykata e Rrethit gjyqësor Berat në bazë të nenit 10 të Kodit Civil dhe neneve 382/2 e 384 të Kodit të Procedurës Penale, vendosi heqjen e zotësisë për të vepruar të shtetases Aida Shehu dhe caktimin e një kujdestari të përkohshëm.</w:t>
      </w:r>
    </w:p>
    <w:p w:rsidR="00E165D4" w:rsidRDefault="00E165D4" w:rsidP="00E165D4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560A0"/>
    <w:rsid w:val="002C6BAB"/>
    <w:rsid w:val="00304413"/>
    <w:rsid w:val="00383FD5"/>
    <w:rsid w:val="00386D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165D4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A90919-F3FF-446B-BE5C-EE8D3C7D4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E165D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2019-03-14T17:13:00Z</dcterms:created>
  <dcterms:modified xsi:type="dcterms:W3CDTF">2019-03-14T17:13:00Z</dcterms:modified>
</cp:coreProperties>
</file>