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F58" w:rsidRPr="00861FA6" w:rsidRDefault="00C12F58" w:rsidP="00C12F58">
      <w:pPr>
        <w:pStyle w:val="Titulli"/>
        <w:keepNext w:val="0"/>
      </w:pPr>
      <w:bookmarkStart w:id="0" w:name="_GoBack"/>
      <w:bookmarkEnd w:id="0"/>
      <w:r w:rsidRPr="00861FA6">
        <w:t>Vendim</w:t>
      </w:r>
    </w:p>
    <w:p w:rsidR="00C12F58" w:rsidRPr="00861FA6" w:rsidRDefault="00C12F58" w:rsidP="00C12F58">
      <w:pPr>
        <w:pStyle w:val="Paragrafi"/>
        <w:ind w:left="3600" w:firstLine="0"/>
        <w:rPr>
          <w:szCs w:val="22"/>
        </w:rPr>
      </w:pPr>
      <w:r w:rsidRPr="00861FA6">
        <w:rPr>
          <w:szCs w:val="22"/>
        </w:rPr>
        <w:t xml:space="preserve">      (i shkurtuar)</w:t>
      </w:r>
    </w:p>
    <w:p w:rsidR="00C12F58" w:rsidRPr="00861FA6" w:rsidRDefault="00C12F58" w:rsidP="00C12F58">
      <w:pPr>
        <w:pStyle w:val="Paragrafi"/>
        <w:rPr>
          <w:szCs w:val="22"/>
        </w:rPr>
      </w:pPr>
    </w:p>
    <w:p w:rsidR="00C12F58" w:rsidRPr="00861FA6" w:rsidRDefault="00C12F58" w:rsidP="00C12F58">
      <w:pPr>
        <w:pStyle w:val="Paragrafi"/>
        <w:rPr>
          <w:szCs w:val="22"/>
        </w:rPr>
      </w:pPr>
      <w:r w:rsidRPr="00861FA6">
        <w:rPr>
          <w:szCs w:val="22"/>
        </w:rPr>
        <w:t>Gjykata e rrethit gjyqësor Korçë me vendim</w:t>
      </w:r>
      <w:r>
        <w:rPr>
          <w:szCs w:val="22"/>
        </w:rPr>
        <w:t>in e</w:t>
      </w:r>
      <w:r w:rsidRPr="00861FA6">
        <w:rPr>
          <w:szCs w:val="22"/>
        </w:rPr>
        <w:t xml:space="preserve"> saj nr.2436, datë 21.12.2005, vendosi kufizimin e zotësisë për të vepruar ndaj personit Guri Lara për të kryer veprime juridike, si dhe caktimin si kujdestar të motrës Athina Lara (Basko)</w:t>
      </w:r>
      <w:r>
        <w:rPr>
          <w:szCs w:val="22"/>
        </w:rPr>
        <w:t>.</w:t>
      </w:r>
    </w:p>
    <w:p w:rsidR="00C12F58" w:rsidRPr="00861FA6" w:rsidRDefault="00C12F58" w:rsidP="00C12F58">
      <w:pPr>
        <w:pStyle w:val="Paragrafi"/>
        <w:rPr>
          <w:szCs w:val="22"/>
        </w:rPr>
      </w:pPr>
    </w:p>
    <w:p w:rsidR="00C12F58" w:rsidRPr="00861FA6" w:rsidRDefault="00C12F58" w:rsidP="00C12F58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C12F5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35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83DF4">
      <w:r>
        <w:separator/>
      </w:r>
    </w:p>
  </w:endnote>
  <w:endnote w:type="continuationSeparator" w:id="0">
    <w:p w:rsidR="00000000" w:rsidRDefault="00183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F58" w:rsidRDefault="00C12F58" w:rsidP="00C12F5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12F58" w:rsidRDefault="00C12F58" w:rsidP="00C12F5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F58" w:rsidRDefault="00C12F58" w:rsidP="00C12F5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3DF4">
      <w:rPr>
        <w:rStyle w:val="PageNumber"/>
        <w:noProof/>
      </w:rPr>
      <w:t>3351</w:t>
    </w:r>
    <w:r>
      <w:rPr>
        <w:rStyle w:val="PageNumber"/>
      </w:rPr>
      <w:fldChar w:fldCharType="end"/>
    </w:r>
  </w:p>
  <w:p w:rsidR="00C12F58" w:rsidRDefault="00C12F58" w:rsidP="00C12F5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83DF4">
      <w:r>
        <w:separator/>
      </w:r>
    </w:p>
  </w:footnote>
  <w:footnote w:type="continuationSeparator" w:id="0">
    <w:p w:rsidR="00000000" w:rsidRDefault="00183D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3DF4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12F58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D5E0C8-1F19-4106-B715-AFFFA52F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2F58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C12F5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12F58"/>
  </w:style>
  <w:style w:type="character" w:customStyle="1" w:styleId="TitulliChar">
    <w:name w:val="Titulli Char"/>
    <w:basedOn w:val="DefaultParagraphFont"/>
    <w:link w:val="Titulli"/>
    <w:rsid w:val="00C12F5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