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14EC" w:rsidRDefault="00E214EC" w:rsidP="00E214EC">
      <w:pPr>
        <w:pStyle w:val="Paragrafi"/>
        <w:rPr>
          <w:sz w:val="21"/>
          <w:szCs w:val="21"/>
          <w:lang w:val="sq-AL"/>
        </w:rPr>
      </w:pPr>
    </w:p>
    <w:p w:rsidR="00E214EC" w:rsidRPr="00F05E62" w:rsidRDefault="00E214EC" w:rsidP="00E214EC">
      <w:pPr>
        <w:pStyle w:val="NoSpacing"/>
        <w:jc w:val="center"/>
        <w:rPr>
          <w:rFonts w:ascii="CG Times" w:hAnsi="CG Times"/>
          <w:sz w:val="21"/>
          <w:szCs w:val="21"/>
          <w:lang w:val="sq-AL"/>
        </w:rPr>
      </w:pPr>
      <w:r w:rsidRPr="00F05E62">
        <w:rPr>
          <w:rFonts w:ascii="CG Times" w:hAnsi="CG Times"/>
          <w:sz w:val="21"/>
          <w:szCs w:val="21"/>
          <w:lang w:val="sq-AL"/>
        </w:rPr>
        <w:t>SEKSIONI I KATËRT</w:t>
      </w:r>
    </w:p>
    <w:p w:rsidR="00E214EC" w:rsidRPr="00F05E62" w:rsidRDefault="00E214EC" w:rsidP="00E214EC">
      <w:pPr>
        <w:pStyle w:val="NoSpacing"/>
        <w:jc w:val="center"/>
        <w:rPr>
          <w:rFonts w:ascii="CG Times" w:hAnsi="CG Times"/>
          <w:sz w:val="21"/>
          <w:szCs w:val="21"/>
          <w:lang w:val="sq-AL"/>
        </w:rPr>
      </w:pPr>
      <w:r w:rsidRPr="00F05E62">
        <w:rPr>
          <w:rFonts w:ascii="CG Times" w:hAnsi="CG Times"/>
          <w:sz w:val="21"/>
          <w:szCs w:val="21"/>
          <w:lang w:val="sq-AL"/>
        </w:rPr>
        <w:t>ÇËSHTJA VRIONI DHE TË TJERËT V.KUNDËR SHQIPËRISË</w:t>
      </w:r>
    </w:p>
    <w:p w:rsidR="00E214EC" w:rsidRPr="00F05E62" w:rsidRDefault="00E214EC" w:rsidP="00E214EC">
      <w:pPr>
        <w:pStyle w:val="NoSpacing"/>
        <w:jc w:val="center"/>
        <w:rPr>
          <w:rFonts w:ascii="CG Times" w:hAnsi="CG Times"/>
          <w:b/>
          <w:sz w:val="21"/>
          <w:szCs w:val="21"/>
          <w:lang w:val="sq-AL"/>
        </w:rPr>
      </w:pPr>
      <w:r w:rsidRPr="00F05E62">
        <w:rPr>
          <w:rFonts w:ascii="CG Times" w:hAnsi="CG Times"/>
          <w:sz w:val="21"/>
          <w:szCs w:val="21"/>
          <w:lang w:val="sq-AL"/>
        </w:rPr>
        <w:t>(Numri i aplikimit 35720/04 dhe 42832/06)</w:t>
      </w:r>
    </w:p>
    <w:p w:rsidR="00E214EC" w:rsidRPr="00F05E62" w:rsidRDefault="00E214EC" w:rsidP="00E214EC">
      <w:pPr>
        <w:pStyle w:val="NoSpacing"/>
        <w:jc w:val="center"/>
        <w:rPr>
          <w:rFonts w:ascii="CG Times" w:hAnsi="CG Times"/>
          <w:sz w:val="21"/>
          <w:szCs w:val="21"/>
          <w:lang w:val="sq-AL"/>
        </w:rPr>
      </w:pPr>
    </w:p>
    <w:p w:rsidR="00E214EC" w:rsidRPr="00F05E62" w:rsidRDefault="00E214EC" w:rsidP="00E214EC">
      <w:pPr>
        <w:pStyle w:val="NoSpacing"/>
        <w:jc w:val="center"/>
        <w:rPr>
          <w:rFonts w:ascii="CG Times" w:hAnsi="CG Times"/>
          <w:sz w:val="21"/>
          <w:szCs w:val="21"/>
          <w:lang w:val="sq-AL"/>
        </w:rPr>
      </w:pPr>
      <w:r w:rsidRPr="00F05E62">
        <w:rPr>
          <w:rFonts w:ascii="CG Times" w:hAnsi="CG Times"/>
          <w:sz w:val="21"/>
          <w:szCs w:val="21"/>
          <w:lang w:val="sq-AL"/>
        </w:rPr>
        <w:t>VENDIM</w:t>
      </w:r>
    </w:p>
    <w:p w:rsidR="00E214EC" w:rsidRPr="00F05E62" w:rsidRDefault="00E214EC" w:rsidP="00E214EC">
      <w:pPr>
        <w:pStyle w:val="NoSpacing"/>
        <w:jc w:val="center"/>
        <w:rPr>
          <w:rFonts w:ascii="CG Times" w:hAnsi="CG Times"/>
          <w:i/>
          <w:sz w:val="21"/>
          <w:szCs w:val="21"/>
          <w:lang w:val="sq-AL"/>
        </w:rPr>
      </w:pPr>
      <w:r w:rsidRPr="00F05E62">
        <w:rPr>
          <w:rFonts w:ascii="CG Times" w:hAnsi="CG Times"/>
          <w:sz w:val="21"/>
          <w:szCs w:val="21"/>
          <w:lang w:val="sq-AL"/>
        </w:rPr>
        <w:t>(Kompensim i drejtë)</w:t>
      </w:r>
    </w:p>
    <w:p w:rsidR="00E214EC" w:rsidRPr="00F05E62" w:rsidRDefault="00E214EC" w:rsidP="00E214EC">
      <w:pPr>
        <w:pStyle w:val="NoSpacing"/>
        <w:jc w:val="center"/>
        <w:rPr>
          <w:rFonts w:ascii="CG Times" w:hAnsi="CG Times"/>
          <w:sz w:val="21"/>
          <w:szCs w:val="21"/>
          <w:lang w:val="sq-AL"/>
        </w:rPr>
      </w:pPr>
      <w:r w:rsidRPr="00F05E62">
        <w:rPr>
          <w:rFonts w:ascii="CG Times" w:hAnsi="CG Times"/>
          <w:sz w:val="21"/>
          <w:szCs w:val="21"/>
          <w:lang w:val="sq-AL"/>
        </w:rPr>
        <w:t>STRASBURG</w:t>
      </w:r>
    </w:p>
    <w:p w:rsidR="00E214EC" w:rsidRPr="00F05E62" w:rsidRDefault="00E214EC" w:rsidP="00E214EC">
      <w:pPr>
        <w:pStyle w:val="NoSpacing"/>
        <w:jc w:val="center"/>
        <w:rPr>
          <w:rFonts w:ascii="CG Times" w:hAnsi="CG Times"/>
          <w:sz w:val="21"/>
          <w:szCs w:val="21"/>
          <w:lang w:val="sq-AL"/>
        </w:rPr>
      </w:pPr>
      <w:r w:rsidRPr="00F05E62">
        <w:rPr>
          <w:rFonts w:ascii="CG Times" w:hAnsi="CG Times"/>
          <w:sz w:val="21"/>
          <w:szCs w:val="21"/>
          <w:lang w:val="sq-AL"/>
        </w:rPr>
        <w:t>7 dhjetor 2010</w:t>
      </w:r>
    </w:p>
    <w:p w:rsidR="00E214EC" w:rsidRPr="00F05E62" w:rsidRDefault="00E214EC" w:rsidP="00E214EC">
      <w:pPr>
        <w:pStyle w:val="NoSpacing"/>
        <w:jc w:val="center"/>
        <w:rPr>
          <w:rFonts w:ascii="CG Times" w:hAnsi="CG Times"/>
          <w:i/>
          <w:sz w:val="21"/>
          <w:szCs w:val="21"/>
          <w:lang w:val="sq-AL"/>
        </w:rPr>
      </w:pPr>
    </w:p>
    <w:p w:rsidR="00E214EC" w:rsidRPr="00F05E62" w:rsidRDefault="00E214EC" w:rsidP="00E214EC">
      <w:pPr>
        <w:pStyle w:val="NoSpacing"/>
        <w:ind w:left="720"/>
        <w:rPr>
          <w:rFonts w:ascii="CG Times" w:hAnsi="CG Times"/>
          <w:i/>
          <w:sz w:val="21"/>
          <w:szCs w:val="21"/>
          <w:lang w:val="sq-AL"/>
        </w:rPr>
      </w:pPr>
      <w:r w:rsidRPr="00F05E62">
        <w:rPr>
          <w:rFonts w:ascii="CG Times" w:hAnsi="CG Times"/>
          <w:i/>
          <w:sz w:val="21"/>
          <w:szCs w:val="21"/>
          <w:lang w:val="sq-AL"/>
        </w:rPr>
        <w:t>Ky vendim merr formën e prerë nën rrethanat e paraqitura në nenin 44§2 të Konventës. Ai mund të bëhet subjekt i një rishqyrtimi për qëllime editoriale.</w:t>
      </w:r>
    </w:p>
    <w:p w:rsidR="00E214EC" w:rsidRPr="00F05E62" w:rsidRDefault="00E214EC" w:rsidP="00E214EC">
      <w:pPr>
        <w:pStyle w:val="NoSpacing"/>
        <w:jc w:val="center"/>
        <w:rPr>
          <w:rFonts w:ascii="CG Times" w:hAnsi="CG Times"/>
          <w:i/>
          <w:sz w:val="21"/>
          <w:szCs w:val="21"/>
          <w:lang w:val="sq-AL"/>
        </w:rPr>
      </w:pPr>
    </w:p>
    <w:p w:rsidR="00E214EC" w:rsidRPr="00F05E62" w:rsidRDefault="00E214EC" w:rsidP="00E214EC">
      <w:pPr>
        <w:pStyle w:val="Paragrafi"/>
        <w:rPr>
          <w:sz w:val="21"/>
          <w:szCs w:val="21"/>
          <w:lang w:val="sq-AL"/>
        </w:rPr>
      </w:pPr>
      <w:r w:rsidRPr="00F05E62">
        <w:rPr>
          <w:sz w:val="21"/>
          <w:szCs w:val="21"/>
          <w:lang w:val="sq-AL"/>
        </w:rPr>
        <w:t>Në çështjen Vrioni dhe të tjerët v.Shqipërisë</w:t>
      </w:r>
    </w:p>
    <w:p w:rsidR="00E214EC" w:rsidRPr="00F05E62" w:rsidRDefault="00E214EC" w:rsidP="00E214EC">
      <w:pPr>
        <w:pStyle w:val="Paragrafi"/>
        <w:rPr>
          <w:sz w:val="21"/>
          <w:szCs w:val="21"/>
          <w:lang w:val="sq-AL"/>
        </w:rPr>
      </w:pPr>
      <w:r w:rsidRPr="00F05E62">
        <w:rPr>
          <w:sz w:val="21"/>
          <w:szCs w:val="21"/>
          <w:lang w:val="sq-AL"/>
        </w:rPr>
        <w:t>Gjykata Europiane e të Drejtave të Njeriut (seksioni i katërt), e mbledhur si një dhomë e përbërë nga:</w:t>
      </w:r>
    </w:p>
    <w:p w:rsidR="00E214EC" w:rsidRPr="00F05E62" w:rsidRDefault="00E214EC" w:rsidP="00E214EC">
      <w:pPr>
        <w:pStyle w:val="Paragrafi"/>
        <w:rPr>
          <w:sz w:val="21"/>
          <w:szCs w:val="21"/>
          <w:lang w:val="sq-AL"/>
        </w:rPr>
      </w:pPr>
      <w:r w:rsidRPr="00F05E62">
        <w:rPr>
          <w:sz w:val="21"/>
          <w:szCs w:val="21"/>
          <w:lang w:val="sq-AL"/>
        </w:rPr>
        <w:t xml:space="preserve">Nicolas Bratza, President </w:t>
      </w:r>
    </w:p>
    <w:p w:rsidR="00E214EC" w:rsidRPr="00F05E62" w:rsidRDefault="00E214EC" w:rsidP="00E214EC">
      <w:pPr>
        <w:pStyle w:val="Paragrafi"/>
        <w:rPr>
          <w:sz w:val="21"/>
          <w:szCs w:val="21"/>
          <w:lang w:val="sq-AL"/>
        </w:rPr>
      </w:pPr>
      <w:r w:rsidRPr="00F05E62">
        <w:rPr>
          <w:sz w:val="21"/>
          <w:szCs w:val="21"/>
          <w:lang w:val="sq-AL"/>
        </w:rPr>
        <w:t>Lech Garlicki</w:t>
      </w:r>
    </w:p>
    <w:p w:rsidR="00E214EC" w:rsidRPr="00F05E62" w:rsidRDefault="00E214EC" w:rsidP="00E214EC">
      <w:pPr>
        <w:pStyle w:val="Paragrafi"/>
        <w:rPr>
          <w:sz w:val="21"/>
          <w:szCs w:val="21"/>
          <w:lang w:val="sq-AL"/>
        </w:rPr>
      </w:pPr>
      <w:r w:rsidRPr="00F05E62">
        <w:rPr>
          <w:sz w:val="21"/>
          <w:szCs w:val="21"/>
          <w:lang w:val="sq-AL"/>
        </w:rPr>
        <w:t>Liljana Mijovic</w:t>
      </w:r>
    </w:p>
    <w:p w:rsidR="00E214EC" w:rsidRPr="00F05E62" w:rsidRDefault="00E214EC" w:rsidP="00E214EC">
      <w:pPr>
        <w:pStyle w:val="Paragrafi"/>
        <w:rPr>
          <w:sz w:val="21"/>
          <w:szCs w:val="21"/>
          <w:lang w:val="sq-AL"/>
        </w:rPr>
      </w:pPr>
      <w:r w:rsidRPr="00F05E62">
        <w:rPr>
          <w:sz w:val="21"/>
          <w:szCs w:val="21"/>
          <w:lang w:val="sq-AL"/>
        </w:rPr>
        <w:t>David Thor Bjorgvinsson</w:t>
      </w:r>
    </w:p>
    <w:p w:rsidR="00E214EC" w:rsidRPr="00F05E62" w:rsidRDefault="00E214EC" w:rsidP="00E214EC">
      <w:pPr>
        <w:pStyle w:val="Paragrafi"/>
        <w:rPr>
          <w:sz w:val="21"/>
          <w:szCs w:val="21"/>
          <w:lang w:val="sq-AL"/>
        </w:rPr>
      </w:pPr>
      <w:r w:rsidRPr="00F05E62">
        <w:rPr>
          <w:sz w:val="21"/>
          <w:szCs w:val="21"/>
          <w:lang w:val="sq-AL"/>
        </w:rPr>
        <w:t>Ledi Bianku</w:t>
      </w:r>
    </w:p>
    <w:p w:rsidR="00E214EC" w:rsidRPr="00F05E62" w:rsidRDefault="00E214EC" w:rsidP="00E214EC">
      <w:pPr>
        <w:pStyle w:val="Paragrafi"/>
        <w:rPr>
          <w:sz w:val="21"/>
          <w:szCs w:val="21"/>
          <w:lang w:val="sq-AL"/>
        </w:rPr>
      </w:pPr>
      <w:r w:rsidRPr="00F05E62">
        <w:rPr>
          <w:sz w:val="21"/>
          <w:szCs w:val="21"/>
          <w:lang w:val="sq-AL"/>
        </w:rPr>
        <w:t>Mihai Poalelungi</w:t>
      </w:r>
    </w:p>
    <w:p w:rsidR="00E214EC" w:rsidRPr="00F05E62" w:rsidRDefault="00E214EC" w:rsidP="00E214EC">
      <w:pPr>
        <w:pStyle w:val="Paragrafi"/>
        <w:rPr>
          <w:sz w:val="21"/>
          <w:szCs w:val="21"/>
          <w:lang w:val="sq-AL"/>
        </w:rPr>
      </w:pPr>
      <w:r w:rsidRPr="00F05E62">
        <w:rPr>
          <w:sz w:val="21"/>
          <w:szCs w:val="21"/>
          <w:lang w:val="sq-AL"/>
        </w:rPr>
        <w:t>Vincent Anthony de Gaetano, gjykatës</w:t>
      </w:r>
    </w:p>
    <w:p w:rsidR="00E214EC" w:rsidRPr="00F05E62" w:rsidRDefault="00E214EC" w:rsidP="00E214EC">
      <w:pPr>
        <w:pStyle w:val="Paragrafi"/>
        <w:rPr>
          <w:i/>
          <w:sz w:val="21"/>
          <w:szCs w:val="21"/>
          <w:lang w:val="sq-AL"/>
        </w:rPr>
      </w:pPr>
      <w:r w:rsidRPr="00F05E62">
        <w:rPr>
          <w:sz w:val="21"/>
          <w:szCs w:val="21"/>
          <w:lang w:val="sq-AL"/>
        </w:rPr>
        <w:t>dhe Lawrence Early, Regjistrari i Seksionit</w:t>
      </w:r>
      <w:r w:rsidRPr="00F05E62">
        <w:rPr>
          <w:i/>
          <w:sz w:val="21"/>
          <w:szCs w:val="21"/>
          <w:lang w:val="sq-AL"/>
        </w:rPr>
        <w:t xml:space="preserve"> </w:t>
      </w:r>
    </w:p>
    <w:p w:rsidR="00E214EC" w:rsidRPr="00F05E62" w:rsidRDefault="00E214EC" w:rsidP="00E214EC">
      <w:pPr>
        <w:pStyle w:val="Paragrafi"/>
        <w:rPr>
          <w:sz w:val="21"/>
          <w:szCs w:val="21"/>
          <w:lang w:val="sq-AL"/>
        </w:rPr>
      </w:pPr>
      <w:r w:rsidRPr="00F05E62">
        <w:rPr>
          <w:sz w:val="21"/>
          <w:szCs w:val="21"/>
          <w:lang w:val="sq-AL"/>
        </w:rPr>
        <w:t>Pasi diskutoi në privatësi më 16 nëntor</w:t>
      </w:r>
    </w:p>
    <w:p w:rsidR="00E214EC" w:rsidRPr="00F05E62" w:rsidRDefault="00E214EC" w:rsidP="00E214EC">
      <w:pPr>
        <w:pStyle w:val="Paragrafi"/>
        <w:rPr>
          <w:sz w:val="21"/>
          <w:szCs w:val="21"/>
          <w:lang w:val="sq-AL"/>
        </w:rPr>
      </w:pPr>
      <w:r w:rsidRPr="00F05E62">
        <w:rPr>
          <w:sz w:val="21"/>
          <w:szCs w:val="21"/>
          <w:lang w:val="sq-AL"/>
        </w:rPr>
        <w:t>Lëshon vendimin e mëposhtëm, i cili u miratua në këtë datë:</w:t>
      </w:r>
    </w:p>
    <w:p w:rsidR="00E214EC" w:rsidRPr="00F05E62" w:rsidRDefault="00E214EC" w:rsidP="00E214EC">
      <w:pPr>
        <w:pStyle w:val="NoSpacing"/>
        <w:ind w:firstLine="720"/>
        <w:jc w:val="both"/>
        <w:rPr>
          <w:rFonts w:ascii="CG Times" w:hAnsi="CG Times"/>
          <w:sz w:val="21"/>
          <w:szCs w:val="21"/>
          <w:lang w:val="sq-AL"/>
        </w:rPr>
      </w:pPr>
      <w:r w:rsidRPr="00F05E62">
        <w:rPr>
          <w:rFonts w:ascii="CG Times" w:hAnsi="CG Times"/>
          <w:sz w:val="21"/>
          <w:szCs w:val="21"/>
          <w:lang w:val="sq-AL"/>
        </w:rPr>
        <w:t>PROCEDURA</w:t>
      </w:r>
    </w:p>
    <w:p w:rsidR="00E214EC" w:rsidRPr="00F05E62" w:rsidRDefault="00E214EC" w:rsidP="00E214EC">
      <w:pPr>
        <w:pStyle w:val="NoSpacing"/>
        <w:ind w:firstLine="720"/>
        <w:jc w:val="both"/>
        <w:rPr>
          <w:rFonts w:ascii="CG Times" w:hAnsi="CG Times"/>
          <w:b/>
          <w:sz w:val="21"/>
          <w:szCs w:val="21"/>
          <w:lang w:val="sq-AL"/>
        </w:rPr>
      </w:pPr>
      <w:r w:rsidRPr="00F05E62">
        <w:rPr>
          <w:rFonts w:ascii="CG Times" w:hAnsi="CG Times"/>
          <w:sz w:val="21"/>
          <w:szCs w:val="21"/>
          <w:lang w:val="sq-AL"/>
        </w:rPr>
        <w:t>1. Çështja e ka fillesën me dy aplikime (nr.35720/04 dhe 42832/06) kundër Republikave të Shqipërisë dhe Italisë të paraqitura në Gjykatë në bazë të nenit 34 të Konventës për Mbrojtjen e të Drejtave të Njeriut dhe të Lirive Themelore (të Konventës) nga dy shtetas shqiptarë, z. Shahin Vrioni dhe z. Oliver Vrioni dhe dy shtetas italianë, z. Dario La Francesca dhe z. Gherardo La Francesca. Aplikuesit u ankuan se ka pasur thyerje të nenit 6 § 1 të Konventës, neni 1 të protokollit nr.1 ndaj Konventës dhe nenit 13 në lidhje me nenin 1 të protokollit nr.1.</w:t>
      </w:r>
    </w:p>
    <w:p w:rsidR="00E214EC" w:rsidRPr="00F05E62" w:rsidRDefault="00E214EC" w:rsidP="00E214EC">
      <w:pPr>
        <w:pStyle w:val="NoSpacing"/>
        <w:ind w:firstLine="720"/>
        <w:jc w:val="both"/>
        <w:rPr>
          <w:rFonts w:ascii="CG Times" w:hAnsi="CG Times"/>
          <w:b/>
          <w:i/>
          <w:sz w:val="21"/>
          <w:szCs w:val="21"/>
          <w:lang w:val="sq-AL"/>
        </w:rPr>
      </w:pPr>
      <w:r w:rsidRPr="00F05E62">
        <w:rPr>
          <w:rFonts w:ascii="CG Times" w:hAnsi="CG Times"/>
          <w:sz w:val="21"/>
          <w:szCs w:val="21"/>
          <w:lang w:val="sq-AL"/>
        </w:rPr>
        <w:t xml:space="preserve">2. Aplikuesit u përfaqësuan nga znj. L.Sula, avokate që e ushtron profesionin e saj në Tiranë. Qeveria shqiptare (Qeveria) u përfaqësua nga agjenti i saj, znj. E. Hajro. </w:t>
      </w:r>
    </w:p>
    <w:p w:rsidR="00E214EC" w:rsidRPr="00F05E62" w:rsidRDefault="00E214EC" w:rsidP="00E214EC">
      <w:pPr>
        <w:pStyle w:val="NoSpacing"/>
        <w:ind w:firstLine="720"/>
        <w:jc w:val="both"/>
        <w:rPr>
          <w:rFonts w:ascii="CG Times" w:hAnsi="CG Times"/>
          <w:b/>
          <w:i/>
          <w:sz w:val="21"/>
          <w:szCs w:val="21"/>
          <w:lang w:val="sq-AL"/>
        </w:rPr>
      </w:pPr>
      <w:r w:rsidRPr="00F05E62">
        <w:rPr>
          <w:rFonts w:ascii="CG Times" w:hAnsi="CG Times"/>
          <w:sz w:val="21"/>
          <w:szCs w:val="21"/>
          <w:lang w:val="sq-AL"/>
        </w:rPr>
        <w:t>3. Në vendimin e marrë më datë 29 shtator 2009 (vendimi themelor), Gjykata njoftoi se ka pasur një thyerje të nenit 6§1 të Konventës dhe të nenit 1 të protokollit nr.1 të Konventës në llogari të autoriteteve shqiptare, të cilat nuk zbatuan një vendim të formës së prerë të gjykatës i cili i përcaktonte kompensim aplikantëve në vend të rikthimit të pronës. Më tej, Gjykata hodhi dritë mbi një shkelje të nenit 13 në lidhje me nenin 1 të protokollit nr.1 (</w:t>
      </w:r>
      <w:r w:rsidRPr="00F05E62">
        <w:rPr>
          <w:rFonts w:ascii="CG Times" w:hAnsi="CG Times"/>
          <w:i/>
          <w:sz w:val="21"/>
          <w:szCs w:val="21"/>
          <w:lang w:val="sq-AL"/>
        </w:rPr>
        <w:t xml:space="preserve">Vrioni dhe të tjerët v. Shqipërisë dhe Italisë, </w:t>
      </w:r>
      <w:r w:rsidRPr="00F05E62">
        <w:rPr>
          <w:rFonts w:ascii="CG Times" w:hAnsi="CG Times"/>
          <w:sz w:val="21"/>
          <w:szCs w:val="21"/>
          <w:lang w:val="sq-AL"/>
        </w:rPr>
        <w:t xml:space="preserve">nr.35720/04 dhe 42832/06, §§ 48-85, 29 shtator 2009). Gjykata i kundërshtoi ankesat e aplikuesve kundër Italisë si të papajtueshme, </w:t>
      </w:r>
      <w:r w:rsidRPr="00F05E62">
        <w:rPr>
          <w:rFonts w:ascii="CG Times" w:hAnsi="CG Times"/>
          <w:i/>
          <w:sz w:val="21"/>
          <w:szCs w:val="21"/>
          <w:lang w:val="sq-AL"/>
        </w:rPr>
        <w:t xml:space="preserve">ratione personae. </w:t>
      </w:r>
    </w:p>
    <w:p w:rsidR="00E214EC" w:rsidRPr="00F05E62" w:rsidRDefault="00E214EC" w:rsidP="00E214EC">
      <w:pPr>
        <w:pStyle w:val="NoSpacing"/>
        <w:ind w:firstLine="720"/>
        <w:jc w:val="both"/>
        <w:rPr>
          <w:rFonts w:ascii="CG Times" w:hAnsi="CG Times"/>
          <w:b/>
          <w:i/>
          <w:sz w:val="21"/>
          <w:szCs w:val="21"/>
          <w:lang w:val="sq-AL"/>
        </w:rPr>
      </w:pPr>
      <w:r w:rsidRPr="00F05E62">
        <w:rPr>
          <w:rFonts w:ascii="CG Times" w:hAnsi="CG Times"/>
          <w:sz w:val="21"/>
          <w:szCs w:val="21"/>
          <w:lang w:val="sq-AL"/>
        </w:rPr>
        <w:t xml:space="preserve">4. Në bazë të nenit 41 të Konventës aplikuesit kërkuan shuma të ndryshme për t’u kompensuar. </w:t>
      </w:r>
    </w:p>
    <w:p w:rsidR="00E214EC" w:rsidRPr="00F05E62" w:rsidRDefault="00E214EC" w:rsidP="00E214EC">
      <w:pPr>
        <w:pStyle w:val="NoSpacing"/>
        <w:ind w:firstLine="720"/>
        <w:jc w:val="both"/>
        <w:rPr>
          <w:rFonts w:ascii="CG Times" w:hAnsi="CG Times"/>
          <w:b/>
          <w:i/>
          <w:sz w:val="21"/>
          <w:szCs w:val="21"/>
          <w:lang w:val="sq-AL"/>
        </w:rPr>
      </w:pPr>
      <w:r w:rsidRPr="00F05E62">
        <w:rPr>
          <w:rFonts w:ascii="CG Times" w:hAnsi="CG Times"/>
          <w:sz w:val="21"/>
          <w:szCs w:val="21"/>
          <w:lang w:val="sq-AL"/>
        </w:rPr>
        <w:t>5. Duke qenë se kërkesa për aplikimin e nenit 41 të Konventës nuk ishte gati për vendim, Gjykata e arkivoi të gjithë çështjen dhe ftoi Qeverinë dhe aplikuesit të parashtrojnë, brenda tre muajve nga data kur vendimi është bërë i formës së prerë sipas nenit 44§2 të Konventës, vërejtjet e tyre me shkrim mbi çështjen dhe në veçanti, të njoftojnë Gjykatën për çdo lloj marrëveshje që mund të arrihet midis tyre (</w:t>
      </w:r>
      <w:r w:rsidRPr="00F05E62">
        <w:rPr>
          <w:rFonts w:ascii="CG Times" w:hAnsi="CG Times"/>
          <w:i/>
          <w:sz w:val="21"/>
          <w:szCs w:val="21"/>
          <w:lang w:val="sq-AL"/>
        </w:rPr>
        <w:t>ibid., §§ 88-91 dhe pika 9 e parashikimeve operative</w:t>
      </w:r>
      <w:r w:rsidRPr="00F05E62">
        <w:rPr>
          <w:rFonts w:ascii="CG Times" w:hAnsi="CG Times"/>
          <w:sz w:val="21"/>
          <w:szCs w:val="21"/>
          <w:lang w:val="sq-AL"/>
        </w:rPr>
        <w:t>).</w:t>
      </w:r>
    </w:p>
    <w:p w:rsidR="00E214EC" w:rsidRPr="00F05E62" w:rsidRDefault="00E214EC" w:rsidP="00E214EC">
      <w:pPr>
        <w:pStyle w:val="NoSpacing"/>
        <w:ind w:firstLine="720"/>
        <w:jc w:val="both"/>
        <w:rPr>
          <w:rFonts w:ascii="CG Times" w:hAnsi="CG Times"/>
          <w:b/>
          <w:i/>
          <w:sz w:val="21"/>
          <w:szCs w:val="21"/>
          <w:lang w:val="sq-AL"/>
        </w:rPr>
      </w:pPr>
      <w:r w:rsidRPr="00F05E62">
        <w:rPr>
          <w:rFonts w:ascii="CG Times" w:hAnsi="CG Times"/>
          <w:sz w:val="21"/>
          <w:szCs w:val="21"/>
          <w:lang w:val="sq-AL"/>
        </w:rPr>
        <w:t xml:space="preserve">6. Si aplikuesit edhe Qeveria i arkivuan vërejtjet brenda afateve që iu ishin përcaktuar. Nuk u gjet asnjë fakt mbi të cilin mund të sigurohej një marrëveshje miqësore. </w:t>
      </w:r>
    </w:p>
    <w:p w:rsidR="00E214EC" w:rsidRPr="00F05E62" w:rsidRDefault="00E214EC" w:rsidP="00E214EC">
      <w:pPr>
        <w:pStyle w:val="NoSpacing"/>
        <w:ind w:firstLine="720"/>
        <w:jc w:val="both"/>
        <w:rPr>
          <w:rFonts w:ascii="CG Times" w:hAnsi="CG Times"/>
          <w:sz w:val="21"/>
          <w:szCs w:val="21"/>
          <w:lang w:val="sq-AL"/>
        </w:rPr>
      </w:pPr>
    </w:p>
    <w:p w:rsidR="00E214EC" w:rsidRPr="00F05E62" w:rsidRDefault="00E214EC" w:rsidP="00E214EC">
      <w:pPr>
        <w:pStyle w:val="NoSpacing"/>
        <w:ind w:firstLine="720"/>
        <w:jc w:val="both"/>
        <w:rPr>
          <w:rFonts w:ascii="CG Times" w:hAnsi="CG Times"/>
          <w:sz w:val="21"/>
          <w:szCs w:val="21"/>
          <w:lang w:val="sq-AL"/>
        </w:rPr>
      </w:pPr>
      <w:r w:rsidRPr="00F05E62">
        <w:rPr>
          <w:rFonts w:ascii="CG Times" w:hAnsi="CG Times"/>
          <w:sz w:val="21"/>
          <w:szCs w:val="21"/>
          <w:lang w:val="sq-AL"/>
        </w:rPr>
        <w:t>FAKTET</w:t>
      </w:r>
    </w:p>
    <w:p w:rsidR="00E214EC" w:rsidRPr="00F05E62" w:rsidRDefault="00E214EC" w:rsidP="00E214EC">
      <w:pPr>
        <w:pStyle w:val="NoSpacing"/>
        <w:ind w:firstLine="720"/>
        <w:jc w:val="both"/>
        <w:rPr>
          <w:rFonts w:ascii="CG Times" w:hAnsi="CG Times"/>
          <w:b/>
          <w:i/>
          <w:sz w:val="21"/>
          <w:szCs w:val="21"/>
          <w:lang w:val="sq-AL"/>
        </w:rPr>
      </w:pPr>
      <w:r w:rsidRPr="00F05E62">
        <w:rPr>
          <w:rFonts w:ascii="CG Times" w:hAnsi="CG Times"/>
          <w:sz w:val="21"/>
          <w:szCs w:val="21"/>
          <w:lang w:val="sq-AL"/>
        </w:rPr>
        <w:t>I. RRETHANAT E ÇËSHTJES</w:t>
      </w:r>
    </w:p>
    <w:p w:rsidR="00E214EC" w:rsidRPr="00F05E62" w:rsidRDefault="00E214EC" w:rsidP="00E214EC">
      <w:pPr>
        <w:pStyle w:val="NoSpacing"/>
        <w:ind w:firstLine="720"/>
        <w:jc w:val="both"/>
        <w:rPr>
          <w:rFonts w:ascii="CG Times" w:hAnsi="CG Times"/>
          <w:b/>
          <w:i/>
          <w:sz w:val="21"/>
          <w:szCs w:val="21"/>
          <w:lang w:val="sq-AL"/>
        </w:rPr>
      </w:pPr>
      <w:r w:rsidRPr="00F05E62">
        <w:rPr>
          <w:rFonts w:ascii="CG Times" w:hAnsi="CG Times"/>
          <w:sz w:val="21"/>
          <w:szCs w:val="21"/>
          <w:lang w:val="sq-AL"/>
        </w:rPr>
        <w:t>7. Më 18 mars 1999 dhe 14 dhjetor 1999 Komisioni për Rikthimin dhe Kompensimin e Pronave në Tiranë (Komisioni) njohu kërkesën e aplikantëve për dy sipërfaqe tokash, respektivisht 1,100 m</w:t>
      </w:r>
      <w:r w:rsidRPr="00F05E62">
        <w:rPr>
          <w:rFonts w:ascii="CG Times" w:hAnsi="CG Times"/>
          <w:sz w:val="21"/>
          <w:szCs w:val="21"/>
          <w:vertAlign w:val="superscript"/>
          <w:lang w:val="sq-AL"/>
        </w:rPr>
        <w:t xml:space="preserve">2 </w:t>
      </w:r>
      <w:r w:rsidRPr="00F05E62">
        <w:rPr>
          <w:rFonts w:ascii="CG Times" w:hAnsi="CG Times"/>
          <w:sz w:val="21"/>
          <w:szCs w:val="21"/>
          <w:lang w:val="sq-AL"/>
        </w:rPr>
        <w:t>dhe 537 m</w:t>
      </w:r>
      <w:r w:rsidRPr="00F05E62">
        <w:rPr>
          <w:rFonts w:ascii="CG Times" w:hAnsi="CG Times"/>
          <w:sz w:val="21"/>
          <w:szCs w:val="21"/>
          <w:vertAlign w:val="superscript"/>
          <w:lang w:val="sq-AL"/>
        </w:rPr>
        <w:t>2</w:t>
      </w:r>
      <w:r w:rsidRPr="00F05E62">
        <w:rPr>
          <w:rFonts w:ascii="CG Times" w:hAnsi="CG Times"/>
          <w:sz w:val="21"/>
          <w:szCs w:val="21"/>
          <w:lang w:val="sq-AL"/>
        </w:rPr>
        <w:t xml:space="preserve">. Komisioni shpjegoi se ishte e pamundur që pronarëve t’iu kthehej trualli i tyre origjinal. Ai vendosi t’iu siguronte </w:t>
      </w:r>
      <w:r w:rsidRPr="00F05E62">
        <w:rPr>
          <w:rFonts w:ascii="CG Times" w:hAnsi="CG Times"/>
          <w:sz w:val="21"/>
          <w:szCs w:val="21"/>
          <w:lang w:val="sq-AL"/>
        </w:rPr>
        <w:lastRenderedPageBreak/>
        <w:t>aplikuesve një truall të lirë me përmasat 1,456 m</w:t>
      </w:r>
      <w:r w:rsidRPr="00F05E62">
        <w:rPr>
          <w:rFonts w:ascii="CG Times" w:hAnsi="CG Times"/>
          <w:sz w:val="21"/>
          <w:szCs w:val="21"/>
          <w:vertAlign w:val="superscript"/>
          <w:lang w:val="sq-AL"/>
        </w:rPr>
        <w:t>2</w:t>
      </w:r>
      <w:r w:rsidRPr="00F05E62">
        <w:rPr>
          <w:rFonts w:ascii="CG Times" w:hAnsi="CG Times"/>
          <w:sz w:val="21"/>
          <w:szCs w:val="21"/>
          <w:lang w:val="sq-AL"/>
        </w:rPr>
        <w:t>, i cili ndodhej brenda hapësirave të zëna nga Ambasada Italiane, dhe iu kërkoi autoriteteve të paguanin për të kompensuar një truall me përmasat 181 m</w:t>
      </w:r>
      <w:r w:rsidRPr="00F05E62">
        <w:rPr>
          <w:rFonts w:ascii="CG Times" w:hAnsi="CG Times"/>
          <w:sz w:val="21"/>
          <w:szCs w:val="21"/>
          <w:vertAlign w:val="superscript"/>
          <w:lang w:val="sq-AL"/>
        </w:rPr>
        <w:t>2</w:t>
      </w:r>
      <w:r w:rsidRPr="00F05E62">
        <w:rPr>
          <w:rFonts w:ascii="CG Times" w:hAnsi="CG Times"/>
          <w:sz w:val="21"/>
          <w:szCs w:val="21"/>
          <w:lang w:val="sq-AL"/>
        </w:rPr>
        <w:t xml:space="preserve">. Për më tepër, ai urdhëroi që pronësia e aplikantëve mbi këtë tokë të hynte në Regjistrin e Pronësisë së Tiranës. </w:t>
      </w:r>
    </w:p>
    <w:p w:rsidR="00E214EC" w:rsidRPr="00F05E62" w:rsidRDefault="00E214EC" w:rsidP="00E214EC">
      <w:pPr>
        <w:pStyle w:val="NoSpacing"/>
        <w:ind w:firstLine="720"/>
        <w:jc w:val="both"/>
        <w:rPr>
          <w:rFonts w:ascii="CG Times" w:hAnsi="CG Times"/>
          <w:b/>
          <w:i/>
          <w:sz w:val="21"/>
          <w:szCs w:val="21"/>
          <w:lang w:val="sq-AL"/>
        </w:rPr>
      </w:pPr>
      <w:r w:rsidRPr="00F05E62">
        <w:rPr>
          <w:rFonts w:ascii="CG Times" w:hAnsi="CG Times"/>
          <w:sz w:val="21"/>
          <w:szCs w:val="21"/>
          <w:lang w:val="sq-AL"/>
        </w:rPr>
        <w:t>8. Aplikantët ndërmorën një veprim civil duke pasur parasysh pamundësinë e tyre për të rimarr truallin prej 1,456 m</w:t>
      </w:r>
      <w:r w:rsidRPr="00F05E62">
        <w:rPr>
          <w:rFonts w:ascii="CG Times" w:hAnsi="CG Times"/>
          <w:sz w:val="21"/>
          <w:szCs w:val="21"/>
          <w:vertAlign w:val="superscript"/>
          <w:lang w:val="sq-AL"/>
        </w:rPr>
        <w:t>2</w:t>
      </w:r>
      <w:r w:rsidRPr="00F05E62">
        <w:rPr>
          <w:rFonts w:ascii="CG Times" w:hAnsi="CG Times"/>
          <w:sz w:val="21"/>
          <w:szCs w:val="21"/>
          <w:lang w:val="sq-AL"/>
        </w:rPr>
        <w:t>. Bazuar në vendimin e Gjykatës së Apelit, në datën 29 tetor 2002, ishte vendosur që aplikuesit duhej të merrnin kompensim në vend të pronës së tyre origjinale në një nga format e përcaktuara nga ligji në përputhje me truallin me përmasat 1,456 m</w:t>
      </w:r>
      <w:r w:rsidRPr="00F05E62">
        <w:rPr>
          <w:rFonts w:ascii="CG Times" w:hAnsi="CG Times"/>
          <w:sz w:val="21"/>
          <w:szCs w:val="21"/>
          <w:vertAlign w:val="superscript"/>
          <w:lang w:val="sq-AL"/>
        </w:rPr>
        <w:t>2</w:t>
      </w:r>
      <w:r w:rsidRPr="00F05E62">
        <w:rPr>
          <w:rFonts w:ascii="CG Times" w:hAnsi="CG Times"/>
          <w:sz w:val="21"/>
          <w:szCs w:val="21"/>
          <w:lang w:val="sq-AL"/>
        </w:rPr>
        <w:t>. Gjykata e Apelit pohoi se meqë trualli ishte pjesë integrale e planeve të Ambasadës Italiane, ai nuk mund të konsiderohej vakant dhe për pasojë nuk mund të shërbente për kompensim për aplikantët. Ky vendim u shqyrtua nga Gjykata e Lartë më 15 qershor 2004. Për pasojë, aplikantët do të merrnin kompensim sipas aktit të pronës për një total toke prej 1,637 m</w:t>
      </w:r>
      <w:r w:rsidRPr="00F05E62">
        <w:rPr>
          <w:rFonts w:ascii="CG Times" w:hAnsi="CG Times"/>
          <w:sz w:val="21"/>
          <w:szCs w:val="21"/>
          <w:vertAlign w:val="superscript"/>
          <w:lang w:val="sq-AL"/>
        </w:rPr>
        <w:t>2</w:t>
      </w:r>
      <w:r w:rsidRPr="00F05E62">
        <w:rPr>
          <w:rFonts w:ascii="CG Times" w:hAnsi="CG Times"/>
          <w:sz w:val="21"/>
          <w:szCs w:val="21"/>
          <w:lang w:val="sq-AL"/>
        </w:rPr>
        <w:t xml:space="preserve"> (</w:t>
      </w:r>
      <w:r w:rsidRPr="00F05E62">
        <w:rPr>
          <w:rFonts w:ascii="CG Times" w:hAnsi="CG Times"/>
          <w:i/>
          <w:sz w:val="21"/>
          <w:szCs w:val="21"/>
          <w:lang w:val="sq-AL"/>
        </w:rPr>
        <w:t>shiko §§ 24-25 të vendimit themelor</w:t>
      </w:r>
      <w:r w:rsidRPr="00F05E62">
        <w:rPr>
          <w:rFonts w:ascii="CG Times" w:hAnsi="CG Times"/>
          <w:sz w:val="21"/>
          <w:szCs w:val="21"/>
          <w:lang w:val="sq-AL"/>
        </w:rPr>
        <w:t xml:space="preserve">). </w:t>
      </w:r>
    </w:p>
    <w:p w:rsidR="00E214EC" w:rsidRPr="00F05E62" w:rsidRDefault="00E214EC" w:rsidP="00E214EC">
      <w:pPr>
        <w:pStyle w:val="NoSpacing"/>
        <w:ind w:firstLine="720"/>
        <w:jc w:val="both"/>
        <w:rPr>
          <w:rFonts w:ascii="CG Times" w:hAnsi="CG Times"/>
          <w:b/>
          <w:i/>
          <w:sz w:val="21"/>
          <w:szCs w:val="21"/>
          <w:lang w:val="sq-AL"/>
        </w:rPr>
      </w:pPr>
      <w:r w:rsidRPr="00F05E62">
        <w:rPr>
          <w:rFonts w:ascii="CG Times" w:hAnsi="CG Times"/>
          <w:sz w:val="21"/>
          <w:szCs w:val="21"/>
          <w:lang w:val="sq-AL"/>
        </w:rPr>
        <w:t xml:space="preserve">9. Detaje të mëtejshme shpjegohen në vendimin themelor. </w:t>
      </w:r>
    </w:p>
    <w:p w:rsidR="00E214EC" w:rsidRPr="00F05E62" w:rsidRDefault="00E214EC" w:rsidP="00E214EC">
      <w:pPr>
        <w:pStyle w:val="NoSpacing"/>
        <w:ind w:firstLine="720"/>
        <w:jc w:val="both"/>
        <w:rPr>
          <w:rFonts w:ascii="CG Times" w:hAnsi="CG Times"/>
          <w:sz w:val="21"/>
          <w:szCs w:val="21"/>
          <w:lang w:val="sq-AL"/>
        </w:rPr>
      </w:pPr>
    </w:p>
    <w:p w:rsidR="00E214EC" w:rsidRPr="00F05E62" w:rsidRDefault="00E214EC" w:rsidP="00E214EC">
      <w:pPr>
        <w:pStyle w:val="NoSpacing"/>
        <w:ind w:firstLine="720"/>
        <w:jc w:val="both"/>
        <w:rPr>
          <w:rFonts w:ascii="CG Times" w:hAnsi="CG Times"/>
          <w:b/>
          <w:i/>
          <w:sz w:val="21"/>
          <w:szCs w:val="21"/>
          <w:lang w:val="sq-AL"/>
        </w:rPr>
      </w:pPr>
      <w:r w:rsidRPr="00F05E62">
        <w:rPr>
          <w:rFonts w:ascii="CG Times" w:hAnsi="CG Times"/>
          <w:sz w:val="21"/>
          <w:szCs w:val="21"/>
          <w:lang w:val="sq-AL"/>
        </w:rPr>
        <w:t xml:space="preserve">II. LIGJI VENDOR PËRKATËS </w:t>
      </w:r>
    </w:p>
    <w:p w:rsidR="00E214EC" w:rsidRDefault="00E214EC" w:rsidP="00E214EC">
      <w:pPr>
        <w:pStyle w:val="NoSpacing"/>
        <w:ind w:firstLine="720"/>
        <w:jc w:val="both"/>
        <w:rPr>
          <w:rFonts w:ascii="CG Times" w:hAnsi="CG Times"/>
          <w:i/>
          <w:sz w:val="21"/>
          <w:szCs w:val="21"/>
          <w:lang w:val="sq-AL"/>
        </w:rPr>
      </w:pPr>
      <w:r w:rsidRPr="00F05E62">
        <w:rPr>
          <w:rFonts w:ascii="CG Times" w:hAnsi="CG Times"/>
          <w:sz w:val="21"/>
          <w:szCs w:val="21"/>
          <w:lang w:val="sq-AL"/>
        </w:rPr>
        <w:t>A. Akti mbi çmimin e tokës që kompensohet (ligji nr.7832 i datës 16 qershor 1996 - ligji për çmimin e truallit që kompensohet), “Akti i vitit 1994”</w:t>
      </w:r>
    </w:p>
    <w:p w:rsidR="00E214EC" w:rsidRPr="00F05E62" w:rsidRDefault="00E214EC" w:rsidP="00E214EC">
      <w:pPr>
        <w:pStyle w:val="NoSpacing"/>
        <w:ind w:firstLine="720"/>
        <w:jc w:val="both"/>
        <w:rPr>
          <w:rFonts w:ascii="CG Times" w:hAnsi="CG Times"/>
          <w:i/>
          <w:sz w:val="21"/>
          <w:szCs w:val="21"/>
          <w:lang w:val="sq-AL"/>
        </w:rPr>
      </w:pPr>
      <w:r w:rsidRPr="00F05E62">
        <w:rPr>
          <w:rFonts w:ascii="CG Times" w:hAnsi="CG Times"/>
          <w:sz w:val="21"/>
          <w:szCs w:val="21"/>
          <w:lang w:val="sq-AL"/>
        </w:rPr>
        <w:t xml:space="preserve">10. Akti i vitit 1994 përmbante kriteret që do të përdoreshin për përcaktimin e kompensimit financiar që do t’u jepej pronarëve të mëparshëm. Sipas aktit të vitit 1994 Tirana do të ndahej në tre zona A, B dhe C. Çmimi i referencës për pronën e pozicionuar në zonën A u përcaktua me 1,600 lekë shqiptare (e gjitha) për metër katror. </w:t>
      </w:r>
    </w:p>
    <w:p w:rsidR="00E214EC" w:rsidRPr="00F05E62" w:rsidRDefault="00E214EC" w:rsidP="00E214EC">
      <w:pPr>
        <w:pStyle w:val="NoSpacing"/>
        <w:ind w:firstLine="720"/>
        <w:jc w:val="both"/>
        <w:rPr>
          <w:rFonts w:ascii="CG Times" w:hAnsi="CG Times"/>
          <w:i/>
          <w:sz w:val="21"/>
          <w:szCs w:val="21"/>
          <w:lang w:val="sq-AL"/>
        </w:rPr>
      </w:pPr>
      <w:r w:rsidRPr="00F05E62">
        <w:rPr>
          <w:rFonts w:ascii="CG Times" w:hAnsi="CG Times"/>
          <w:sz w:val="21"/>
          <w:szCs w:val="21"/>
          <w:lang w:val="sq-AL"/>
        </w:rPr>
        <w:t>B. Vendimet e Këshillit të Ministrave (VKM) mbi hartat e vlerësimit të pronave (vendimi i Këshillit të Ministrave nr.555 i datës 29 shtator 2007; vendimi i Këshillit të Ministrave nr.139 të datës 13 shkurt 2008 dhe vendimi i Këshillit të Ministrave nr.1620 të datës 26 nëntor 2008)</w:t>
      </w:r>
    </w:p>
    <w:p w:rsidR="00E214EC" w:rsidRPr="00F05E62" w:rsidRDefault="00E214EC" w:rsidP="00E214EC">
      <w:pPr>
        <w:pStyle w:val="NoSpacing"/>
        <w:ind w:firstLine="720"/>
        <w:jc w:val="both"/>
        <w:rPr>
          <w:rFonts w:ascii="CG Times" w:hAnsi="CG Times"/>
          <w:b/>
          <w:i/>
          <w:sz w:val="21"/>
          <w:szCs w:val="21"/>
          <w:lang w:val="sq-AL"/>
        </w:rPr>
      </w:pPr>
      <w:r w:rsidRPr="00F05E62">
        <w:rPr>
          <w:rFonts w:ascii="CG Times" w:hAnsi="CG Times"/>
          <w:sz w:val="21"/>
          <w:szCs w:val="21"/>
          <w:lang w:val="sq-AL"/>
        </w:rPr>
        <w:t xml:space="preserve">11. Në bazë të tre vendimeve, dy prej të cilëve u miratuan në 1997-ën dhe një në 2008-ën, Qeveria aprovoi dhe deklaroi hartat e vlerësimit të pronës siç janë listuar më sipër. Hartat, të cilat do të përdoreshin në përcaktimin e shpërblimit të kompensimit financiar nga autoritetet përkatëse, përfshinin çmimin e referencës për metër katror në të gjithë vendin. </w:t>
      </w:r>
    </w:p>
    <w:p w:rsidR="00E214EC" w:rsidRPr="00F05E62" w:rsidRDefault="00E214EC" w:rsidP="00E214EC">
      <w:pPr>
        <w:pStyle w:val="NoSpacing"/>
        <w:ind w:firstLine="720"/>
        <w:jc w:val="both"/>
        <w:rPr>
          <w:rFonts w:ascii="CG Times" w:hAnsi="CG Times"/>
          <w:b/>
          <w:i/>
          <w:sz w:val="21"/>
          <w:szCs w:val="21"/>
          <w:lang w:val="sq-AL"/>
        </w:rPr>
      </w:pPr>
      <w:r w:rsidRPr="00F05E62">
        <w:rPr>
          <w:rFonts w:ascii="CG Times" w:hAnsi="CG Times"/>
          <w:sz w:val="21"/>
          <w:szCs w:val="21"/>
          <w:lang w:val="sq-AL"/>
        </w:rPr>
        <w:t xml:space="preserve">12. Vendimi i parë përcaktoi çmimin e tokës në rajonin e Beratit, Gjirokastrës, Vlorës dhe Dibrës; vendimi i dytë përcaktoi çmimin e tokës për rajonin e Lezhës, Dibrës, Korçës dhe Kukësit; vendimi i tretë përcaktoi çmimin e tokës për rajonin e Fierit, Elbasanit, Tiranës, Vlorës, Durrësit dhe Shkodrës. Vendimi i katërt përmbante një listë çmimesh të rishikuara për disa qytete të caktuara. Sipas atij vendimi, çmimi i referencës për metër katror për zonën në të cilën pozicionohej prona e aplikuesit u vlerësua me 180,000 e gjitha. </w:t>
      </w:r>
    </w:p>
    <w:p w:rsidR="00E214EC" w:rsidRPr="00F05E62" w:rsidRDefault="00E214EC" w:rsidP="00E214EC">
      <w:pPr>
        <w:pStyle w:val="NoSpacing"/>
        <w:ind w:firstLine="720"/>
        <w:jc w:val="both"/>
        <w:rPr>
          <w:rFonts w:ascii="CG Times" w:hAnsi="CG Times"/>
          <w:sz w:val="21"/>
          <w:szCs w:val="21"/>
          <w:lang w:val="sq-AL"/>
        </w:rPr>
      </w:pPr>
    </w:p>
    <w:p w:rsidR="00E214EC" w:rsidRPr="00F05E62" w:rsidRDefault="00E214EC" w:rsidP="00E214EC">
      <w:pPr>
        <w:pStyle w:val="NoSpacing"/>
        <w:ind w:firstLine="720"/>
        <w:jc w:val="both"/>
        <w:rPr>
          <w:rFonts w:ascii="CG Times" w:hAnsi="CG Times"/>
          <w:sz w:val="21"/>
          <w:szCs w:val="21"/>
          <w:lang w:val="sq-AL"/>
        </w:rPr>
      </w:pPr>
      <w:r w:rsidRPr="00F05E62">
        <w:rPr>
          <w:rFonts w:ascii="CG Times" w:hAnsi="CG Times"/>
          <w:sz w:val="21"/>
          <w:szCs w:val="21"/>
          <w:lang w:val="sq-AL"/>
        </w:rPr>
        <w:t>LIGJI</w:t>
      </w:r>
    </w:p>
    <w:p w:rsidR="00E214EC" w:rsidRPr="00F05E62" w:rsidRDefault="00E214EC" w:rsidP="00E214EC">
      <w:pPr>
        <w:pStyle w:val="NoSpacing"/>
        <w:ind w:firstLine="720"/>
        <w:jc w:val="both"/>
        <w:rPr>
          <w:rFonts w:ascii="CG Times" w:hAnsi="CG Times"/>
          <w:sz w:val="21"/>
          <w:szCs w:val="21"/>
          <w:lang w:val="sq-AL"/>
        </w:rPr>
      </w:pPr>
      <w:r w:rsidRPr="00F05E62">
        <w:rPr>
          <w:rFonts w:ascii="CG Times" w:hAnsi="CG Times"/>
          <w:sz w:val="21"/>
          <w:szCs w:val="21"/>
          <w:lang w:val="sq-AL"/>
        </w:rPr>
        <w:t xml:space="preserve">13. Neni 41 i Konventës pohon: </w:t>
      </w:r>
    </w:p>
    <w:p w:rsidR="00E214EC" w:rsidRPr="00F05E62" w:rsidRDefault="00E214EC" w:rsidP="00E214EC">
      <w:pPr>
        <w:pStyle w:val="NoSpacing"/>
        <w:jc w:val="both"/>
        <w:rPr>
          <w:rFonts w:ascii="CG Times" w:hAnsi="CG Times"/>
          <w:sz w:val="21"/>
          <w:szCs w:val="21"/>
          <w:lang w:val="sq-AL"/>
        </w:rPr>
      </w:pPr>
      <w:r w:rsidRPr="00F05E62">
        <w:rPr>
          <w:rFonts w:ascii="CG Times" w:hAnsi="CG Times"/>
          <w:sz w:val="21"/>
          <w:szCs w:val="21"/>
          <w:lang w:val="sq-AL"/>
        </w:rPr>
        <w:t xml:space="preserve">“Nëse Gjykata zbulon se ka pasur shkelje të Konventës ose të protokolleve, dhe nëse ligji i brendshëm i Palës së Lartë Kontraktuese lejon të bëhet vetëm një shlyerje e pjesshme, po të jetë e nevojshme, Gjykata do të sigurojë kompensim për palën e dëmtuar”. </w:t>
      </w:r>
    </w:p>
    <w:p w:rsidR="00E214EC" w:rsidRDefault="00E214EC" w:rsidP="00E214EC">
      <w:pPr>
        <w:pStyle w:val="NoSpacing"/>
        <w:ind w:firstLine="720"/>
        <w:jc w:val="both"/>
        <w:rPr>
          <w:rFonts w:ascii="CG Times" w:hAnsi="CG Times"/>
          <w:sz w:val="21"/>
          <w:szCs w:val="21"/>
          <w:lang w:val="sq-AL"/>
        </w:rPr>
      </w:pPr>
    </w:p>
    <w:p w:rsidR="00E214EC" w:rsidRPr="00F05E62" w:rsidRDefault="00E214EC" w:rsidP="00E214EC">
      <w:pPr>
        <w:pStyle w:val="NoSpacing"/>
        <w:ind w:firstLine="720"/>
        <w:jc w:val="both"/>
        <w:rPr>
          <w:rFonts w:ascii="CG Times" w:hAnsi="CG Times"/>
          <w:sz w:val="21"/>
          <w:szCs w:val="21"/>
          <w:lang w:val="sq-AL"/>
        </w:rPr>
      </w:pPr>
      <w:r w:rsidRPr="00F05E62">
        <w:rPr>
          <w:rFonts w:ascii="CG Times" w:hAnsi="CG Times"/>
          <w:sz w:val="21"/>
          <w:szCs w:val="21"/>
          <w:lang w:val="sq-AL"/>
        </w:rPr>
        <w:t>A. Dëmi</w:t>
      </w:r>
    </w:p>
    <w:p w:rsidR="00E214EC" w:rsidRPr="00F05E62" w:rsidRDefault="00E214EC" w:rsidP="00E214EC">
      <w:pPr>
        <w:pStyle w:val="NoSpacing"/>
        <w:ind w:firstLine="720"/>
        <w:jc w:val="both"/>
        <w:rPr>
          <w:rFonts w:ascii="CG Times" w:hAnsi="CG Times"/>
          <w:i/>
          <w:sz w:val="21"/>
          <w:szCs w:val="21"/>
          <w:lang w:val="sq-AL"/>
        </w:rPr>
      </w:pPr>
      <w:r w:rsidRPr="00F05E62">
        <w:rPr>
          <w:rFonts w:ascii="CG Times" w:hAnsi="CG Times"/>
          <w:i/>
          <w:sz w:val="21"/>
          <w:szCs w:val="21"/>
          <w:lang w:val="sq-AL"/>
        </w:rPr>
        <w:t>1. Parashtrimet e palëve</w:t>
      </w:r>
      <w:r w:rsidRPr="00F05E62">
        <w:rPr>
          <w:rFonts w:ascii="CG Times" w:hAnsi="CG Times"/>
          <w:sz w:val="21"/>
          <w:szCs w:val="21"/>
          <w:lang w:val="sq-AL"/>
        </w:rPr>
        <w:t xml:space="preserve"> </w:t>
      </w:r>
    </w:p>
    <w:p w:rsidR="00E214EC" w:rsidRDefault="00E214EC" w:rsidP="00E214EC">
      <w:pPr>
        <w:pStyle w:val="NoSpacing"/>
        <w:ind w:firstLine="720"/>
        <w:jc w:val="both"/>
        <w:rPr>
          <w:rFonts w:ascii="CG Times" w:hAnsi="CG Times"/>
          <w:i/>
          <w:sz w:val="21"/>
          <w:szCs w:val="21"/>
          <w:lang w:val="sq-AL"/>
        </w:rPr>
      </w:pPr>
      <w:r w:rsidRPr="00F05E62">
        <w:rPr>
          <w:rFonts w:ascii="CG Times" w:hAnsi="CG Times"/>
          <w:sz w:val="21"/>
          <w:szCs w:val="21"/>
          <w:lang w:val="sq-AL"/>
        </w:rPr>
        <w:t xml:space="preserve">a. Aplikuesit </w:t>
      </w:r>
    </w:p>
    <w:p w:rsidR="00E214EC" w:rsidRPr="00267F54" w:rsidRDefault="00E214EC" w:rsidP="00E214EC">
      <w:pPr>
        <w:pStyle w:val="NoSpacing"/>
        <w:ind w:firstLine="720"/>
        <w:jc w:val="both"/>
        <w:rPr>
          <w:rFonts w:ascii="CG Times" w:hAnsi="CG Times"/>
          <w:i/>
          <w:sz w:val="21"/>
          <w:szCs w:val="21"/>
          <w:lang w:val="sq-AL"/>
        </w:rPr>
      </w:pPr>
      <w:r w:rsidRPr="00F05E62">
        <w:rPr>
          <w:rFonts w:ascii="CG Times" w:hAnsi="CG Times"/>
          <w:sz w:val="21"/>
          <w:szCs w:val="21"/>
          <w:lang w:val="sq-AL"/>
        </w:rPr>
        <w:t>14. Aplikantët vlerësuan me 3,916,200 euro dëmin monetar dhe me 200,000 euro dëmin jomonetar.</w:t>
      </w:r>
    </w:p>
    <w:p w:rsidR="00E214EC" w:rsidRPr="00F05E62" w:rsidRDefault="00E214EC" w:rsidP="00E214EC">
      <w:pPr>
        <w:pStyle w:val="NoSpacing"/>
        <w:ind w:firstLine="720"/>
        <w:jc w:val="both"/>
        <w:rPr>
          <w:rFonts w:ascii="CG Times" w:hAnsi="CG Times"/>
          <w:b/>
          <w:i/>
          <w:sz w:val="21"/>
          <w:szCs w:val="21"/>
          <w:lang w:val="sq-AL"/>
        </w:rPr>
      </w:pPr>
      <w:r w:rsidRPr="00F05E62">
        <w:rPr>
          <w:rFonts w:ascii="CG Times" w:hAnsi="CG Times"/>
          <w:sz w:val="21"/>
          <w:szCs w:val="21"/>
          <w:lang w:val="sq-AL"/>
        </w:rPr>
        <w:t>15. Aplikantët pohuan se kompensimi duhej të përcaktohej në bazë të totalit të truallit prej 1,637 m</w:t>
      </w:r>
      <w:r w:rsidRPr="00F05E62">
        <w:rPr>
          <w:rFonts w:ascii="CG Times" w:hAnsi="CG Times"/>
          <w:sz w:val="21"/>
          <w:szCs w:val="21"/>
          <w:vertAlign w:val="superscript"/>
          <w:lang w:val="sq-AL"/>
        </w:rPr>
        <w:t>2</w:t>
      </w:r>
      <w:r w:rsidRPr="00F05E62">
        <w:rPr>
          <w:rFonts w:ascii="CG Times" w:hAnsi="CG Times"/>
          <w:sz w:val="21"/>
          <w:szCs w:val="21"/>
          <w:lang w:val="sq-AL"/>
        </w:rPr>
        <w:t xml:space="preserve"> duke përfshirë truallin prej 182 m</w:t>
      </w:r>
      <w:r w:rsidRPr="00F05E62">
        <w:rPr>
          <w:rFonts w:ascii="CG Times" w:hAnsi="CG Times"/>
          <w:sz w:val="21"/>
          <w:szCs w:val="21"/>
          <w:vertAlign w:val="superscript"/>
          <w:lang w:val="sq-AL"/>
        </w:rPr>
        <w:t>2</w:t>
      </w:r>
      <w:r w:rsidRPr="00F05E62">
        <w:rPr>
          <w:rFonts w:ascii="CG Times" w:hAnsi="CG Times"/>
          <w:sz w:val="21"/>
          <w:szCs w:val="21"/>
          <w:lang w:val="sq-AL"/>
        </w:rPr>
        <w:t xml:space="preserve">. Ata pohuan se e drejta e tyre për kompensimin e të gjithë kësaj sipërfaqe toke iu ishte njohur nga vendimet e Komisionit të vitit 1996 dhe 1999. </w:t>
      </w:r>
    </w:p>
    <w:p w:rsidR="00E214EC" w:rsidRPr="00F05E62" w:rsidRDefault="00E214EC" w:rsidP="00E214EC">
      <w:pPr>
        <w:pStyle w:val="NoSpacing"/>
        <w:ind w:firstLine="720"/>
        <w:jc w:val="both"/>
        <w:rPr>
          <w:rFonts w:ascii="CG Times" w:hAnsi="CG Times"/>
          <w:b/>
          <w:i/>
          <w:sz w:val="21"/>
          <w:szCs w:val="21"/>
          <w:lang w:val="sq-AL"/>
        </w:rPr>
      </w:pPr>
      <w:r w:rsidRPr="00F05E62">
        <w:rPr>
          <w:rFonts w:ascii="CG Times" w:hAnsi="CG Times"/>
          <w:sz w:val="21"/>
          <w:szCs w:val="21"/>
          <w:lang w:val="sq-AL"/>
        </w:rPr>
        <w:t xml:space="preserve">16. Aplikantët dëshironin që dëmi monetar të llogaritej në bazë të vlerës së tregut të tokës në fjalë. Ata nuk binin dakord me propozimin e Qeverisë për t’i aplikuar kriteret e cituara në këtë vendim Gjykate, në çështjen e </w:t>
      </w:r>
      <w:r w:rsidRPr="00F05E62">
        <w:rPr>
          <w:rFonts w:ascii="CG Times" w:hAnsi="CG Times"/>
          <w:i/>
          <w:sz w:val="21"/>
          <w:szCs w:val="21"/>
          <w:lang w:val="sq-AL"/>
        </w:rPr>
        <w:t xml:space="preserve">Guiso-Gallisay v. Italisë </w:t>
      </w:r>
      <w:r w:rsidRPr="00F05E62">
        <w:rPr>
          <w:rFonts w:ascii="CG Times" w:hAnsi="CG Times"/>
          <w:sz w:val="21"/>
          <w:szCs w:val="21"/>
          <w:lang w:val="sq-AL"/>
        </w:rPr>
        <w:t>(kompensim i drejtë) (vendimi nr.58858/00, §§ 103-105, 22 dhjetor 2009), duke argumentuar se atyre nuk iu ishte shpronësuar asnjëherë toka ashtu siç kishte</w:t>
      </w:r>
      <w:r w:rsidRPr="00F05E62">
        <w:rPr>
          <w:rFonts w:ascii="CG Times" w:hAnsi="CG Times"/>
          <w:b/>
          <w:i/>
          <w:sz w:val="21"/>
          <w:szCs w:val="21"/>
          <w:lang w:val="sq-AL"/>
        </w:rPr>
        <w:t xml:space="preserve"> </w:t>
      </w:r>
      <w:r w:rsidRPr="00F05E62">
        <w:rPr>
          <w:rFonts w:ascii="CG Times" w:hAnsi="CG Times"/>
          <w:sz w:val="21"/>
          <w:szCs w:val="21"/>
          <w:lang w:val="sq-AL"/>
        </w:rPr>
        <w:t xml:space="preserve">ndodhur me aplikuesit në çështjen </w:t>
      </w:r>
      <w:r w:rsidRPr="00F05E62">
        <w:rPr>
          <w:rFonts w:ascii="CG Times" w:hAnsi="CG Times"/>
          <w:i/>
          <w:sz w:val="21"/>
          <w:szCs w:val="21"/>
          <w:lang w:val="sq-AL"/>
        </w:rPr>
        <w:t>Guiso-Gallisay kundër Italisë</w:t>
      </w:r>
      <w:r w:rsidRPr="00F05E62">
        <w:rPr>
          <w:rFonts w:ascii="CG Times" w:hAnsi="CG Times"/>
          <w:sz w:val="21"/>
          <w:szCs w:val="21"/>
          <w:lang w:val="sq-AL"/>
        </w:rPr>
        <w:t>, nr.58858/00, §§ 78-97, 8 dhjetor 2005.</w:t>
      </w:r>
    </w:p>
    <w:p w:rsidR="00E214EC" w:rsidRPr="00F05E62" w:rsidRDefault="00E214EC" w:rsidP="00E214EC">
      <w:pPr>
        <w:pStyle w:val="NoSpacing"/>
        <w:ind w:firstLine="720"/>
        <w:jc w:val="both"/>
        <w:rPr>
          <w:rFonts w:ascii="CG Times" w:hAnsi="CG Times"/>
          <w:b/>
          <w:i/>
          <w:sz w:val="21"/>
          <w:szCs w:val="21"/>
          <w:lang w:val="sq-AL"/>
        </w:rPr>
      </w:pPr>
      <w:r w:rsidRPr="00F05E62">
        <w:rPr>
          <w:rFonts w:ascii="CG Times" w:hAnsi="CG Times"/>
          <w:sz w:val="21"/>
          <w:szCs w:val="21"/>
          <w:lang w:val="sq-AL"/>
        </w:rPr>
        <w:t xml:space="preserve">17. Gjatë negociatave me Qeverinë, aplikuesit kishin parashtruar tre metoda për llogaritjen e dëmit monetar. Në fund, ata propozuan se çmimi i referencës për metër katror për llogaritjen e dëmit monetar duhej të ishte 1,500 euro. Sipas tyre, ky çmim korrespondonte me çmimin e referencës për metër katror në vendimin e </w:t>
      </w:r>
      <w:r w:rsidRPr="00F05E62">
        <w:rPr>
          <w:rFonts w:ascii="CG Times" w:hAnsi="CG Times"/>
          <w:sz w:val="21"/>
          <w:szCs w:val="21"/>
          <w:lang w:val="sq-AL"/>
        </w:rPr>
        <w:lastRenderedPageBreak/>
        <w:t>Këshillit të Ministrave nr.1620 të datës 26 nëntor 2008. Duke u bazuar mbi këtë vendim të Këshillit të Ministrave, aplikuesit kontestuan propozimin e Qeverisë për të aplikuar çmimin e referencës prej 1,600 e gjitha, për metër katror, ashtu siç ishte përcaktuar në aktin e 1994-ës (</w:t>
      </w:r>
      <w:r w:rsidRPr="00F05E62">
        <w:rPr>
          <w:rFonts w:ascii="CG Times" w:hAnsi="CG Times"/>
          <w:i/>
          <w:sz w:val="21"/>
          <w:szCs w:val="21"/>
          <w:lang w:val="sq-AL"/>
        </w:rPr>
        <w:t>shiko paragrafin 10 më sipër</w:t>
      </w:r>
      <w:r w:rsidRPr="00F05E62">
        <w:rPr>
          <w:rFonts w:ascii="CG Times" w:hAnsi="CG Times"/>
          <w:sz w:val="21"/>
          <w:szCs w:val="21"/>
          <w:lang w:val="sq-AL"/>
        </w:rPr>
        <w:t>).</w:t>
      </w:r>
    </w:p>
    <w:p w:rsidR="00E214EC" w:rsidRPr="00F05E62" w:rsidRDefault="00E214EC" w:rsidP="00E214EC">
      <w:pPr>
        <w:pStyle w:val="NoSpacing"/>
        <w:ind w:firstLine="720"/>
        <w:jc w:val="both"/>
        <w:rPr>
          <w:rFonts w:ascii="CG Times" w:hAnsi="CG Times"/>
          <w:b/>
          <w:i/>
          <w:sz w:val="21"/>
          <w:szCs w:val="21"/>
          <w:lang w:val="sq-AL"/>
        </w:rPr>
      </w:pPr>
      <w:r w:rsidRPr="00F05E62">
        <w:rPr>
          <w:rFonts w:ascii="CG Times" w:hAnsi="CG Times"/>
          <w:sz w:val="21"/>
          <w:szCs w:val="21"/>
          <w:lang w:val="sq-AL"/>
        </w:rPr>
        <w:t xml:space="preserve">18. Më tej, aplikantët kërkuan që humbja e përfitimeve t’i shtohej shumës së dëmit monetar. Ata shpjeguan se pozicioni i pronës së tyre do të tërhiqte investitorët e pronave të ndërtonin godina të larta, ashtu siç kishte ndodhur me një truall ngjitur me truallin e tyre. Si rezultat i kësaj, ata do të kishin përftuar përfitime të larta. Aplikuesit parashtruan një kontratë investimi, të cilën e kishin përfunduar më 17 maj 2010 me një kompani ndërtimi. Për më tepër, humbja e përfitimeve duhej të përfshinte qiranë që ata do të kishin përfituar duke e lëshuar tokën me qira. Së fundmi, aplikuesit kërkuan që të aplikohej një shkallë interesi duke filluar nga viti 1996, vit në të cilin ata kishin institucionalizuar procedurat ligjore. </w:t>
      </w:r>
    </w:p>
    <w:p w:rsidR="00E214EC" w:rsidRPr="00F05E62" w:rsidRDefault="00E214EC" w:rsidP="00E214EC">
      <w:pPr>
        <w:pStyle w:val="NoSpacing"/>
        <w:ind w:firstLine="720"/>
        <w:jc w:val="both"/>
        <w:rPr>
          <w:rFonts w:ascii="CG Times" w:hAnsi="CG Times"/>
          <w:b/>
          <w:i/>
          <w:sz w:val="21"/>
          <w:szCs w:val="21"/>
          <w:lang w:val="sq-AL"/>
        </w:rPr>
      </w:pPr>
      <w:r w:rsidRPr="00F05E62">
        <w:rPr>
          <w:rFonts w:ascii="CG Times" w:hAnsi="CG Times"/>
          <w:sz w:val="21"/>
          <w:szCs w:val="21"/>
          <w:lang w:val="sq-AL"/>
        </w:rPr>
        <w:t xml:space="preserve">19. Si përfundim, vlerësimet e aplikuesve për dëmin monetar ishin si më poshtë: </w:t>
      </w:r>
    </w:p>
    <w:p w:rsidR="00E214EC" w:rsidRPr="00F05E62" w:rsidRDefault="00E214EC" w:rsidP="00E214EC">
      <w:pPr>
        <w:pStyle w:val="NoSpacing"/>
        <w:ind w:firstLine="720"/>
        <w:rPr>
          <w:rFonts w:ascii="CG Times" w:hAnsi="CG Times"/>
          <w:sz w:val="21"/>
          <w:szCs w:val="21"/>
          <w:lang w:val="sq-AL"/>
        </w:rPr>
      </w:pPr>
      <w:r w:rsidRPr="00F05E62">
        <w:rPr>
          <w:rFonts w:ascii="CG Times" w:hAnsi="CG Times"/>
          <w:sz w:val="21"/>
          <w:szCs w:val="21"/>
          <w:lang w:val="sq-AL"/>
        </w:rPr>
        <w:t>Një truall me përmasat 1,456 m</w:t>
      </w:r>
      <w:r w:rsidRPr="00F05E62">
        <w:rPr>
          <w:rFonts w:ascii="CG Times" w:hAnsi="CG Times"/>
          <w:sz w:val="21"/>
          <w:szCs w:val="21"/>
          <w:vertAlign w:val="superscript"/>
          <w:lang w:val="sq-AL"/>
        </w:rPr>
        <w:t>2</w:t>
      </w:r>
      <w:r w:rsidRPr="00F05E62">
        <w:rPr>
          <w:rFonts w:ascii="CG Times" w:hAnsi="CG Times"/>
          <w:sz w:val="21"/>
          <w:szCs w:val="21"/>
          <w:lang w:val="sq-AL"/>
        </w:rPr>
        <w:t xml:space="preserve"> x 1,500 euro m</w:t>
      </w:r>
      <w:r w:rsidRPr="00F05E62">
        <w:rPr>
          <w:rFonts w:ascii="CG Times" w:hAnsi="CG Times"/>
          <w:sz w:val="21"/>
          <w:szCs w:val="21"/>
          <w:vertAlign w:val="superscript"/>
          <w:lang w:val="sq-AL"/>
        </w:rPr>
        <w:t>2</w:t>
      </w:r>
      <w:r w:rsidRPr="00F05E62">
        <w:rPr>
          <w:rFonts w:ascii="CG Times" w:hAnsi="CG Times"/>
          <w:sz w:val="21"/>
          <w:szCs w:val="21"/>
          <w:lang w:val="sq-AL"/>
        </w:rPr>
        <w:t xml:space="preserve"> </w:t>
      </w:r>
      <w:r w:rsidRPr="00F05E62">
        <w:rPr>
          <w:rFonts w:ascii="CG Times" w:hAnsi="CG Times"/>
          <w:sz w:val="21"/>
          <w:szCs w:val="21"/>
          <w:lang w:val="sq-AL"/>
        </w:rPr>
        <w:tab/>
      </w:r>
      <w:r w:rsidRPr="00F05E62">
        <w:rPr>
          <w:rFonts w:ascii="CG Times" w:hAnsi="CG Times"/>
          <w:sz w:val="21"/>
          <w:szCs w:val="21"/>
          <w:lang w:val="sq-AL"/>
        </w:rPr>
        <w:tab/>
      </w:r>
      <w:r w:rsidRPr="00F05E62">
        <w:rPr>
          <w:rFonts w:ascii="CG Times" w:hAnsi="CG Times"/>
          <w:sz w:val="21"/>
          <w:szCs w:val="21"/>
          <w:lang w:val="sq-AL"/>
        </w:rPr>
        <w:tab/>
      </w:r>
      <w:r>
        <w:rPr>
          <w:rFonts w:ascii="CG Times" w:hAnsi="CG Times"/>
          <w:sz w:val="21"/>
          <w:szCs w:val="21"/>
          <w:lang w:val="sq-AL"/>
        </w:rPr>
        <w:tab/>
      </w:r>
      <w:r w:rsidRPr="00F05E62">
        <w:rPr>
          <w:rFonts w:ascii="CG Times" w:hAnsi="CG Times"/>
          <w:sz w:val="21"/>
          <w:szCs w:val="21"/>
          <w:lang w:val="sq-AL"/>
        </w:rPr>
        <w:t>2,184,000 euro</w:t>
      </w:r>
    </w:p>
    <w:p w:rsidR="00E214EC" w:rsidRPr="00F05E62" w:rsidRDefault="00E214EC" w:rsidP="00E214EC">
      <w:pPr>
        <w:pStyle w:val="NoSpacing"/>
        <w:ind w:firstLine="720"/>
        <w:rPr>
          <w:rFonts w:ascii="CG Times" w:hAnsi="CG Times"/>
          <w:sz w:val="21"/>
          <w:szCs w:val="21"/>
          <w:lang w:val="sq-AL"/>
        </w:rPr>
      </w:pPr>
      <w:r w:rsidRPr="00F05E62">
        <w:rPr>
          <w:rFonts w:ascii="CG Times" w:hAnsi="CG Times"/>
          <w:sz w:val="21"/>
          <w:szCs w:val="21"/>
          <w:lang w:val="sq-AL"/>
        </w:rPr>
        <w:t xml:space="preserve">Vlera e qerasë për periudhën 1 qershor 1996 - 1 qershor 2006 </w:t>
      </w:r>
      <w:r w:rsidRPr="00F05E62">
        <w:rPr>
          <w:rFonts w:ascii="CG Times" w:hAnsi="CG Times"/>
          <w:sz w:val="21"/>
          <w:szCs w:val="21"/>
          <w:lang w:val="sq-AL"/>
        </w:rPr>
        <w:tab/>
      </w:r>
      <w:r w:rsidRPr="00F05E62">
        <w:rPr>
          <w:rFonts w:ascii="CG Times" w:hAnsi="CG Times"/>
          <w:sz w:val="21"/>
          <w:szCs w:val="21"/>
          <w:lang w:val="sq-AL"/>
        </w:rPr>
        <w:tab/>
        <w:t>535,500 euro</w:t>
      </w:r>
    </w:p>
    <w:p w:rsidR="00E214EC" w:rsidRPr="00F05E62" w:rsidRDefault="00E214EC" w:rsidP="00E214EC">
      <w:pPr>
        <w:pStyle w:val="NoSpacing"/>
        <w:ind w:firstLine="720"/>
        <w:rPr>
          <w:rFonts w:ascii="CG Times" w:hAnsi="CG Times"/>
          <w:sz w:val="21"/>
          <w:szCs w:val="21"/>
          <w:lang w:val="sq-AL"/>
        </w:rPr>
      </w:pPr>
      <w:r w:rsidRPr="00F05E62">
        <w:rPr>
          <w:rFonts w:ascii="CG Times" w:hAnsi="CG Times"/>
          <w:sz w:val="21"/>
          <w:szCs w:val="21"/>
          <w:lang w:val="sq-AL"/>
        </w:rPr>
        <w:t xml:space="preserve">Vlera e qerasë për periudhën 1 qershor 2006 - 1 qershor 2010 </w:t>
      </w:r>
      <w:r w:rsidRPr="00F05E62">
        <w:rPr>
          <w:rFonts w:ascii="CG Times" w:hAnsi="CG Times"/>
          <w:sz w:val="21"/>
          <w:szCs w:val="21"/>
          <w:lang w:val="sq-AL"/>
        </w:rPr>
        <w:tab/>
      </w:r>
      <w:r w:rsidRPr="00F05E62">
        <w:rPr>
          <w:rFonts w:ascii="CG Times" w:hAnsi="CG Times"/>
          <w:sz w:val="21"/>
          <w:szCs w:val="21"/>
          <w:lang w:val="sq-AL"/>
        </w:rPr>
        <w:tab/>
        <w:t>274,200 euro</w:t>
      </w:r>
    </w:p>
    <w:p w:rsidR="00E214EC" w:rsidRPr="00F05E62" w:rsidRDefault="00E214EC" w:rsidP="00E214EC">
      <w:pPr>
        <w:pStyle w:val="NoSpacing"/>
        <w:ind w:firstLine="720"/>
        <w:rPr>
          <w:rFonts w:ascii="CG Times" w:hAnsi="CG Times"/>
          <w:sz w:val="21"/>
          <w:szCs w:val="21"/>
          <w:lang w:val="sq-AL"/>
        </w:rPr>
      </w:pPr>
      <w:r w:rsidRPr="00F05E62">
        <w:rPr>
          <w:rFonts w:ascii="CG Times" w:hAnsi="CG Times"/>
          <w:sz w:val="21"/>
          <w:szCs w:val="21"/>
          <w:lang w:val="sq-AL"/>
        </w:rPr>
        <w:t>Një truall me përmasat 181 m</w:t>
      </w:r>
      <w:r w:rsidRPr="00F05E62">
        <w:rPr>
          <w:rFonts w:ascii="CG Times" w:hAnsi="CG Times"/>
          <w:sz w:val="21"/>
          <w:szCs w:val="21"/>
          <w:vertAlign w:val="superscript"/>
          <w:lang w:val="sq-AL"/>
        </w:rPr>
        <w:t>2</w:t>
      </w:r>
      <w:r w:rsidRPr="00F05E62">
        <w:rPr>
          <w:rFonts w:ascii="CG Times" w:hAnsi="CG Times"/>
          <w:sz w:val="21"/>
          <w:szCs w:val="21"/>
          <w:lang w:val="sq-AL"/>
        </w:rPr>
        <w:t xml:space="preserve"> </w:t>
      </w:r>
      <w:r w:rsidRPr="00F05E62">
        <w:rPr>
          <w:rFonts w:ascii="CG Times" w:hAnsi="CG Times"/>
          <w:sz w:val="21"/>
          <w:szCs w:val="21"/>
          <w:lang w:val="sq-AL"/>
        </w:rPr>
        <w:tab/>
      </w:r>
      <w:r w:rsidRPr="00F05E62">
        <w:rPr>
          <w:rFonts w:ascii="CG Times" w:hAnsi="CG Times"/>
          <w:sz w:val="21"/>
          <w:szCs w:val="21"/>
          <w:lang w:val="sq-AL"/>
        </w:rPr>
        <w:tab/>
      </w:r>
      <w:r w:rsidRPr="00F05E62">
        <w:rPr>
          <w:rFonts w:ascii="CG Times" w:hAnsi="CG Times"/>
          <w:sz w:val="21"/>
          <w:szCs w:val="21"/>
          <w:lang w:val="sq-AL"/>
        </w:rPr>
        <w:tab/>
      </w:r>
      <w:r w:rsidRPr="00F05E62">
        <w:rPr>
          <w:rFonts w:ascii="CG Times" w:hAnsi="CG Times"/>
          <w:sz w:val="21"/>
          <w:szCs w:val="21"/>
          <w:lang w:val="sq-AL"/>
        </w:rPr>
        <w:tab/>
      </w:r>
      <w:r w:rsidRPr="00F05E62">
        <w:rPr>
          <w:rFonts w:ascii="CG Times" w:hAnsi="CG Times"/>
          <w:sz w:val="21"/>
          <w:szCs w:val="21"/>
          <w:lang w:val="sq-AL"/>
        </w:rPr>
        <w:tab/>
      </w:r>
      <w:r w:rsidRPr="00F05E62">
        <w:rPr>
          <w:rFonts w:ascii="CG Times" w:hAnsi="CG Times"/>
          <w:sz w:val="21"/>
          <w:szCs w:val="21"/>
          <w:lang w:val="sq-AL"/>
        </w:rPr>
        <w:tab/>
        <w:t>271,500 euro</w:t>
      </w:r>
    </w:p>
    <w:p w:rsidR="00E214EC" w:rsidRPr="00F05E62" w:rsidRDefault="00E214EC" w:rsidP="00E214EC">
      <w:pPr>
        <w:pStyle w:val="NoSpacing"/>
        <w:ind w:firstLine="720"/>
        <w:rPr>
          <w:rFonts w:ascii="CG Times" w:hAnsi="CG Times"/>
          <w:sz w:val="21"/>
          <w:szCs w:val="21"/>
          <w:lang w:val="sq-AL"/>
        </w:rPr>
      </w:pPr>
      <w:r w:rsidRPr="00F05E62">
        <w:rPr>
          <w:rFonts w:ascii="CG Times" w:hAnsi="CG Times"/>
          <w:sz w:val="21"/>
          <w:szCs w:val="21"/>
          <w:lang w:val="sq-AL"/>
        </w:rPr>
        <w:t xml:space="preserve">Interesi bankar për qiranë e vlerësuar për periudhën </w:t>
      </w:r>
    </w:p>
    <w:p w:rsidR="00E214EC" w:rsidRPr="00F05E62" w:rsidRDefault="00E214EC" w:rsidP="00E214EC">
      <w:pPr>
        <w:pStyle w:val="NoSpacing"/>
        <w:ind w:firstLine="720"/>
        <w:rPr>
          <w:rFonts w:ascii="CG Times" w:hAnsi="CG Times"/>
          <w:sz w:val="21"/>
          <w:szCs w:val="21"/>
          <w:lang w:val="sq-AL"/>
        </w:rPr>
      </w:pPr>
      <w:r w:rsidRPr="00F05E62">
        <w:rPr>
          <w:rFonts w:ascii="CG Times" w:hAnsi="CG Times"/>
          <w:sz w:val="21"/>
          <w:szCs w:val="21"/>
          <w:lang w:val="sq-AL"/>
        </w:rPr>
        <w:t>1 qershor 2006 - 1 qershor 2010-651,000 euro</w:t>
      </w:r>
    </w:p>
    <w:p w:rsidR="00E214EC" w:rsidRPr="00F05E62" w:rsidRDefault="00E214EC" w:rsidP="00E214EC">
      <w:pPr>
        <w:pStyle w:val="NoSpacing"/>
        <w:ind w:left="5760" w:firstLine="720"/>
        <w:rPr>
          <w:rFonts w:ascii="CG Times" w:hAnsi="CG Times"/>
          <w:b/>
          <w:sz w:val="21"/>
          <w:szCs w:val="21"/>
          <w:lang w:val="sq-AL"/>
        </w:rPr>
      </w:pPr>
      <w:r w:rsidRPr="00F05E62">
        <w:rPr>
          <w:rFonts w:ascii="CG Times" w:hAnsi="CG Times"/>
          <w:b/>
          <w:sz w:val="21"/>
          <w:szCs w:val="21"/>
          <w:lang w:val="sq-AL"/>
        </w:rPr>
        <w:t>Totali   3,916,200 euro</w:t>
      </w:r>
    </w:p>
    <w:p w:rsidR="00E214EC" w:rsidRPr="00F05E62" w:rsidRDefault="00E214EC" w:rsidP="00E214EC">
      <w:pPr>
        <w:pStyle w:val="NoSpacing"/>
        <w:ind w:firstLine="720"/>
        <w:jc w:val="both"/>
        <w:rPr>
          <w:rFonts w:ascii="CG Times" w:hAnsi="CG Times"/>
          <w:sz w:val="21"/>
          <w:szCs w:val="21"/>
          <w:lang w:val="sq-AL"/>
        </w:rPr>
      </w:pPr>
      <w:r w:rsidRPr="00F05E62">
        <w:rPr>
          <w:rFonts w:ascii="CG Times" w:hAnsi="CG Times"/>
          <w:sz w:val="21"/>
          <w:szCs w:val="21"/>
          <w:lang w:val="sq-AL"/>
        </w:rPr>
        <w:t>b. Qeveria</w:t>
      </w:r>
    </w:p>
    <w:p w:rsidR="00E214EC" w:rsidRPr="00F05E62" w:rsidRDefault="00E214EC" w:rsidP="00E214EC">
      <w:pPr>
        <w:pStyle w:val="ListParagraph"/>
        <w:ind w:left="0" w:firstLine="720"/>
        <w:jc w:val="both"/>
        <w:rPr>
          <w:rFonts w:ascii="CG Times" w:hAnsi="CG Times"/>
          <w:sz w:val="21"/>
          <w:szCs w:val="21"/>
          <w:lang w:val="sq-AL"/>
        </w:rPr>
      </w:pPr>
      <w:r w:rsidRPr="00F05E62">
        <w:rPr>
          <w:rFonts w:ascii="CG Times" w:hAnsi="CG Times"/>
          <w:sz w:val="21"/>
          <w:szCs w:val="21"/>
          <w:lang w:val="sq-AL"/>
        </w:rPr>
        <w:t>20. Qeveria pohoi se aplikuesve iu ishte dhënë e drejta p</w:t>
      </w:r>
      <w:r w:rsidRPr="00F05E62">
        <w:rPr>
          <w:sz w:val="21"/>
          <w:szCs w:val="21"/>
          <w:lang w:val="sq-AL"/>
        </w:rPr>
        <w:t>ë</w:t>
      </w:r>
      <w:r w:rsidRPr="00F05E62">
        <w:rPr>
          <w:rFonts w:ascii="CG Times" w:hAnsi="CG Times"/>
          <w:sz w:val="21"/>
          <w:szCs w:val="21"/>
          <w:lang w:val="sq-AL"/>
        </w:rPr>
        <w:t>r kompensim për një truall me përmasat 1,456 m</w:t>
      </w:r>
      <w:r w:rsidRPr="00F05E62">
        <w:rPr>
          <w:rFonts w:ascii="CG Times" w:hAnsi="CG Times"/>
          <w:sz w:val="21"/>
          <w:szCs w:val="21"/>
          <w:vertAlign w:val="superscript"/>
          <w:lang w:val="sq-AL"/>
        </w:rPr>
        <w:t>2</w:t>
      </w:r>
      <w:r w:rsidRPr="00F05E62">
        <w:rPr>
          <w:rFonts w:ascii="CG Times" w:hAnsi="CG Times"/>
          <w:sz w:val="21"/>
          <w:szCs w:val="21"/>
          <w:lang w:val="sq-AL"/>
        </w:rPr>
        <w:t>, ashtu siç ishte vendosur nga gjykatat kombëtare. Ata e kundërshtuan kërkesën e aplikuesve për t’u kompensuar edhe për truallin me përmasat 181 m</w:t>
      </w:r>
      <w:r w:rsidRPr="00F05E62">
        <w:rPr>
          <w:rFonts w:ascii="CG Times" w:hAnsi="CG Times"/>
          <w:sz w:val="21"/>
          <w:szCs w:val="21"/>
          <w:vertAlign w:val="superscript"/>
          <w:lang w:val="sq-AL"/>
        </w:rPr>
        <w:t>2</w:t>
      </w:r>
      <w:r w:rsidRPr="00F05E62">
        <w:rPr>
          <w:rFonts w:ascii="CG Times" w:hAnsi="CG Times"/>
          <w:sz w:val="21"/>
          <w:szCs w:val="21"/>
          <w:lang w:val="sq-AL"/>
        </w:rPr>
        <w:t xml:space="preserve">, i cili sipas tyre, nuk kishte qenë objekti i kontrollit të Gjykatës në vendimin e saj fillestar. </w:t>
      </w:r>
    </w:p>
    <w:p w:rsidR="00E214EC" w:rsidRPr="00F05E62" w:rsidRDefault="00E214EC" w:rsidP="00E214EC">
      <w:pPr>
        <w:ind w:firstLine="720"/>
        <w:jc w:val="both"/>
        <w:rPr>
          <w:rFonts w:ascii="CG Times" w:hAnsi="CG Times"/>
          <w:sz w:val="21"/>
          <w:szCs w:val="21"/>
          <w:lang w:val="sq-AL"/>
        </w:rPr>
      </w:pPr>
      <w:r w:rsidRPr="00F05E62">
        <w:rPr>
          <w:rFonts w:ascii="CG Times" w:hAnsi="CG Times"/>
          <w:sz w:val="21"/>
          <w:szCs w:val="21"/>
          <w:lang w:val="sq-AL"/>
        </w:rPr>
        <w:t>21. Qeveria përpunoi dy metoda për llogaritjen e dëmit monetar. Sipas metodës së parë të përllogaritjes, ata propozuan përdorimin e çmimit të referencës për metër katror, siç ishte miratuar nga vendimi i Këshillit të Ministrave për hartat e vlerësimit të pronës (</w:t>
      </w:r>
      <w:r w:rsidRPr="00F05E62">
        <w:rPr>
          <w:rFonts w:ascii="CG Times" w:hAnsi="CG Times"/>
          <w:i/>
          <w:sz w:val="21"/>
          <w:szCs w:val="21"/>
          <w:lang w:val="sq-AL"/>
        </w:rPr>
        <w:t>shiko paragrafët 11 dhe 12 më sipër</w:t>
      </w:r>
      <w:r w:rsidRPr="00F05E62">
        <w:rPr>
          <w:rFonts w:ascii="CG Times" w:hAnsi="CG Times"/>
          <w:sz w:val="21"/>
          <w:szCs w:val="21"/>
          <w:lang w:val="sq-AL"/>
        </w:rPr>
        <w:t xml:space="preserve">). </w:t>
      </w:r>
    </w:p>
    <w:p w:rsidR="00E214EC" w:rsidRPr="00F05E62" w:rsidRDefault="00E214EC" w:rsidP="00E214EC">
      <w:pPr>
        <w:ind w:firstLine="720"/>
        <w:jc w:val="both"/>
        <w:rPr>
          <w:rFonts w:ascii="CG Times" w:hAnsi="CG Times"/>
          <w:sz w:val="21"/>
          <w:szCs w:val="21"/>
          <w:lang w:val="sq-AL"/>
        </w:rPr>
      </w:pPr>
      <w:r w:rsidRPr="00F05E62">
        <w:rPr>
          <w:rFonts w:ascii="CG Times" w:hAnsi="CG Times"/>
          <w:sz w:val="21"/>
          <w:szCs w:val="21"/>
          <w:lang w:val="sq-AL"/>
        </w:rPr>
        <w:t xml:space="preserve">22. Metoda e dytë e përllogaritjes, të cilën ata e përkrahnin më shumë, bazohej mbi këtë vendim të Gjykatës në çështjen </w:t>
      </w:r>
      <w:r w:rsidRPr="00F05E62">
        <w:rPr>
          <w:rFonts w:ascii="CG Times" w:hAnsi="CG Times"/>
          <w:i/>
          <w:sz w:val="21"/>
          <w:szCs w:val="21"/>
          <w:lang w:val="sq-AL"/>
        </w:rPr>
        <w:t xml:space="preserve">Driza v. Shqipërisë, </w:t>
      </w:r>
      <w:r w:rsidRPr="00F05E62">
        <w:rPr>
          <w:rFonts w:ascii="CG Times" w:hAnsi="CG Times"/>
          <w:sz w:val="21"/>
          <w:szCs w:val="21"/>
          <w:lang w:val="sq-AL"/>
        </w:rPr>
        <w:t xml:space="preserve">nr.33771/02, § 137, ECHR 2007-XII (ekstraktet), të cilat i referoheshin “çmimeve ... të tregut të pronave në kohën e vendimeve të rëndësishme (vendore)”. Më tej Qeveria u mbështet mbi principin e kohëve të fundit, të miratuar nga Dhoma e Madhe e Gjykatës në çështjen </w:t>
      </w:r>
      <w:r w:rsidRPr="00F05E62">
        <w:rPr>
          <w:rFonts w:ascii="CG Times" w:hAnsi="CG Times"/>
          <w:i/>
          <w:sz w:val="21"/>
          <w:szCs w:val="21"/>
          <w:lang w:val="sq-AL"/>
        </w:rPr>
        <w:t>Guiso-Gallisay v. Italisë</w:t>
      </w:r>
      <w:r w:rsidRPr="00F05E62">
        <w:rPr>
          <w:rFonts w:ascii="CG Times" w:hAnsi="CG Times"/>
          <w:sz w:val="21"/>
          <w:szCs w:val="21"/>
          <w:lang w:val="sq-AL"/>
        </w:rPr>
        <w:t xml:space="preserve"> (kompensim i drejtë), i cituar më sipër, sipas së cilit “data e cila duhet të merret në konsideratë për përcaktimin e dëmit monetar nuk duhet të jetë ajo datë në të cilën lëshohet vendimi i Gjykatës, por ajo datë në të cilën (aplikuesit) humbën pronësinë e tokës” (</w:t>
      </w:r>
      <w:r w:rsidRPr="00F05E62">
        <w:rPr>
          <w:rFonts w:ascii="CG Times" w:hAnsi="CG Times"/>
          <w:i/>
          <w:sz w:val="21"/>
          <w:szCs w:val="21"/>
          <w:lang w:val="sq-AL"/>
        </w:rPr>
        <w:t>shiko § 103 të vendimit</w:t>
      </w:r>
      <w:r w:rsidRPr="00F05E62">
        <w:rPr>
          <w:rFonts w:ascii="CG Times" w:hAnsi="CG Times"/>
          <w:sz w:val="21"/>
          <w:szCs w:val="21"/>
          <w:lang w:val="sq-AL"/>
        </w:rPr>
        <w:t xml:space="preserve">). </w:t>
      </w:r>
    </w:p>
    <w:p w:rsidR="00E214EC" w:rsidRPr="00F05E62" w:rsidRDefault="00E214EC" w:rsidP="00E214EC">
      <w:pPr>
        <w:ind w:firstLine="720"/>
        <w:jc w:val="both"/>
        <w:rPr>
          <w:rFonts w:ascii="CG Times" w:hAnsi="CG Times"/>
          <w:sz w:val="21"/>
          <w:szCs w:val="21"/>
          <w:lang w:val="sq-AL"/>
        </w:rPr>
      </w:pPr>
      <w:r w:rsidRPr="00F05E62">
        <w:rPr>
          <w:rFonts w:ascii="CG Times" w:hAnsi="CG Times"/>
          <w:sz w:val="21"/>
          <w:szCs w:val="21"/>
          <w:lang w:val="sq-AL"/>
        </w:rPr>
        <w:t>23. Si pasojë, duke iu referuar aktit të vitit 1994 i cili vazhdoi të aplikohej edhe kur e drejta e aplikuesve më në fund u njoh nga vendimi i Gjykatës së Lartë më 15 qershor 2004, Qeveria deklaroi se çmimi i referencës duhej të ishte 1,600 e gjitha për metër katror (</w:t>
      </w:r>
      <w:r w:rsidRPr="00F05E62">
        <w:rPr>
          <w:rFonts w:ascii="CG Times" w:hAnsi="CG Times"/>
          <w:i/>
          <w:sz w:val="21"/>
          <w:szCs w:val="21"/>
          <w:lang w:val="sq-AL"/>
        </w:rPr>
        <w:t>shiko paragrafin 10 më sipër</w:t>
      </w:r>
      <w:r w:rsidRPr="00F05E62">
        <w:rPr>
          <w:rFonts w:ascii="CG Times" w:hAnsi="CG Times"/>
          <w:sz w:val="21"/>
          <w:szCs w:val="21"/>
          <w:lang w:val="sq-AL"/>
        </w:rPr>
        <w:t>). Ata e kundërshtuan aplikimin e çmimeve të referencës të përfshirë në hartat e vlerësimit t</w:t>
      </w:r>
      <w:r w:rsidRPr="00F05E62">
        <w:rPr>
          <w:sz w:val="21"/>
          <w:szCs w:val="21"/>
          <w:lang w:val="sq-AL"/>
        </w:rPr>
        <w:t>ë</w:t>
      </w:r>
      <w:r w:rsidRPr="00F05E62">
        <w:rPr>
          <w:rFonts w:ascii="CG Times" w:hAnsi="CG Times"/>
          <w:sz w:val="21"/>
          <w:szCs w:val="21"/>
          <w:lang w:val="sq-AL"/>
        </w:rPr>
        <w:t xml:space="preserve"> pronës në vitin 2008, i cili ishte miratuar si rezultat i masave të përgjithshme të përcaktuara nga Gjykata në vendimin Driza (</w:t>
      </w:r>
      <w:r w:rsidRPr="00F05E62">
        <w:rPr>
          <w:rFonts w:ascii="CG Times" w:hAnsi="CG Times"/>
          <w:i/>
          <w:sz w:val="21"/>
          <w:szCs w:val="21"/>
          <w:lang w:val="sq-AL"/>
        </w:rPr>
        <w:t>shiko paragrafin 126 të vendimit</w:t>
      </w:r>
      <w:r w:rsidRPr="00F05E62">
        <w:rPr>
          <w:rFonts w:ascii="CG Times" w:hAnsi="CG Times"/>
          <w:sz w:val="21"/>
          <w:szCs w:val="21"/>
          <w:lang w:val="sq-AL"/>
        </w:rPr>
        <w:t xml:space="preserve">). Megjithatë, ata shtuan se të tilla harta ishin përdorur së fundmi për të llogaritur shpërblimin e kompensimit financiar për pronarët e mëparshëm dhe ato reflektonin vlerën reale të tregut, e cila kishte pasur tregues si të interesit po ashtu edhe të inflacionit. </w:t>
      </w:r>
    </w:p>
    <w:p w:rsidR="00E214EC" w:rsidRPr="00F05E62" w:rsidRDefault="00E214EC" w:rsidP="00E214EC">
      <w:pPr>
        <w:ind w:firstLine="720"/>
        <w:jc w:val="both"/>
        <w:rPr>
          <w:rFonts w:ascii="CG Times" w:hAnsi="CG Times"/>
          <w:sz w:val="21"/>
          <w:szCs w:val="21"/>
          <w:lang w:val="sq-AL"/>
        </w:rPr>
      </w:pPr>
      <w:r w:rsidRPr="00F05E62">
        <w:rPr>
          <w:rFonts w:ascii="CG Times" w:hAnsi="CG Times"/>
          <w:sz w:val="21"/>
          <w:szCs w:val="21"/>
          <w:lang w:val="sq-AL"/>
        </w:rPr>
        <w:t xml:space="preserve">24. Qeveria e konsideroi si hipotetike deklaratën e aplikantëve në lidhje me konstruksionin e një ndërtese të lartë në truall dhe humbjen e përfitimeve përkatëse. Fillimisht, ata argumentuan se prona e aplikuesve i ishte shitur Ambasadës Italiane. Së dyti, konstruksioni i një ndërtese do të varej nga lëshimi i një leje ndërtimi, por gjithsesi nuk kishte garanci se ajo do të sigurohej. </w:t>
      </w:r>
    </w:p>
    <w:p w:rsidR="00E214EC" w:rsidRPr="00F05E62" w:rsidRDefault="00E214EC" w:rsidP="00E214EC">
      <w:pPr>
        <w:ind w:firstLine="720"/>
        <w:jc w:val="both"/>
        <w:rPr>
          <w:rFonts w:ascii="CG Times" w:hAnsi="CG Times"/>
          <w:sz w:val="21"/>
          <w:szCs w:val="21"/>
          <w:lang w:val="sq-AL"/>
        </w:rPr>
      </w:pPr>
      <w:r w:rsidRPr="00F05E62">
        <w:rPr>
          <w:rFonts w:ascii="CG Times" w:hAnsi="CG Times"/>
          <w:sz w:val="21"/>
          <w:szCs w:val="21"/>
          <w:lang w:val="sq-AL"/>
        </w:rPr>
        <w:t>25. Më tej, Qeveria mbështeti mendimin se humbja e përfitimit duhej të llogaritej në bazë të një shkalle të interesit vjetor bankar, i cili aplikohej te dhënia e kompensimit. Megjithatë, ata nuk ranë dakord si me aplikuesit ashtu edhe me përllogaritjen e qerasë që ata do të kishin përftuar nëse do ta kishin dhënë pronën me qira.</w:t>
      </w:r>
    </w:p>
    <w:p w:rsidR="00E214EC" w:rsidRDefault="00E214EC" w:rsidP="00E214EC">
      <w:pPr>
        <w:ind w:firstLine="720"/>
        <w:jc w:val="both"/>
        <w:rPr>
          <w:rFonts w:ascii="CG Times" w:hAnsi="CG Times"/>
          <w:sz w:val="21"/>
          <w:szCs w:val="21"/>
          <w:lang w:val="sq-AL"/>
        </w:rPr>
      </w:pPr>
    </w:p>
    <w:p w:rsidR="00E214EC" w:rsidRPr="00F05E62" w:rsidRDefault="00E214EC" w:rsidP="00E214EC">
      <w:pPr>
        <w:ind w:firstLine="720"/>
        <w:jc w:val="both"/>
        <w:rPr>
          <w:rFonts w:ascii="CG Times" w:hAnsi="CG Times"/>
          <w:sz w:val="21"/>
          <w:szCs w:val="21"/>
          <w:lang w:val="sq-AL"/>
        </w:rPr>
      </w:pPr>
      <w:r w:rsidRPr="00F05E62">
        <w:rPr>
          <w:rFonts w:ascii="CG Times" w:hAnsi="CG Times"/>
          <w:sz w:val="21"/>
          <w:szCs w:val="21"/>
          <w:lang w:val="sq-AL"/>
        </w:rPr>
        <w:t xml:space="preserve">26. Qeveria propozoi që aplikuesve t’i jepej 21,000 euro për dëmin jomonetar. </w:t>
      </w:r>
    </w:p>
    <w:p w:rsidR="00E214EC" w:rsidRPr="00F05E62" w:rsidRDefault="00E214EC" w:rsidP="00E214EC">
      <w:pPr>
        <w:ind w:firstLine="720"/>
        <w:jc w:val="both"/>
        <w:rPr>
          <w:rFonts w:ascii="CG Times" w:hAnsi="CG Times"/>
          <w:sz w:val="21"/>
          <w:szCs w:val="21"/>
          <w:lang w:val="sq-AL"/>
        </w:rPr>
      </w:pPr>
      <w:r w:rsidRPr="00F05E62">
        <w:rPr>
          <w:rFonts w:ascii="CG Times" w:hAnsi="CG Times"/>
          <w:sz w:val="21"/>
          <w:szCs w:val="21"/>
          <w:lang w:val="sq-AL"/>
        </w:rPr>
        <w:t>a) Parimet e aplikueshme</w:t>
      </w:r>
    </w:p>
    <w:p w:rsidR="00E214EC" w:rsidRPr="00F05E62" w:rsidRDefault="00E214EC" w:rsidP="00E214EC">
      <w:pPr>
        <w:ind w:firstLine="720"/>
        <w:jc w:val="both"/>
        <w:rPr>
          <w:rFonts w:ascii="CG Times" w:hAnsi="CG Times"/>
          <w:sz w:val="21"/>
          <w:szCs w:val="21"/>
          <w:lang w:val="sq-AL"/>
        </w:rPr>
      </w:pPr>
      <w:r w:rsidRPr="00F05E62">
        <w:rPr>
          <w:rFonts w:ascii="CG Times" w:hAnsi="CG Times"/>
          <w:sz w:val="21"/>
          <w:szCs w:val="21"/>
          <w:lang w:val="sq-AL"/>
        </w:rPr>
        <w:lastRenderedPageBreak/>
        <w:t>27. Gjykata shpjegon se një vendim në të cilin gjendet një thyerje e ligjit e vendos shtetin përgjegjës përpara një detyrimi ligjor për t’i dhënë fund thyerjes dhe për të kompensuar pasojat e tij në mënyrë të tillë që ta rimëkëmbë sa më shumë të mundet situatën drejt gjendjes së mëparshme (Iatridis v.Greqisë</w:t>
      </w:r>
      <w:r w:rsidRPr="00F05E62">
        <w:rPr>
          <w:rFonts w:ascii="CG Times" w:hAnsi="CG Times"/>
          <w:i/>
          <w:sz w:val="21"/>
          <w:szCs w:val="21"/>
          <w:lang w:val="sq-AL"/>
        </w:rPr>
        <w:t xml:space="preserve"> </w:t>
      </w:r>
      <w:r w:rsidRPr="00F05E62">
        <w:rPr>
          <w:rFonts w:ascii="CG Times" w:hAnsi="CG Times"/>
          <w:sz w:val="21"/>
          <w:szCs w:val="21"/>
          <w:lang w:val="sq-AL"/>
        </w:rPr>
        <w:t>(kompensim i drejtë)</w:t>
      </w:r>
      <w:r w:rsidRPr="00F05E62">
        <w:rPr>
          <w:rFonts w:ascii="CG Times" w:hAnsi="CG Times"/>
          <w:i/>
          <w:sz w:val="21"/>
          <w:szCs w:val="21"/>
          <w:lang w:val="sq-AL"/>
        </w:rPr>
        <w:t xml:space="preserve"> </w:t>
      </w:r>
      <w:r w:rsidRPr="00F05E62">
        <w:rPr>
          <w:rFonts w:ascii="CG Times" w:hAnsi="CG Times"/>
          <w:sz w:val="21"/>
          <w:szCs w:val="21"/>
          <w:lang w:val="sq-AL"/>
        </w:rPr>
        <w:t>(QGJ),</w:t>
      </w:r>
      <w:r w:rsidRPr="00F05E62">
        <w:rPr>
          <w:rFonts w:ascii="CG Times" w:hAnsi="CG Times"/>
          <w:i/>
          <w:sz w:val="21"/>
          <w:szCs w:val="21"/>
          <w:lang w:val="sq-AL"/>
        </w:rPr>
        <w:t xml:space="preserve"> </w:t>
      </w:r>
      <w:r w:rsidRPr="00F05E62">
        <w:rPr>
          <w:rFonts w:ascii="CG Times" w:hAnsi="CG Times"/>
          <w:sz w:val="21"/>
          <w:szCs w:val="21"/>
          <w:lang w:val="sq-AL"/>
        </w:rPr>
        <w:t xml:space="preserve">nr.31107/96, § 32, ECHR 2000-XI). </w:t>
      </w:r>
    </w:p>
    <w:p w:rsidR="00E214EC" w:rsidRPr="00F05E62" w:rsidRDefault="00E214EC" w:rsidP="00E214EC">
      <w:pPr>
        <w:pStyle w:val="NoSpacing"/>
        <w:ind w:firstLine="720"/>
        <w:jc w:val="both"/>
        <w:rPr>
          <w:rFonts w:ascii="CG Times" w:hAnsi="CG Times"/>
          <w:sz w:val="21"/>
          <w:szCs w:val="21"/>
          <w:lang w:val="sq-AL"/>
        </w:rPr>
      </w:pPr>
      <w:r w:rsidRPr="00F05E62">
        <w:rPr>
          <w:rFonts w:ascii="CG Times" w:hAnsi="CG Times"/>
          <w:sz w:val="21"/>
          <w:szCs w:val="21"/>
          <w:lang w:val="sq-AL"/>
        </w:rPr>
        <w:t xml:space="preserve">28. Shtetet kontraktuese të cilat janë palët e një çështjeje, në parim janë të lira të zgjedhin mjetet me anë të të cilave ato do të procedojnë me një vendim tek i cili Gjykata ka gjetur një thyerje. Kjo pavarësi ashtu si edhe mënyra e ekzekutimit të një vendimi reflekton lirinë e zgjedhjes, bashkëngjitur me detyrimin parësor të shteteve kontraktuese nën Konventë për të garantuar liritë dhe të drejtat (neni 1). Nëse natyra e shkeljes lejon </w:t>
      </w:r>
      <w:r w:rsidRPr="00F05E62">
        <w:rPr>
          <w:rFonts w:ascii="CG Times" w:hAnsi="CG Times"/>
          <w:i/>
          <w:sz w:val="21"/>
          <w:szCs w:val="21"/>
          <w:lang w:val="sq-AL"/>
        </w:rPr>
        <w:t xml:space="preserve">restitutio in integrium, </w:t>
      </w:r>
      <w:r w:rsidRPr="00F05E62">
        <w:rPr>
          <w:rFonts w:ascii="CG Times" w:hAnsi="CG Times"/>
          <w:sz w:val="21"/>
          <w:szCs w:val="21"/>
          <w:lang w:val="sq-AL"/>
        </w:rPr>
        <w:t xml:space="preserve">përgjegjësia i kalon shtetit përkatës. Nëse, ligji kombëtar nuk lejon-ose lejon pjesërisht-kompensimin për pasojat e shkaktuara nga thyerja e ligjit, neni 41 i jep të drejtën Gjykatës të mbështesë palën e dëmtuar me aq kompensim sa e gjykon ajo të arsyeshme (shiko </w:t>
      </w:r>
      <w:r w:rsidRPr="00F05E62">
        <w:rPr>
          <w:rFonts w:ascii="CG Times" w:hAnsi="CG Times"/>
          <w:i/>
          <w:sz w:val="21"/>
          <w:szCs w:val="21"/>
          <w:lang w:val="sq-AL"/>
        </w:rPr>
        <w:t>Brumarescu v. Rumanisë</w:t>
      </w:r>
      <w:r w:rsidRPr="00F05E62">
        <w:rPr>
          <w:rFonts w:ascii="CG Times" w:hAnsi="CG Times"/>
          <w:sz w:val="21"/>
          <w:szCs w:val="21"/>
          <w:lang w:val="sq-AL"/>
        </w:rPr>
        <w:t xml:space="preserve"> (kompensim i drejtë) [Q GJ], nr&gt;28342/95, 20, ECHR 2001-I).</w:t>
      </w:r>
    </w:p>
    <w:p w:rsidR="00E214EC" w:rsidRPr="00F05E62" w:rsidRDefault="00E214EC" w:rsidP="00E214EC">
      <w:pPr>
        <w:pStyle w:val="NoSpacing"/>
        <w:ind w:firstLine="720"/>
        <w:jc w:val="both"/>
        <w:rPr>
          <w:rFonts w:ascii="CG Times" w:hAnsi="CG Times"/>
          <w:sz w:val="21"/>
          <w:szCs w:val="21"/>
          <w:lang w:val="sq-AL"/>
        </w:rPr>
      </w:pPr>
      <w:r w:rsidRPr="00F05E62">
        <w:rPr>
          <w:rFonts w:ascii="CG Times" w:hAnsi="CG Times"/>
          <w:sz w:val="21"/>
          <w:szCs w:val="21"/>
          <w:lang w:val="sq-AL"/>
        </w:rPr>
        <w:t xml:space="preserve">29. Midis çështjeve që Gjykata merr në konsideratë për kompensim janë dëmet monetare (humbjet vijnë si rezultat direkt i shkeljeve të deklaruara), dëmet jomonetare (kompensim për ankthin, shqetësimin dhe pasigurinë të shkaktuara nga shkeljet e bëra), si edhe humbjet e tjera jomonetare (shiko, midis autoriteteve të tjera, </w:t>
      </w:r>
      <w:r w:rsidRPr="00F05E62">
        <w:rPr>
          <w:rFonts w:ascii="CG Times" w:hAnsi="CG Times"/>
          <w:i/>
          <w:sz w:val="21"/>
          <w:szCs w:val="21"/>
          <w:lang w:val="sq-AL"/>
        </w:rPr>
        <w:t>Ernestina Zullo v. Italisë</w:t>
      </w:r>
      <w:r w:rsidRPr="00F05E62">
        <w:rPr>
          <w:rFonts w:ascii="CG Times" w:hAnsi="CG Times"/>
          <w:sz w:val="21"/>
          <w:szCs w:val="21"/>
          <w:lang w:val="sq-AL"/>
        </w:rPr>
        <w:t xml:space="preserve">, nr.64897/01, 25, 10 nëntor 2004). Për më tepër, nëse një ose më shumë dëme nuk llogariten siç duhet, ose dallimi midis dëmit monetar dhe jomonetar është i vështirë për t’u bërë, Gjykata mund të vendosë të bëjë një vlerësim të përgjithshëm (shiko </w:t>
      </w:r>
      <w:r w:rsidRPr="00F05E62">
        <w:rPr>
          <w:rFonts w:ascii="CG Times" w:hAnsi="CG Times"/>
          <w:i/>
          <w:sz w:val="21"/>
          <w:szCs w:val="21"/>
          <w:lang w:val="sq-AL"/>
        </w:rPr>
        <w:t xml:space="preserve">Comingersoll v. Portugalisë </w:t>
      </w:r>
      <w:r w:rsidRPr="00F05E62">
        <w:rPr>
          <w:rFonts w:ascii="CG Times" w:hAnsi="CG Times"/>
          <w:sz w:val="21"/>
          <w:szCs w:val="21"/>
          <w:lang w:val="sq-AL"/>
        </w:rPr>
        <w:t xml:space="preserve">[QGJ], nr.35382/97, 29, ECHR 2000-IV). </w:t>
      </w:r>
    </w:p>
    <w:p w:rsidR="00E214EC" w:rsidRPr="00F05E62" w:rsidRDefault="00E214EC" w:rsidP="00E214EC">
      <w:pPr>
        <w:pStyle w:val="NoSpacing"/>
        <w:ind w:firstLine="720"/>
        <w:jc w:val="both"/>
        <w:rPr>
          <w:rFonts w:ascii="CG Times" w:hAnsi="CG Times"/>
          <w:sz w:val="21"/>
          <w:szCs w:val="21"/>
          <w:lang w:val="sq-AL"/>
        </w:rPr>
      </w:pPr>
      <w:r w:rsidRPr="00F05E62">
        <w:rPr>
          <w:rFonts w:ascii="CG Times" w:hAnsi="CG Times"/>
          <w:sz w:val="21"/>
          <w:szCs w:val="21"/>
          <w:lang w:val="sq-AL"/>
        </w:rPr>
        <w:t xml:space="preserve">30. Gjykata vë re se Qeveria përgjegjëse ka ngritur dy linja kryesore për argumentim. E para ka të bëjë me truallin që duhet kompensuar dhe e dyta mbështetet mbi metodën për llogaritjen e dëmit monetar. Për pasojë Gjykata do të marrë në shqyrtim dy çështjet e mëposhtme. </w:t>
      </w:r>
    </w:p>
    <w:p w:rsidR="00E214EC" w:rsidRPr="00F05E62" w:rsidRDefault="00E214EC" w:rsidP="00E214EC">
      <w:pPr>
        <w:pStyle w:val="NoSpacing"/>
        <w:ind w:firstLine="720"/>
        <w:jc w:val="both"/>
        <w:rPr>
          <w:rFonts w:ascii="CG Times" w:hAnsi="CG Times"/>
          <w:sz w:val="21"/>
          <w:szCs w:val="21"/>
          <w:lang w:val="sq-AL"/>
        </w:rPr>
      </w:pPr>
      <w:r w:rsidRPr="00F05E62">
        <w:rPr>
          <w:rFonts w:ascii="CG Times" w:hAnsi="CG Times"/>
          <w:sz w:val="21"/>
          <w:szCs w:val="21"/>
          <w:lang w:val="sq-AL"/>
        </w:rPr>
        <w:t>b) Qëllimi i çështjes</w:t>
      </w:r>
    </w:p>
    <w:p w:rsidR="00E214EC" w:rsidRPr="00F05E62" w:rsidRDefault="00E214EC" w:rsidP="00E214EC">
      <w:pPr>
        <w:pStyle w:val="NoSpacing"/>
        <w:ind w:firstLine="720"/>
        <w:jc w:val="both"/>
        <w:rPr>
          <w:rFonts w:ascii="CG Times" w:hAnsi="CG Times"/>
          <w:sz w:val="21"/>
          <w:szCs w:val="21"/>
          <w:lang w:val="sq-AL"/>
        </w:rPr>
      </w:pPr>
      <w:r w:rsidRPr="00F05E62">
        <w:rPr>
          <w:rFonts w:ascii="CG Times" w:hAnsi="CG Times"/>
          <w:sz w:val="21"/>
          <w:szCs w:val="21"/>
          <w:lang w:val="sq-AL"/>
        </w:rPr>
        <w:t xml:space="preserve">31. Gjykata thekson se në vendimin themelor vihet re një shkelje e nenit </w:t>
      </w:r>
      <w:r w:rsidRPr="00F05E62">
        <w:rPr>
          <w:rFonts w:ascii="CG Times" w:hAnsi="CG Times"/>
          <w:sz w:val="21"/>
          <w:szCs w:val="21"/>
          <w:lang w:val="sq-AL"/>
        </w:rPr>
        <w:softHyphen/>
        <w:t>6 § 1 të Konventës dhe nenit 1 të protokollit nr.1 të Konventës në lidhje me dështimin e autoriteteve për të kompensuar aplikuesit në vend të rikthimit të pronave të tyre, duke mos zbatuar kështu vendimin e formës së prerë të gjykatës vendore në favor të aplikuesve (</w:t>
      </w:r>
      <w:r w:rsidRPr="00F05E62">
        <w:rPr>
          <w:rFonts w:ascii="CG Times" w:hAnsi="CG Times"/>
          <w:i/>
          <w:sz w:val="21"/>
          <w:szCs w:val="21"/>
          <w:lang w:val="sq-AL"/>
        </w:rPr>
        <w:t>shiko më sipër paragrafin 3</w:t>
      </w:r>
      <w:r w:rsidRPr="00F05E62">
        <w:rPr>
          <w:rFonts w:ascii="CG Times" w:hAnsi="CG Times"/>
          <w:sz w:val="21"/>
          <w:szCs w:val="21"/>
          <w:lang w:val="sq-AL"/>
        </w:rPr>
        <w:t>). Gjykata, gjithashtu, thekson se vendimi i formës së prerë marrë nga gjykata vendore i njeh aplikuesve të drejtën për kompensim vetëm për 1,456 m</w:t>
      </w:r>
      <w:r w:rsidRPr="00F05E62">
        <w:rPr>
          <w:rFonts w:ascii="CG Times" w:hAnsi="CG Times"/>
          <w:sz w:val="21"/>
          <w:szCs w:val="21"/>
          <w:vertAlign w:val="superscript"/>
          <w:lang w:val="sq-AL"/>
        </w:rPr>
        <w:t>2</w:t>
      </w:r>
      <w:r w:rsidRPr="00F05E62">
        <w:rPr>
          <w:rFonts w:ascii="CG Times" w:hAnsi="CG Times"/>
          <w:sz w:val="21"/>
          <w:szCs w:val="21"/>
          <w:lang w:val="sq-AL"/>
        </w:rPr>
        <w:t>. E drejta e tyre për kompensim për truallin me sipërfaqe 181 m</w:t>
      </w:r>
      <w:r w:rsidRPr="00F05E62">
        <w:rPr>
          <w:rFonts w:ascii="CG Times" w:hAnsi="CG Times"/>
          <w:sz w:val="21"/>
          <w:szCs w:val="21"/>
          <w:vertAlign w:val="superscript"/>
          <w:lang w:val="sq-AL"/>
        </w:rPr>
        <w:t>2</w:t>
      </w:r>
      <w:r w:rsidRPr="00F05E62">
        <w:rPr>
          <w:rFonts w:ascii="CG Times" w:hAnsi="CG Times"/>
          <w:sz w:val="21"/>
          <w:szCs w:val="21"/>
          <w:lang w:val="sq-AL"/>
        </w:rPr>
        <w:t xml:space="preserve">, siç ishte pranuar nga vendimet e Komisionit, nuk u mor në konsideratë. </w:t>
      </w:r>
    </w:p>
    <w:p w:rsidR="00E214EC" w:rsidRPr="00F05E62" w:rsidRDefault="00E214EC" w:rsidP="00E214EC">
      <w:pPr>
        <w:pStyle w:val="NoSpacing"/>
        <w:ind w:firstLine="720"/>
        <w:jc w:val="both"/>
        <w:rPr>
          <w:rFonts w:ascii="CG Times" w:hAnsi="CG Times"/>
          <w:sz w:val="21"/>
          <w:szCs w:val="21"/>
          <w:lang w:val="sq-AL"/>
        </w:rPr>
      </w:pPr>
      <w:r w:rsidRPr="00F05E62">
        <w:rPr>
          <w:rFonts w:ascii="CG Times" w:hAnsi="CG Times"/>
          <w:sz w:val="21"/>
          <w:szCs w:val="21"/>
          <w:lang w:val="sq-AL"/>
        </w:rPr>
        <w:t>32. Kështu, Gjykata do të kontrollojë përllogaritjen e dëmit monetar për truallin prej 1,456 m</w:t>
      </w:r>
      <w:r w:rsidRPr="00F05E62">
        <w:rPr>
          <w:rFonts w:ascii="CG Times" w:hAnsi="CG Times"/>
          <w:sz w:val="21"/>
          <w:szCs w:val="21"/>
          <w:vertAlign w:val="superscript"/>
          <w:lang w:val="sq-AL"/>
        </w:rPr>
        <w:t>2</w:t>
      </w:r>
      <w:r w:rsidRPr="00F05E62">
        <w:rPr>
          <w:rFonts w:ascii="CG Times" w:hAnsi="CG Times"/>
          <w:sz w:val="21"/>
          <w:szCs w:val="21"/>
          <w:lang w:val="sq-AL"/>
        </w:rPr>
        <w:t>. Në lidhje me të dhënat përkatëse në vendimin themelor, nuk është bërë asnjë ankesë për sa i përket mospagimit nga ana e autoriteteve të kompensimit ndaj aplikuesve për truallin me përmasa 181 m</w:t>
      </w:r>
      <w:r w:rsidRPr="00F05E62">
        <w:rPr>
          <w:rFonts w:ascii="CG Times" w:hAnsi="CG Times"/>
          <w:sz w:val="21"/>
          <w:szCs w:val="21"/>
          <w:vertAlign w:val="superscript"/>
          <w:lang w:val="sq-AL"/>
        </w:rPr>
        <w:t>2</w:t>
      </w:r>
      <w:r w:rsidRPr="00F05E62">
        <w:rPr>
          <w:rFonts w:ascii="CG Times" w:hAnsi="CG Times"/>
          <w:sz w:val="21"/>
          <w:szCs w:val="21"/>
          <w:lang w:val="sq-AL"/>
        </w:rPr>
        <w:t xml:space="preserve">. </w:t>
      </w:r>
    </w:p>
    <w:p w:rsidR="00E214EC" w:rsidRPr="00F05E62" w:rsidRDefault="00E214EC" w:rsidP="00E214EC">
      <w:pPr>
        <w:pStyle w:val="NoSpacing"/>
        <w:ind w:firstLine="720"/>
        <w:jc w:val="both"/>
        <w:rPr>
          <w:rFonts w:ascii="CG Times" w:hAnsi="CG Times"/>
          <w:sz w:val="21"/>
          <w:szCs w:val="21"/>
          <w:lang w:val="sq-AL"/>
        </w:rPr>
      </w:pPr>
      <w:r w:rsidRPr="00F05E62">
        <w:rPr>
          <w:rFonts w:ascii="CG Times" w:hAnsi="CG Times"/>
          <w:sz w:val="21"/>
          <w:szCs w:val="21"/>
          <w:lang w:val="sq-AL"/>
        </w:rPr>
        <w:t>c) Metoda e përllogaritjes</w:t>
      </w:r>
    </w:p>
    <w:p w:rsidR="00E214EC" w:rsidRPr="00F05E62" w:rsidRDefault="00E214EC" w:rsidP="00E214EC">
      <w:pPr>
        <w:pStyle w:val="NoSpacing"/>
        <w:ind w:firstLine="720"/>
        <w:jc w:val="both"/>
        <w:rPr>
          <w:rFonts w:ascii="CG Times" w:hAnsi="CG Times"/>
          <w:sz w:val="21"/>
          <w:szCs w:val="21"/>
          <w:lang w:val="sq-AL"/>
        </w:rPr>
      </w:pPr>
      <w:r w:rsidRPr="00F05E62">
        <w:rPr>
          <w:rFonts w:ascii="CG Times" w:hAnsi="CG Times"/>
          <w:sz w:val="21"/>
          <w:szCs w:val="21"/>
          <w:lang w:val="sq-AL"/>
        </w:rPr>
        <w:t xml:space="preserve">33. Gjykata vë re se në çështjen aktuale </w:t>
      </w:r>
      <w:r w:rsidRPr="00F05E62">
        <w:rPr>
          <w:rFonts w:ascii="CG Times" w:hAnsi="CG Times"/>
          <w:i/>
          <w:sz w:val="21"/>
          <w:szCs w:val="21"/>
          <w:lang w:val="sq-AL"/>
        </w:rPr>
        <w:t>restitutio in integrum</w:t>
      </w:r>
      <w:r w:rsidRPr="00F05E62">
        <w:rPr>
          <w:rFonts w:ascii="CG Times" w:hAnsi="CG Times"/>
          <w:sz w:val="21"/>
          <w:szCs w:val="21"/>
          <w:lang w:val="sq-AL"/>
        </w:rPr>
        <w:t xml:space="preserve"> nuk mund të aplikohet mbi masat e marra nga gjykatat vendore. Për këtë arsye gjykatat vendore urdhëruan që aplikuesit të kompensoheshin sipas aktit të pronës. Në lidhje me këtë, Gjykata do të bëjë një rishikim të kompensimit.</w:t>
      </w:r>
    </w:p>
    <w:p w:rsidR="00E214EC" w:rsidRPr="00F05E62" w:rsidRDefault="00E214EC" w:rsidP="00E214EC">
      <w:pPr>
        <w:pStyle w:val="NoSpacing"/>
        <w:ind w:firstLine="720"/>
        <w:jc w:val="both"/>
        <w:rPr>
          <w:rFonts w:ascii="CG Times" w:hAnsi="CG Times"/>
          <w:sz w:val="21"/>
          <w:szCs w:val="21"/>
          <w:lang w:val="sq-AL"/>
        </w:rPr>
      </w:pPr>
      <w:r w:rsidRPr="00F05E62">
        <w:rPr>
          <w:rFonts w:ascii="CG Times" w:hAnsi="CG Times"/>
          <w:sz w:val="21"/>
          <w:szCs w:val="21"/>
          <w:lang w:val="sq-AL"/>
        </w:rPr>
        <w:t xml:space="preserve">34. Gjykata nuk mund të pranojë propozimin e shtetit përgjegjës për aplikimin e metodës së përllogaritjes së dëmit monetar sipas mënyrës së miratuar nga Dhoma e Madhe e Gjykatës në çështjen e </w:t>
      </w:r>
      <w:r w:rsidRPr="00F05E62">
        <w:rPr>
          <w:rFonts w:ascii="CG Times" w:hAnsi="CG Times"/>
          <w:i/>
          <w:sz w:val="21"/>
          <w:szCs w:val="21"/>
          <w:lang w:val="sq-AL"/>
        </w:rPr>
        <w:t xml:space="preserve">Guiso-Gallisay </w:t>
      </w:r>
      <w:r w:rsidRPr="00F05E62">
        <w:rPr>
          <w:rFonts w:ascii="CG Times" w:hAnsi="CG Times"/>
          <w:sz w:val="21"/>
          <w:szCs w:val="21"/>
          <w:lang w:val="sq-AL"/>
        </w:rPr>
        <w:t xml:space="preserve">(kompensim i drejtë), i cituar më sipër. Vihet re se në gjykimin e </w:t>
      </w:r>
      <w:r w:rsidRPr="00F05E62">
        <w:rPr>
          <w:rFonts w:ascii="CG Times" w:hAnsi="CG Times"/>
          <w:i/>
          <w:sz w:val="21"/>
          <w:szCs w:val="21"/>
          <w:lang w:val="sq-AL"/>
        </w:rPr>
        <w:t xml:space="preserve">Guiso-Gallisay </w:t>
      </w:r>
      <w:r w:rsidRPr="00F05E62">
        <w:rPr>
          <w:rFonts w:ascii="CG Times" w:hAnsi="CG Times"/>
          <w:sz w:val="21"/>
          <w:szCs w:val="21"/>
          <w:lang w:val="sq-AL"/>
        </w:rPr>
        <w:t xml:space="preserve">i datës 8 dhjetor 2005, dhe në çështje të tjera italiane të ngjashme në lidhje me shpronësimin e ndërtimeve, një autoritet publik kishte zënë tokën për të bërë punime publike pa plotësuar më parë procesin formal të shpronësimit. Si rezultat i kësaj, pronësia i kalonte automatikisht autoritetit publik ose pas përfundimit të punimeve ose pas një periudhe të caktuar kohe, në varësi të rrethanave. Ndryshe nga çështja </w:t>
      </w:r>
      <w:r w:rsidRPr="00F05E62">
        <w:rPr>
          <w:rFonts w:ascii="CG Times" w:hAnsi="CG Times"/>
          <w:i/>
          <w:sz w:val="21"/>
          <w:szCs w:val="21"/>
          <w:lang w:val="sq-AL"/>
        </w:rPr>
        <w:t>Guiso-Gallisay</w:t>
      </w:r>
      <w:r w:rsidRPr="00F05E62">
        <w:rPr>
          <w:rFonts w:ascii="CG Times" w:hAnsi="CG Times"/>
          <w:sz w:val="21"/>
          <w:szCs w:val="21"/>
          <w:lang w:val="sq-AL"/>
        </w:rPr>
        <w:t xml:space="preserve">, çështja aktuale nuk ka të bëjë me shpronësimin e ndërtimeve. </w:t>
      </w:r>
    </w:p>
    <w:p w:rsidR="00E214EC" w:rsidRPr="00F05E62" w:rsidRDefault="00E214EC" w:rsidP="00E214EC">
      <w:pPr>
        <w:pStyle w:val="NoSpacing"/>
        <w:ind w:firstLine="720"/>
        <w:jc w:val="both"/>
        <w:rPr>
          <w:rFonts w:ascii="CG Times" w:hAnsi="CG Times"/>
          <w:sz w:val="21"/>
          <w:szCs w:val="21"/>
          <w:lang w:val="sq-AL"/>
        </w:rPr>
      </w:pPr>
      <w:r w:rsidRPr="00F05E62">
        <w:rPr>
          <w:rFonts w:ascii="CG Times" w:hAnsi="CG Times"/>
          <w:sz w:val="21"/>
          <w:szCs w:val="21"/>
          <w:lang w:val="sq-AL"/>
        </w:rPr>
        <w:t xml:space="preserve">35. Gjykata thekson se në këtë çështje, është mospagimi i kompensimit dhe jo mënyra e paligjshme e përftimit të tokës, si në çështjen </w:t>
      </w:r>
      <w:r w:rsidRPr="00F05E62">
        <w:rPr>
          <w:rFonts w:ascii="CG Times" w:hAnsi="CG Times"/>
          <w:i/>
          <w:sz w:val="21"/>
          <w:szCs w:val="21"/>
          <w:lang w:val="sq-AL"/>
        </w:rPr>
        <w:t>Guiso-Gallisay</w:t>
      </w:r>
      <w:r w:rsidRPr="00F05E62">
        <w:rPr>
          <w:rFonts w:ascii="CG Times" w:hAnsi="CG Times"/>
          <w:sz w:val="21"/>
          <w:szCs w:val="21"/>
          <w:lang w:val="sq-AL"/>
        </w:rPr>
        <w:t xml:space="preserve">, e cila përbën thyerjen e nenit 6 § 1 dhe nenit 1 të protokollit nr.1 të Konventës (shiko, </w:t>
      </w:r>
      <w:r w:rsidRPr="00F05E62">
        <w:rPr>
          <w:rFonts w:ascii="CG Times" w:hAnsi="CG Times"/>
          <w:i/>
          <w:sz w:val="21"/>
          <w:szCs w:val="21"/>
          <w:lang w:val="sq-AL"/>
        </w:rPr>
        <w:t>mutatis mutandis, Scordino (nr.1)</w:t>
      </w:r>
      <w:r w:rsidRPr="00F05E62">
        <w:rPr>
          <w:rFonts w:ascii="CG Times" w:hAnsi="CG Times"/>
          <w:sz w:val="21"/>
          <w:szCs w:val="21"/>
          <w:lang w:val="sq-AL"/>
        </w:rPr>
        <w:t>, cituar më sipër, § 255).</w:t>
      </w:r>
    </w:p>
    <w:p w:rsidR="00E214EC" w:rsidRPr="00F05E62" w:rsidRDefault="00E214EC" w:rsidP="00E214EC">
      <w:pPr>
        <w:pStyle w:val="NoSpacing"/>
        <w:ind w:firstLine="720"/>
        <w:jc w:val="both"/>
        <w:rPr>
          <w:rFonts w:ascii="CG Times" w:hAnsi="CG Times"/>
          <w:sz w:val="21"/>
          <w:szCs w:val="21"/>
          <w:lang w:val="sq-AL"/>
        </w:rPr>
      </w:pPr>
      <w:r w:rsidRPr="00F05E62">
        <w:rPr>
          <w:rFonts w:ascii="CG Times" w:hAnsi="CG Times"/>
          <w:sz w:val="21"/>
          <w:szCs w:val="21"/>
          <w:lang w:val="sq-AL"/>
        </w:rPr>
        <w:t xml:space="preserve">36. Në përllogaritjen e shumës së dëmit monetar, Gjykata shpjegon se, në bazë të rrethanave specifike të kontekstit shqiptar, do të ishte më mirë që të mos përdorej metoda e përllogaritjes së përshkruar në çështjen </w:t>
      </w:r>
      <w:r w:rsidRPr="00F05E62">
        <w:rPr>
          <w:rFonts w:ascii="CG Times" w:hAnsi="CG Times"/>
          <w:i/>
          <w:sz w:val="21"/>
          <w:szCs w:val="21"/>
          <w:lang w:val="sq-AL"/>
        </w:rPr>
        <w:t>Driza</w:t>
      </w:r>
      <w:r w:rsidRPr="00F05E62">
        <w:rPr>
          <w:rFonts w:ascii="CG Times" w:hAnsi="CG Times"/>
          <w:sz w:val="21"/>
          <w:szCs w:val="21"/>
          <w:lang w:val="sq-AL"/>
        </w:rPr>
        <w:t xml:space="preserve"> (</w:t>
      </w:r>
      <w:r w:rsidRPr="00F05E62">
        <w:rPr>
          <w:rFonts w:ascii="CG Times" w:hAnsi="CG Times"/>
          <w:i/>
          <w:sz w:val="21"/>
          <w:szCs w:val="21"/>
          <w:lang w:val="sq-AL"/>
        </w:rPr>
        <w:t>cituar më sipër, §137</w:t>
      </w:r>
      <w:r w:rsidRPr="00F05E62">
        <w:rPr>
          <w:rFonts w:ascii="CG Times" w:hAnsi="CG Times"/>
          <w:sz w:val="21"/>
          <w:szCs w:val="21"/>
          <w:lang w:val="sq-AL"/>
        </w:rPr>
        <w:t xml:space="preserve">) sipas së cilës shuma e kompensimit duhet të korrespondojë më vlerën e truallit në kohën kur janë marrë vendimet e autoriteteve vendore. Gjykata vëren se në atë kohë hartat e vlerësimit të tokave nuk ekzistonin. Shteti përgjegjës duhej t’i miratonte me urgjencë të tillë harta, me qëllimin e vetëm për të </w:t>
      </w:r>
      <w:r w:rsidRPr="00F05E62">
        <w:rPr>
          <w:rFonts w:ascii="CG Times" w:hAnsi="CG Times"/>
          <w:sz w:val="21"/>
          <w:szCs w:val="21"/>
          <w:lang w:val="sq-AL"/>
        </w:rPr>
        <w:lastRenderedPageBreak/>
        <w:t xml:space="preserve">përllogaritur shumën e kompensimit financiar dhe për të shmangur ndonjë spekulim të përmendur nga Gjykata sipas nenit 46 të Konventës (shiko </w:t>
      </w:r>
      <w:r w:rsidRPr="00F05E62">
        <w:rPr>
          <w:rFonts w:ascii="CG Times" w:hAnsi="CG Times"/>
          <w:i/>
          <w:sz w:val="21"/>
          <w:szCs w:val="21"/>
          <w:lang w:val="sq-AL"/>
        </w:rPr>
        <w:t>Driza,</w:t>
      </w:r>
      <w:r w:rsidRPr="00F05E62">
        <w:rPr>
          <w:rFonts w:ascii="CG Times" w:hAnsi="CG Times"/>
          <w:sz w:val="21"/>
          <w:szCs w:val="21"/>
          <w:lang w:val="sq-AL"/>
        </w:rPr>
        <w:t xml:space="preserve"> cituar më sipër, § 126).</w:t>
      </w:r>
    </w:p>
    <w:p w:rsidR="00E214EC" w:rsidRPr="00F05E62" w:rsidRDefault="00E214EC" w:rsidP="00E214EC">
      <w:pPr>
        <w:pStyle w:val="NoSpacing"/>
        <w:ind w:firstLine="720"/>
        <w:jc w:val="both"/>
        <w:rPr>
          <w:rFonts w:ascii="CG Times" w:hAnsi="CG Times"/>
          <w:sz w:val="21"/>
          <w:szCs w:val="21"/>
          <w:lang w:val="sq-AL"/>
        </w:rPr>
      </w:pPr>
      <w:r w:rsidRPr="00F05E62">
        <w:rPr>
          <w:rFonts w:ascii="CG Times" w:hAnsi="CG Times"/>
          <w:sz w:val="21"/>
          <w:szCs w:val="21"/>
          <w:lang w:val="sq-AL"/>
        </w:rPr>
        <w:t xml:space="preserve">37. Gjykata vë re me interes se autoritetet kanë miratuar hartat e vlerësimit të pronave për të gjithë territorin e Shqipërisë. Çmimi i referencës, ashtu siç ishte theksuar nga Gjykata, reflekton vlerën reale të tregut dhe përmbante tregues si të interesit ashtu edhe të inflacionit në kohën e miratimit të hartave. Kështu, Gjykata do t’i mbështesë përllogaritjet e saj për dëmin monetar mbi hartat e vlerësimit të pronave të miratuara sipas rajonit të Tiranës në vitin 2008. </w:t>
      </w:r>
    </w:p>
    <w:p w:rsidR="00E214EC" w:rsidRPr="00F05E62" w:rsidRDefault="00E214EC" w:rsidP="00E214EC">
      <w:pPr>
        <w:pStyle w:val="NoSpacing"/>
        <w:ind w:firstLine="720"/>
        <w:jc w:val="both"/>
        <w:rPr>
          <w:rFonts w:ascii="CG Times" w:hAnsi="CG Times"/>
          <w:sz w:val="21"/>
          <w:szCs w:val="21"/>
          <w:lang w:val="sq-AL"/>
        </w:rPr>
      </w:pPr>
      <w:r w:rsidRPr="00F05E62">
        <w:rPr>
          <w:rFonts w:ascii="CG Times" w:hAnsi="CG Times"/>
          <w:sz w:val="21"/>
          <w:szCs w:val="21"/>
          <w:lang w:val="sq-AL"/>
        </w:rPr>
        <w:t xml:space="preserve">38. Gjykata e hedh poshtë kërkesën e aplikuesve për kompensim për dëmin e shkaktuar nga pamundësia për përdorim dhe zotërim të truallit. Ajo vë re se vendimet e gjykatave vendore ishin të qarta për sa i përket kompensimit të aplikuesve në vend të rikthimit të pronës, kështu që aplikuesit nuk mund t’i interpretojnë ato vendime si një mundësi e mëvonshme që ata të mund ta japin me qira tokën apo të ndërtojnë një godinë në të. </w:t>
      </w:r>
    </w:p>
    <w:p w:rsidR="00E214EC" w:rsidRPr="00F05E62" w:rsidRDefault="00E214EC" w:rsidP="00E214EC">
      <w:pPr>
        <w:pStyle w:val="NoSpacing"/>
        <w:ind w:firstLine="720"/>
        <w:jc w:val="both"/>
        <w:rPr>
          <w:rFonts w:ascii="CG Times" w:hAnsi="CG Times"/>
          <w:sz w:val="21"/>
          <w:szCs w:val="21"/>
          <w:lang w:val="sq-AL"/>
        </w:rPr>
      </w:pPr>
      <w:r w:rsidRPr="00F05E62">
        <w:rPr>
          <w:rFonts w:ascii="CG Times" w:hAnsi="CG Times"/>
          <w:sz w:val="21"/>
          <w:szCs w:val="21"/>
          <w:lang w:val="sq-AL"/>
        </w:rPr>
        <w:t xml:space="preserve">39. Duke marrë parasysh këto faktorë si edhe duke qenë racional në vendimmarrje, Gjykata e konsideron të arsyeshme t’i akordojë aplikuesve 1,900,000 euro për dëmin monetar dhe jomonetar, plus edhe çdo taksë tjetër, e cila mund t’i ngarkohet kësaj shume. </w:t>
      </w:r>
    </w:p>
    <w:p w:rsidR="00E214EC" w:rsidRPr="00F05E62" w:rsidRDefault="00E214EC" w:rsidP="00E214EC">
      <w:pPr>
        <w:pStyle w:val="NoSpacing"/>
        <w:ind w:firstLine="720"/>
        <w:jc w:val="both"/>
        <w:rPr>
          <w:rFonts w:ascii="CG Times" w:hAnsi="CG Times"/>
          <w:sz w:val="21"/>
          <w:szCs w:val="21"/>
          <w:lang w:val="sq-AL"/>
        </w:rPr>
      </w:pPr>
      <w:r w:rsidRPr="00F05E62">
        <w:rPr>
          <w:rFonts w:ascii="CG Times" w:hAnsi="CG Times"/>
          <w:sz w:val="21"/>
          <w:szCs w:val="21"/>
          <w:lang w:val="sq-AL"/>
        </w:rPr>
        <w:t>B. Kostot dhe shpenzimet</w:t>
      </w:r>
    </w:p>
    <w:p w:rsidR="00E214EC" w:rsidRPr="00F05E62" w:rsidRDefault="00E214EC" w:rsidP="00E214EC">
      <w:pPr>
        <w:pStyle w:val="NoSpacing"/>
        <w:ind w:firstLine="720"/>
        <w:jc w:val="both"/>
        <w:rPr>
          <w:rFonts w:ascii="CG Times" w:hAnsi="CG Times"/>
          <w:sz w:val="21"/>
          <w:szCs w:val="21"/>
          <w:lang w:val="sq-AL"/>
        </w:rPr>
      </w:pPr>
      <w:r w:rsidRPr="00F05E62">
        <w:rPr>
          <w:rFonts w:ascii="CG Times" w:hAnsi="CG Times"/>
          <w:sz w:val="21"/>
          <w:szCs w:val="21"/>
          <w:lang w:val="sq-AL"/>
        </w:rPr>
        <w:t xml:space="preserve">40. Aplikuesit deklaruan një shumë të përafërt prej 18,000 eurosh për kostot dhe shpenzimet e bëra gjatë procedurave vendore dhe atyre në Strasburg. Megjithatë, ata nuk mundën të paraqisnin dokumente mbështetëse. </w:t>
      </w:r>
    </w:p>
    <w:p w:rsidR="00E214EC" w:rsidRPr="00F05E62" w:rsidRDefault="00E214EC" w:rsidP="00E214EC">
      <w:pPr>
        <w:pStyle w:val="NoSpacing"/>
        <w:ind w:firstLine="720"/>
        <w:jc w:val="both"/>
        <w:rPr>
          <w:rFonts w:ascii="CG Times" w:hAnsi="CG Times"/>
          <w:sz w:val="21"/>
          <w:szCs w:val="21"/>
          <w:lang w:val="sq-AL"/>
        </w:rPr>
      </w:pPr>
      <w:r w:rsidRPr="00F05E62">
        <w:rPr>
          <w:rFonts w:ascii="CG Times" w:hAnsi="CG Times"/>
          <w:sz w:val="21"/>
          <w:szCs w:val="21"/>
          <w:lang w:val="sq-AL"/>
        </w:rPr>
        <w:t xml:space="preserve">41. Qeveria pranoi se shumat e deklaruara nuk kishin baza për t’u vërtetuar. </w:t>
      </w:r>
    </w:p>
    <w:p w:rsidR="00E214EC" w:rsidRPr="00F05E62" w:rsidRDefault="00E214EC" w:rsidP="00E214EC">
      <w:pPr>
        <w:pStyle w:val="NoSpacing"/>
        <w:ind w:firstLine="720"/>
        <w:jc w:val="both"/>
        <w:rPr>
          <w:rFonts w:ascii="CG Times" w:hAnsi="CG Times"/>
          <w:sz w:val="21"/>
          <w:szCs w:val="21"/>
          <w:lang w:val="sq-AL"/>
        </w:rPr>
      </w:pPr>
      <w:r w:rsidRPr="00F05E62">
        <w:rPr>
          <w:rFonts w:ascii="CG Times" w:hAnsi="CG Times"/>
          <w:sz w:val="21"/>
          <w:szCs w:val="21"/>
          <w:lang w:val="sq-AL"/>
        </w:rPr>
        <w:t xml:space="preserve">42. Sipas ligjeve për çështjet e Gjykatës, një aplikues rimbursohet për kostot dhe shpenzimet e tij, për aq kohë sa vërtetohet se ato janë bërë në të vërtetë dhe janë bërë sipas nevojave dhe situatës (shiko </w:t>
      </w:r>
      <w:r w:rsidRPr="00F05E62">
        <w:rPr>
          <w:rFonts w:ascii="CG Times" w:hAnsi="CG Times"/>
          <w:i/>
          <w:sz w:val="21"/>
          <w:szCs w:val="21"/>
          <w:lang w:val="sq-AL"/>
        </w:rPr>
        <w:t>Gjyli v. Shqipërisë</w:t>
      </w:r>
      <w:r w:rsidRPr="00F05E62">
        <w:rPr>
          <w:rFonts w:ascii="CG Times" w:hAnsi="CG Times"/>
          <w:sz w:val="21"/>
          <w:szCs w:val="21"/>
          <w:lang w:val="sq-AL"/>
        </w:rPr>
        <w:t xml:space="preserve">, nr.32907/07, § 72, 29 shtator 2009). Së fundmi, rregulli 60 §§ 2 dhe 3 të rregullave të Gjykatës përcakton se aplikuesit duhet të bashkëngjisin me kërkesat e tyre për kompensim “çdo dokument tjetër mbështetës”, në të kundërt Gjykata “mund t’i kundërshtojë kërkesat në tërësi ose pjesërisht”. </w:t>
      </w:r>
    </w:p>
    <w:p w:rsidR="00E214EC" w:rsidRPr="00F05E62" w:rsidRDefault="00E214EC" w:rsidP="00E214EC">
      <w:pPr>
        <w:pStyle w:val="NoSpacing"/>
        <w:ind w:firstLine="720"/>
        <w:jc w:val="both"/>
        <w:rPr>
          <w:rFonts w:ascii="CG Times" w:hAnsi="CG Times"/>
          <w:sz w:val="21"/>
          <w:szCs w:val="21"/>
          <w:lang w:val="sq-AL"/>
        </w:rPr>
      </w:pPr>
      <w:r w:rsidRPr="00F05E62">
        <w:rPr>
          <w:rFonts w:ascii="CG Times" w:hAnsi="CG Times"/>
          <w:sz w:val="21"/>
          <w:szCs w:val="21"/>
          <w:lang w:val="sq-AL"/>
        </w:rPr>
        <w:t xml:space="preserve">43. Në lidhje me çështjen konkrete, Gjykata nuk akordon ndonjë shumë për kostot apo shpenzimet, duke qenë se aplikuesit nuk paraqitën ndonjë dokument, si për shembull, fatura të artikujve apo </w:t>
      </w:r>
      <w:r w:rsidRPr="00F05E62">
        <w:rPr>
          <w:rFonts w:ascii="CG Times" w:hAnsi="CG Times"/>
          <w:i/>
          <w:sz w:val="21"/>
          <w:szCs w:val="21"/>
          <w:lang w:val="sq-AL"/>
        </w:rPr>
        <w:t>invoise</w:t>
      </w:r>
      <w:r w:rsidRPr="00F05E62">
        <w:rPr>
          <w:rFonts w:ascii="CG Times" w:hAnsi="CG Times"/>
          <w:sz w:val="21"/>
          <w:szCs w:val="21"/>
          <w:lang w:val="sq-AL"/>
        </w:rPr>
        <w:t xml:space="preserve">. </w:t>
      </w:r>
    </w:p>
    <w:p w:rsidR="00E214EC" w:rsidRPr="00F05E62" w:rsidRDefault="00E214EC" w:rsidP="00E214EC">
      <w:pPr>
        <w:pStyle w:val="NoSpacing"/>
        <w:ind w:firstLine="720"/>
        <w:jc w:val="both"/>
        <w:rPr>
          <w:rFonts w:ascii="CG Times" w:hAnsi="CG Times"/>
          <w:sz w:val="21"/>
          <w:szCs w:val="21"/>
          <w:lang w:val="sq-AL"/>
        </w:rPr>
      </w:pPr>
      <w:r w:rsidRPr="00F05E62">
        <w:rPr>
          <w:rFonts w:ascii="CG Times" w:hAnsi="CG Times"/>
          <w:sz w:val="21"/>
          <w:szCs w:val="21"/>
          <w:lang w:val="sq-AL"/>
        </w:rPr>
        <w:t>C. Interesi i papaguar</w:t>
      </w:r>
    </w:p>
    <w:p w:rsidR="00E214EC" w:rsidRPr="00F05E62" w:rsidRDefault="00E214EC" w:rsidP="00E214EC">
      <w:pPr>
        <w:pStyle w:val="NoSpacing"/>
        <w:ind w:firstLine="720"/>
        <w:jc w:val="both"/>
        <w:rPr>
          <w:rFonts w:ascii="CG Times" w:hAnsi="CG Times"/>
          <w:sz w:val="21"/>
          <w:szCs w:val="21"/>
          <w:lang w:val="sq-AL"/>
        </w:rPr>
      </w:pPr>
      <w:r w:rsidRPr="00F05E62">
        <w:rPr>
          <w:rFonts w:ascii="CG Times" w:hAnsi="CG Times"/>
          <w:sz w:val="21"/>
          <w:szCs w:val="21"/>
          <w:lang w:val="sq-AL"/>
        </w:rPr>
        <w:t xml:space="preserve">44. Gjykata e shikon si të arsyeshme që interesi i papaguar të bazohet në shkallën margjinale të huas sipas Bankës Qendrore Europiane, duke iu shtuar tre për qind. </w:t>
      </w:r>
    </w:p>
    <w:p w:rsidR="00E214EC" w:rsidRPr="00F05E62" w:rsidRDefault="00E214EC" w:rsidP="00E214EC">
      <w:pPr>
        <w:pStyle w:val="NoSpacing"/>
        <w:ind w:firstLine="360"/>
        <w:jc w:val="both"/>
        <w:rPr>
          <w:rFonts w:ascii="CG Times" w:hAnsi="CG Times"/>
          <w:sz w:val="21"/>
          <w:szCs w:val="21"/>
          <w:lang w:val="sq-AL"/>
        </w:rPr>
      </w:pPr>
    </w:p>
    <w:p w:rsidR="00E214EC" w:rsidRPr="00F05E62" w:rsidRDefault="00E214EC" w:rsidP="00E214EC">
      <w:pPr>
        <w:pStyle w:val="NoSpacing"/>
        <w:jc w:val="center"/>
        <w:rPr>
          <w:rFonts w:ascii="CG Times" w:hAnsi="CG Times"/>
          <w:b/>
          <w:sz w:val="21"/>
          <w:szCs w:val="21"/>
          <w:lang w:val="sq-AL" w:eastAsia="ja-JP"/>
        </w:rPr>
      </w:pPr>
      <w:r w:rsidRPr="00F05E62">
        <w:rPr>
          <w:rFonts w:ascii="CG Times" w:hAnsi="CG Times"/>
          <w:sz w:val="21"/>
          <w:szCs w:val="21"/>
          <w:lang w:val="sq-AL" w:eastAsia="ja-JP"/>
        </w:rPr>
        <w:t>PËR KËTO ARSYE, GJYKATA</w:t>
      </w:r>
      <w:r>
        <w:rPr>
          <w:rFonts w:ascii="CG Times" w:hAnsi="CG Times"/>
          <w:sz w:val="21"/>
          <w:szCs w:val="21"/>
          <w:lang w:val="sq-AL" w:eastAsia="ja-JP"/>
        </w:rPr>
        <w:t>,</w:t>
      </w:r>
      <w:r w:rsidRPr="00F05E62">
        <w:rPr>
          <w:rFonts w:ascii="CG Times" w:hAnsi="CG Times"/>
          <w:sz w:val="21"/>
          <w:szCs w:val="21"/>
          <w:lang w:val="sq-AL" w:eastAsia="ja-JP"/>
        </w:rPr>
        <w:t xml:space="preserve"> NË UNANIMITE</w:t>
      </w:r>
      <w:r w:rsidRPr="008703E2">
        <w:rPr>
          <w:rFonts w:ascii="CG Times" w:hAnsi="CG Times"/>
          <w:sz w:val="21"/>
          <w:szCs w:val="21"/>
          <w:lang w:val="sq-AL" w:eastAsia="ja-JP"/>
        </w:rPr>
        <w:t>T</w:t>
      </w:r>
    </w:p>
    <w:p w:rsidR="00E214EC" w:rsidRPr="00F05E62" w:rsidRDefault="00E214EC" w:rsidP="00E214EC">
      <w:pPr>
        <w:pStyle w:val="NoSpacing"/>
        <w:ind w:firstLine="720"/>
        <w:jc w:val="both"/>
        <w:rPr>
          <w:rFonts w:ascii="CG Times" w:hAnsi="CG Times"/>
          <w:i/>
          <w:sz w:val="21"/>
          <w:szCs w:val="21"/>
          <w:lang w:val="sq-AL" w:eastAsia="ja-JP"/>
        </w:rPr>
      </w:pPr>
    </w:p>
    <w:p w:rsidR="00E214EC" w:rsidRPr="00F05E62" w:rsidRDefault="00E214EC" w:rsidP="00E214EC">
      <w:pPr>
        <w:pStyle w:val="NoSpacing"/>
        <w:ind w:firstLine="720"/>
        <w:jc w:val="both"/>
        <w:rPr>
          <w:rFonts w:ascii="CG Times" w:hAnsi="CG Times"/>
          <w:i/>
          <w:sz w:val="21"/>
          <w:szCs w:val="21"/>
          <w:lang w:val="sq-AL" w:eastAsia="ja-JP"/>
        </w:rPr>
      </w:pPr>
      <w:r w:rsidRPr="00F05E62">
        <w:rPr>
          <w:rFonts w:ascii="CG Times" w:hAnsi="CG Times"/>
          <w:i/>
          <w:sz w:val="21"/>
          <w:szCs w:val="21"/>
          <w:lang w:val="sq-AL" w:eastAsia="ja-JP"/>
        </w:rPr>
        <w:t>1. Vendos:</w:t>
      </w:r>
    </w:p>
    <w:p w:rsidR="00E214EC" w:rsidRPr="00F05E62" w:rsidRDefault="00E214EC" w:rsidP="00E214EC">
      <w:pPr>
        <w:pStyle w:val="NoSpacing"/>
        <w:ind w:firstLine="720"/>
        <w:jc w:val="both"/>
        <w:rPr>
          <w:rFonts w:ascii="CG Times" w:hAnsi="CG Times"/>
          <w:sz w:val="21"/>
          <w:szCs w:val="21"/>
          <w:lang w:val="sq-AL" w:eastAsia="ja-JP"/>
        </w:rPr>
      </w:pPr>
      <w:r w:rsidRPr="00F05E62">
        <w:rPr>
          <w:rFonts w:ascii="CG Times" w:hAnsi="CG Times"/>
          <w:sz w:val="21"/>
          <w:szCs w:val="21"/>
          <w:lang w:val="sq-AL" w:eastAsia="ja-JP"/>
        </w:rPr>
        <w:t>a) se shteti përgjegjës duhet t’i paguajë aplikuesit së bashku, brenda tre muajve nga data në të cilin vendimi bëhet i formës së prerë në përputhje me nenin 44 § 2 të Konventës, 1,900,000 euro (një milion e nëntë qind mijë euro) bazuar në dëmin monetar, plus edhe çdo taksë që mund të jetë e tatueshme, duke i konvertuar në sistemin monetar vendas të shtetit përkatës sipas normave që aplikohen në datën e bërjes së pagesës;</w:t>
      </w:r>
    </w:p>
    <w:p w:rsidR="00E214EC" w:rsidRPr="00F05E62" w:rsidRDefault="00E214EC" w:rsidP="00E214EC">
      <w:pPr>
        <w:pStyle w:val="NoSpacing"/>
        <w:ind w:firstLine="720"/>
        <w:jc w:val="both"/>
        <w:rPr>
          <w:rFonts w:ascii="CG Times" w:hAnsi="CG Times"/>
          <w:sz w:val="21"/>
          <w:szCs w:val="21"/>
          <w:lang w:val="sq-AL" w:eastAsia="ja-JP"/>
        </w:rPr>
      </w:pPr>
      <w:r w:rsidRPr="00F05E62">
        <w:rPr>
          <w:rFonts w:ascii="CG Times" w:hAnsi="CG Times"/>
          <w:sz w:val="21"/>
          <w:szCs w:val="21"/>
          <w:lang w:val="sq-AL" w:eastAsia="ja-JP"/>
        </w:rPr>
        <w:t>b) që prej përfundimit të tre muajve të sipër përmendur deri në momentin e pagesës interesi do të paguhet sipas shumës së mësipërme me një vlerë të njëjtë me vlerën margjinale të huas së Bankës Qendrore Europiane gjatë periudhës së mospagimit plus tre për qind;</w:t>
      </w:r>
    </w:p>
    <w:p w:rsidR="00E214EC" w:rsidRDefault="00E214EC" w:rsidP="00E214EC">
      <w:pPr>
        <w:pStyle w:val="NoSpacing"/>
        <w:ind w:firstLine="720"/>
        <w:jc w:val="both"/>
        <w:rPr>
          <w:rFonts w:ascii="CG Times" w:hAnsi="CG Times"/>
          <w:sz w:val="21"/>
          <w:szCs w:val="21"/>
          <w:lang w:val="sq-AL" w:eastAsia="ja-JP"/>
        </w:rPr>
      </w:pPr>
      <w:r w:rsidRPr="00F05E62">
        <w:rPr>
          <w:rFonts w:ascii="CG Times" w:hAnsi="CG Times"/>
          <w:i/>
          <w:sz w:val="21"/>
          <w:szCs w:val="21"/>
          <w:lang w:val="sq-AL" w:eastAsia="ja-JP"/>
        </w:rPr>
        <w:t>2. Heq nga përgjegjësia e vet</w:t>
      </w:r>
      <w:r w:rsidRPr="00F05E62">
        <w:rPr>
          <w:rFonts w:ascii="CG Times" w:hAnsi="CG Times"/>
          <w:sz w:val="21"/>
          <w:szCs w:val="21"/>
          <w:lang w:val="sq-AL" w:eastAsia="ja-JP"/>
        </w:rPr>
        <w:t xml:space="preserve"> kërkesën e aplikuesit për kompensim. </w:t>
      </w:r>
    </w:p>
    <w:p w:rsidR="00E214EC" w:rsidRPr="00F05E62" w:rsidRDefault="00E214EC" w:rsidP="00E214EC">
      <w:pPr>
        <w:pStyle w:val="NoSpacing"/>
        <w:ind w:firstLine="720"/>
        <w:jc w:val="both"/>
        <w:rPr>
          <w:rFonts w:ascii="CG Times" w:hAnsi="CG Times"/>
          <w:sz w:val="21"/>
          <w:szCs w:val="21"/>
          <w:lang w:val="sq-AL" w:eastAsia="ja-JP"/>
        </w:rPr>
      </w:pPr>
      <w:r w:rsidRPr="00F05E62">
        <w:rPr>
          <w:rFonts w:ascii="CG Times" w:hAnsi="CG Times"/>
          <w:sz w:val="21"/>
          <w:szCs w:val="21"/>
          <w:lang w:val="sq-AL" w:eastAsia="ja-JP"/>
        </w:rPr>
        <w:t xml:space="preserve">E mbajtur në anglisht dhe në formë të shkruar, më 7 dhjetor 2010, në bazë të rregullit 77 §§ </w:t>
      </w:r>
    </w:p>
    <w:p w:rsidR="00E214EC" w:rsidRPr="00F05E62" w:rsidRDefault="00E214EC" w:rsidP="00E214EC">
      <w:pPr>
        <w:pStyle w:val="NoSpacing"/>
        <w:jc w:val="both"/>
        <w:rPr>
          <w:rFonts w:ascii="CG Times" w:hAnsi="CG Times"/>
          <w:sz w:val="21"/>
          <w:szCs w:val="21"/>
          <w:lang w:val="sq-AL" w:eastAsia="ja-JP"/>
        </w:rPr>
      </w:pPr>
      <w:r w:rsidRPr="00F05E62">
        <w:rPr>
          <w:rFonts w:ascii="CG Times" w:hAnsi="CG Times"/>
          <w:sz w:val="21"/>
          <w:szCs w:val="21"/>
          <w:lang w:val="sq-AL" w:eastAsia="ja-JP"/>
        </w:rPr>
        <w:t>2 dhe 3 të rregullave të Gjykatës.</w:t>
      </w:r>
    </w:p>
    <w:p w:rsidR="00E214EC" w:rsidRPr="00F05E62" w:rsidRDefault="00E214EC" w:rsidP="00E214EC">
      <w:pPr>
        <w:pStyle w:val="NoSpacing"/>
        <w:jc w:val="both"/>
        <w:rPr>
          <w:rFonts w:ascii="CG Times" w:hAnsi="CG Times"/>
          <w:sz w:val="21"/>
          <w:szCs w:val="21"/>
          <w:lang w:val="sq-AL" w:eastAsia="ja-JP"/>
        </w:rPr>
      </w:pPr>
    </w:p>
    <w:p w:rsidR="00E214EC" w:rsidRPr="00F05E62" w:rsidRDefault="00E214EC" w:rsidP="00E214EC">
      <w:pPr>
        <w:ind w:firstLine="720"/>
        <w:rPr>
          <w:rFonts w:ascii="CG Times" w:hAnsi="CG Times"/>
          <w:sz w:val="21"/>
          <w:szCs w:val="21"/>
          <w:lang w:val="sq-AL"/>
        </w:rPr>
      </w:pPr>
      <w:r w:rsidRPr="00F05E62">
        <w:rPr>
          <w:rFonts w:ascii="CG Times" w:hAnsi="CG Times"/>
          <w:sz w:val="21"/>
          <w:szCs w:val="21"/>
          <w:lang w:val="sq-AL" w:eastAsia="ja-JP"/>
        </w:rPr>
        <w:t xml:space="preserve">REGJISTRAR </w:t>
      </w:r>
      <w:r w:rsidRPr="00F05E62">
        <w:rPr>
          <w:rFonts w:ascii="CG Times" w:hAnsi="CG Times"/>
          <w:sz w:val="21"/>
          <w:szCs w:val="21"/>
          <w:lang w:val="sq-AL" w:eastAsia="ja-JP"/>
        </w:rPr>
        <w:tab/>
      </w:r>
      <w:r w:rsidRPr="00F05E62">
        <w:rPr>
          <w:rFonts w:ascii="CG Times" w:hAnsi="CG Times"/>
          <w:sz w:val="21"/>
          <w:szCs w:val="21"/>
          <w:lang w:val="sq-AL" w:eastAsia="ja-JP"/>
        </w:rPr>
        <w:tab/>
      </w:r>
      <w:r w:rsidRPr="00F05E62">
        <w:rPr>
          <w:rFonts w:ascii="CG Times" w:hAnsi="CG Times"/>
          <w:sz w:val="21"/>
          <w:szCs w:val="21"/>
          <w:lang w:val="sq-AL" w:eastAsia="ja-JP"/>
        </w:rPr>
        <w:tab/>
      </w:r>
      <w:r w:rsidRPr="00F05E62">
        <w:rPr>
          <w:rFonts w:ascii="CG Times" w:hAnsi="CG Times"/>
          <w:sz w:val="21"/>
          <w:szCs w:val="21"/>
          <w:lang w:val="sq-AL" w:eastAsia="ja-JP"/>
        </w:rPr>
        <w:tab/>
      </w:r>
      <w:r w:rsidRPr="00F05E62">
        <w:rPr>
          <w:rFonts w:ascii="CG Times" w:hAnsi="CG Times"/>
          <w:sz w:val="21"/>
          <w:szCs w:val="21"/>
          <w:lang w:val="sq-AL" w:eastAsia="ja-JP"/>
        </w:rPr>
        <w:tab/>
      </w:r>
      <w:r w:rsidRPr="00F05E62">
        <w:rPr>
          <w:rFonts w:ascii="CG Times" w:hAnsi="CG Times"/>
          <w:sz w:val="21"/>
          <w:szCs w:val="21"/>
          <w:lang w:val="sq-AL" w:eastAsia="ja-JP"/>
        </w:rPr>
        <w:tab/>
      </w:r>
      <w:r w:rsidRPr="00F05E62">
        <w:rPr>
          <w:rFonts w:ascii="CG Times" w:hAnsi="CG Times"/>
          <w:sz w:val="21"/>
          <w:szCs w:val="21"/>
          <w:lang w:val="sq-AL" w:eastAsia="ja-JP"/>
        </w:rPr>
        <w:tab/>
      </w:r>
      <w:r w:rsidRPr="00F05E62">
        <w:rPr>
          <w:rFonts w:ascii="CG Times" w:hAnsi="CG Times"/>
          <w:sz w:val="21"/>
          <w:szCs w:val="21"/>
          <w:lang w:val="sq-AL" w:eastAsia="ja-JP"/>
        </w:rPr>
        <w:tab/>
        <w:t>PRESIDENT</w:t>
      </w:r>
    </w:p>
    <w:p w:rsidR="00E214EC" w:rsidRPr="00F05E62" w:rsidRDefault="00E214EC" w:rsidP="00E214EC">
      <w:pPr>
        <w:pStyle w:val="NoSpacing"/>
        <w:ind w:firstLine="720"/>
        <w:jc w:val="both"/>
        <w:rPr>
          <w:rFonts w:ascii="CG Times" w:hAnsi="CG Times"/>
          <w:b/>
          <w:sz w:val="21"/>
          <w:szCs w:val="21"/>
          <w:lang w:val="sq-AL" w:eastAsia="ja-JP"/>
        </w:rPr>
      </w:pPr>
      <w:r w:rsidRPr="00F05E62">
        <w:rPr>
          <w:rFonts w:ascii="CG Times" w:hAnsi="CG Times"/>
          <w:b/>
          <w:sz w:val="21"/>
          <w:szCs w:val="21"/>
          <w:lang w:val="sq-AL" w:eastAsia="ja-JP"/>
        </w:rPr>
        <w:t xml:space="preserve">Lawrence Early </w:t>
      </w:r>
      <w:r w:rsidRPr="00F05E62">
        <w:rPr>
          <w:rFonts w:ascii="CG Times" w:hAnsi="CG Times"/>
          <w:b/>
          <w:sz w:val="21"/>
          <w:szCs w:val="21"/>
          <w:lang w:val="sq-AL" w:eastAsia="ja-JP"/>
        </w:rPr>
        <w:tab/>
      </w:r>
      <w:r w:rsidRPr="00F05E62">
        <w:rPr>
          <w:rFonts w:ascii="CG Times" w:hAnsi="CG Times"/>
          <w:b/>
          <w:sz w:val="21"/>
          <w:szCs w:val="21"/>
          <w:lang w:val="sq-AL" w:eastAsia="ja-JP"/>
        </w:rPr>
        <w:tab/>
      </w:r>
      <w:r w:rsidRPr="00F05E62">
        <w:rPr>
          <w:rFonts w:ascii="CG Times" w:hAnsi="CG Times"/>
          <w:b/>
          <w:sz w:val="21"/>
          <w:szCs w:val="21"/>
          <w:lang w:val="sq-AL" w:eastAsia="ja-JP"/>
        </w:rPr>
        <w:tab/>
      </w:r>
      <w:r w:rsidRPr="00F05E62">
        <w:rPr>
          <w:rFonts w:ascii="CG Times" w:hAnsi="CG Times"/>
          <w:b/>
          <w:sz w:val="21"/>
          <w:szCs w:val="21"/>
          <w:lang w:val="sq-AL" w:eastAsia="ja-JP"/>
        </w:rPr>
        <w:tab/>
      </w:r>
      <w:r w:rsidRPr="00F05E62">
        <w:rPr>
          <w:rFonts w:ascii="CG Times" w:hAnsi="CG Times"/>
          <w:b/>
          <w:sz w:val="21"/>
          <w:szCs w:val="21"/>
          <w:lang w:val="sq-AL" w:eastAsia="ja-JP"/>
        </w:rPr>
        <w:tab/>
      </w:r>
      <w:r w:rsidRPr="00F05E62">
        <w:rPr>
          <w:rFonts w:ascii="CG Times" w:hAnsi="CG Times"/>
          <w:b/>
          <w:sz w:val="21"/>
          <w:szCs w:val="21"/>
          <w:lang w:val="sq-AL" w:eastAsia="ja-JP"/>
        </w:rPr>
        <w:tab/>
        <w:t xml:space="preserve">          Nicolas Bratza</w:t>
      </w:r>
    </w:p>
    <w:p w:rsidR="00A65386" w:rsidRDefault="00E214EC">
      <w:bookmarkStart w:id="0" w:name="_GoBack"/>
      <w:bookmarkEnd w:id="0"/>
    </w:p>
    <w:sectPr w:rsidR="00A653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5317"/>
    <w:rsid w:val="00966546"/>
    <w:rsid w:val="00A05317"/>
    <w:rsid w:val="00E20C17"/>
    <w:rsid w:val="00E214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7E8E8D-1EDC-4BB4-8B39-B7CCD1FC9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14EC"/>
    <w:pPr>
      <w:suppressAutoHyphens/>
      <w:spacing w:after="0" w:line="240" w:lineRule="auto"/>
    </w:pPr>
    <w:rPr>
      <w:rFonts w:ascii="Times New Roman" w:eastAsia="Times New Roman" w:hAnsi="Times New Roman" w:cs="Times New Roman"/>
      <w:sz w:val="24"/>
      <w:szCs w:val="20"/>
      <w:lang w:val="en-GB"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E214EC"/>
    <w:pPr>
      <w:ind w:left="720"/>
      <w:contextualSpacing/>
    </w:pPr>
  </w:style>
  <w:style w:type="paragraph" w:customStyle="1" w:styleId="Paragrafi">
    <w:name w:val="Paragrafi"/>
    <w:rsid w:val="00E214EC"/>
    <w:pPr>
      <w:widowControl w:val="0"/>
      <w:spacing w:after="0" w:line="240" w:lineRule="auto"/>
      <w:ind w:firstLine="720"/>
      <w:jc w:val="both"/>
    </w:pPr>
    <w:rPr>
      <w:rFonts w:ascii="CG Times" w:eastAsia="Times New Roman" w:hAnsi="CG Times" w:cs="Times New Roman"/>
      <w:szCs w:val="20"/>
      <w:lang w:bidi="en-US"/>
    </w:rPr>
  </w:style>
  <w:style w:type="paragraph" w:styleId="NoSpacing">
    <w:name w:val="No Spacing"/>
    <w:basedOn w:val="Normal"/>
    <w:uiPriority w:val="1"/>
    <w:qFormat/>
    <w:rsid w:val="00E214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3101</Words>
  <Characters>17682</Characters>
  <Application>Microsoft Office Word</Application>
  <DocSecurity>0</DocSecurity>
  <Lines>147</Lines>
  <Paragraphs>41</Paragraphs>
  <ScaleCrop>false</ScaleCrop>
  <Company/>
  <LinksUpToDate>false</LinksUpToDate>
  <CharactersWithSpaces>20742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Gledis Blushi</cp:lastModifiedBy>
  <cp:revision>2</cp:revision>
  <dcterms:created xsi:type="dcterms:W3CDTF">2019-02-18T10:48:00Z</dcterms:created>
  <dcterms:modified xsi:type="dcterms:W3CDTF">2019-02-18T10:49:00Z</dcterms:modified>
</cp:coreProperties>
</file>