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BCD" w:rsidRPr="000F181C" w:rsidRDefault="009D1BCD" w:rsidP="009D1BCD">
      <w:pPr>
        <w:pStyle w:val="Titulli"/>
        <w:rPr>
          <w:lang w:val="sq-AL"/>
        </w:rPr>
      </w:pPr>
      <w:bookmarkStart w:id="0" w:name="_GoBack"/>
      <w:bookmarkEnd w:id="0"/>
      <w:r w:rsidRPr="000F181C">
        <w:rPr>
          <w:lang w:val="sq-AL"/>
        </w:rPr>
        <w:t>Vendim</w:t>
      </w:r>
    </w:p>
    <w:p w:rsidR="009D1BCD" w:rsidRPr="000F181C" w:rsidRDefault="009D1BCD" w:rsidP="009D1BCD">
      <w:pPr>
        <w:pStyle w:val="Paragrafi"/>
        <w:rPr>
          <w:lang w:val="sq-AL"/>
        </w:rPr>
      </w:pPr>
    </w:p>
    <w:p w:rsidR="009D1BCD" w:rsidRPr="000F181C" w:rsidRDefault="009D1BCD" w:rsidP="009D1BCD">
      <w:pPr>
        <w:pStyle w:val="Paragrafi"/>
        <w:rPr>
          <w:lang w:val="sq-AL"/>
        </w:rPr>
      </w:pPr>
      <w:r w:rsidRPr="000F181C">
        <w:rPr>
          <w:lang w:val="sq-AL"/>
        </w:rPr>
        <w:t xml:space="preserve">Gjykata e Rrethit Gjyqësor </w:t>
      </w:r>
      <w:r>
        <w:rPr>
          <w:lang w:val="sq-AL"/>
        </w:rPr>
        <w:t>Shkodër, në datën 15.4.2013, vendosi shpalljen të vdekur të s</w:t>
      </w:r>
      <w:r w:rsidRPr="000F181C">
        <w:rPr>
          <w:lang w:val="sq-AL"/>
        </w:rPr>
        <w:t>htetasit Bejto Dedja</w:t>
      </w:r>
      <w:r>
        <w:rPr>
          <w:lang w:val="sq-AL"/>
        </w:rPr>
        <w:t>.</w:t>
      </w:r>
    </w:p>
    <w:sectPr w:rsidR="009D1BCD" w:rsidRPr="000F181C" w:rsidSect="000E2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1BCD"/>
    <w:rsid w:val="000E216E"/>
    <w:rsid w:val="00575687"/>
    <w:rsid w:val="009D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6E579B-79B8-4314-943C-88A83FAF1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16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D1BC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D1BC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D1BC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9D1BC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