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4A4" w:rsidRPr="00286848" w:rsidRDefault="00A554A4" w:rsidP="00A554A4">
      <w:pPr>
        <w:pStyle w:val="Akti"/>
        <w:rPr>
          <w:lang w:val="sq-AL"/>
        </w:rPr>
      </w:pPr>
      <w:r w:rsidRPr="00286848">
        <w:rPr>
          <w:lang w:val="sq-AL"/>
        </w:rPr>
        <w:t>Vendim</w:t>
      </w:r>
    </w:p>
    <w:p w:rsidR="00A554A4" w:rsidRDefault="00A554A4" w:rsidP="00A554A4">
      <w:pPr>
        <w:pStyle w:val="Paragrafi"/>
        <w:rPr>
          <w:i/>
          <w:szCs w:val="24"/>
          <w:lang w:val="sq-AL"/>
        </w:rPr>
      </w:pPr>
      <w:r>
        <w:rPr>
          <w:i/>
          <w:szCs w:val="24"/>
          <w:lang w:val="sq-AL"/>
        </w:rPr>
        <w:t xml:space="preserve">                         </w:t>
      </w:r>
      <w:r w:rsidRPr="00286848">
        <w:rPr>
          <w:i/>
          <w:szCs w:val="24"/>
          <w:lang w:val="sq-AL"/>
        </w:rPr>
        <w:t>(</w:t>
      </w:r>
      <w:r>
        <w:rPr>
          <w:i/>
          <w:szCs w:val="24"/>
          <w:lang w:val="sq-AL"/>
        </w:rPr>
        <w:t xml:space="preserve">i </w:t>
      </w:r>
      <w:r w:rsidRPr="00286848">
        <w:rPr>
          <w:i/>
          <w:szCs w:val="24"/>
          <w:lang w:val="sq-AL"/>
        </w:rPr>
        <w:t>shkurtuar)</w:t>
      </w:r>
    </w:p>
    <w:p w:rsidR="00A554A4" w:rsidRPr="004916D7" w:rsidRDefault="00A554A4" w:rsidP="00A554A4">
      <w:pPr>
        <w:pStyle w:val="Paragrafi"/>
        <w:ind w:left="2"/>
        <w:rPr>
          <w:i/>
          <w:sz w:val="14"/>
          <w:szCs w:val="24"/>
          <w:lang w:val="sq-AL"/>
        </w:rPr>
      </w:pPr>
    </w:p>
    <w:p w:rsidR="00A554A4" w:rsidRPr="00DE5036" w:rsidRDefault="00A554A4" w:rsidP="00A554A4">
      <w:pPr>
        <w:pStyle w:val="Paragrafi"/>
        <w:rPr>
          <w:spacing w:val="-4"/>
          <w:szCs w:val="24"/>
          <w:lang w:val="sq-AL"/>
        </w:rPr>
      </w:pPr>
      <w:r w:rsidRPr="00DE5036">
        <w:rPr>
          <w:spacing w:val="-4"/>
          <w:szCs w:val="24"/>
          <w:lang w:val="sq-AL"/>
        </w:rPr>
        <w:t xml:space="preserve">Gjykata e Rrethit  Gjyqësor Elbasan, me vendimin nr.1331 (13-2014-5483), datë 22.9.2014, vendosi shpalljen të vdekur të shtetasit </w:t>
      </w:r>
      <w:bookmarkStart w:id="0" w:name="_GoBack"/>
      <w:r w:rsidRPr="00DE5036">
        <w:rPr>
          <w:spacing w:val="-4"/>
          <w:szCs w:val="24"/>
          <w:lang w:val="sq-AL"/>
        </w:rPr>
        <w:t>Bardhul Musaj</w:t>
      </w:r>
      <w:bookmarkEnd w:id="0"/>
      <w:r w:rsidRPr="00DE5036">
        <w:rPr>
          <w:spacing w:val="-4"/>
          <w:szCs w:val="24"/>
          <w:lang w:val="sq-AL"/>
        </w:rPr>
        <w:t>, lindur më 4.10.1940, në Kishtë, Gramsh, i regjistruar aktualisht në zyrën e gjendjes civile nr.6, Tiranë, duke përcaktuar si ditë të vdekjes së tij datën 13.4.2001.</w:t>
      </w:r>
    </w:p>
    <w:p w:rsidR="005D4714" w:rsidRDefault="005D4714"/>
    <w:sectPr w:rsidR="005D47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A4"/>
    <w:rsid w:val="005D4714"/>
    <w:rsid w:val="00A5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54A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554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54A4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554A4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54A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A554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54A4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554A4"/>
    <w:rPr>
      <w:rFonts w:ascii="Garamond" w:eastAsia="MS Mincho" w:hAnsi="Garamond" w:cs="CG Times"/>
      <w:b/>
      <w:bCs/>
      <w:caps/>
      <w:color w:val="00000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2019-02-07T10:11:00Z</dcterms:created>
  <dcterms:modified xsi:type="dcterms:W3CDTF">2019-02-07T10:12:00Z</dcterms:modified>
</cp:coreProperties>
</file>