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936" w:rsidRPr="00160BAB" w:rsidRDefault="00485936" w:rsidP="00485936">
      <w:pPr>
        <w:pStyle w:val="Paragrafi"/>
        <w:ind w:firstLine="0"/>
        <w:jc w:val="center"/>
        <w:rPr>
          <w:rFonts w:eastAsia="Times New Roman"/>
          <w:b/>
          <w:spacing w:val="-4"/>
          <w:lang w:val="sq-AL" w:eastAsia="en-GB"/>
        </w:rPr>
      </w:pPr>
      <w:r w:rsidRPr="00160BAB">
        <w:rPr>
          <w:rFonts w:eastAsia="Times New Roman"/>
          <w:b/>
          <w:spacing w:val="-4"/>
          <w:lang w:val="sq-AL" w:eastAsia="en-GB"/>
        </w:rPr>
        <w:t>VENDIM</w:t>
      </w:r>
    </w:p>
    <w:p w:rsidR="00485936" w:rsidRPr="00160BAB" w:rsidRDefault="00485936" w:rsidP="00485936">
      <w:pPr>
        <w:pStyle w:val="Paragrafi"/>
        <w:ind w:firstLine="0"/>
        <w:jc w:val="center"/>
        <w:rPr>
          <w:rFonts w:eastAsia="Times New Roman"/>
          <w:i/>
          <w:spacing w:val="-4"/>
          <w:lang w:val="sq-AL" w:eastAsia="en-GB"/>
        </w:rPr>
      </w:pPr>
      <w:r w:rsidRPr="00160BAB">
        <w:rPr>
          <w:rFonts w:eastAsia="Times New Roman"/>
          <w:i/>
          <w:spacing w:val="-4"/>
          <w:lang w:val="sq-AL" w:eastAsia="en-GB"/>
        </w:rPr>
        <w:t>(i shkurtuar)</w:t>
      </w:r>
    </w:p>
    <w:p w:rsidR="00485936" w:rsidRPr="00160BAB" w:rsidRDefault="00485936" w:rsidP="00485936">
      <w:pPr>
        <w:pStyle w:val="Hapesira7"/>
        <w:rPr>
          <w:lang w:val="sq-AL" w:eastAsia="en-GB"/>
        </w:rPr>
      </w:pPr>
    </w:p>
    <w:p w:rsidR="00485936" w:rsidRPr="00160BAB" w:rsidRDefault="00485936" w:rsidP="00485936">
      <w:pPr>
        <w:pStyle w:val="Paragrafi"/>
        <w:rPr>
          <w:rFonts w:eastAsia="Times New Roman"/>
          <w:spacing w:val="-4"/>
          <w:lang w:val="sq-AL" w:eastAsia="en-GB"/>
        </w:rPr>
      </w:pPr>
      <w:r w:rsidRPr="00160BAB">
        <w:rPr>
          <w:rFonts w:eastAsia="Times New Roman"/>
          <w:spacing w:val="-4"/>
          <w:lang w:val="sq-AL" w:eastAsia="en-GB"/>
        </w:rPr>
        <w:t>Gjykata e Rrethit Gjyqësor Kavajë, me vendimin nr. 1794, datë 26.12.2017, vendosi shpalljen të zhdukur të shtetases Tefta Kallaku, duke caktuar si kujdestare apo përfaqësuese ligjore vajzën e saj, shtetasen Enerjeta Muça.</w:t>
      </w:r>
    </w:p>
    <w:p w:rsidR="00146F54" w:rsidRDefault="00146F54">
      <w:bookmarkStart w:id="0" w:name="_GoBack"/>
      <w:bookmarkEnd w:id="0"/>
    </w:p>
    <w:sectPr w:rsidR="00146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936"/>
    <w:rsid w:val="00146F54"/>
    <w:rsid w:val="00485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8593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85936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48593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8593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85936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48593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2018-01-04T14:05:00Z</dcterms:created>
  <dcterms:modified xsi:type="dcterms:W3CDTF">2018-01-04T14:05:00Z</dcterms:modified>
</cp:coreProperties>
</file>