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2BE" w:rsidRDefault="005842BE" w:rsidP="005842BE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b/>
          <w:spacing w:val="-4"/>
          <w:sz w:val="24"/>
          <w:lang w:val="sq-AL" w:eastAsia="en-GB"/>
        </w:rPr>
      </w:pPr>
      <w:r>
        <w:rPr>
          <w:rFonts w:ascii="Garamond" w:eastAsia="Times New Roman" w:hAnsi="Garamond" w:cs="CG Times"/>
          <w:b/>
          <w:spacing w:val="-4"/>
          <w:sz w:val="24"/>
          <w:lang w:val="sq-AL" w:eastAsia="en-GB"/>
        </w:rPr>
        <w:t>VENDIM</w:t>
      </w:r>
    </w:p>
    <w:p w:rsidR="005842BE" w:rsidRDefault="005842BE" w:rsidP="005842BE">
      <w:pPr>
        <w:widowControl w:val="0"/>
        <w:spacing w:after="0" w:line="240" w:lineRule="auto"/>
        <w:jc w:val="center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>
        <w:rPr>
          <w:rFonts w:ascii="Garamond" w:eastAsia="Times New Roman" w:hAnsi="Garamond" w:cs="CG Times"/>
          <w:spacing w:val="-4"/>
          <w:sz w:val="24"/>
          <w:lang w:val="sq-AL" w:eastAsia="en-GB"/>
        </w:rPr>
        <w:t>(</w:t>
      </w:r>
      <w:r>
        <w:rPr>
          <w:rFonts w:ascii="Garamond" w:eastAsia="Times New Roman" w:hAnsi="Garamond" w:cs="CG Times"/>
          <w:i/>
          <w:spacing w:val="-4"/>
          <w:sz w:val="24"/>
          <w:lang w:val="sq-AL" w:eastAsia="en-GB"/>
        </w:rPr>
        <w:t>i shkurtuar</w:t>
      </w:r>
      <w:r>
        <w:rPr>
          <w:rFonts w:ascii="Garamond" w:eastAsia="Times New Roman" w:hAnsi="Garamond" w:cs="CG Times"/>
          <w:spacing w:val="-4"/>
          <w:sz w:val="24"/>
          <w:lang w:val="sq-AL" w:eastAsia="en-GB"/>
        </w:rPr>
        <w:t>)</w:t>
      </w:r>
    </w:p>
    <w:p w:rsidR="005842BE" w:rsidRDefault="005842BE" w:rsidP="005842BE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4"/>
          <w:lang w:val="sq-AL" w:eastAsia="en-GB"/>
        </w:rPr>
      </w:pPr>
    </w:p>
    <w:p w:rsidR="005842BE" w:rsidRDefault="005842BE" w:rsidP="005842BE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 w:eastAsia="en-GB"/>
        </w:rPr>
      </w:pPr>
      <w:r>
        <w:rPr>
          <w:rFonts w:ascii="Garamond" w:eastAsia="Times New Roman" w:hAnsi="Garamond" w:cs="CG Times"/>
          <w:spacing w:val="-4"/>
          <w:sz w:val="24"/>
          <w:lang w:val="sq-AL" w:eastAsia="en-GB"/>
        </w:rPr>
        <w:t>Gjykata e Rrethit Gjyqësor Shkodër, me vendimin nr. 1504 (5031), datë 30.11.2017, vendosi heqjen e zotësisë për të vepruar të shtetasit Prelë Lulaj, lindur dhe banues në Velipojë, vendosjen e shtetasit Prelë Vatë Lulaj nën kujdestarinë e bashkëshortes së tij, shtetases Gjyste Lulaj.</w:t>
      </w:r>
    </w:p>
    <w:p w:rsidR="005842BE" w:rsidRDefault="005842BE" w:rsidP="005842BE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24"/>
          <w:lang w:val="sq-AL" w:eastAsia="en-GB"/>
        </w:rPr>
      </w:pPr>
    </w:p>
    <w:p w:rsidR="002449DD" w:rsidRDefault="002449DD">
      <w:bookmarkStart w:id="0" w:name="_GoBack"/>
      <w:bookmarkEnd w:id="0"/>
    </w:p>
    <w:sectPr w:rsidR="00244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A3"/>
    <w:rsid w:val="002449DD"/>
    <w:rsid w:val="005842BE"/>
    <w:rsid w:val="00D7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65803-4244-4F2C-88F1-E250EE8D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2B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8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2018-02-14T15:05:00Z</dcterms:created>
  <dcterms:modified xsi:type="dcterms:W3CDTF">2018-02-14T15:05:00Z</dcterms:modified>
</cp:coreProperties>
</file>