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DFB" w:rsidRPr="00857C4C" w:rsidRDefault="00763DFB" w:rsidP="00857C4C">
      <w:pPr>
        <w:spacing w:after="0" w:line="240" w:lineRule="auto"/>
        <w:ind w:firstLine="284"/>
        <w:jc w:val="center"/>
        <w:rPr>
          <w:rFonts w:ascii="Garamond" w:hAnsi="Garamond"/>
          <w:b/>
          <w:sz w:val="24"/>
          <w:szCs w:val="24"/>
        </w:rPr>
      </w:pPr>
      <w:bookmarkStart w:id="0" w:name="_GoBack"/>
      <w:bookmarkEnd w:id="0"/>
      <w:r w:rsidRPr="00857C4C">
        <w:rPr>
          <w:rFonts w:ascii="Garamond" w:hAnsi="Garamond"/>
          <w:b/>
          <w:sz w:val="24"/>
          <w:szCs w:val="24"/>
        </w:rPr>
        <w:t>VENDIM</w:t>
      </w:r>
    </w:p>
    <w:p w:rsidR="00763DFB" w:rsidRPr="00857C4C" w:rsidRDefault="00555DFA" w:rsidP="00857C4C">
      <w:pPr>
        <w:spacing w:after="0" w:line="240" w:lineRule="auto"/>
        <w:ind w:firstLine="284"/>
        <w:jc w:val="center"/>
        <w:rPr>
          <w:rFonts w:ascii="Garamond" w:hAnsi="Garamond"/>
          <w:b/>
          <w:sz w:val="24"/>
          <w:szCs w:val="24"/>
        </w:rPr>
      </w:pPr>
      <w:r>
        <w:rPr>
          <w:rFonts w:ascii="Garamond" w:hAnsi="Garamond"/>
          <w:b/>
          <w:sz w:val="24"/>
          <w:szCs w:val="24"/>
        </w:rPr>
        <w:t>Nr. 197, datë 11.</w:t>
      </w:r>
      <w:r w:rsidR="00763DFB" w:rsidRPr="00857C4C">
        <w:rPr>
          <w:rFonts w:ascii="Garamond" w:hAnsi="Garamond"/>
          <w:b/>
          <w:sz w:val="24"/>
          <w:szCs w:val="24"/>
        </w:rPr>
        <w:t>6.2020</w:t>
      </w:r>
    </w:p>
    <w:p w:rsidR="00B06062" w:rsidRPr="00857C4C" w:rsidRDefault="00B06062" w:rsidP="00857C4C">
      <w:pPr>
        <w:spacing w:after="0" w:line="240" w:lineRule="auto"/>
        <w:ind w:firstLine="284"/>
        <w:jc w:val="center"/>
        <w:rPr>
          <w:rFonts w:ascii="Garamond" w:hAnsi="Garamond"/>
          <w:b/>
          <w:sz w:val="24"/>
          <w:szCs w:val="24"/>
        </w:rPr>
      </w:pPr>
    </w:p>
    <w:p w:rsidR="00B06062" w:rsidRPr="00857C4C" w:rsidRDefault="00B06062" w:rsidP="00857C4C">
      <w:pPr>
        <w:spacing w:after="0" w:line="240" w:lineRule="auto"/>
        <w:ind w:firstLine="284"/>
        <w:jc w:val="center"/>
        <w:rPr>
          <w:rFonts w:ascii="Garamond" w:hAnsi="Garamond"/>
          <w:b/>
          <w:sz w:val="24"/>
          <w:szCs w:val="24"/>
        </w:rPr>
      </w:pPr>
      <w:r w:rsidRPr="00857C4C">
        <w:rPr>
          <w:rFonts w:ascii="Garamond" w:hAnsi="Garamond"/>
          <w:b/>
          <w:sz w:val="24"/>
          <w:szCs w:val="24"/>
        </w:rPr>
        <w:t>PËR</w:t>
      </w:r>
      <w:r w:rsidR="00555DFA">
        <w:rPr>
          <w:rFonts w:ascii="Garamond" w:hAnsi="Garamond"/>
          <w:b/>
          <w:sz w:val="24"/>
          <w:szCs w:val="24"/>
        </w:rPr>
        <w:t xml:space="preserve"> </w:t>
      </w:r>
      <w:r w:rsidRPr="00857C4C">
        <w:rPr>
          <w:rFonts w:ascii="Garamond" w:hAnsi="Garamond"/>
          <w:b/>
          <w:sz w:val="24"/>
          <w:szCs w:val="24"/>
        </w:rPr>
        <w:t>MIRATIMIN E “RREGULLA</w:t>
      </w:r>
      <w:r w:rsidR="00555DFA">
        <w:rPr>
          <w:rFonts w:ascii="Garamond" w:hAnsi="Garamond"/>
          <w:b/>
          <w:sz w:val="24"/>
          <w:szCs w:val="24"/>
        </w:rPr>
        <w:t>VE</w:t>
      </w:r>
      <w:r w:rsidRPr="00857C4C">
        <w:rPr>
          <w:rFonts w:ascii="Garamond" w:hAnsi="Garamond"/>
          <w:b/>
          <w:sz w:val="24"/>
          <w:szCs w:val="24"/>
        </w:rPr>
        <w:t xml:space="preserve"> PËR PËRZGJEDHJEN ME SHORT TË ÇËSHTJEVE NË PROCESIN E VLERËSIMIT ETIK DHE PROFESIONAL TË GJYQTARIT”</w:t>
      </w:r>
    </w:p>
    <w:p w:rsidR="00B06062" w:rsidRPr="00857C4C" w:rsidRDefault="00B06062" w:rsidP="00857C4C">
      <w:pPr>
        <w:spacing w:after="0" w:line="240" w:lineRule="auto"/>
        <w:ind w:firstLine="284"/>
        <w:jc w:val="both"/>
        <w:rPr>
          <w:rFonts w:ascii="Garamond" w:hAnsi="Garamond"/>
          <w:sz w:val="24"/>
          <w:szCs w:val="24"/>
        </w:rPr>
      </w:pPr>
    </w:p>
    <w:p w:rsidR="00C04408" w:rsidRPr="00857C4C" w:rsidRDefault="00B06062" w:rsidP="00857C4C">
      <w:pPr>
        <w:spacing w:after="0" w:line="240" w:lineRule="auto"/>
        <w:ind w:firstLine="284"/>
        <w:jc w:val="both"/>
        <w:rPr>
          <w:rFonts w:ascii="Garamond" w:hAnsi="Garamond"/>
          <w:sz w:val="24"/>
          <w:szCs w:val="24"/>
        </w:rPr>
      </w:pPr>
      <w:r w:rsidRPr="00857C4C">
        <w:rPr>
          <w:rFonts w:ascii="Garamond" w:hAnsi="Garamond"/>
          <w:sz w:val="24"/>
          <w:szCs w:val="24"/>
        </w:rPr>
        <w:t>Këshilli i Lartë Gjyqësor</w:t>
      </w:r>
      <w:r w:rsidR="00555DFA">
        <w:rPr>
          <w:rFonts w:ascii="Garamond" w:hAnsi="Garamond"/>
          <w:sz w:val="24"/>
          <w:szCs w:val="24"/>
        </w:rPr>
        <w:t>,</w:t>
      </w:r>
      <w:r w:rsidRPr="00857C4C">
        <w:rPr>
          <w:rFonts w:ascii="Garamond" w:hAnsi="Garamond"/>
          <w:sz w:val="24"/>
          <w:szCs w:val="24"/>
        </w:rPr>
        <w:t xml:space="preserve"> bazuar në nenin 147</w:t>
      </w:r>
      <w:r w:rsidR="00C04408" w:rsidRPr="00857C4C">
        <w:rPr>
          <w:rFonts w:ascii="Garamond" w:hAnsi="Garamond"/>
          <w:sz w:val="24"/>
          <w:szCs w:val="24"/>
        </w:rPr>
        <w:t>,</w:t>
      </w:r>
      <w:r w:rsidRPr="00857C4C">
        <w:rPr>
          <w:rFonts w:ascii="Garamond" w:hAnsi="Garamond"/>
          <w:sz w:val="24"/>
          <w:szCs w:val="24"/>
        </w:rPr>
        <w:t xml:space="preserve"> pika 1</w:t>
      </w:r>
      <w:r w:rsidR="00C04408" w:rsidRPr="00857C4C">
        <w:rPr>
          <w:rFonts w:ascii="Garamond" w:hAnsi="Garamond"/>
          <w:sz w:val="24"/>
          <w:szCs w:val="24"/>
        </w:rPr>
        <w:t>,</w:t>
      </w:r>
      <w:r w:rsidRPr="00857C4C">
        <w:rPr>
          <w:rFonts w:ascii="Garamond" w:hAnsi="Garamond"/>
          <w:sz w:val="24"/>
          <w:szCs w:val="24"/>
        </w:rPr>
        <w:t xml:space="preserve"> shkronja “a”</w:t>
      </w:r>
      <w:r w:rsidR="00555DFA">
        <w:rPr>
          <w:rFonts w:ascii="Garamond" w:hAnsi="Garamond"/>
          <w:sz w:val="24"/>
          <w:szCs w:val="24"/>
        </w:rPr>
        <w:t>,</w:t>
      </w:r>
      <w:r w:rsidRPr="00857C4C">
        <w:rPr>
          <w:rFonts w:ascii="Garamond" w:hAnsi="Garamond"/>
          <w:sz w:val="24"/>
          <w:szCs w:val="24"/>
        </w:rPr>
        <w:t xml:space="preserve"> të Kushtetutës, nenet 2, 68</w:t>
      </w:r>
      <w:r w:rsidR="00555DFA">
        <w:rPr>
          <w:rFonts w:ascii="Garamond" w:hAnsi="Garamond"/>
          <w:sz w:val="24"/>
          <w:szCs w:val="24"/>
        </w:rPr>
        <w:t>–</w:t>
      </w:r>
      <w:r w:rsidRPr="00857C4C">
        <w:rPr>
          <w:rFonts w:ascii="Garamond" w:hAnsi="Garamond"/>
          <w:sz w:val="24"/>
          <w:szCs w:val="24"/>
        </w:rPr>
        <w:t>72, 74</w:t>
      </w:r>
      <w:r w:rsidR="00555DFA">
        <w:rPr>
          <w:rFonts w:ascii="Garamond" w:hAnsi="Garamond"/>
          <w:sz w:val="24"/>
          <w:szCs w:val="24"/>
        </w:rPr>
        <w:t>–</w:t>
      </w:r>
      <w:r w:rsidRPr="00857C4C">
        <w:rPr>
          <w:rFonts w:ascii="Garamond" w:hAnsi="Garamond"/>
          <w:sz w:val="24"/>
          <w:szCs w:val="24"/>
        </w:rPr>
        <w:t>78, 84</w:t>
      </w:r>
      <w:r w:rsidR="00555DFA">
        <w:rPr>
          <w:rFonts w:ascii="Garamond" w:hAnsi="Garamond"/>
          <w:sz w:val="24"/>
          <w:szCs w:val="24"/>
        </w:rPr>
        <w:t>–</w:t>
      </w:r>
      <w:r w:rsidRPr="00857C4C">
        <w:rPr>
          <w:rFonts w:ascii="Garamond" w:hAnsi="Garamond"/>
          <w:sz w:val="24"/>
          <w:szCs w:val="24"/>
        </w:rPr>
        <w:t>95, 97 dhe 171</w:t>
      </w:r>
      <w:r w:rsidR="00555DFA">
        <w:rPr>
          <w:rFonts w:ascii="Garamond" w:hAnsi="Garamond"/>
          <w:sz w:val="24"/>
          <w:szCs w:val="24"/>
        </w:rPr>
        <w:t>,</w:t>
      </w:r>
      <w:r w:rsidRPr="00857C4C">
        <w:rPr>
          <w:rFonts w:ascii="Garamond" w:hAnsi="Garamond"/>
          <w:sz w:val="24"/>
          <w:szCs w:val="24"/>
        </w:rPr>
        <w:t xml:space="preserve"> të ligjit nr.</w:t>
      </w:r>
      <w:r w:rsidR="00555DFA">
        <w:rPr>
          <w:rFonts w:ascii="Garamond" w:hAnsi="Garamond"/>
          <w:sz w:val="24"/>
          <w:szCs w:val="24"/>
        </w:rPr>
        <w:t xml:space="preserve"> </w:t>
      </w:r>
      <w:r w:rsidRPr="00857C4C">
        <w:rPr>
          <w:rFonts w:ascii="Garamond" w:hAnsi="Garamond"/>
          <w:sz w:val="24"/>
          <w:szCs w:val="24"/>
        </w:rPr>
        <w:t>96/2016</w:t>
      </w:r>
      <w:r w:rsidR="00555DFA">
        <w:rPr>
          <w:rFonts w:ascii="Garamond" w:hAnsi="Garamond"/>
          <w:sz w:val="24"/>
          <w:szCs w:val="24"/>
        </w:rPr>
        <w:t>,</w:t>
      </w:r>
      <w:r w:rsidRPr="00857C4C">
        <w:rPr>
          <w:rFonts w:ascii="Garamond" w:hAnsi="Garamond"/>
          <w:sz w:val="24"/>
          <w:szCs w:val="24"/>
        </w:rPr>
        <w:t xml:space="preserve"> “Për statusin e gjyqtarëve dhe prokurorëve në Republikën e Shqipërisë”</w:t>
      </w:r>
      <w:r w:rsidR="00C04408" w:rsidRPr="00857C4C">
        <w:rPr>
          <w:rFonts w:ascii="Garamond" w:hAnsi="Garamond"/>
          <w:sz w:val="24"/>
          <w:szCs w:val="24"/>
        </w:rPr>
        <w:t>,</w:t>
      </w:r>
      <w:r w:rsidRPr="00857C4C">
        <w:rPr>
          <w:rFonts w:ascii="Garamond" w:hAnsi="Garamond"/>
          <w:sz w:val="24"/>
          <w:szCs w:val="24"/>
        </w:rPr>
        <w:t xml:space="preserve"> </w:t>
      </w:r>
      <w:r w:rsidR="00555DFA">
        <w:rPr>
          <w:rFonts w:ascii="Garamond" w:hAnsi="Garamond"/>
          <w:sz w:val="24"/>
          <w:szCs w:val="24"/>
        </w:rPr>
        <w:t>të</w:t>
      </w:r>
      <w:r w:rsidRPr="00857C4C">
        <w:rPr>
          <w:rFonts w:ascii="Garamond" w:hAnsi="Garamond"/>
          <w:sz w:val="24"/>
          <w:szCs w:val="24"/>
        </w:rPr>
        <w:t xml:space="preserve"> ndryshuar</w:t>
      </w:r>
      <w:r w:rsidR="00555DFA">
        <w:rPr>
          <w:rFonts w:ascii="Garamond" w:hAnsi="Garamond"/>
          <w:sz w:val="24"/>
          <w:szCs w:val="24"/>
        </w:rPr>
        <w:t>;</w:t>
      </w:r>
      <w:r w:rsidRPr="00857C4C">
        <w:rPr>
          <w:rFonts w:ascii="Garamond" w:hAnsi="Garamond"/>
          <w:sz w:val="24"/>
          <w:szCs w:val="24"/>
        </w:rPr>
        <w:t xml:space="preserve"> </w:t>
      </w:r>
      <w:r w:rsidR="00555DFA">
        <w:rPr>
          <w:rFonts w:ascii="Garamond" w:hAnsi="Garamond"/>
          <w:sz w:val="24"/>
          <w:szCs w:val="24"/>
        </w:rPr>
        <w:t>në v</w:t>
      </w:r>
      <w:r w:rsidRPr="00857C4C">
        <w:rPr>
          <w:rFonts w:ascii="Garamond" w:hAnsi="Garamond"/>
          <w:sz w:val="24"/>
          <w:szCs w:val="24"/>
        </w:rPr>
        <w:t>endimin e Këshillit të Lartë Gjyqësor nr. 263</w:t>
      </w:r>
      <w:r w:rsidR="00C04408" w:rsidRPr="00857C4C">
        <w:rPr>
          <w:rFonts w:ascii="Garamond" w:hAnsi="Garamond"/>
          <w:sz w:val="24"/>
          <w:szCs w:val="24"/>
        </w:rPr>
        <w:t>,</w:t>
      </w:r>
      <w:r w:rsidRPr="00857C4C">
        <w:rPr>
          <w:rFonts w:ascii="Garamond" w:hAnsi="Garamond"/>
          <w:sz w:val="24"/>
          <w:szCs w:val="24"/>
        </w:rPr>
        <w:t xml:space="preserve"> datë 21.11.2019</w:t>
      </w:r>
      <w:r w:rsidR="00555DFA">
        <w:rPr>
          <w:rFonts w:ascii="Garamond" w:hAnsi="Garamond"/>
          <w:sz w:val="24"/>
          <w:szCs w:val="24"/>
        </w:rPr>
        <w:t>,</w:t>
      </w:r>
      <w:r w:rsidRPr="00857C4C">
        <w:rPr>
          <w:rFonts w:ascii="Garamond" w:hAnsi="Garamond"/>
          <w:sz w:val="24"/>
          <w:szCs w:val="24"/>
        </w:rPr>
        <w:t xml:space="preserve"> “</w:t>
      </w:r>
      <w:r w:rsidR="00822960" w:rsidRPr="00857C4C">
        <w:rPr>
          <w:rFonts w:ascii="Garamond" w:hAnsi="Garamond"/>
          <w:sz w:val="24"/>
          <w:szCs w:val="24"/>
        </w:rPr>
        <w:t>P</w:t>
      </w:r>
      <w:r w:rsidR="00C63409" w:rsidRPr="00857C4C">
        <w:rPr>
          <w:rFonts w:ascii="Garamond" w:hAnsi="Garamond"/>
          <w:sz w:val="24"/>
          <w:szCs w:val="24"/>
        </w:rPr>
        <w:t>ë</w:t>
      </w:r>
      <w:r w:rsidR="00822960" w:rsidRPr="00857C4C">
        <w:rPr>
          <w:rFonts w:ascii="Garamond" w:hAnsi="Garamond"/>
          <w:sz w:val="24"/>
          <w:szCs w:val="24"/>
        </w:rPr>
        <w:t>r miratimin e r</w:t>
      </w:r>
      <w:r w:rsidRPr="00857C4C">
        <w:rPr>
          <w:rFonts w:ascii="Garamond" w:hAnsi="Garamond"/>
          <w:sz w:val="24"/>
          <w:szCs w:val="24"/>
        </w:rPr>
        <w:t>regulla</w:t>
      </w:r>
      <w:r w:rsidR="00DC102A" w:rsidRPr="00857C4C">
        <w:rPr>
          <w:rFonts w:ascii="Garamond" w:hAnsi="Garamond"/>
          <w:sz w:val="24"/>
          <w:szCs w:val="24"/>
        </w:rPr>
        <w:t>ve</w:t>
      </w:r>
      <w:r w:rsidRPr="00857C4C">
        <w:rPr>
          <w:rFonts w:ascii="Garamond" w:hAnsi="Garamond"/>
          <w:sz w:val="24"/>
          <w:szCs w:val="24"/>
        </w:rPr>
        <w:t xml:space="preserve"> plotësuese të vlerësimit të gjyqtarëve”, me propozim të Komisionit të Vlerësimit të Etikës dhe Veprimtarisë Profesionale,</w:t>
      </w:r>
    </w:p>
    <w:p w:rsidR="00B06062" w:rsidRPr="00857C4C" w:rsidRDefault="00B06062" w:rsidP="00857C4C">
      <w:pPr>
        <w:spacing w:after="0" w:line="240" w:lineRule="auto"/>
        <w:ind w:firstLine="284"/>
        <w:jc w:val="both"/>
        <w:rPr>
          <w:rFonts w:ascii="Garamond" w:hAnsi="Garamond"/>
          <w:sz w:val="24"/>
          <w:szCs w:val="24"/>
        </w:rPr>
      </w:pPr>
      <w:r w:rsidRPr="00857C4C">
        <w:rPr>
          <w:rFonts w:ascii="Garamond" w:hAnsi="Garamond"/>
          <w:sz w:val="24"/>
          <w:szCs w:val="24"/>
        </w:rPr>
        <w:t xml:space="preserve"> </w:t>
      </w:r>
    </w:p>
    <w:p w:rsidR="00B06062" w:rsidRPr="00857C4C" w:rsidRDefault="00B06062" w:rsidP="00857C4C">
      <w:pPr>
        <w:spacing w:after="0" w:line="240" w:lineRule="auto"/>
        <w:ind w:firstLine="284"/>
        <w:jc w:val="center"/>
        <w:rPr>
          <w:rFonts w:ascii="Garamond" w:hAnsi="Garamond"/>
          <w:sz w:val="24"/>
          <w:szCs w:val="24"/>
        </w:rPr>
      </w:pPr>
      <w:r w:rsidRPr="00857C4C">
        <w:rPr>
          <w:rFonts w:ascii="Garamond" w:hAnsi="Garamond"/>
          <w:sz w:val="24"/>
          <w:szCs w:val="24"/>
        </w:rPr>
        <w:t>VENDOSI:</w:t>
      </w:r>
    </w:p>
    <w:p w:rsidR="00C04408" w:rsidRPr="00857C4C" w:rsidRDefault="00C04408" w:rsidP="00857C4C">
      <w:pPr>
        <w:spacing w:after="0" w:line="240" w:lineRule="auto"/>
        <w:ind w:firstLine="284"/>
        <w:jc w:val="both"/>
        <w:rPr>
          <w:rFonts w:ascii="Garamond" w:hAnsi="Garamond"/>
          <w:sz w:val="24"/>
          <w:szCs w:val="24"/>
        </w:rPr>
      </w:pPr>
    </w:p>
    <w:p w:rsidR="00B06062" w:rsidRPr="00857C4C" w:rsidRDefault="00957579" w:rsidP="00857C4C">
      <w:pPr>
        <w:spacing w:after="0" w:line="240" w:lineRule="auto"/>
        <w:ind w:firstLine="284"/>
        <w:jc w:val="both"/>
        <w:rPr>
          <w:rFonts w:ascii="Garamond" w:hAnsi="Garamond"/>
          <w:sz w:val="24"/>
          <w:szCs w:val="24"/>
        </w:rPr>
      </w:pPr>
      <w:r>
        <w:rPr>
          <w:rFonts w:ascii="Garamond" w:hAnsi="Garamond"/>
          <w:sz w:val="24"/>
          <w:szCs w:val="24"/>
        </w:rPr>
        <w:t xml:space="preserve">1. </w:t>
      </w:r>
      <w:r w:rsidR="00B06062" w:rsidRPr="00857C4C">
        <w:rPr>
          <w:rFonts w:ascii="Garamond" w:hAnsi="Garamond"/>
          <w:sz w:val="24"/>
          <w:szCs w:val="24"/>
        </w:rPr>
        <w:t>Miratimin e</w:t>
      </w:r>
      <w:r w:rsidR="009D3371" w:rsidRPr="00857C4C">
        <w:rPr>
          <w:rFonts w:ascii="Garamond" w:hAnsi="Garamond"/>
          <w:sz w:val="24"/>
          <w:szCs w:val="24"/>
        </w:rPr>
        <w:t xml:space="preserve"> </w:t>
      </w:r>
      <w:r w:rsidR="00D95A49" w:rsidRPr="00857C4C">
        <w:rPr>
          <w:rFonts w:ascii="Garamond" w:hAnsi="Garamond"/>
          <w:sz w:val="24"/>
          <w:szCs w:val="24"/>
        </w:rPr>
        <w:t>“R</w:t>
      </w:r>
      <w:r w:rsidR="009D3371" w:rsidRPr="00857C4C">
        <w:rPr>
          <w:rFonts w:ascii="Garamond" w:hAnsi="Garamond"/>
          <w:sz w:val="24"/>
          <w:szCs w:val="24"/>
        </w:rPr>
        <w:t>regulla</w:t>
      </w:r>
      <w:r w:rsidR="00555DFA">
        <w:rPr>
          <w:rFonts w:ascii="Garamond" w:hAnsi="Garamond"/>
          <w:sz w:val="24"/>
          <w:szCs w:val="24"/>
        </w:rPr>
        <w:t xml:space="preserve">ve </w:t>
      </w:r>
      <w:r w:rsidR="009D3371" w:rsidRPr="00857C4C">
        <w:rPr>
          <w:rFonts w:ascii="Garamond" w:hAnsi="Garamond"/>
          <w:sz w:val="24"/>
          <w:szCs w:val="24"/>
        </w:rPr>
        <w:t>për përzgjedhjen me short të çështjeve në procesin e vlerësimit etik dhe profesional të gjyqtarit</w:t>
      </w:r>
      <w:r w:rsidR="00D95A49" w:rsidRPr="00857C4C">
        <w:rPr>
          <w:rFonts w:ascii="Garamond" w:hAnsi="Garamond"/>
          <w:sz w:val="24"/>
          <w:szCs w:val="24"/>
        </w:rPr>
        <w:t>”</w:t>
      </w:r>
      <w:r w:rsidR="009D3371" w:rsidRPr="00857C4C">
        <w:rPr>
          <w:rFonts w:ascii="Garamond" w:hAnsi="Garamond"/>
          <w:sz w:val="24"/>
          <w:szCs w:val="24"/>
        </w:rPr>
        <w:t xml:space="preserve">, sipas tekstit që i bashkëlidhet këtij vendimi dhe është pjesë e </w:t>
      </w:r>
      <w:r w:rsidR="003723F4" w:rsidRPr="00857C4C">
        <w:rPr>
          <w:rFonts w:ascii="Garamond" w:hAnsi="Garamond"/>
          <w:sz w:val="24"/>
          <w:szCs w:val="24"/>
        </w:rPr>
        <w:t>S</w:t>
      </w:r>
      <w:r w:rsidR="009D3371" w:rsidRPr="00857C4C">
        <w:rPr>
          <w:rFonts w:ascii="Garamond" w:hAnsi="Garamond"/>
          <w:sz w:val="24"/>
          <w:szCs w:val="24"/>
        </w:rPr>
        <w:t xml:space="preserve">kemës së </w:t>
      </w:r>
      <w:r w:rsidR="003723F4" w:rsidRPr="00857C4C">
        <w:rPr>
          <w:rFonts w:ascii="Garamond" w:hAnsi="Garamond"/>
          <w:sz w:val="24"/>
          <w:szCs w:val="24"/>
        </w:rPr>
        <w:t>V</w:t>
      </w:r>
      <w:r w:rsidR="009D3371" w:rsidRPr="00857C4C">
        <w:rPr>
          <w:rFonts w:ascii="Garamond" w:hAnsi="Garamond"/>
          <w:sz w:val="24"/>
          <w:szCs w:val="24"/>
        </w:rPr>
        <w:t xml:space="preserve">lerësimit të </w:t>
      </w:r>
      <w:r w:rsidR="003723F4" w:rsidRPr="00857C4C">
        <w:rPr>
          <w:rFonts w:ascii="Garamond" w:hAnsi="Garamond"/>
          <w:sz w:val="24"/>
          <w:szCs w:val="24"/>
        </w:rPr>
        <w:t>G</w:t>
      </w:r>
      <w:r w:rsidR="009D3371" w:rsidRPr="00857C4C">
        <w:rPr>
          <w:rFonts w:ascii="Garamond" w:hAnsi="Garamond"/>
          <w:sz w:val="24"/>
          <w:szCs w:val="24"/>
        </w:rPr>
        <w:t xml:space="preserve">jyqtarëve. </w:t>
      </w:r>
    </w:p>
    <w:p w:rsidR="00B06062" w:rsidRPr="00857C4C" w:rsidRDefault="00B06062" w:rsidP="00857C4C">
      <w:pPr>
        <w:spacing w:after="0" w:line="240" w:lineRule="auto"/>
        <w:ind w:firstLine="284"/>
        <w:jc w:val="both"/>
        <w:rPr>
          <w:rFonts w:ascii="Garamond" w:hAnsi="Garamond"/>
          <w:sz w:val="24"/>
          <w:szCs w:val="24"/>
        </w:rPr>
      </w:pPr>
      <w:r w:rsidRPr="00857C4C">
        <w:rPr>
          <w:rFonts w:ascii="Garamond" w:hAnsi="Garamond"/>
          <w:sz w:val="24"/>
          <w:szCs w:val="24"/>
        </w:rPr>
        <w:t>Ky vendim hyn në fuqi në datën e botimit në Fletoren Zyrtare.</w:t>
      </w:r>
    </w:p>
    <w:p w:rsidR="00B06062" w:rsidRPr="00857C4C" w:rsidRDefault="00B06062" w:rsidP="00857C4C">
      <w:pPr>
        <w:spacing w:after="0" w:line="240" w:lineRule="auto"/>
        <w:ind w:firstLine="284"/>
        <w:jc w:val="both"/>
        <w:rPr>
          <w:rFonts w:ascii="Garamond" w:hAnsi="Garamond"/>
          <w:sz w:val="24"/>
          <w:szCs w:val="24"/>
        </w:rPr>
      </w:pPr>
    </w:p>
    <w:p w:rsidR="00B06062" w:rsidRPr="00857C4C" w:rsidRDefault="00B06062" w:rsidP="00857C4C">
      <w:pPr>
        <w:spacing w:after="0" w:line="240" w:lineRule="auto"/>
        <w:ind w:firstLine="284"/>
        <w:jc w:val="right"/>
        <w:rPr>
          <w:rFonts w:ascii="Garamond" w:hAnsi="Garamond"/>
          <w:sz w:val="24"/>
          <w:szCs w:val="24"/>
        </w:rPr>
      </w:pPr>
      <w:r w:rsidRPr="00857C4C">
        <w:rPr>
          <w:rFonts w:ascii="Garamond" w:hAnsi="Garamond"/>
          <w:sz w:val="24"/>
          <w:szCs w:val="24"/>
        </w:rPr>
        <w:t>PËR KËSHILLIN E LARTË GJYQËSOR</w:t>
      </w:r>
    </w:p>
    <w:p w:rsidR="00B06062" w:rsidRPr="00857C4C" w:rsidRDefault="00857C4C" w:rsidP="00857C4C">
      <w:pPr>
        <w:spacing w:after="0" w:line="240" w:lineRule="auto"/>
        <w:ind w:firstLine="284"/>
        <w:jc w:val="right"/>
        <w:rPr>
          <w:rFonts w:ascii="Garamond" w:hAnsi="Garamond"/>
          <w:sz w:val="24"/>
          <w:szCs w:val="24"/>
        </w:rPr>
      </w:pPr>
      <w:r>
        <w:rPr>
          <w:rFonts w:ascii="Garamond" w:hAnsi="Garamond"/>
          <w:sz w:val="24"/>
          <w:szCs w:val="24"/>
        </w:rPr>
        <w:t>KRYETAR</w:t>
      </w:r>
    </w:p>
    <w:p w:rsidR="00B06062" w:rsidRPr="00857C4C" w:rsidRDefault="00857C4C" w:rsidP="00857C4C">
      <w:pPr>
        <w:spacing w:after="0" w:line="240" w:lineRule="auto"/>
        <w:ind w:firstLine="284"/>
        <w:jc w:val="right"/>
        <w:rPr>
          <w:rFonts w:ascii="Garamond" w:hAnsi="Garamond"/>
          <w:b/>
          <w:sz w:val="24"/>
          <w:szCs w:val="24"/>
        </w:rPr>
      </w:pPr>
      <w:r w:rsidRPr="00857C4C">
        <w:rPr>
          <w:rFonts w:ascii="Garamond" w:hAnsi="Garamond"/>
          <w:b/>
          <w:sz w:val="24"/>
          <w:szCs w:val="24"/>
        </w:rPr>
        <w:t>Naureda Llagami</w:t>
      </w:r>
    </w:p>
    <w:p w:rsidR="00414F59" w:rsidRDefault="00414F59" w:rsidP="00FC42E2">
      <w:pPr>
        <w:spacing w:after="0" w:line="240" w:lineRule="auto"/>
        <w:ind w:firstLine="284"/>
        <w:jc w:val="center"/>
        <w:rPr>
          <w:rFonts w:ascii="Garamond" w:hAnsi="Garamond"/>
          <w:b/>
          <w:sz w:val="24"/>
          <w:szCs w:val="24"/>
        </w:rPr>
      </w:pPr>
    </w:p>
    <w:p w:rsidR="00555DFA" w:rsidRDefault="00FC42E2" w:rsidP="00555DFA">
      <w:pPr>
        <w:spacing w:after="0" w:line="240" w:lineRule="auto"/>
        <w:ind w:firstLine="284"/>
        <w:jc w:val="center"/>
        <w:rPr>
          <w:rFonts w:ascii="Garamond" w:hAnsi="Garamond"/>
          <w:b/>
          <w:sz w:val="24"/>
          <w:szCs w:val="24"/>
        </w:rPr>
      </w:pPr>
      <w:r w:rsidRPr="00FC42E2">
        <w:rPr>
          <w:rFonts w:ascii="Garamond" w:hAnsi="Garamond"/>
          <w:b/>
          <w:sz w:val="24"/>
          <w:szCs w:val="24"/>
        </w:rPr>
        <w:t xml:space="preserve">RREGULLA </w:t>
      </w:r>
    </w:p>
    <w:p w:rsidR="00FC42E2" w:rsidRPr="00555DFA" w:rsidRDefault="00FC42E2" w:rsidP="00555DFA">
      <w:pPr>
        <w:spacing w:after="0" w:line="240" w:lineRule="auto"/>
        <w:ind w:firstLine="284"/>
        <w:jc w:val="center"/>
        <w:rPr>
          <w:rFonts w:ascii="Garamond" w:hAnsi="Garamond"/>
          <w:sz w:val="24"/>
          <w:szCs w:val="24"/>
        </w:rPr>
      </w:pPr>
      <w:r w:rsidRPr="00555DFA">
        <w:rPr>
          <w:rFonts w:ascii="Garamond" w:hAnsi="Garamond"/>
          <w:sz w:val="24"/>
          <w:szCs w:val="24"/>
        </w:rPr>
        <w:t>PËR PËRZGJEDHJEN ME SHORT TË ÇËSHTJEVE NË PROCESIN E VLERËSIMIT ETIK DHE PROFESIONAL TË GJYQTARIT</w:t>
      </w:r>
    </w:p>
    <w:p w:rsidR="00FC42E2" w:rsidRPr="00015AF3" w:rsidRDefault="00FC42E2" w:rsidP="00FC42E2">
      <w:pPr>
        <w:spacing w:after="0" w:line="240" w:lineRule="auto"/>
        <w:ind w:firstLine="284"/>
        <w:jc w:val="both"/>
        <w:rPr>
          <w:rFonts w:ascii="Garamond" w:hAnsi="Garamond"/>
          <w:sz w:val="24"/>
          <w:szCs w:val="24"/>
        </w:rPr>
      </w:pPr>
    </w:p>
    <w:p w:rsidR="00FC42E2" w:rsidRPr="00555DFA" w:rsidRDefault="00FC42E2" w:rsidP="00FC42E2">
      <w:pPr>
        <w:spacing w:after="0" w:line="240" w:lineRule="auto"/>
        <w:ind w:firstLine="284"/>
        <w:jc w:val="center"/>
        <w:rPr>
          <w:rFonts w:ascii="Garamond" w:hAnsi="Garamond"/>
          <w:sz w:val="24"/>
          <w:szCs w:val="24"/>
        </w:rPr>
      </w:pPr>
      <w:r w:rsidRPr="00555DFA">
        <w:rPr>
          <w:rFonts w:ascii="Garamond" w:hAnsi="Garamond"/>
          <w:sz w:val="24"/>
          <w:szCs w:val="24"/>
        </w:rPr>
        <w:t>KREU I</w:t>
      </w:r>
    </w:p>
    <w:p w:rsidR="00FC42E2" w:rsidRPr="00555DFA" w:rsidRDefault="00FC42E2" w:rsidP="00FC42E2">
      <w:pPr>
        <w:spacing w:after="0" w:line="240" w:lineRule="auto"/>
        <w:ind w:firstLine="284"/>
        <w:jc w:val="center"/>
        <w:rPr>
          <w:rFonts w:ascii="Garamond" w:hAnsi="Garamond"/>
          <w:sz w:val="24"/>
          <w:szCs w:val="24"/>
        </w:rPr>
      </w:pPr>
      <w:r w:rsidRPr="00555DFA">
        <w:rPr>
          <w:rFonts w:ascii="Garamond" w:hAnsi="Garamond"/>
          <w:sz w:val="24"/>
          <w:szCs w:val="24"/>
        </w:rPr>
        <w:t>PARIME TË PËRGJITHSHME</w:t>
      </w:r>
    </w:p>
    <w:p w:rsidR="00FC42E2" w:rsidRPr="00555DFA" w:rsidRDefault="00FC42E2" w:rsidP="00FC42E2">
      <w:pPr>
        <w:spacing w:after="0" w:line="240" w:lineRule="auto"/>
        <w:ind w:firstLine="284"/>
        <w:jc w:val="both"/>
        <w:rPr>
          <w:rFonts w:ascii="Garamond" w:hAnsi="Garamond"/>
          <w:sz w:val="24"/>
          <w:szCs w:val="24"/>
        </w:rPr>
      </w:pP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1. </w:t>
      </w:r>
      <w:r w:rsidR="00FC42E2" w:rsidRPr="00015AF3">
        <w:rPr>
          <w:rFonts w:ascii="Garamond" w:hAnsi="Garamond"/>
          <w:sz w:val="24"/>
          <w:szCs w:val="24"/>
        </w:rPr>
        <w:t>Përzgjedhja e çështjeve me short realizohet pas fillimit të procedurës së vlerësimit dhe është pjesë përbërëse e kësaj procedure.</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2. </w:t>
      </w:r>
      <w:r w:rsidR="00FC42E2" w:rsidRPr="00015AF3">
        <w:rPr>
          <w:rFonts w:ascii="Garamond" w:hAnsi="Garamond"/>
          <w:sz w:val="24"/>
          <w:szCs w:val="24"/>
        </w:rPr>
        <w:t>Përzgjedhja e çështjeve me short realizohet në mënyr</w:t>
      </w:r>
      <w:r w:rsidR="001A1E88">
        <w:rPr>
          <w:rFonts w:ascii="Garamond" w:hAnsi="Garamond"/>
          <w:sz w:val="24"/>
          <w:szCs w:val="24"/>
        </w:rPr>
        <w:t>ë</w:t>
      </w:r>
      <w:r w:rsidR="00FC42E2" w:rsidRPr="00015AF3">
        <w:rPr>
          <w:rFonts w:ascii="Garamond" w:hAnsi="Garamond"/>
          <w:sz w:val="24"/>
          <w:szCs w:val="24"/>
        </w:rPr>
        <w:t xml:space="preserve"> elektronike nga administrata gjyqësore. Kur kjo nuk është e mundur shorti zhvillohet në mënyrë manuale.</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3. </w:t>
      </w:r>
      <w:r w:rsidR="00FC42E2" w:rsidRPr="00015AF3">
        <w:rPr>
          <w:rFonts w:ascii="Garamond" w:hAnsi="Garamond"/>
          <w:sz w:val="24"/>
          <w:szCs w:val="24"/>
        </w:rPr>
        <w:t>Shorti zhvillohet në ambientet e gjykatës</w:t>
      </w:r>
      <w:r w:rsidR="001A1E88">
        <w:rPr>
          <w:rFonts w:ascii="Garamond" w:hAnsi="Garamond"/>
          <w:sz w:val="24"/>
          <w:szCs w:val="24"/>
        </w:rPr>
        <w:t>,</w:t>
      </w:r>
      <w:r w:rsidR="00FC42E2" w:rsidRPr="00015AF3">
        <w:rPr>
          <w:rFonts w:ascii="Garamond" w:hAnsi="Garamond"/>
          <w:sz w:val="24"/>
          <w:szCs w:val="24"/>
        </w:rPr>
        <w:t xml:space="preserve"> ku gjyqtari ka ushtruar më gjatë detyrën gjatë periudhës së vlerësimit. </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4. </w:t>
      </w:r>
      <w:r w:rsidR="00FC42E2" w:rsidRPr="00015AF3">
        <w:rPr>
          <w:rFonts w:ascii="Garamond" w:hAnsi="Garamond"/>
          <w:sz w:val="24"/>
          <w:szCs w:val="24"/>
        </w:rPr>
        <w:t>Shorti konsiston në një përzgjedhje rastësore të çështjeve dhe realizohet në mënyrë transparente në praninë e detyrueshme të nëpunësit përgjegjës për vlerësimin, të kancelarit, një sekretareje gjyqësore dhe të nëpunësit të gjykatës</w:t>
      </w:r>
      <w:r w:rsidR="001A1E88">
        <w:rPr>
          <w:rFonts w:ascii="Garamond" w:hAnsi="Garamond"/>
          <w:sz w:val="24"/>
          <w:szCs w:val="24"/>
        </w:rPr>
        <w:t>,</w:t>
      </w:r>
      <w:r w:rsidR="00FC42E2" w:rsidRPr="00015AF3">
        <w:rPr>
          <w:rFonts w:ascii="Garamond" w:hAnsi="Garamond"/>
          <w:sz w:val="24"/>
          <w:szCs w:val="24"/>
        </w:rPr>
        <w:t xml:space="preserve"> që punon në fushën e teknologjisë së informacionit. Kanë të drejtë të marrin pjesë, vetë gjyqtari subjekt vlerësimi, çdo anëtar i Komisionit për Vlerësimin e Etikës dhe Veprimtarisë Profesionale</w:t>
      </w:r>
      <w:r w:rsidR="001A1E88">
        <w:rPr>
          <w:rFonts w:ascii="Garamond" w:hAnsi="Garamond"/>
          <w:sz w:val="24"/>
          <w:szCs w:val="24"/>
        </w:rPr>
        <w:t>,</w:t>
      </w:r>
      <w:r w:rsidR="00FC42E2" w:rsidRPr="00015AF3">
        <w:rPr>
          <w:rFonts w:ascii="Garamond" w:hAnsi="Garamond"/>
          <w:sz w:val="24"/>
          <w:szCs w:val="24"/>
        </w:rPr>
        <w:t xml:space="preserve"> si dhe një punonjës IT i KLGJ-së.</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5. </w:t>
      </w:r>
      <w:r w:rsidR="00FC42E2" w:rsidRPr="00015AF3">
        <w:rPr>
          <w:rFonts w:ascii="Garamond" w:hAnsi="Garamond"/>
          <w:sz w:val="24"/>
          <w:szCs w:val="24"/>
        </w:rPr>
        <w:t>Data, ora dhe vendi i zhvillimit të shortit përcaktohen me vendim të relatorit, i cili i njoftohet gjyqtarit, kancelarit dhe kryetarit të gjykatës, jo më vonë se 2 ditë para ditës së organizimit të shortit.</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6. </w:t>
      </w:r>
      <w:r w:rsidR="00FC42E2" w:rsidRPr="00015AF3">
        <w:rPr>
          <w:rFonts w:ascii="Garamond" w:hAnsi="Garamond"/>
          <w:sz w:val="24"/>
          <w:szCs w:val="24"/>
        </w:rPr>
        <w:t xml:space="preserve">Kryetari dhe kancelari i gjykatës marrin masa për t’i krijuar nëpunësit përgjegjës të gjitha kushtet e nevojshme për ushtrimin e detyrës. </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7. </w:t>
      </w:r>
      <w:r w:rsidR="00FC42E2" w:rsidRPr="00015AF3">
        <w:rPr>
          <w:rFonts w:ascii="Garamond" w:hAnsi="Garamond"/>
          <w:sz w:val="24"/>
          <w:szCs w:val="24"/>
        </w:rPr>
        <w:t xml:space="preserve">Mbi bazën e tabelave statistikore dhe seksionin ku ka ushtruar detyrën gjyqtari, relatori përcakton me vendim numrin dhe kategoritë e çështjeve që do të përzgjidhen me short, për </w:t>
      </w:r>
      <w:r w:rsidR="00FC42E2" w:rsidRPr="00015AF3">
        <w:rPr>
          <w:rFonts w:ascii="Garamond" w:hAnsi="Garamond"/>
          <w:sz w:val="24"/>
          <w:szCs w:val="24"/>
        </w:rPr>
        <w:lastRenderedPageBreak/>
        <w:t xml:space="preserve">secilin vit vlerësimi. Përzgjedhja duhet të jetë e tillë që të përfaqësojë të gjithë punën profesionale të gjyqtarit gjatë periudhës së vlerësimit. </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8. </w:t>
      </w:r>
      <w:r w:rsidR="00FC42E2" w:rsidRPr="00015AF3">
        <w:rPr>
          <w:rFonts w:ascii="Garamond" w:hAnsi="Garamond"/>
          <w:sz w:val="24"/>
          <w:szCs w:val="24"/>
        </w:rPr>
        <w:t>Nëse gjatë periudhës së vlerësimit gjyqtari ka munguar në detyrë për më shumë se 6 muaj, numri i çështjeve që përzgjidhen për vlerësim etik dhe profesional, përkatësisht 15 ose 6 çështje për vlerësim të përgjithshëm dhe jo më shumë se 6 ose 3 çështje për ato të vendosura tej afateve standarde, në varësi të periudhës së vlerësimit, do të ulet në mënyrë proporcionale me kohën.</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9. </w:t>
      </w:r>
      <w:r w:rsidR="00FC42E2" w:rsidRPr="00015AF3">
        <w:rPr>
          <w:rFonts w:ascii="Garamond" w:hAnsi="Garamond"/>
          <w:sz w:val="24"/>
          <w:szCs w:val="24"/>
        </w:rPr>
        <w:t xml:space="preserve">Në short përfshihen të gjitha çështjet në të cilat gjyqtari ka qenë relator i trupit gjykues, duke përfshirë edhe ato të përfunduara prej tij si i transferuar përkohësisht apo i caktuar për çështje të veçanta, në një gjykatë tjetër nga ajo ku ai ushtron funksionin. </w:t>
      </w:r>
    </w:p>
    <w:p w:rsidR="00FC42E2" w:rsidRPr="00015AF3" w:rsidRDefault="00FC42E2" w:rsidP="00FC42E2">
      <w:pPr>
        <w:spacing w:after="0" w:line="240" w:lineRule="auto"/>
        <w:ind w:firstLine="284"/>
        <w:jc w:val="both"/>
        <w:rPr>
          <w:rFonts w:ascii="Garamond" w:hAnsi="Garamond"/>
          <w:sz w:val="24"/>
          <w:szCs w:val="24"/>
        </w:rPr>
      </w:pPr>
    </w:p>
    <w:p w:rsidR="00FC42E2" w:rsidRPr="00555DFA" w:rsidRDefault="00FF1124" w:rsidP="00FF1124">
      <w:pPr>
        <w:spacing w:after="0" w:line="240" w:lineRule="auto"/>
        <w:ind w:firstLine="284"/>
        <w:jc w:val="center"/>
        <w:rPr>
          <w:rFonts w:ascii="Garamond" w:hAnsi="Garamond"/>
          <w:sz w:val="24"/>
          <w:szCs w:val="24"/>
        </w:rPr>
      </w:pPr>
      <w:r w:rsidRPr="00555DFA">
        <w:rPr>
          <w:rFonts w:ascii="Garamond" w:hAnsi="Garamond"/>
          <w:sz w:val="24"/>
          <w:szCs w:val="24"/>
        </w:rPr>
        <w:t>KREU II</w:t>
      </w:r>
    </w:p>
    <w:p w:rsidR="00FC42E2" w:rsidRPr="00555DFA" w:rsidRDefault="00FF1124" w:rsidP="00FF1124">
      <w:pPr>
        <w:spacing w:after="0" w:line="240" w:lineRule="auto"/>
        <w:ind w:firstLine="284"/>
        <w:jc w:val="center"/>
        <w:rPr>
          <w:rFonts w:ascii="Garamond" w:hAnsi="Garamond"/>
          <w:sz w:val="24"/>
          <w:szCs w:val="24"/>
        </w:rPr>
      </w:pPr>
      <w:r w:rsidRPr="00555DFA">
        <w:rPr>
          <w:rFonts w:ascii="Garamond" w:hAnsi="Garamond"/>
          <w:sz w:val="24"/>
          <w:szCs w:val="24"/>
        </w:rPr>
        <w:t>KRITERET MBI TË CILAT RELATORI PËRCAKTON NUMRIN DHE KATEGORITË E ÇËSHTJEVE QË DO TË PËRZGJIDHEN ME SHORT</w:t>
      </w:r>
    </w:p>
    <w:p w:rsidR="00FF1124" w:rsidRDefault="00FF1124" w:rsidP="00FC42E2">
      <w:pPr>
        <w:spacing w:after="0" w:line="240" w:lineRule="auto"/>
        <w:ind w:firstLine="284"/>
        <w:jc w:val="both"/>
        <w:rPr>
          <w:rFonts w:ascii="Garamond" w:hAnsi="Garamond"/>
          <w:sz w:val="24"/>
          <w:szCs w:val="24"/>
        </w:rPr>
      </w:pP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10. </w:t>
      </w:r>
      <w:r w:rsidR="00FC42E2" w:rsidRPr="00015AF3">
        <w:rPr>
          <w:rFonts w:ascii="Garamond" w:hAnsi="Garamond"/>
          <w:sz w:val="24"/>
          <w:szCs w:val="24"/>
        </w:rPr>
        <w:t xml:space="preserve">Numri total i çështjeve që do të përzgjidhen me short përcaktohet nga relatori në zbatim të nenit 91 të </w:t>
      </w:r>
      <w:r w:rsidR="00EF6D07" w:rsidRPr="00015AF3">
        <w:rPr>
          <w:rFonts w:ascii="Garamond" w:hAnsi="Garamond"/>
          <w:sz w:val="24"/>
          <w:szCs w:val="24"/>
        </w:rPr>
        <w:t xml:space="preserve">ligjit për statusin, në varësi </w:t>
      </w:r>
      <w:r w:rsidR="00FC42E2" w:rsidRPr="00015AF3">
        <w:rPr>
          <w:rFonts w:ascii="Garamond" w:hAnsi="Garamond"/>
          <w:sz w:val="24"/>
          <w:szCs w:val="24"/>
        </w:rPr>
        <w:t xml:space="preserve">të periudhës së vlerësimit, bazuar në kriteret e mëposhtme: </w:t>
      </w:r>
    </w:p>
    <w:p w:rsidR="00FC42E2" w:rsidRPr="00FF1124" w:rsidRDefault="00FF1124" w:rsidP="00FC42E2">
      <w:pPr>
        <w:spacing w:after="0" w:line="240" w:lineRule="auto"/>
        <w:ind w:firstLine="284"/>
        <w:jc w:val="both"/>
        <w:rPr>
          <w:rFonts w:ascii="Garamond" w:hAnsi="Garamond"/>
          <w:b/>
          <w:sz w:val="24"/>
          <w:szCs w:val="24"/>
        </w:rPr>
      </w:pPr>
      <w:r w:rsidRPr="00FF1124">
        <w:rPr>
          <w:rFonts w:ascii="Garamond" w:hAnsi="Garamond"/>
          <w:b/>
          <w:sz w:val="24"/>
          <w:szCs w:val="24"/>
        </w:rPr>
        <w:t xml:space="preserve">a) </w:t>
      </w:r>
      <w:r w:rsidR="00FC42E2" w:rsidRPr="00FF1124">
        <w:rPr>
          <w:rFonts w:ascii="Garamond" w:hAnsi="Garamond"/>
          <w:b/>
          <w:sz w:val="24"/>
          <w:szCs w:val="24"/>
        </w:rPr>
        <w:t>Kriteri vjetor</w:t>
      </w:r>
      <w:r w:rsidR="00EF6D07">
        <w:rPr>
          <w:rFonts w:ascii="Garamond" w:hAnsi="Garamond"/>
          <w:b/>
          <w:sz w:val="24"/>
          <w:szCs w:val="24"/>
        </w:rPr>
        <w:t xml:space="preserve"> për vlerësimin e përgjithshëm</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Sipas këtij kriteri, relatori përcakton numrin e çështjeve që do të përzgjidhen për procesin e vlerësimit referuar periudhës së vlerësi</w:t>
      </w:r>
      <w:r w:rsidR="00EF6D07">
        <w:rPr>
          <w:rFonts w:ascii="Garamond" w:hAnsi="Garamond"/>
          <w:sz w:val="24"/>
          <w:szCs w:val="24"/>
        </w:rPr>
        <w:t>mit, si më poshtë</w:t>
      </w:r>
      <w:r w:rsidRPr="00015AF3">
        <w:rPr>
          <w:rFonts w:ascii="Garamond" w:hAnsi="Garamond"/>
          <w:sz w:val="24"/>
          <w:szCs w:val="24"/>
        </w:rPr>
        <w:t xml:space="preserve">: </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i. nëse vlerësimi është pesëvjeçar, do të përzgjidhen  3 çështje për çdo vit kalendarik</w:t>
      </w:r>
      <w:r w:rsidR="00555DFA">
        <w:rPr>
          <w:rFonts w:ascii="Garamond" w:hAnsi="Garamond"/>
          <w:sz w:val="24"/>
          <w:szCs w:val="24"/>
        </w:rPr>
        <w:t>;</w:t>
      </w:r>
      <w:r w:rsidRPr="00015AF3">
        <w:rPr>
          <w:rFonts w:ascii="Garamond" w:hAnsi="Garamond"/>
          <w:sz w:val="24"/>
          <w:szCs w:val="24"/>
        </w:rPr>
        <w:t xml:space="preserve"> </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ii. nëse vlerësimi është trevjeçar, do të përzgjidhen  5 çështje për çdo vit kalendarik</w:t>
      </w:r>
      <w:r w:rsidR="00555DFA">
        <w:rPr>
          <w:rFonts w:ascii="Garamond" w:hAnsi="Garamond"/>
          <w:sz w:val="24"/>
          <w:szCs w:val="24"/>
        </w:rPr>
        <w:t>;</w:t>
      </w:r>
    </w:p>
    <w:p w:rsidR="00FC42E2" w:rsidRPr="00015AF3" w:rsidRDefault="00EF6D07" w:rsidP="00FC42E2">
      <w:pPr>
        <w:spacing w:after="0" w:line="240" w:lineRule="auto"/>
        <w:ind w:firstLine="284"/>
        <w:jc w:val="both"/>
        <w:rPr>
          <w:rFonts w:ascii="Garamond" w:hAnsi="Garamond"/>
          <w:sz w:val="24"/>
          <w:szCs w:val="24"/>
        </w:rPr>
      </w:pPr>
      <w:r>
        <w:rPr>
          <w:rFonts w:ascii="Garamond" w:hAnsi="Garamond"/>
          <w:sz w:val="24"/>
          <w:szCs w:val="24"/>
        </w:rPr>
        <w:t>iii. nëse vlerësimi është 1-</w:t>
      </w:r>
      <w:r w:rsidR="00FC42E2" w:rsidRPr="00015AF3">
        <w:rPr>
          <w:rFonts w:ascii="Garamond" w:hAnsi="Garamond"/>
          <w:sz w:val="24"/>
          <w:szCs w:val="24"/>
        </w:rPr>
        <w:t>vjeçar (i përshpejtuar), do të përzgjidhen  6 çështje.</w:t>
      </w:r>
    </w:p>
    <w:p w:rsidR="00FC42E2" w:rsidRPr="00FF1124" w:rsidRDefault="00FF1124" w:rsidP="00FC42E2">
      <w:pPr>
        <w:spacing w:after="0" w:line="240" w:lineRule="auto"/>
        <w:ind w:firstLine="284"/>
        <w:jc w:val="both"/>
        <w:rPr>
          <w:rFonts w:ascii="Garamond" w:hAnsi="Garamond"/>
          <w:b/>
          <w:sz w:val="24"/>
          <w:szCs w:val="24"/>
        </w:rPr>
      </w:pPr>
      <w:r w:rsidRPr="00FF1124">
        <w:rPr>
          <w:rFonts w:ascii="Garamond" w:hAnsi="Garamond"/>
          <w:b/>
          <w:sz w:val="24"/>
          <w:szCs w:val="24"/>
        </w:rPr>
        <w:t xml:space="preserve">b) </w:t>
      </w:r>
      <w:r w:rsidR="00FC42E2" w:rsidRPr="00FF1124">
        <w:rPr>
          <w:rFonts w:ascii="Garamond" w:hAnsi="Garamond"/>
          <w:b/>
          <w:sz w:val="24"/>
          <w:szCs w:val="24"/>
        </w:rPr>
        <w:t>Kriteri i vonesës në afate</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Sipas këtij kriteri relatori përcakton numrin e çështjeve që do të përzgjidhen</w:t>
      </w:r>
      <w:r w:rsidR="00AB720D">
        <w:rPr>
          <w:rFonts w:ascii="Garamond" w:hAnsi="Garamond"/>
          <w:sz w:val="24"/>
          <w:szCs w:val="24"/>
        </w:rPr>
        <w:t>,</w:t>
      </w:r>
      <w:r w:rsidRPr="00015AF3">
        <w:rPr>
          <w:rFonts w:ascii="Garamond" w:hAnsi="Garamond"/>
          <w:sz w:val="24"/>
          <w:szCs w:val="24"/>
        </w:rPr>
        <w:t xml:space="preserve"> sipas vonesës në afate, referuar tabelës së hartuar nga nëpunësi përgjegjës,  menjëherë pas fillimit të procesit të vlerësimit, sipas formatit standard (</w:t>
      </w:r>
      <w:r w:rsidR="00AB720D" w:rsidRPr="00015AF3">
        <w:rPr>
          <w:rFonts w:ascii="Garamond" w:hAnsi="Garamond"/>
          <w:sz w:val="24"/>
          <w:szCs w:val="24"/>
        </w:rPr>
        <w:t xml:space="preserve">aneksi </w:t>
      </w:r>
      <w:r w:rsidRPr="00015AF3">
        <w:rPr>
          <w:rFonts w:ascii="Garamond" w:hAnsi="Garamond"/>
          <w:sz w:val="24"/>
          <w:szCs w:val="24"/>
        </w:rPr>
        <w:t>i bashkëlidhur këtij akti). Nëse gjyqtari ka çështje të gjykuara përtej afateve standarde (ligjore dhe standard minimal kohor), atëherë prej tyre përzgjidhen  5%, por jo më shumë se 6 çështje. Në rastin e vlerësimit 1</w:t>
      </w:r>
      <w:r w:rsidR="00AB720D">
        <w:rPr>
          <w:rFonts w:ascii="Garamond" w:hAnsi="Garamond"/>
          <w:sz w:val="24"/>
          <w:szCs w:val="24"/>
        </w:rPr>
        <w:t>-</w:t>
      </w:r>
      <w:r w:rsidRPr="00015AF3">
        <w:rPr>
          <w:rFonts w:ascii="Garamond" w:hAnsi="Garamond"/>
          <w:sz w:val="24"/>
          <w:szCs w:val="24"/>
        </w:rPr>
        <w:t>vjeçar, numri i çështjev</w:t>
      </w:r>
      <w:r w:rsidR="00AB720D">
        <w:rPr>
          <w:rFonts w:ascii="Garamond" w:hAnsi="Garamond"/>
          <w:sz w:val="24"/>
          <w:szCs w:val="24"/>
        </w:rPr>
        <w:t>e që përzgjidhen është sërish 5</w:t>
      </w:r>
      <w:r w:rsidRPr="00015AF3">
        <w:rPr>
          <w:rFonts w:ascii="Garamond" w:hAnsi="Garamond"/>
          <w:sz w:val="24"/>
          <w:szCs w:val="24"/>
        </w:rPr>
        <w:t xml:space="preserve">%, por jo më shumë se 3 çështje.  </w:t>
      </w:r>
    </w:p>
    <w:p w:rsidR="00FC42E2" w:rsidRPr="00015AF3" w:rsidRDefault="00FF1124" w:rsidP="00FC42E2">
      <w:pPr>
        <w:spacing w:after="0" w:line="240" w:lineRule="auto"/>
        <w:ind w:firstLine="284"/>
        <w:jc w:val="both"/>
        <w:rPr>
          <w:rFonts w:ascii="Garamond" w:hAnsi="Garamond"/>
          <w:sz w:val="24"/>
          <w:szCs w:val="24"/>
        </w:rPr>
      </w:pPr>
      <w:r>
        <w:rPr>
          <w:rFonts w:ascii="Garamond" w:hAnsi="Garamond"/>
          <w:sz w:val="24"/>
          <w:szCs w:val="24"/>
        </w:rPr>
        <w:t xml:space="preserve">11. </w:t>
      </w:r>
      <w:r w:rsidR="00FC42E2" w:rsidRPr="00015AF3">
        <w:rPr>
          <w:rFonts w:ascii="Garamond" w:hAnsi="Garamond"/>
          <w:sz w:val="24"/>
          <w:szCs w:val="24"/>
        </w:rPr>
        <w:t xml:space="preserve">Numri i çështjeve që do të përzgjidhen me short, për vlerësim të përgjithshëm, sipas kategorive, përcaktohet nga relatori në zbatim të nenit 91 të </w:t>
      </w:r>
      <w:r w:rsidR="00B90FD6" w:rsidRPr="00015AF3">
        <w:rPr>
          <w:rFonts w:ascii="Garamond" w:hAnsi="Garamond"/>
          <w:sz w:val="24"/>
          <w:szCs w:val="24"/>
        </w:rPr>
        <w:t>ligjit për statusin</w:t>
      </w:r>
      <w:r w:rsidR="00FC42E2" w:rsidRPr="00015AF3">
        <w:rPr>
          <w:rFonts w:ascii="Garamond" w:hAnsi="Garamond"/>
          <w:sz w:val="24"/>
          <w:szCs w:val="24"/>
        </w:rPr>
        <w:t xml:space="preserve">, në varësi të periudhës së vlerësimit, bazuar në kriteret e mëposhtme: </w:t>
      </w:r>
      <w:bookmarkStart w:id="1" w:name="_Hlk27056921"/>
    </w:p>
    <w:p w:rsidR="00FC42E2" w:rsidRPr="00524025" w:rsidRDefault="00524025" w:rsidP="00FC42E2">
      <w:pPr>
        <w:spacing w:after="0" w:line="240" w:lineRule="auto"/>
        <w:ind w:firstLine="284"/>
        <w:jc w:val="both"/>
        <w:rPr>
          <w:rFonts w:ascii="Garamond" w:hAnsi="Garamond"/>
          <w:b/>
          <w:sz w:val="24"/>
          <w:szCs w:val="24"/>
        </w:rPr>
      </w:pPr>
      <w:r w:rsidRPr="00524025">
        <w:rPr>
          <w:rFonts w:ascii="Garamond" w:hAnsi="Garamond"/>
          <w:b/>
          <w:sz w:val="24"/>
          <w:szCs w:val="24"/>
        </w:rPr>
        <w:t xml:space="preserve">a) </w:t>
      </w:r>
      <w:r w:rsidR="00FC42E2" w:rsidRPr="00524025">
        <w:rPr>
          <w:rFonts w:ascii="Garamond" w:hAnsi="Garamond"/>
          <w:b/>
          <w:sz w:val="24"/>
          <w:szCs w:val="24"/>
        </w:rPr>
        <w:t>Kriteri gjithëpërfshirës i përzgjedhjes</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 xml:space="preserve">Sipas këtij kriteri, relatori duhet të kujdeset që përzgjedhja të mbulojë plotësisht të gjitha llojet e çështjeve të gjykuara nga gjyqtari subjekt vlerësimi. Për këtë qëllim relatori përcakton numrin e çështjeve që do të përzgjidhen mbi bazën e tabelave statistikore, ku përfshihen edhe çështjet e përfunduara nga gjyqtari në një gjykatë tjetër nga ajo ku ai ka ushtruar funksionin, si </w:t>
      </w:r>
      <w:r w:rsidR="004D366C">
        <w:rPr>
          <w:rFonts w:ascii="Garamond" w:hAnsi="Garamond"/>
          <w:sz w:val="24"/>
          <w:szCs w:val="24"/>
        </w:rPr>
        <w:t>i transferuar përkohësisht</w:t>
      </w:r>
      <w:r w:rsidRPr="00015AF3">
        <w:rPr>
          <w:rFonts w:ascii="Garamond" w:hAnsi="Garamond"/>
          <w:sz w:val="24"/>
          <w:szCs w:val="24"/>
        </w:rPr>
        <w:t xml:space="preserve"> apo i caktuar për çështje të veçanta. Për lehtësimin e punës dhe </w:t>
      </w:r>
      <w:r w:rsidR="001E4852">
        <w:rPr>
          <w:rFonts w:ascii="Garamond" w:hAnsi="Garamond"/>
          <w:sz w:val="24"/>
          <w:szCs w:val="24"/>
        </w:rPr>
        <w:t xml:space="preserve">për </w:t>
      </w:r>
      <w:r w:rsidRPr="00015AF3">
        <w:rPr>
          <w:rFonts w:ascii="Garamond" w:hAnsi="Garamond"/>
          <w:sz w:val="24"/>
          <w:szCs w:val="24"/>
        </w:rPr>
        <w:t>zhvillimin e shortit, menjëherë pas fillimit të procesit të vlerësimit, mbi bazën e tabelave statistikore të dërguara, nëpunësi përgjegjës për vlerësimin, nën mbikëqyrjen e relatorit, përfshin në një tabelë të vetme statistikore</w:t>
      </w:r>
      <w:r w:rsidR="001A5952">
        <w:rPr>
          <w:rFonts w:ascii="Garamond" w:hAnsi="Garamond"/>
          <w:sz w:val="24"/>
          <w:szCs w:val="24"/>
        </w:rPr>
        <w:t>,</w:t>
      </w:r>
      <w:r w:rsidRPr="00015AF3">
        <w:rPr>
          <w:rFonts w:ascii="Garamond" w:hAnsi="Garamond"/>
          <w:sz w:val="24"/>
          <w:szCs w:val="24"/>
        </w:rPr>
        <w:t xml:space="preserve"> sipas natyrës së çështjes, ato të përfunduara në të njëjtin vit kalendarik, në gjykata të tjera ku gjyqtari ka qenë i transferuar apo caktuar për gjykimin e çështjeve të veçanta.</w:t>
      </w:r>
    </w:p>
    <w:p w:rsidR="00FC42E2" w:rsidRPr="00524025" w:rsidRDefault="00524025" w:rsidP="00FC42E2">
      <w:pPr>
        <w:spacing w:after="0" w:line="240" w:lineRule="auto"/>
        <w:ind w:firstLine="284"/>
        <w:jc w:val="both"/>
        <w:rPr>
          <w:rFonts w:ascii="Garamond" w:hAnsi="Garamond"/>
          <w:b/>
          <w:sz w:val="24"/>
          <w:szCs w:val="24"/>
        </w:rPr>
      </w:pPr>
      <w:r w:rsidRPr="00524025">
        <w:rPr>
          <w:rFonts w:ascii="Garamond" w:hAnsi="Garamond"/>
          <w:b/>
          <w:sz w:val="24"/>
          <w:szCs w:val="24"/>
        </w:rPr>
        <w:t xml:space="preserve">b) </w:t>
      </w:r>
      <w:r w:rsidR="00FC42E2" w:rsidRPr="00524025">
        <w:rPr>
          <w:rFonts w:ascii="Garamond" w:hAnsi="Garamond"/>
          <w:b/>
          <w:sz w:val="24"/>
          <w:szCs w:val="24"/>
        </w:rPr>
        <w:t>Kriteri i barazisë në përzgjedhjen e çështjeve</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Sipas këtij kriteri, relatori përcakton numrin e çështjeve që do të përzgjidhen, në varësi të numrit të çështjeve të përfunduara, me qëllim përzgjedhjen në mënyrë të barabartë të çështjeve për secilën kategori, në varësi të raportit që zë numri i çështjeve të përfunduara për secilën kategori/tabelë, në numrin total të çështjeve.</w:t>
      </w:r>
    </w:p>
    <w:p w:rsidR="00FC42E2" w:rsidRPr="00524025" w:rsidRDefault="00524025" w:rsidP="00FC42E2">
      <w:pPr>
        <w:spacing w:after="0" w:line="240" w:lineRule="auto"/>
        <w:ind w:firstLine="284"/>
        <w:jc w:val="both"/>
        <w:rPr>
          <w:rFonts w:ascii="Garamond" w:hAnsi="Garamond"/>
          <w:b/>
          <w:sz w:val="24"/>
          <w:szCs w:val="24"/>
        </w:rPr>
      </w:pPr>
      <w:r w:rsidRPr="00524025">
        <w:rPr>
          <w:rFonts w:ascii="Garamond" w:hAnsi="Garamond"/>
          <w:b/>
          <w:sz w:val="24"/>
          <w:szCs w:val="24"/>
        </w:rPr>
        <w:t xml:space="preserve">c) </w:t>
      </w:r>
      <w:r w:rsidR="00FC42E2" w:rsidRPr="00524025">
        <w:rPr>
          <w:rFonts w:ascii="Garamond" w:hAnsi="Garamond"/>
          <w:b/>
          <w:sz w:val="24"/>
          <w:szCs w:val="24"/>
        </w:rPr>
        <w:t>Kriteri i natyrës së vendimit</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 xml:space="preserve">Sipas këtij kriteri, relatori, pas përcaktimit të numrit total të çështjeve që duhet të përzgjidhen (vlerësim i përgjithshëm + çështjet e vonesës në afate), përcakton numrin maksimal të çështjeve të përfunduara me vendim jopërfundimtar që duhet të merren për vlerësim, nëse shorti do të </w:t>
      </w:r>
      <w:r w:rsidRPr="00015AF3">
        <w:rPr>
          <w:rFonts w:ascii="Garamond" w:hAnsi="Garamond"/>
          <w:sz w:val="24"/>
          <w:szCs w:val="24"/>
        </w:rPr>
        <w:lastRenderedPageBreak/>
        <w:t xml:space="preserve">përzgjedhë të tilla. Ky numër nuk duhet të jetë më i lartë se 10% e numrit të përgjithshëm të çështjeve të përzgjedhura. </w:t>
      </w:r>
    </w:p>
    <w:p w:rsidR="00FC42E2" w:rsidRPr="00524025" w:rsidRDefault="00524025" w:rsidP="00FC42E2">
      <w:pPr>
        <w:spacing w:after="0" w:line="240" w:lineRule="auto"/>
        <w:ind w:firstLine="284"/>
        <w:jc w:val="both"/>
        <w:rPr>
          <w:rFonts w:ascii="Garamond" w:hAnsi="Garamond"/>
          <w:b/>
          <w:sz w:val="24"/>
          <w:szCs w:val="24"/>
        </w:rPr>
      </w:pPr>
      <w:r w:rsidRPr="00524025">
        <w:rPr>
          <w:rFonts w:ascii="Garamond" w:hAnsi="Garamond"/>
          <w:b/>
          <w:sz w:val="24"/>
          <w:szCs w:val="24"/>
        </w:rPr>
        <w:t xml:space="preserve">ç. </w:t>
      </w:r>
      <w:r w:rsidR="00FC42E2" w:rsidRPr="00524025">
        <w:rPr>
          <w:rFonts w:ascii="Garamond" w:hAnsi="Garamond"/>
          <w:b/>
          <w:sz w:val="24"/>
          <w:szCs w:val="24"/>
        </w:rPr>
        <w:t>Kriteri i kompleksitetit të çështjes</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 xml:space="preserve">Sipas këtij kriteri, relatori përcakton numrin e çështjeve pa palë kundërshtare që duhet të përzgjidhen si kategori më vete, në varësi të raportit që zënë çështjet e përfunduara pa palë kundërshtare në numrin total të çështjeve. Ky numër nuk duhet të jetë më i lartë se 20% e numrit të përgjithshëm të çështjeve të përzgjedhura. Bazuar në tabelat statistikore, relatori përcakton kategorinë dhe vitin kalendarik nga i cili këto çështje do të përzgjidhen me short.  </w:t>
      </w:r>
    </w:p>
    <w:bookmarkEnd w:id="1"/>
    <w:p w:rsidR="00524025" w:rsidRDefault="00524025" w:rsidP="00FC42E2">
      <w:pPr>
        <w:spacing w:after="0" w:line="240" w:lineRule="auto"/>
        <w:ind w:firstLine="284"/>
        <w:jc w:val="both"/>
        <w:rPr>
          <w:rFonts w:ascii="Garamond" w:hAnsi="Garamond"/>
          <w:sz w:val="24"/>
          <w:szCs w:val="24"/>
        </w:rPr>
      </w:pPr>
    </w:p>
    <w:p w:rsidR="00FC42E2" w:rsidRPr="00555DFA" w:rsidRDefault="00524025" w:rsidP="00524025">
      <w:pPr>
        <w:spacing w:after="0" w:line="240" w:lineRule="auto"/>
        <w:ind w:firstLine="284"/>
        <w:jc w:val="center"/>
        <w:rPr>
          <w:rFonts w:ascii="Garamond" w:hAnsi="Garamond"/>
          <w:sz w:val="24"/>
          <w:szCs w:val="24"/>
        </w:rPr>
      </w:pPr>
      <w:r w:rsidRPr="00555DFA">
        <w:rPr>
          <w:rFonts w:ascii="Garamond" w:hAnsi="Garamond"/>
          <w:sz w:val="24"/>
          <w:szCs w:val="24"/>
        </w:rPr>
        <w:t>KREU III</w:t>
      </w:r>
    </w:p>
    <w:p w:rsidR="00FC42E2" w:rsidRPr="00555DFA" w:rsidRDefault="00524025" w:rsidP="00524025">
      <w:pPr>
        <w:spacing w:after="0" w:line="240" w:lineRule="auto"/>
        <w:ind w:firstLine="284"/>
        <w:jc w:val="center"/>
        <w:rPr>
          <w:rFonts w:ascii="Garamond" w:hAnsi="Garamond"/>
          <w:sz w:val="24"/>
          <w:szCs w:val="24"/>
        </w:rPr>
      </w:pPr>
      <w:r w:rsidRPr="00555DFA">
        <w:rPr>
          <w:rFonts w:ascii="Garamond" w:hAnsi="Garamond"/>
          <w:sz w:val="24"/>
          <w:szCs w:val="24"/>
        </w:rPr>
        <w:t>RREGULLAT E ZHVILLIMIT TË SHORTIT NË GJYKATË</w:t>
      </w:r>
    </w:p>
    <w:p w:rsidR="00524025" w:rsidRDefault="00524025" w:rsidP="00FC42E2">
      <w:pPr>
        <w:spacing w:after="0" w:line="240" w:lineRule="auto"/>
        <w:ind w:firstLine="284"/>
        <w:jc w:val="both"/>
        <w:rPr>
          <w:rFonts w:ascii="Garamond" w:hAnsi="Garamond"/>
          <w:sz w:val="24"/>
          <w:szCs w:val="24"/>
        </w:rPr>
      </w:pP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12. </w:t>
      </w:r>
      <w:r w:rsidR="00FC42E2" w:rsidRPr="00015AF3">
        <w:rPr>
          <w:rFonts w:ascii="Garamond" w:hAnsi="Garamond"/>
          <w:sz w:val="24"/>
          <w:szCs w:val="24"/>
        </w:rPr>
        <w:t>Shorti zhvillohet mbi bazën e listës së plotë të çështjeve gjyqësore të gjykuara nga gjyqtari.</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13. </w:t>
      </w:r>
      <w:r w:rsidR="00FC42E2" w:rsidRPr="00015AF3">
        <w:rPr>
          <w:rFonts w:ascii="Garamond" w:hAnsi="Garamond"/>
          <w:sz w:val="24"/>
          <w:szCs w:val="24"/>
        </w:rPr>
        <w:t>Procedura e shortit ndjek disa hapa përzgjedh</w:t>
      </w:r>
      <w:r w:rsidR="001D637C">
        <w:rPr>
          <w:rFonts w:ascii="Garamond" w:hAnsi="Garamond"/>
          <w:sz w:val="24"/>
          <w:szCs w:val="24"/>
        </w:rPr>
        <w:t>ës</w:t>
      </w:r>
      <w:r w:rsidR="00FC42E2" w:rsidRPr="00015AF3">
        <w:rPr>
          <w:rFonts w:ascii="Garamond" w:hAnsi="Garamond"/>
          <w:sz w:val="24"/>
          <w:szCs w:val="24"/>
        </w:rPr>
        <w:t xml:space="preserve"> të çështjeve</w:t>
      </w:r>
      <w:r w:rsidR="001D637C">
        <w:rPr>
          <w:rFonts w:ascii="Garamond" w:hAnsi="Garamond"/>
          <w:sz w:val="24"/>
          <w:szCs w:val="24"/>
        </w:rPr>
        <w:t>,</w:t>
      </w:r>
      <w:r w:rsidR="00FC42E2" w:rsidRPr="00015AF3">
        <w:rPr>
          <w:rFonts w:ascii="Garamond" w:hAnsi="Garamond"/>
          <w:sz w:val="24"/>
          <w:szCs w:val="24"/>
        </w:rPr>
        <w:t xml:space="preserve"> sipas vendimit të relatorit e radhës së mëposhtme. </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14. </w:t>
      </w:r>
      <w:r w:rsidR="00FC42E2" w:rsidRPr="00015AF3">
        <w:rPr>
          <w:rFonts w:ascii="Garamond" w:hAnsi="Garamond"/>
          <w:sz w:val="24"/>
          <w:szCs w:val="24"/>
        </w:rPr>
        <w:t>Çdo hap përzgjedh</w:t>
      </w:r>
      <w:r w:rsidR="00482A58">
        <w:rPr>
          <w:rFonts w:ascii="Garamond" w:hAnsi="Garamond"/>
          <w:sz w:val="24"/>
          <w:szCs w:val="24"/>
        </w:rPr>
        <w:t>ë</w:t>
      </w:r>
      <w:r w:rsidR="0036636A">
        <w:rPr>
          <w:rFonts w:ascii="Garamond" w:hAnsi="Garamond"/>
          <w:sz w:val="24"/>
          <w:szCs w:val="24"/>
        </w:rPr>
        <w:t>s</w:t>
      </w:r>
      <w:r w:rsidR="00FC42E2" w:rsidRPr="00015AF3">
        <w:rPr>
          <w:rFonts w:ascii="Garamond" w:hAnsi="Garamond"/>
          <w:sz w:val="24"/>
          <w:szCs w:val="24"/>
        </w:rPr>
        <w:t xml:space="preserve"> bazohet në të dhëna statistikore pjesë e një tabele të caktuar për kategori çështjesh.</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15. </w:t>
      </w:r>
      <w:r w:rsidR="00FC42E2" w:rsidRPr="00015AF3">
        <w:rPr>
          <w:rFonts w:ascii="Garamond" w:hAnsi="Garamond"/>
          <w:sz w:val="24"/>
          <w:szCs w:val="24"/>
        </w:rPr>
        <w:t>Procedura e shortit fillon me përzgjedhjen në mënyrë rastësore të çështjeve për të cilat është vendosur përtej afateve standarde, bazuar në formatin tabelar të hartuar nga nëpunësi përgjegjës për vlerësimin.</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16. </w:t>
      </w:r>
      <w:r w:rsidR="00FC42E2" w:rsidRPr="00015AF3">
        <w:rPr>
          <w:rFonts w:ascii="Garamond" w:hAnsi="Garamond"/>
          <w:sz w:val="24"/>
          <w:szCs w:val="24"/>
        </w:rPr>
        <w:t>Më pas vazhdohet me përzgjedhjen e çështjeve për vlerësimin e përgjithshëm</w:t>
      </w:r>
      <w:r w:rsidR="00601FB9">
        <w:rPr>
          <w:rFonts w:ascii="Garamond" w:hAnsi="Garamond"/>
          <w:sz w:val="24"/>
          <w:szCs w:val="24"/>
        </w:rPr>
        <w:t>,</w:t>
      </w:r>
      <w:r w:rsidR="00FC42E2" w:rsidRPr="00015AF3">
        <w:rPr>
          <w:rFonts w:ascii="Garamond" w:hAnsi="Garamond"/>
          <w:sz w:val="24"/>
          <w:szCs w:val="24"/>
        </w:rPr>
        <w:t xml:space="preserve"> sipas kategorive të çështjeve e tabelave statistikore të përcaktuara në vendimin e relatorit. Në përzgjedhjen e çështjeve për vlerësim të përgjithshëm, përjashtohen ato që janë përzgjedhur sipas pikës 15. </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17. </w:t>
      </w:r>
      <w:r w:rsidR="00FC42E2" w:rsidRPr="00015AF3">
        <w:rPr>
          <w:rFonts w:ascii="Garamond" w:hAnsi="Garamond"/>
          <w:sz w:val="24"/>
          <w:szCs w:val="24"/>
        </w:rPr>
        <w:t xml:space="preserve">Për të kontrolluar nëse çështja e përzgjedhur me short përmbush kriteret e nenit 91 të </w:t>
      </w:r>
      <w:r w:rsidR="00601FB9" w:rsidRPr="00015AF3">
        <w:rPr>
          <w:rFonts w:ascii="Garamond" w:hAnsi="Garamond"/>
          <w:sz w:val="24"/>
          <w:szCs w:val="24"/>
        </w:rPr>
        <w:t xml:space="preserve">ligjit për statusin </w:t>
      </w:r>
      <w:r w:rsidR="00FC42E2" w:rsidRPr="00015AF3">
        <w:rPr>
          <w:rFonts w:ascii="Garamond" w:hAnsi="Garamond"/>
          <w:sz w:val="24"/>
          <w:szCs w:val="24"/>
        </w:rPr>
        <w:t xml:space="preserve">dhe të këtyre rregullave, do të procedohet aty për aty me verifikimin fizik të vendimit gjyqësor, që ka zgjidhur çështjen. Nëse çështja nuk përmbush kriteret, atëherë ajo nuk konsiderohet dhe procedohet me përzgjedhjen e një çështjeje tjetër. Çështje e përzgjedhur me short nuk konsiderohet as ajo, vendimi gjyqësor i </w:t>
      </w:r>
      <w:r w:rsidR="00601FB9">
        <w:rPr>
          <w:rFonts w:ascii="Garamond" w:hAnsi="Garamond"/>
          <w:sz w:val="24"/>
          <w:szCs w:val="24"/>
        </w:rPr>
        <w:t>s</w:t>
      </w:r>
      <w:r w:rsidR="00FC42E2" w:rsidRPr="00015AF3">
        <w:rPr>
          <w:rFonts w:ascii="Garamond" w:hAnsi="Garamond"/>
          <w:sz w:val="24"/>
          <w:szCs w:val="24"/>
        </w:rPr>
        <w:t xml:space="preserve">ë cilës është përzgjedhur për vlerësim nga gjyqtari, sipas nenit 86 të </w:t>
      </w:r>
      <w:r w:rsidR="00601FB9" w:rsidRPr="00015AF3">
        <w:rPr>
          <w:rFonts w:ascii="Garamond" w:hAnsi="Garamond"/>
          <w:sz w:val="24"/>
          <w:szCs w:val="24"/>
        </w:rPr>
        <w:t>ligjit për statusin</w:t>
      </w:r>
      <w:r w:rsidR="00FC42E2" w:rsidRPr="00015AF3">
        <w:rPr>
          <w:rFonts w:ascii="Garamond" w:hAnsi="Garamond"/>
          <w:sz w:val="24"/>
          <w:szCs w:val="24"/>
        </w:rPr>
        <w:t xml:space="preserve">. </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18. </w:t>
      </w:r>
      <w:r w:rsidR="00FC42E2" w:rsidRPr="00015AF3">
        <w:rPr>
          <w:rFonts w:ascii="Garamond" w:hAnsi="Garamond"/>
          <w:sz w:val="24"/>
          <w:szCs w:val="24"/>
        </w:rPr>
        <w:t xml:space="preserve">Gjykata/t e tjera duhet të bashkëpunojnë, duke dërguar në kohë reale në vendin ku zhvillohet shorti, kopje të vendimeve, nëse ato përzgjidhen nga shorti. Për të verifikuar që çështjet e përzgjedhura përmbushin kriteret e shortit, dërgimi duhet të bëhet menjëherë me faks ose me postë elektronike, duke u dokumentuar në procesverbalin e shortit. </w:t>
      </w:r>
    </w:p>
    <w:p w:rsidR="00FC42E2" w:rsidRPr="00015AF3" w:rsidRDefault="00FC42E2" w:rsidP="00FC42E2">
      <w:pPr>
        <w:spacing w:after="0" w:line="240" w:lineRule="auto"/>
        <w:ind w:firstLine="284"/>
        <w:jc w:val="both"/>
        <w:rPr>
          <w:rFonts w:ascii="Garamond" w:hAnsi="Garamond"/>
          <w:sz w:val="24"/>
          <w:szCs w:val="24"/>
        </w:rPr>
      </w:pPr>
    </w:p>
    <w:p w:rsidR="00FC42E2" w:rsidRPr="00555DFA" w:rsidRDefault="00524025" w:rsidP="00524025">
      <w:pPr>
        <w:spacing w:after="0" w:line="240" w:lineRule="auto"/>
        <w:ind w:firstLine="284"/>
        <w:jc w:val="center"/>
        <w:rPr>
          <w:rFonts w:ascii="Garamond" w:hAnsi="Garamond"/>
          <w:sz w:val="24"/>
          <w:szCs w:val="24"/>
        </w:rPr>
      </w:pPr>
      <w:r w:rsidRPr="00555DFA">
        <w:rPr>
          <w:rFonts w:ascii="Garamond" w:hAnsi="Garamond"/>
          <w:sz w:val="24"/>
          <w:szCs w:val="24"/>
        </w:rPr>
        <w:t>KREU IV</w:t>
      </w:r>
    </w:p>
    <w:p w:rsidR="00FC42E2" w:rsidRPr="00555DFA" w:rsidRDefault="00524025" w:rsidP="00524025">
      <w:pPr>
        <w:spacing w:after="0" w:line="240" w:lineRule="auto"/>
        <w:ind w:firstLine="284"/>
        <w:jc w:val="center"/>
        <w:rPr>
          <w:rFonts w:ascii="Garamond" w:hAnsi="Garamond"/>
          <w:sz w:val="24"/>
          <w:szCs w:val="24"/>
        </w:rPr>
      </w:pPr>
      <w:r w:rsidRPr="00555DFA">
        <w:rPr>
          <w:rFonts w:ascii="Garamond" w:hAnsi="Garamond"/>
          <w:sz w:val="24"/>
          <w:szCs w:val="24"/>
        </w:rPr>
        <w:t>DOKUMENTIMI I SHORTIT DHE VËZHGIMI I DOSJEVE</w:t>
      </w:r>
    </w:p>
    <w:p w:rsidR="00524025" w:rsidRDefault="00524025" w:rsidP="00FC42E2">
      <w:pPr>
        <w:spacing w:after="0" w:line="240" w:lineRule="auto"/>
        <w:ind w:firstLine="284"/>
        <w:jc w:val="both"/>
        <w:rPr>
          <w:rFonts w:ascii="Garamond" w:hAnsi="Garamond"/>
          <w:sz w:val="24"/>
          <w:szCs w:val="24"/>
        </w:rPr>
      </w:pP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19. </w:t>
      </w:r>
      <w:r w:rsidR="00FC42E2" w:rsidRPr="00015AF3">
        <w:rPr>
          <w:rFonts w:ascii="Garamond" w:hAnsi="Garamond"/>
          <w:sz w:val="24"/>
          <w:szCs w:val="24"/>
        </w:rPr>
        <w:t xml:space="preserve">Çdo veprim i kryer gjatë procedurës së shortit dokumentohet në një procesverbal, sipas formës standarde të miratuar. </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20. </w:t>
      </w:r>
      <w:r w:rsidR="00FC42E2" w:rsidRPr="00015AF3">
        <w:rPr>
          <w:rFonts w:ascii="Garamond" w:hAnsi="Garamond"/>
          <w:sz w:val="24"/>
          <w:szCs w:val="24"/>
        </w:rPr>
        <w:t xml:space="preserve">Ky procesverbal mbahet nga një sekretare gjyqësore dhe nënshkruhet nga të gjithë të pranishmit. Nëse ka vërejtje për procedurën e zhvillimit të shortit, ato shënohen në një rubrikë të veçantë të procesverbalit. </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21. </w:t>
      </w:r>
      <w:r w:rsidR="00FC42E2" w:rsidRPr="00015AF3">
        <w:rPr>
          <w:rFonts w:ascii="Garamond" w:hAnsi="Garamond"/>
          <w:sz w:val="24"/>
          <w:szCs w:val="24"/>
        </w:rPr>
        <w:t>Një kopje e procesverbalit i dorëzohet kancelarit të gjykatës për përgatitjen e dosjeve të përzgjedhura. Një kopje i dorëzohet gjyqtarit, ndërsa kopja origjinale bëhet pjesë e dosjes së vlerësimit.</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22. </w:t>
      </w:r>
      <w:r w:rsidR="00FC42E2" w:rsidRPr="00015AF3">
        <w:rPr>
          <w:rFonts w:ascii="Garamond" w:hAnsi="Garamond"/>
          <w:sz w:val="24"/>
          <w:szCs w:val="24"/>
        </w:rPr>
        <w:t>Pas dokumentimit të shortit bëhet vëzhgimi i dosjeve për të parë nëse ato ndodhen në arkiv</w:t>
      </w:r>
      <w:r w:rsidR="00555DFA">
        <w:rPr>
          <w:rFonts w:ascii="Garamond" w:hAnsi="Garamond"/>
          <w:sz w:val="24"/>
          <w:szCs w:val="24"/>
        </w:rPr>
        <w:t>i</w:t>
      </w:r>
      <w:r w:rsidR="00FC42E2" w:rsidRPr="00015AF3">
        <w:rPr>
          <w:rFonts w:ascii="Garamond" w:hAnsi="Garamond"/>
          <w:sz w:val="24"/>
          <w:szCs w:val="24"/>
        </w:rPr>
        <w:t>n e gjykatës ku është zhvilluar shorti. Kancelari merr masa për fotokopjimin e të gjitha akteve të dosjeve të përzgjedhura, me përjashtim të fashikullit të prokurorit në çështjet penale dhe ia përcjell ato Këshillit</w:t>
      </w:r>
      <w:r w:rsidR="00D33408">
        <w:rPr>
          <w:rFonts w:ascii="Garamond" w:hAnsi="Garamond"/>
          <w:sz w:val="24"/>
          <w:szCs w:val="24"/>
        </w:rPr>
        <w:t>,</w:t>
      </w:r>
      <w:r w:rsidR="00FC42E2" w:rsidRPr="00015AF3">
        <w:rPr>
          <w:rFonts w:ascii="Garamond" w:hAnsi="Garamond"/>
          <w:sz w:val="24"/>
          <w:szCs w:val="24"/>
        </w:rPr>
        <w:t xml:space="preserve"> jo më vonë se 5 (pesë) ditë nga e nesërmja e zhvillimit të shortit. Aktet e dosjeve të përzgjedhura duhet të jenë të inventarizuara dhe të njësuara me vulën e gjykatës. </w:t>
      </w:r>
      <w:r w:rsidR="00FC42E2" w:rsidRPr="00015AF3">
        <w:rPr>
          <w:rFonts w:ascii="Garamond" w:hAnsi="Garamond"/>
          <w:sz w:val="24"/>
          <w:szCs w:val="24"/>
        </w:rPr>
        <w:lastRenderedPageBreak/>
        <w:t>Bashkë me aktet e fotokopjuara e të njësuara me origjinalin, duhet të dërgohet edhe kopja e regjistrimit audio të seancave.</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23. </w:t>
      </w:r>
      <w:r w:rsidR="00FC42E2" w:rsidRPr="00015AF3">
        <w:rPr>
          <w:rFonts w:ascii="Garamond" w:hAnsi="Garamond"/>
          <w:sz w:val="24"/>
          <w:szCs w:val="24"/>
        </w:rPr>
        <w:t>Nëse pas vëzhgimit të dosjeve rezulton se ato ndodhen në arkiv</w:t>
      </w:r>
      <w:r w:rsidR="00555DFA">
        <w:rPr>
          <w:rFonts w:ascii="Garamond" w:hAnsi="Garamond"/>
          <w:sz w:val="24"/>
          <w:szCs w:val="24"/>
        </w:rPr>
        <w:t>i</w:t>
      </w:r>
      <w:r w:rsidR="00FC42E2" w:rsidRPr="00015AF3">
        <w:rPr>
          <w:rFonts w:ascii="Garamond" w:hAnsi="Garamond"/>
          <w:sz w:val="24"/>
          <w:szCs w:val="24"/>
        </w:rPr>
        <w:t xml:space="preserve">n e një gjykate tjetër, nëpunësi përgjegjës për vlerësimin, njofton relatorin dhe me miratimin e tij i kërkon gjykatës tjetër, kopje të akteve të dosjes së përzgjedhur sipas procedurës dhe afateve të mësipërme. </w:t>
      </w:r>
    </w:p>
    <w:p w:rsidR="00FC42E2" w:rsidRPr="00015AF3" w:rsidRDefault="00FC42E2" w:rsidP="00FC42E2">
      <w:pPr>
        <w:spacing w:after="0" w:line="240" w:lineRule="auto"/>
        <w:ind w:firstLine="284"/>
        <w:jc w:val="both"/>
        <w:rPr>
          <w:rFonts w:ascii="Garamond" w:hAnsi="Garamond"/>
          <w:sz w:val="24"/>
          <w:szCs w:val="24"/>
        </w:rPr>
      </w:pPr>
    </w:p>
    <w:p w:rsidR="00FC42E2" w:rsidRPr="00555DFA" w:rsidRDefault="00524025" w:rsidP="00524025">
      <w:pPr>
        <w:spacing w:after="0" w:line="240" w:lineRule="auto"/>
        <w:ind w:firstLine="284"/>
        <w:jc w:val="center"/>
        <w:rPr>
          <w:rFonts w:ascii="Garamond" w:hAnsi="Garamond"/>
          <w:sz w:val="24"/>
          <w:szCs w:val="24"/>
        </w:rPr>
      </w:pPr>
      <w:r w:rsidRPr="00555DFA">
        <w:rPr>
          <w:rFonts w:ascii="Garamond" w:hAnsi="Garamond"/>
          <w:sz w:val="24"/>
          <w:szCs w:val="24"/>
        </w:rPr>
        <w:t>KREU V</w:t>
      </w:r>
    </w:p>
    <w:p w:rsidR="00FC42E2" w:rsidRPr="00555DFA" w:rsidRDefault="00524025" w:rsidP="00524025">
      <w:pPr>
        <w:spacing w:after="0" w:line="240" w:lineRule="auto"/>
        <w:ind w:firstLine="284"/>
        <w:jc w:val="center"/>
        <w:rPr>
          <w:rFonts w:ascii="Garamond" w:hAnsi="Garamond"/>
          <w:sz w:val="24"/>
          <w:szCs w:val="24"/>
        </w:rPr>
      </w:pPr>
      <w:r w:rsidRPr="00555DFA">
        <w:rPr>
          <w:rFonts w:ascii="Garamond" w:hAnsi="Garamond"/>
          <w:sz w:val="24"/>
          <w:szCs w:val="24"/>
        </w:rPr>
        <w:t>DISPOZITA KALIMTARE PËR GRADIMIN/PËRCAKTIMIN E NIVELIT TË VLERËSIMIT TË GJYQTARËVE QË KANË KALUAR PROCESIN E RIVLERËSIMIT</w:t>
      </w:r>
    </w:p>
    <w:p w:rsidR="00524025" w:rsidRDefault="00524025" w:rsidP="00FC42E2">
      <w:pPr>
        <w:spacing w:after="0" w:line="240" w:lineRule="auto"/>
        <w:ind w:firstLine="284"/>
        <w:jc w:val="both"/>
        <w:rPr>
          <w:rFonts w:ascii="Garamond" w:hAnsi="Garamond"/>
          <w:sz w:val="24"/>
          <w:szCs w:val="24"/>
        </w:rPr>
      </w:pP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24. </w:t>
      </w:r>
      <w:r w:rsidR="00FC42E2" w:rsidRPr="00015AF3">
        <w:rPr>
          <w:rFonts w:ascii="Garamond" w:hAnsi="Garamond"/>
          <w:sz w:val="24"/>
          <w:szCs w:val="24"/>
        </w:rPr>
        <w:t>Për gradimin/përcaktimin e nivelit të vlerësimit të gjyqtarëve që kanë kaluar me sukses procesin e rivlerësimit kalimtar, përzgjidhen me short për vlerësim 6 dosje shtesë. Nga kjo përzgjedhje, përjashtohen çështjet që janë pjesë e dosjes së rivlerësimit, sipas nenit 171</w:t>
      </w:r>
      <w:r w:rsidR="00D95ADA">
        <w:rPr>
          <w:rFonts w:ascii="Garamond" w:hAnsi="Garamond"/>
          <w:sz w:val="24"/>
          <w:szCs w:val="24"/>
        </w:rPr>
        <w:t>,</w:t>
      </w:r>
      <w:r w:rsidR="00FC42E2" w:rsidRPr="00015AF3">
        <w:rPr>
          <w:rFonts w:ascii="Garamond" w:hAnsi="Garamond"/>
          <w:sz w:val="24"/>
          <w:szCs w:val="24"/>
        </w:rPr>
        <w:t xml:space="preserve"> pika 5 të </w:t>
      </w:r>
      <w:r w:rsidR="00D95ADA" w:rsidRPr="00015AF3">
        <w:rPr>
          <w:rFonts w:ascii="Garamond" w:hAnsi="Garamond"/>
          <w:sz w:val="24"/>
          <w:szCs w:val="24"/>
        </w:rPr>
        <w:t>ligjit për statusin</w:t>
      </w:r>
      <w:r w:rsidR="00FC42E2" w:rsidRPr="00015AF3">
        <w:rPr>
          <w:rFonts w:ascii="Garamond" w:hAnsi="Garamond"/>
          <w:sz w:val="24"/>
          <w:szCs w:val="24"/>
        </w:rPr>
        <w:t xml:space="preserve">. Për të lehtësuar punën e procedurën e shortit, nëpunësi përgjegjës për vlerësimin, evidenton paraprakisht çështjet e dosjes së </w:t>
      </w:r>
      <w:r w:rsidR="0036636A" w:rsidRPr="00015AF3">
        <w:rPr>
          <w:rFonts w:ascii="Garamond" w:hAnsi="Garamond"/>
          <w:sz w:val="24"/>
          <w:szCs w:val="24"/>
        </w:rPr>
        <w:t>rivlerësimit</w:t>
      </w:r>
      <w:r w:rsidR="00FC42E2" w:rsidRPr="00015AF3">
        <w:rPr>
          <w:rFonts w:ascii="Garamond" w:hAnsi="Garamond"/>
          <w:sz w:val="24"/>
          <w:szCs w:val="24"/>
        </w:rPr>
        <w:t xml:space="preserve">, të përzgjedhura nga gjyqtari, nga shorti, apo të analizuara mbi bazën e ankesave. </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25. </w:t>
      </w:r>
      <w:r w:rsidR="00FC42E2" w:rsidRPr="00015AF3">
        <w:rPr>
          <w:rFonts w:ascii="Garamond" w:hAnsi="Garamond"/>
          <w:sz w:val="24"/>
          <w:szCs w:val="24"/>
        </w:rPr>
        <w:t xml:space="preserve">Përzgjidhen si pjesë e 6 dosjeve shtesë, vetëm çështjet me palë kundërshtare, për të cilat </w:t>
      </w:r>
      <w:r w:rsidR="00555DFA" w:rsidRPr="00015AF3">
        <w:rPr>
          <w:rFonts w:ascii="Garamond" w:hAnsi="Garamond"/>
          <w:sz w:val="24"/>
          <w:szCs w:val="24"/>
        </w:rPr>
        <w:t>është</w:t>
      </w:r>
      <w:r w:rsidR="00FC42E2" w:rsidRPr="00015AF3">
        <w:rPr>
          <w:rFonts w:ascii="Garamond" w:hAnsi="Garamond"/>
          <w:sz w:val="24"/>
          <w:szCs w:val="24"/>
        </w:rPr>
        <w:t xml:space="preserve"> disponuar me vendim përfundimtar.</w:t>
      </w:r>
    </w:p>
    <w:p w:rsidR="00FC42E2" w:rsidRPr="00015AF3" w:rsidRDefault="00524025" w:rsidP="00FC42E2">
      <w:pPr>
        <w:spacing w:after="0" w:line="240" w:lineRule="auto"/>
        <w:ind w:firstLine="284"/>
        <w:jc w:val="both"/>
        <w:rPr>
          <w:rFonts w:ascii="Garamond" w:hAnsi="Garamond"/>
          <w:sz w:val="24"/>
          <w:szCs w:val="24"/>
        </w:rPr>
      </w:pPr>
      <w:r>
        <w:rPr>
          <w:rFonts w:ascii="Garamond" w:hAnsi="Garamond"/>
          <w:sz w:val="24"/>
          <w:szCs w:val="24"/>
        </w:rPr>
        <w:t xml:space="preserve">26. </w:t>
      </w:r>
      <w:r w:rsidR="00FC42E2" w:rsidRPr="00015AF3">
        <w:rPr>
          <w:rFonts w:ascii="Garamond" w:hAnsi="Garamond"/>
          <w:sz w:val="24"/>
          <w:szCs w:val="24"/>
        </w:rPr>
        <w:t xml:space="preserve">Për zhvillimin e shortit, dokumentimin dhe dërgimin e dosjeve të përzgjedhura, zbatohen rregullat e mësipërme. </w:t>
      </w:r>
    </w:p>
    <w:p w:rsidR="00FC42E2" w:rsidRPr="00015AF3" w:rsidRDefault="00FC42E2" w:rsidP="00FC42E2">
      <w:pPr>
        <w:spacing w:after="0" w:line="240" w:lineRule="auto"/>
        <w:ind w:firstLine="284"/>
        <w:jc w:val="both"/>
        <w:rPr>
          <w:rFonts w:ascii="Garamond" w:hAnsi="Garamond"/>
          <w:sz w:val="24"/>
          <w:szCs w:val="24"/>
        </w:rPr>
      </w:pPr>
    </w:p>
    <w:p w:rsidR="00FC42E2" w:rsidRPr="00555DFA" w:rsidRDefault="00555DFA" w:rsidP="00524025">
      <w:pPr>
        <w:spacing w:after="0" w:line="240" w:lineRule="auto"/>
        <w:ind w:firstLine="284"/>
        <w:jc w:val="center"/>
        <w:rPr>
          <w:rFonts w:ascii="Garamond" w:hAnsi="Garamond"/>
          <w:sz w:val="24"/>
          <w:szCs w:val="24"/>
        </w:rPr>
      </w:pPr>
      <w:r w:rsidRPr="00555DFA">
        <w:rPr>
          <w:rFonts w:ascii="Garamond" w:hAnsi="Garamond"/>
          <w:sz w:val="24"/>
          <w:szCs w:val="24"/>
        </w:rPr>
        <w:t>ANEKS</w:t>
      </w:r>
      <w:r>
        <w:rPr>
          <w:rFonts w:ascii="Garamond" w:hAnsi="Garamond"/>
          <w:sz w:val="24"/>
          <w:szCs w:val="24"/>
        </w:rPr>
        <w:t>I</w:t>
      </w:r>
      <w:r w:rsidRPr="00555DFA">
        <w:rPr>
          <w:rFonts w:ascii="Garamond" w:hAnsi="Garamond"/>
          <w:sz w:val="24"/>
          <w:szCs w:val="24"/>
        </w:rPr>
        <w:t xml:space="preserve"> I</w:t>
      </w:r>
    </w:p>
    <w:p w:rsidR="00FC42E2" w:rsidRPr="00555DFA" w:rsidRDefault="00555DFA" w:rsidP="00524025">
      <w:pPr>
        <w:spacing w:after="0" w:line="240" w:lineRule="auto"/>
        <w:ind w:firstLine="284"/>
        <w:jc w:val="center"/>
        <w:rPr>
          <w:rFonts w:ascii="Garamond" w:hAnsi="Garamond"/>
          <w:sz w:val="24"/>
          <w:szCs w:val="24"/>
        </w:rPr>
      </w:pPr>
      <w:r w:rsidRPr="00555DFA">
        <w:rPr>
          <w:rFonts w:ascii="Garamond" w:hAnsi="Garamond"/>
          <w:sz w:val="24"/>
          <w:szCs w:val="24"/>
        </w:rPr>
        <w:t>FORMAT TABELAR PËR ÇËSHTJET E VENDOSURA JASHTË AFATEVE STANDARDE</w:t>
      </w:r>
    </w:p>
    <w:p w:rsidR="00FC42E2" w:rsidRPr="00015AF3" w:rsidRDefault="00FC42E2" w:rsidP="00FC42E2">
      <w:pPr>
        <w:spacing w:after="0" w:line="240" w:lineRule="auto"/>
        <w:ind w:firstLine="284"/>
        <w:jc w:val="both"/>
        <w:rPr>
          <w:rFonts w:ascii="Garamond" w:hAnsi="Garamond"/>
          <w:sz w:val="24"/>
          <w:szCs w:val="24"/>
        </w:rPr>
      </w:pP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Ky format hartohet nga nëpunësi përgjegjës për vlerësimin dhe përmban të listuara vetëm çështjet me palë kundë</w:t>
      </w:r>
      <w:r w:rsidR="009C06C3">
        <w:rPr>
          <w:rFonts w:ascii="Garamond" w:hAnsi="Garamond"/>
          <w:sz w:val="24"/>
          <w:szCs w:val="24"/>
        </w:rPr>
        <w:t>r</w:t>
      </w:r>
      <w:r w:rsidRPr="00015AF3">
        <w:rPr>
          <w:rFonts w:ascii="Garamond" w:hAnsi="Garamond"/>
          <w:sz w:val="24"/>
          <w:szCs w:val="24"/>
        </w:rPr>
        <w:t>shtare të përfunduara nga gjyqtari tej afateve standarde, në dy kolona:</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1</w:t>
      </w:r>
      <w:r w:rsidR="00555DFA">
        <w:rPr>
          <w:rFonts w:ascii="Garamond" w:hAnsi="Garamond"/>
          <w:sz w:val="24"/>
          <w:szCs w:val="24"/>
        </w:rPr>
        <w:t>.</w:t>
      </w:r>
      <w:r w:rsidRPr="00015AF3">
        <w:rPr>
          <w:rFonts w:ascii="Garamond" w:hAnsi="Garamond"/>
          <w:sz w:val="24"/>
          <w:szCs w:val="24"/>
        </w:rPr>
        <w:t xml:space="preserve"> </w:t>
      </w:r>
      <w:r w:rsidR="00555DFA" w:rsidRPr="00015AF3">
        <w:rPr>
          <w:rFonts w:ascii="Garamond" w:hAnsi="Garamond"/>
          <w:sz w:val="24"/>
          <w:szCs w:val="24"/>
        </w:rPr>
        <w:t xml:space="preserve">Numrin </w:t>
      </w:r>
      <w:r w:rsidRPr="00015AF3">
        <w:rPr>
          <w:rFonts w:ascii="Garamond" w:hAnsi="Garamond"/>
          <w:sz w:val="24"/>
          <w:szCs w:val="24"/>
        </w:rPr>
        <w:t xml:space="preserve">rendor që tregon vendin në renditjen e vendimeve që do të shortohen; dhe </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2</w:t>
      </w:r>
      <w:r w:rsidR="00555DFA">
        <w:rPr>
          <w:rFonts w:ascii="Garamond" w:hAnsi="Garamond"/>
          <w:sz w:val="24"/>
          <w:szCs w:val="24"/>
        </w:rPr>
        <w:t>.</w:t>
      </w:r>
      <w:r w:rsidRPr="00015AF3">
        <w:rPr>
          <w:rFonts w:ascii="Garamond" w:hAnsi="Garamond"/>
          <w:sz w:val="24"/>
          <w:szCs w:val="24"/>
        </w:rPr>
        <w:t xml:space="preserve"> </w:t>
      </w:r>
      <w:r w:rsidR="00555DFA" w:rsidRPr="00015AF3">
        <w:rPr>
          <w:rFonts w:ascii="Garamond" w:hAnsi="Garamond"/>
          <w:sz w:val="24"/>
          <w:szCs w:val="24"/>
        </w:rPr>
        <w:t xml:space="preserve">Numrin </w:t>
      </w:r>
      <w:r w:rsidRPr="00015AF3">
        <w:rPr>
          <w:rFonts w:ascii="Garamond" w:hAnsi="Garamond"/>
          <w:sz w:val="24"/>
          <w:szCs w:val="24"/>
        </w:rPr>
        <w:t xml:space="preserve">e regjistrit të çështjes, që ka gjykuar gjyqtari. </w:t>
      </w:r>
    </w:p>
    <w:p w:rsidR="00FC42E2" w:rsidRPr="00015AF3" w:rsidRDefault="00FC42E2" w:rsidP="00FC42E2">
      <w:pPr>
        <w:spacing w:after="0" w:line="240" w:lineRule="auto"/>
        <w:ind w:firstLine="284"/>
        <w:jc w:val="both"/>
        <w:rPr>
          <w:rFonts w:ascii="Garamond" w:hAnsi="Garamond"/>
          <w:sz w:val="24"/>
          <w:szCs w:val="24"/>
        </w:rPr>
      </w:pPr>
      <w:r w:rsidRPr="00015AF3">
        <w:rPr>
          <w:rFonts w:ascii="Garamond" w:hAnsi="Garamond"/>
          <w:sz w:val="24"/>
          <w:szCs w:val="24"/>
        </w:rPr>
        <w:t>Në listën e këtyre çështjeve përfshihen edhe ato në të cilat gjyqtari ka qenë relator i trupit gjykues, si i transferuar përkohësisht apo i caktuar për çështje të veçanta, në një gjykatë tjetër nga ajo ku ai ushtron funksionin.</w:t>
      </w:r>
    </w:p>
    <w:p w:rsidR="00FC42E2" w:rsidRPr="00015AF3" w:rsidRDefault="00FC42E2" w:rsidP="00FC42E2">
      <w:pPr>
        <w:spacing w:after="0" w:line="240" w:lineRule="auto"/>
        <w:ind w:firstLine="284"/>
        <w:jc w:val="both"/>
        <w:rPr>
          <w:rFonts w:ascii="Garamond" w:hAnsi="Garamond"/>
          <w:sz w:val="24"/>
          <w:szCs w:val="24"/>
        </w:rPr>
      </w:pPr>
    </w:p>
    <w:tbl>
      <w:tblPr>
        <w:tblW w:w="15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274"/>
      </w:tblGrid>
      <w:tr w:rsidR="00FC42E2" w:rsidRPr="00AA696B" w:rsidTr="00524025">
        <w:tc>
          <w:tcPr>
            <w:tcW w:w="5000" w:type="pct"/>
            <w:gridSpan w:val="2"/>
          </w:tcPr>
          <w:p w:rsidR="00FC42E2" w:rsidRPr="00AA696B" w:rsidRDefault="00FC42E2" w:rsidP="00524025">
            <w:pPr>
              <w:spacing w:after="0" w:line="240" w:lineRule="auto"/>
              <w:ind w:firstLine="284"/>
              <w:jc w:val="center"/>
              <w:rPr>
                <w:rFonts w:ascii="Garamond" w:hAnsi="Garamond"/>
                <w:b/>
              </w:rPr>
            </w:pPr>
            <w:r w:rsidRPr="00AA696B">
              <w:rPr>
                <w:rFonts w:ascii="Garamond" w:hAnsi="Garamond"/>
                <w:b/>
              </w:rPr>
              <w:t>Tabela për çështjet me palë kundërshtare</w:t>
            </w:r>
          </w:p>
          <w:p w:rsidR="00FC42E2" w:rsidRPr="00AA696B" w:rsidRDefault="00FC42E2" w:rsidP="00524025">
            <w:pPr>
              <w:spacing w:after="0" w:line="240" w:lineRule="auto"/>
              <w:ind w:firstLine="284"/>
              <w:jc w:val="center"/>
              <w:rPr>
                <w:rFonts w:ascii="Garamond" w:hAnsi="Garamond"/>
              </w:rPr>
            </w:pPr>
            <w:r w:rsidRPr="00AA696B">
              <w:rPr>
                <w:rFonts w:ascii="Garamond" w:hAnsi="Garamond"/>
                <w:b/>
              </w:rPr>
              <w:t>të përfunduara jashtë afateve standarde</w:t>
            </w:r>
          </w:p>
        </w:tc>
      </w:tr>
      <w:tr w:rsidR="00FC42E2" w:rsidRPr="00AA696B" w:rsidTr="00555DFA">
        <w:tc>
          <w:tcPr>
            <w:tcW w:w="2834" w:type="pct"/>
            <w:vAlign w:val="center"/>
          </w:tcPr>
          <w:p w:rsidR="00FC42E2" w:rsidRPr="00AA696B" w:rsidRDefault="00FC42E2" w:rsidP="00555DFA">
            <w:pPr>
              <w:spacing w:after="0" w:line="240" w:lineRule="auto"/>
              <w:ind w:firstLine="284"/>
              <w:jc w:val="center"/>
              <w:rPr>
                <w:rFonts w:ascii="Garamond" w:hAnsi="Garamond"/>
              </w:rPr>
            </w:pPr>
            <w:r w:rsidRPr="00AA696B">
              <w:rPr>
                <w:rFonts w:ascii="Garamond" w:hAnsi="Garamond"/>
              </w:rPr>
              <w:t>Nr. rendor</w:t>
            </w:r>
          </w:p>
        </w:tc>
        <w:tc>
          <w:tcPr>
            <w:tcW w:w="2166" w:type="pct"/>
            <w:vAlign w:val="center"/>
          </w:tcPr>
          <w:p w:rsidR="00FC42E2" w:rsidRPr="00AA696B" w:rsidRDefault="00FC42E2" w:rsidP="00555DFA">
            <w:pPr>
              <w:spacing w:after="0" w:line="240" w:lineRule="auto"/>
              <w:ind w:firstLine="284"/>
              <w:jc w:val="center"/>
              <w:rPr>
                <w:rFonts w:ascii="Garamond" w:hAnsi="Garamond"/>
              </w:rPr>
            </w:pPr>
            <w:r w:rsidRPr="00AA696B">
              <w:rPr>
                <w:rFonts w:ascii="Garamond" w:hAnsi="Garamond"/>
              </w:rPr>
              <w:t>Nr. akti</w:t>
            </w:r>
          </w:p>
        </w:tc>
      </w:tr>
      <w:tr w:rsidR="00FC42E2" w:rsidRPr="00AA696B" w:rsidTr="00555DFA">
        <w:tc>
          <w:tcPr>
            <w:tcW w:w="2834" w:type="pct"/>
            <w:vAlign w:val="center"/>
          </w:tcPr>
          <w:p w:rsidR="00FC42E2" w:rsidRPr="00AA696B" w:rsidRDefault="00FC42E2" w:rsidP="00555DFA">
            <w:pPr>
              <w:spacing w:after="0" w:line="240" w:lineRule="auto"/>
              <w:ind w:firstLine="284"/>
              <w:jc w:val="center"/>
              <w:rPr>
                <w:rFonts w:ascii="Garamond" w:hAnsi="Garamond"/>
              </w:rPr>
            </w:pPr>
            <w:r w:rsidRPr="00AA696B">
              <w:rPr>
                <w:rFonts w:ascii="Garamond" w:hAnsi="Garamond"/>
              </w:rPr>
              <w:t>1</w:t>
            </w:r>
          </w:p>
        </w:tc>
        <w:tc>
          <w:tcPr>
            <w:tcW w:w="2166" w:type="pct"/>
            <w:vAlign w:val="center"/>
          </w:tcPr>
          <w:p w:rsidR="00FC42E2" w:rsidRPr="00AA696B" w:rsidRDefault="00FC42E2" w:rsidP="00555DFA">
            <w:pPr>
              <w:spacing w:after="0" w:line="240" w:lineRule="auto"/>
              <w:ind w:firstLine="284"/>
              <w:jc w:val="center"/>
              <w:rPr>
                <w:rFonts w:ascii="Garamond" w:hAnsi="Garamond"/>
              </w:rPr>
            </w:pPr>
          </w:p>
        </w:tc>
      </w:tr>
      <w:tr w:rsidR="00FC42E2" w:rsidRPr="00AA696B" w:rsidTr="00555DFA">
        <w:tc>
          <w:tcPr>
            <w:tcW w:w="2834" w:type="pct"/>
            <w:vAlign w:val="center"/>
          </w:tcPr>
          <w:p w:rsidR="00FC42E2" w:rsidRPr="00AA696B" w:rsidRDefault="00FC42E2" w:rsidP="00555DFA">
            <w:pPr>
              <w:spacing w:after="0" w:line="240" w:lineRule="auto"/>
              <w:ind w:firstLine="284"/>
              <w:jc w:val="center"/>
              <w:rPr>
                <w:rFonts w:ascii="Garamond" w:hAnsi="Garamond"/>
              </w:rPr>
            </w:pPr>
            <w:r w:rsidRPr="00AA696B">
              <w:rPr>
                <w:rFonts w:ascii="Garamond" w:hAnsi="Garamond"/>
              </w:rPr>
              <w:t>2</w:t>
            </w:r>
          </w:p>
        </w:tc>
        <w:tc>
          <w:tcPr>
            <w:tcW w:w="2166" w:type="pct"/>
            <w:vAlign w:val="center"/>
          </w:tcPr>
          <w:p w:rsidR="00FC42E2" w:rsidRPr="00AA696B" w:rsidRDefault="00FC42E2" w:rsidP="00555DFA">
            <w:pPr>
              <w:spacing w:after="0" w:line="240" w:lineRule="auto"/>
              <w:ind w:firstLine="284"/>
              <w:jc w:val="center"/>
              <w:rPr>
                <w:rFonts w:ascii="Garamond" w:hAnsi="Garamond"/>
              </w:rPr>
            </w:pPr>
          </w:p>
        </w:tc>
      </w:tr>
      <w:tr w:rsidR="00FC42E2" w:rsidRPr="00AA696B" w:rsidTr="00555DFA">
        <w:tc>
          <w:tcPr>
            <w:tcW w:w="2834" w:type="pct"/>
            <w:vAlign w:val="center"/>
          </w:tcPr>
          <w:p w:rsidR="00FC42E2" w:rsidRPr="00AA696B" w:rsidRDefault="00FC42E2" w:rsidP="00555DFA">
            <w:pPr>
              <w:spacing w:after="0" w:line="240" w:lineRule="auto"/>
              <w:ind w:firstLine="284"/>
              <w:jc w:val="center"/>
              <w:rPr>
                <w:rFonts w:ascii="Garamond" w:hAnsi="Garamond"/>
              </w:rPr>
            </w:pPr>
            <w:r w:rsidRPr="00AA696B">
              <w:rPr>
                <w:rFonts w:ascii="Garamond" w:hAnsi="Garamond"/>
              </w:rPr>
              <w:t>3</w:t>
            </w:r>
          </w:p>
        </w:tc>
        <w:tc>
          <w:tcPr>
            <w:tcW w:w="2166" w:type="pct"/>
            <w:vAlign w:val="center"/>
          </w:tcPr>
          <w:p w:rsidR="00FC42E2" w:rsidRPr="00AA696B" w:rsidRDefault="00FC42E2" w:rsidP="00555DFA">
            <w:pPr>
              <w:spacing w:after="0" w:line="240" w:lineRule="auto"/>
              <w:ind w:firstLine="284"/>
              <w:jc w:val="center"/>
              <w:rPr>
                <w:rFonts w:ascii="Garamond" w:hAnsi="Garamond"/>
              </w:rPr>
            </w:pPr>
          </w:p>
        </w:tc>
      </w:tr>
    </w:tbl>
    <w:p w:rsidR="00FC42E2" w:rsidRPr="00015AF3" w:rsidRDefault="00FC42E2" w:rsidP="00FC42E2">
      <w:pPr>
        <w:spacing w:after="0" w:line="240" w:lineRule="auto"/>
        <w:ind w:firstLine="284"/>
        <w:jc w:val="both"/>
        <w:rPr>
          <w:rFonts w:ascii="Garamond" w:hAnsi="Garamond"/>
          <w:sz w:val="24"/>
          <w:szCs w:val="24"/>
        </w:rPr>
      </w:pPr>
    </w:p>
    <w:p w:rsidR="00AA696B" w:rsidRDefault="00AA696B" w:rsidP="00FC42E2">
      <w:pPr>
        <w:spacing w:after="0" w:line="240" w:lineRule="auto"/>
        <w:ind w:firstLine="284"/>
        <w:jc w:val="both"/>
        <w:rPr>
          <w:rFonts w:ascii="Garamond" w:hAnsi="Garamond"/>
          <w:sz w:val="24"/>
          <w:szCs w:val="24"/>
        </w:rPr>
      </w:pPr>
    </w:p>
    <w:p w:rsidR="00FC42E2" w:rsidRPr="00015AF3" w:rsidRDefault="00FC42E2" w:rsidP="00C83783">
      <w:pPr>
        <w:spacing w:after="0" w:line="240" w:lineRule="auto"/>
        <w:ind w:firstLine="284"/>
        <w:jc w:val="right"/>
        <w:rPr>
          <w:rFonts w:ascii="Garamond" w:hAnsi="Garamond"/>
          <w:sz w:val="24"/>
          <w:szCs w:val="24"/>
        </w:rPr>
      </w:pPr>
      <w:r w:rsidRPr="00015AF3">
        <w:rPr>
          <w:rFonts w:ascii="Garamond" w:hAnsi="Garamond"/>
          <w:sz w:val="24"/>
          <w:szCs w:val="24"/>
        </w:rPr>
        <w:t>Hartoi</w:t>
      </w:r>
    </w:p>
    <w:p w:rsidR="00FC42E2" w:rsidRPr="00015AF3" w:rsidRDefault="00FC42E2" w:rsidP="00C83783">
      <w:pPr>
        <w:spacing w:after="0" w:line="240" w:lineRule="auto"/>
        <w:ind w:firstLine="284"/>
        <w:jc w:val="right"/>
        <w:rPr>
          <w:rFonts w:ascii="Garamond" w:hAnsi="Garamond"/>
          <w:sz w:val="24"/>
          <w:szCs w:val="24"/>
        </w:rPr>
      </w:pPr>
      <w:r w:rsidRPr="00015AF3">
        <w:rPr>
          <w:rFonts w:ascii="Garamond" w:hAnsi="Garamond"/>
          <w:sz w:val="24"/>
          <w:szCs w:val="24"/>
        </w:rPr>
        <w:t>Nëpunësi përgjegjës</w:t>
      </w:r>
    </w:p>
    <w:p w:rsidR="00FC42E2" w:rsidRPr="00015AF3" w:rsidRDefault="00FC42E2" w:rsidP="00C83783">
      <w:pPr>
        <w:spacing w:after="0" w:line="240" w:lineRule="auto"/>
        <w:ind w:firstLine="284"/>
        <w:jc w:val="right"/>
        <w:rPr>
          <w:rFonts w:ascii="Garamond" w:hAnsi="Garamond"/>
          <w:sz w:val="24"/>
          <w:szCs w:val="24"/>
        </w:rPr>
      </w:pPr>
    </w:p>
    <w:p w:rsidR="00FC42E2" w:rsidRPr="00015AF3" w:rsidRDefault="00FC42E2" w:rsidP="00C83783">
      <w:pPr>
        <w:spacing w:after="0" w:line="240" w:lineRule="auto"/>
        <w:ind w:firstLine="284"/>
        <w:jc w:val="right"/>
        <w:rPr>
          <w:rFonts w:ascii="Garamond" w:hAnsi="Garamond"/>
          <w:sz w:val="24"/>
          <w:szCs w:val="24"/>
        </w:rPr>
      </w:pPr>
      <w:r w:rsidRPr="00015AF3">
        <w:rPr>
          <w:rFonts w:ascii="Garamond" w:hAnsi="Garamond"/>
          <w:sz w:val="24"/>
          <w:szCs w:val="24"/>
        </w:rPr>
        <w:t>_________________________</w:t>
      </w:r>
    </w:p>
    <w:p w:rsidR="00FC42E2" w:rsidRPr="00015AF3" w:rsidRDefault="00FC42E2" w:rsidP="00C83783">
      <w:pPr>
        <w:spacing w:after="0" w:line="240" w:lineRule="auto"/>
        <w:ind w:firstLine="284"/>
        <w:jc w:val="right"/>
        <w:rPr>
          <w:rFonts w:ascii="Garamond" w:hAnsi="Garamond"/>
          <w:sz w:val="24"/>
          <w:szCs w:val="24"/>
        </w:rPr>
      </w:pPr>
      <w:r w:rsidRPr="00015AF3">
        <w:rPr>
          <w:rFonts w:ascii="Garamond" w:hAnsi="Garamond"/>
          <w:sz w:val="24"/>
          <w:szCs w:val="24"/>
        </w:rPr>
        <w:t>(emër/mbiemër/nënshkrim)</w:t>
      </w:r>
    </w:p>
    <w:p w:rsidR="00FC42E2" w:rsidRDefault="00FC42E2" w:rsidP="00D95A49">
      <w:pPr>
        <w:spacing w:after="120"/>
        <w:jc w:val="center"/>
        <w:rPr>
          <w:rFonts w:ascii="Times New Roman" w:eastAsia="Times New Roman" w:hAnsi="Times New Roman"/>
          <w:b/>
          <w:bCs/>
          <w:sz w:val="24"/>
          <w:szCs w:val="24"/>
        </w:rPr>
      </w:pPr>
    </w:p>
    <w:sectPr w:rsidR="00FC42E2" w:rsidSect="00FC42E2">
      <w:headerReference w:type="default" r:id="rId16"/>
      <w:footerReference w:type="default" r:id="rId17"/>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BEF" w:rsidRDefault="00B52BEF" w:rsidP="00DF02F2">
      <w:pPr>
        <w:spacing w:after="0" w:line="240" w:lineRule="auto"/>
      </w:pPr>
      <w:r>
        <w:separator/>
      </w:r>
    </w:p>
  </w:endnote>
  <w:endnote w:type="continuationSeparator" w:id="0">
    <w:p w:rsidR="00B52BEF" w:rsidRDefault="00B52BEF" w:rsidP="00DF02F2">
      <w:pPr>
        <w:spacing w:after="0" w:line="240" w:lineRule="auto"/>
      </w:pPr>
      <w:r>
        <w:continuationSeparator/>
      </w:r>
    </w:p>
  </w:endnote>
  <w:endnote w:type="continuationNotice" w:id="1">
    <w:p w:rsidR="00B52BEF" w:rsidRDefault="00B52B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579" w:rsidRDefault="009575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BEF" w:rsidRDefault="00B52BEF" w:rsidP="00DF02F2">
      <w:pPr>
        <w:spacing w:after="0" w:line="240" w:lineRule="auto"/>
      </w:pPr>
      <w:r>
        <w:separator/>
      </w:r>
    </w:p>
  </w:footnote>
  <w:footnote w:type="continuationSeparator" w:id="0">
    <w:p w:rsidR="00B52BEF" w:rsidRDefault="00B52BEF" w:rsidP="00DF02F2">
      <w:pPr>
        <w:spacing w:after="0" w:line="240" w:lineRule="auto"/>
      </w:pPr>
      <w:r>
        <w:continuationSeparator/>
      </w:r>
    </w:p>
  </w:footnote>
  <w:footnote w:type="continuationNotice" w:id="1">
    <w:p w:rsidR="00B52BEF" w:rsidRDefault="00B52BE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579" w:rsidRDefault="009575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3001"/>
    <w:multiLevelType w:val="hybridMultilevel"/>
    <w:tmpl w:val="85825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BD57B2"/>
    <w:multiLevelType w:val="hybridMultilevel"/>
    <w:tmpl w:val="9D1E0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00D3C"/>
    <w:multiLevelType w:val="hybridMultilevel"/>
    <w:tmpl w:val="8B301504"/>
    <w:lvl w:ilvl="0" w:tplc="83BA1508">
      <w:start w:val="1"/>
      <w:numFmt w:val="lowerRoman"/>
      <w:lvlText w:val="%1."/>
      <w:lvlJc w:val="righ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E186D4D"/>
    <w:multiLevelType w:val="multilevel"/>
    <w:tmpl w:val="D28A8F2E"/>
    <w:lvl w:ilvl="0">
      <w:start w:val="9"/>
      <w:numFmt w:val="decimal"/>
      <w:lvlText w:val="%1"/>
      <w:lvlJc w:val="left"/>
      <w:pPr>
        <w:ind w:left="360" w:hanging="360"/>
      </w:pPr>
      <w:rPr>
        <w:rFonts w:hint="default"/>
      </w:rPr>
    </w:lvl>
    <w:lvl w:ilvl="1">
      <w:start w:val="2"/>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
    <w:nsid w:val="114F32BE"/>
    <w:multiLevelType w:val="hybridMultilevel"/>
    <w:tmpl w:val="9B72FB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CA1D15"/>
    <w:multiLevelType w:val="hybridMultilevel"/>
    <w:tmpl w:val="A2EE2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444728"/>
    <w:multiLevelType w:val="hybridMultilevel"/>
    <w:tmpl w:val="1D7EF336"/>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540387C"/>
    <w:multiLevelType w:val="hybridMultilevel"/>
    <w:tmpl w:val="93CA4696"/>
    <w:lvl w:ilvl="0" w:tplc="E63406D0">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136AF7"/>
    <w:multiLevelType w:val="hybridMultilevel"/>
    <w:tmpl w:val="51CC5BA0"/>
    <w:lvl w:ilvl="0" w:tplc="0F7697F6">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5A03AC"/>
    <w:multiLevelType w:val="hybridMultilevel"/>
    <w:tmpl w:val="98F4521E"/>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39B1702B"/>
    <w:multiLevelType w:val="hybridMultilevel"/>
    <w:tmpl w:val="3AFA103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E93EC0"/>
    <w:multiLevelType w:val="hybridMultilevel"/>
    <w:tmpl w:val="88F23B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08B5718"/>
    <w:multiLevelType w:val="hybridMultilevel"/>
    <w:tmpl w:val="0142BB94"/>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4433097A"/>
    <w:multiLevelType w:val="hybridMultilevel"/>
    <w:tmpl w:val="88F23BA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60777764"/>
    <w:multiLevelType w:val="hybridMultilevel"/>
    <w:tmpl w:val="1C38EE18"/>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B90803"/>
    <w:multiLevelType w:val="hybridMultilevel"/>
    <w:tmpl w:val="EB8CE1D4"/>
    <w:lvl w:ilvl="0" w:tplc="0409000F">
      <w:start w:val="1"/>
      <w:numFmt w:val="decimal"/>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70F40055"/>
    <w:multiLevelType w:val="hybridMultilevel"/>
    <w:tmpl w:val="1C38EE18"/>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3D62BEF"/>
    <w:multiLevelType w:val="hybridMultilevel"/>
    <w:tmpl w:val="4CFE13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F877DC"/>
    <w:multiLevelType w:val="hybridMultilevel"/>
    <w:tmpl w:val="21A03EF6"/>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C1C0638"/>
    <w:multiLevelType w:val="multilevel"/>
    <w:tmpl w:val="449CAB3E"/>
    <w:lvl w:ilvl="0">
      <w:start w:val="10"/>
      <w:numFmt w:val="decimal"/>
      <w:lvlText w:val="%1"/>
      <w:lvlJc w:val="left"/>
      <w:pPr>
        <w:ind w:left="420" w:hanging="420"/>
      </w:pPr>
      <w:rPr>
        <w:rFonts w:hint="default"/>
        <w:b/>
      </w:rPr>
    </w:lvl>
    <w:lvl w:ilvl="1">
      <w:start w:val="2"/>
      <w:numFmt w:val="decimal"/>
      <w:lvlText w:val="%1.%2"/>
      <w:lvlJc w:val="left"/>
      <w:pPr>
        <w:ind w:left="960" w:hanging="420"/>
      </w:pPr>
      <w:rPr>
        <w:rFonts w:hint="default"/>
        <w:b w:val="0"/>
      </w:rPr>
    </w:lvl>
    <w:lvl w:ilvl="2">
      <w:start w:val="1"/>
      <w:numFmt w:val="decimal"/>
      <w:lvlText w:val="%1.%2.%3"/>
      <w:lvlJc w:val="left"/>
      <w:pPr>
        <w:ind w:left="1200" w:hanging="720"/>
      </w:pPr>
      <w:rPr>
        <w:rFonts w:hint="default"/>
        <w:b/>
      </w:rPr>
    </w:lvl>
    <w:lvl w:ilvl="3">
      <w:start w:val="1"/>
      <w:numFmt w:val="decimal"/>
      <w:lvlText w:val="%1.%2.%3.%4"/>
      <w:lvlJc w:val="left"/>
      <w:pPr>
        <w:ind w:left="1440" w:hanging="720"/>
      </w:pPr>
      <w:rPr>
        <w:rFonts w:hint="default"/>
        <w:b/>
      </w:rPr>
    </w:lvl>
    <w:lvl w:ilvl="4">
      <w:start w:val="1"/>
      <w:numFmt w:val="decimal"/>
      <w:lvlText w:val="%1.%2.%3.%4.%5"/>
      <w:lvlJc w:val="left"/>
      <w:pPr>
        <w:ind w:left="2040" w:hanging="1080"/>
      </w:pPr>
      <w:rPr>
        <w:rFonts w:hint="default"/>
        <w:b/>
      </w:rPr>
    </w:lvl>
    <w:lvl w:ilvl="5">
      <w:start w:val="1"/>
      <w:numFmt w:val="decimal"/>
      <w:lvlText w:val="%1.%2.%3.%4.%5.%6"/>
      <w:lvlJc w:val="left"/>
      <w:pPr>
        <w:ind w:left="2280" w:hanging="1080"/>
      </w:pPr>
      <w:rPr>
        <w:rFonts w:hint="default"/>
        <w:b/>
      </w:rPr>
    </w:lvl>
    <w:lvl w:ilvl="6">
      <w:start w:val="1"/>
      <w:numFmt w:val="decimal"/>
      <w:lvlText w:val="%1.%2.%3.%4.%5.%6.%7"/>
      <w:lvlJc w:val="left"/>
      <w:pPr>
        <w:ind w:left="2880" w:hanging="1440"/>
      </w:pPr>
      <w:rPr>
        <w:rFonts w:hint="default"/>
        <w:b/>
      </w:rPr>
    </w:lvl>
    <w:lvl w:ilvl="7">
      <w:start w:val="1"/>
      <w:numFmt w:val="decimal"/>
      <w:lvlText w:val="%1.%2.%3.%4.%5.%6.%7.%8"/>
      <w:lvlJc w:val="left"/>
      <w:pPr>
        <w:ind w:left="3120" w:hanging="1440"/>
      </w:pPr>
      <w:rPr>
        <w:rFonts w:hint="default"/>
        <w:b/>
      </w:rPr>
    </w:lvl>
    <w:lvl w:ilvl="8">
      <w:start w:val="1"/>
      <w:numFmt w:val="decimal"/>
      <w:lvlText w:val="%1.%2.%3.%4.%5.%6.%7.%8.%9"/>
      <w:lvlJc w:val="left"/>
      <w:pPr>
        <w:ind w:left="3720" w:hanging="1800"/>
      </w:pPr>
      <w:rPr>
        <w:rFonts w:hint="default"/>
        <w:b/>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0"/>
  </w:num>
  <w:num w:numId="8">
    <w:abstractNumId w:val="13"/>
  </w:num>
  <w:num w:numId="9">
    <w:abstractNumId w:val="3"/>
  </w:num>
  <w:num w:numId="10">
    <w:abstractNumId w:val="19"/>
  </w:num>
  <w:num w:numId="11">
    <w:abstractNumId w:val="11"/>
  </w:num>
  <w:num w:numId="12">
    <w:abstractNumId w:val="1"/>
  </w:num>
  <w:num w:numId="13">
    <w:abstractNumId w:val="5"/>
  </w:num>
  <w:num w:numId="14">
    <w:abstractNumId w:val="0"/>
  </w:num>
  <w:num w:numId="15">
    <w:abstractNumId w:val="8"/>
  </w:num>
  <w:num w:numId="16">
    <w:abstractNumId w:val="4"/>
  </w:num>
  <w:num w:numId="17">
    <w:abstractNumId w:val="6"/>
  </w:num>
  <w:num w:numId="18">
    <w:abstractNumId w:val="16"/>
  </w:num>
  <w:num w:numId="19">
    <w:abstractNumId w:val="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2F2"/>
    <w:rsid w:val="00013945"/>
    <w:rsid w:val="000206FE"/>
    <w:rsid w:val="00021F88"/>
    <w:rsid w:val="000275D3"/>
    <w:rsid w:val="000614C1"/>
    <w:rsid w:val="0008292D"/>
    <w:rsid w:val="000A5CAC"/>
    <w:rsid w:val="000B0D63"/>
    <w:rsid w:val="000D11AB"/>
    <w:rsid w:val="000F7A11"/>
    <w:rsid w:val="001550E1"/>
    <w:rsid w:val="00157596"/>
    <w:rsid w:val="00183DF2"/>
    <w:rsid w:val="001A1E88"/>
    <w:rsid w:val="001A5952"/>
    <w:rsid w:val="001A6A0F"/>
    <w:rsid w:val="001C5DA2"/>
    <w:rsid w:val="001D1DD0"/>
    <w:rsid w:val="001D2946"/>
    <w:rsid w:val="001D637C"/>
    <w:rsid w:val="001E4852"/>
    <w:rsid w:val="001F4DB0"/>
    <w:rsid w:val="00211D2D"/>
    <w:rsid w:val="002210F1"/>
    <w:rsid w:val="00234AB1"/>
    <w:rsid w:val="00260DCE"/>
    <w:rsid w:val="00263257"/>
    <w:rsid w:val="002820F2"/>
    <w:rsid w:val="002911C1"/>
    <w:rsid w:val="00296502"/>
    <w:rsid w:val="002A098E"/>
    <w:rsid w:val="002D4353"/>
    <w:rsid w:val="002D5210"/>
    <w:rsid w:val="002F160F"/>
    <w:rsid w:val="00326A7B"/>
    <w:rsid w:val="0034371A"/>
    <w:rsid w:val="0034578D"/>
    <w:rsid w:val="0036636A"/>
    <w:rsid w:val="003723F4"/>
    <w:rsid w:val="003919A9"/>
    <w:rsid w:val="003963C4"/>
    <w:rsid w:val="003C3E39"/>
    <w:rsid w:val="003E0EC5"/>
    <w:rsid w:val="003E1C95"/>
    <w:rsid w:val="003E740E"/>
    <w:rsid w:val="003F2961"/>
    <w:rsid w:val="003F5B1A"/>
    <w:rsid w:val="003F6DD2"/>
    <w:rsid w:val="0040631F"/>
    <w:rsid w:val="00414F59"/>
    <w:rsid w:val="004312C1"/>
    <w:rsid w:val="0043159F"/>
    <w:rsid w:val="0044031E"/>
    <w:rsid w:val="00450598"/>
    <w:rsid w:val="004520C2"/>
    <w:rsid w:val="004524FF"/>
    <w:rsid w:val="00460093"/>
    <w:rsid w:val="004655DD"/>
    <w:rsid w:val="00482A58"/>
    <w:rsid w:val="004834AD"/>
    <w:rsid w:val="00492F08"/>
    <w:rsid w:val="00495A0D"/>
    <w:rsid w:val="004C79C5"/>
    <w:rsid w:val="004D366C"/>
    <w:rsid w:val="004D695D"/>
    <w:rsid w:val="004E3F12"/>
    <w:rsid w:val="004F7CFD"/>
    <w:rsid w:val="005145A0"/>
    <w:rsid w:val="00524025"/>
    <w:rsid w:val="00534C35"/>
    <w:rsid w:val="00541840"/>
    <w:rsid w:val="005459EA"/>
    <w:rsid w:val="005504A8"/>
    <w:rsid w:val="00553FEB"/>
    <w:rsid w:val="005556B5"/>
    <w:rsid w:val="00555DFA"/>
    <w:rsid w:val="00575BF9"/>
    <w:rsid w:val="005D5E27"/>
    <w:rsid w:val="005E454C"/>
    <w:rsid w:val="005E6690"/>
    <w:rsid w:val="005F579A"/>
    <w:rsid w:val="0060137D"/>
    <w:rsid w:val="00601FB9"/>
    <w:rsid w:val="00603378"/>
    <w:rsid w:val="006227DF"/>
    <w:rsid w:val="00623D74"/>
    <w:rsid w:val="006242F8"/>
    <w:rsid w:val="0062590A"/>
    <w:rsid w:val="00627ECE"/>
    <w:rsid w:val="0064738D"/>
    <w:rsid w:val="0065482A"/>
    <w:rsid w:val="00656E05"/>
    <w:rsid w:val="006675C5"/>
    <w:rsid w:val="00681736"/>
    <w:rsid w:val="006D13D6"/>
    <w:rsid w:val="006F21EB"/>
    <w:rsid w:val="00710A5C"/>
    <w:rsid w:val="00711AA7"/>
    <w:rsid w:val="007147EF"/>
    <w:rsid w:val="0072004A"/>
    <w:rsid w:val="00763DFB"/>
    <w:rsid w:val="007864CE"/>
    <w:rsid w:val="007B364A"/>
    <w:rsid w:val="007C5682"/>
    <w:rsid w:val="007E3B47"/>
    <w:rsid w:val="007E76F9"/>
    <w:rsid w:val="007F2A54"/>
    <w:rsid w:val="00822960"/>
    <w:rsid w:val="00826D89"/>
    <w:rsid w:val="0085701E"/>
    <w:rsid w:val="00857C4C"/>
    <w:rsid w:val="0087791A"/>
    <w:rsid w:val="00880129"/>
    <w:rsid w:val="008A71C2"/>
    <w:rsid w:val="008B1268"/>
    <w:rsid w:val="008C3237"/>
    <w:rsid w:val="008C5E51"/>
    <w:rsid w:val="008D431E"/>
    <w:rsid w:val="008F38EC"/>
    <w:rsid w:val="008F401D"/>
    <w:rsid w:val="008F726B"/>
    <w:rsid w:val="00911CBA"/>
    <w:rsid w:val="00914B24"/>
    <w:rsid w:val="009332BE"/>
    <w:rsid w:val="00950B12"/>
    <w:rsid w:val="009534FB"/>
    <w:rsid w:val="00957579"/>
    <w:rsid w:val="009639A6"/>
    <w:rsid w:val="00975C0F"/>
    <w:rsid w:val="00991BC4"/>
    <w:rsid w:val="00993F5F"/>
    <w:rsid w:val="009965BD"/>
    <w:rsid w:val="009A73D6"/>
    <w:rsid w:val="009B3327"/>
    <w:rsid w:val="009C06C3"/>
    <w:rsid w:val="009D3371"/>
    <w:rsid w:val="009D4FBB"/>
    <w:rsid w:val="00A106D6"/>
    <w:rsid w:val="00A1105C"/>
    <w:rsid w:val="00A223CB"/>
    <w:rsid w:val="00A3713E"/>
    <w:rsid w:val="00A44847"/>
    <w:rsid w:val="00A47151"/>
    <w:rsid w:val="00A472D3"/>
    <w:rsid w:val="00A50D2B"/>
    <w:rsid w:val="00A51B91"/>
    <w:rsid w:val="00A56612"/>
    <w:rsid w:val="00A72E4C"/>
    <w:rsid w:val="00A758FD"/>
    <w:rsid w:val="00AA0627"/>
    <w:rsid w:val="00AA42B2"/>
    <w:rsid w:val="00AA696B"/>
    <w:rsid w:val="00AA76C4"/>
    <w:rsid w:val="00AB5050"/>
    <w:rsid w:val="00AB720D"/>
    <w:rsid w:val="00AD0D2F"/>
    <w:rsid w:val="00AF2AB5"/>
    <w:rsid w:val="00AF7A90"/>
    <w:rsid w:val="00B01F26"/>
    <w:rsid w:val="00B044E7"/>
    <w:rsid w:val="00B06062"/>
    <w:rsid w:val="00B109BE"/>
    <w:rsid w:val="00B1764C"/>
    <w:rsid w:val="00B22882"/>
    <w:rsid w:val="00B356B1"/>
    <w:rsid w:val="00B36B97"/>
    <w:rsid w:val="00B423DB"/>
    <w:rsid w:val="00B50953"/>
    <w:rsid w:val="00B52BEF"/>
    <w:rsid w:val="00B62E47"/>
    <w:rsid w:val="00B66230"/>
    <w:rsid w:val="00B66A41"/>
    <w:rsid w:val="00B741D2"/>
    <w:rsid w:val="00B804C8"/>
    <w:rsid w:val="00B90FD6"/>
    <w:rsid w:val="00B96FF0"/>
    <w:rsid w:val="00BA1758"/>
    <w:rsid w:val="00BD4E3A"/>
    <w:rsid w:val="00C04408"/>
    <w:rsid w:val="00C10478"/>
    <w:rsid w:val="00C2498C"/>
    <w:rsid w:val="00C515A3"/>
    <w:rsid w:val="00C55A7D"/>
    <w:rsid w:val="00C63409"/>
    <w:rsid w:val="00C67BC8"/>
    <w:rsid w:val="00C83783"/>
    <w:rsid w:val="00C85E32"/>
    <w:rsid w:val="00C87C9F"/>
    <w:rsid w:val="00C923D8"/>
    <w:rsid w:val="00CB1EF7"/>
    <w:rsid w:val="00CE66F9"/>
    <w:rsid w:val="00CF3455"/>
    <w:rsid w:val="00D03831"/>
    <w:rsid w:val="00D06C16"/>
    <w:rsid w:val="00D11A2E"/>
    <w:rsid w:val="00D16A7C"/>
    <w:rsid w:val="00D272F0"/>
    <w:rsid w:val="00D33408"/>
    <w:rsid w:val="00D446C5"/>
    <w:rsid w:val="00D66E8F"/>
    <w:rsid w:val="00D84B6E"/>
    <w:rsid w:val="00D95A49"/>
    <w:rsid w:val="00D95ADA"/>
    <w:rsid w:val="00D96C83"/>
    <w:rsid w:val="00D96E38"/>
    <w:rsid w:val="00DC102A"/>
    <w:rsid w:val="00DC34C6"/>
    <w:rsid w:val="00DC54BF"/>
    <w:rsid w:val="00DD71B0"/>
    <w:rsid w:val="00DE0D17"/>
    <w:rsid w:val="00DE2C86"/>
    <w:rsid w:val="00DF02F2"/>
    <w:rsid w:val="00E14C8F"/>
    <w:rsid w:val="00E25767"/>
    <w:rsid w:val="00E31390"/>
    <w:rsid w:val="00E315D5"/>
    <w:rsid w:val="00E5757D"/>
    <w:rsid w:val="00E76FB9"/>
    <w:rsid w:val="00E77F37"/>
    <w:rsid w:val="00E80E79"/>
    <w:rsid w:val="00E86222"/>
    <w:rsid w:val="00E872A0"/>
    <w:rsid w:val="00E908F0"/>
    <w:rsid w:val="00EA07C2"/>
    <w:rsid w:val="00EE2936"/>
    <w:rsid w:val="00EE468B"/>
    <w:rsid w:val="00EF6D07"/>
    <w:rsid w:val="00F06F0C"/>
    <w:rsid w:val="00F27006"/>
    <w:rsid w:val="00F50F5F"/>
    <w:rsid w:val="00F7356F"/>
    <w:rsid w:val="00F81232"/>
    <w:rsid w:val="00F870B5"/>
    <w:rsid w:val="00FC42E2"/>
    <w:rsid w:val="00FC4B5C"/>
    <w:rsid w:val="00FD66AC"/>
    <w:rsid w:val="00FF1124"/>
    <w:rsid w:val="00FF77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767"/>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F02F2"/>
    <w:pPr>
      <w:spacing w:after="0" w:line="240" w:lineRule="auto"/>
    </w:pPr>
    <w:rPr>
      <w:rFonts w:eastAsia="Calibri"/>
      <w:sz w:val="20"/>
      <w:szCs w:val="20"/>
    </w:rPr>
  </w:style>
  <w:style w:type="character" w:customStyle="1" w:styleId="FootnoteTextChar">
    <w:name w:val="Footnote Text Char"/>
    <w:link w:val="FootnoteText"/>
    <w:uiPriority w:val="99"/>
    <w:semiHidden/>
    <w:rsid w:val="00DF02F2"/>
    <w:rPr>
      <w:rFonts w:ascii="Calibri" w:eastAsia="Calibri" w:hAnsi="Calibri" w:cs="Times New Roman"/>
      <w:sz w:val="20"/>
      <w:szCs w:val="20"/>
    </w:rPr>
  </w:style>
  <w:style w:type="paragraph" w:styleId="ListParagraph">
    <w:name w:val="List Paragraph"/>
    <w:basedOn w:val="Normal"/>
    <w:uiPriority w:val="34"/>
    <w:qFormat/>
    <w:rsid w:val="00DF02F2"/>
    <w:pPr>
      <w:spacing w:after="160" w:line="256" w:lineRule="auto"/>
      <w:ind w:left="720"/>
      <w:contextualSpacing/>
    </w:pPr>
    <w:rPr>
      <w:rFonts w:eastAsia="Calibri"/>
    </w:rPr>
  </w:style>
  <w:style w:type="paragraph" w:customStyle="1" w:styleId="Normal2">
    <w:name w:val="Normal2"/>
    <w:rsid w:val="00DF02F2"/>
    <w:pPr>
      <w:widowControl w:val="0"/>
      <w:spacing w:after="200" w:line="276" w:lineRule="auto"/>
    </w:pPr>
    <w:rPr>
      <w:rFonts w:eastAsia="Calibri" w:cs="Calibri"/>
      <w:color w:val="000000"/>
      <w:sz w:val="22"/>
      <w:szCs w:val="22"/>
      <w:lang w:val="sq-AL" w:eastAsia="sq-AL"/>
    </w:rPr>
  </w:style>
  <w:style w:type="character" w:styleId="FootnoteReference">
    <w:name w:val="footnote reference"/>
    <w:uiPriority w:val="99"/>
    <w:semiHidden/>
    <w:unhideWhenUsed/>
    <w:rsid w:val="00DF02F2"/>
    <w:rPr>
      <w:vertAlign w:val="superscript"/>
    </w:rPr>
  </w:style>
  <w:style w:type="paragraph" w:styleId="Header">
    <w:name w:val="header"/>
    <w:basedOn w:val="Normal"/>
    <w:link w:val="HeaderChar"/>
    <w:uiPriority w:val="99"/>
    <w:unhideWhenUsed/>
    <w:rsid w:val="00EA0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7C2"/>
  </w:style>
  <w:style w:type="paragraph" w:styleId="Footer">
    <w:name w:val="footer"/>
    <w:basedOn w:val="Normal"/>
    <w:link w:val="FooterChar"/>
    <w:uiPriority w:val="99"/>
    <w:unhideWhenUsed/>
    <w:rsid w:val="00EA0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7C2"/>
  </w:style>
  <w:style w:type="character" w:styleId="CommentReference">
    <w:name w:val="annotation reference"/>
    <w:uiPriority w:val="99"/>
    <w:semiHidden/>
    <w:unhideWhenUsed/>
    <w:rsid w:val="00C67BC8"/>
    <w:rPr>
      <w:sz w:val="16"/>
      <w:szCs w:val="16"/>
    </w:rPr>
  </w:style>
  <w:style w:type="paragraph" w:styleId="CommentText">
    <w:name w:val="annotation text"/>
    <w:basedOn w:val="Normal"/>
    <w:link w:val="CommentTextChar"/>
    <w:uiPriority w:val="99"/>
    <w:semiHidden/>
    <w:unhideWhenUsed/>
    <w:rsid w:val="00C67BC8"/>
    <w:pPr>
      <w:spacing w:line="240" w:lineRule="auto"/>
    </w:pPr>
    <w:rPr>
      <w:sz w:val="20"/>
      <w:szCs w:val="20"/>
    </w:rPr>
  </w:style>
  <w:style w:type="character" w:customStyle="1" w:styleId="CommentTextChar">
    <w:name w:val="Comment Text Char"/>
    <w:link w:val="CommentText"/>
    <w:uiPriority w:val="99"/>
    <w:semiHidden/>
    <w:rsid w:val="00C67BC8"/>
    <w:rPr>
      <w:sz w:val="20"/>
      <w:szCs w:val="20"/>
    </w:rPr>
  </w:style>
  <w:style w:type="paragraph" w:styleId="CommentSubject">
    <w:name w:val="annotation subject"/>
    <w:basedOn w:val="CommentText"/>
    <w:next w:val="CommentText"/>
    <w:link w:val="CommentSubjectChar"/>
    <w:uiPriority w:val="99"/>
    <w:semiHidden/>
    <w:unhideWhenUsed/>
    <w:rsid w:val="00C67BC8"/>
    <w:rPr>
      <w:b/>
      <w:bCs/>
    </w:rPr>
  </w:style>
  <w:style w:type="character" w:customStyle="1" w:styleId="CommentSubjectChar">
    <w:name w:val="Comment Subject Char"/>
    <w:link w:val="CommentSubject"/>
    <w:uiPriority w:val="99"/>
    <w:semiHidden/>
    <w:rsid w:val="00C67BC8"/>
    <w:rPr>
      <w:b/>
      <w:bCs/>
      <w:sz w:val="20"/>
      <w:szCs w:val="20"/>
    </w:rPr>
  </w:style>
  <w:style w:type="paragraph" w:styleId="BalloonText">
    <w:name w:val="Balloon Text"/>
    <w:basedOn w:val="Normal"/>
    <w:link w:val="BalloonTextChar"/>
    <w:uiPriority w:val="99"/>
    <w:semiHidden/>
    <w:unhideWhenUsed/>
    <w:rsid w:val="00C67BC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67BC8"/>
    <w:rPr>
      <w:rFonts w:ascii="Tahoma" w:hAnsi="Tahoma" w:cs="Tahoma"/>
      <w:sz w:val="16"/>
      <w:szCs w:val="16"/>
    </w:rPr>
  </w:style>
  <w:style w:type="paragraph" w:styleId="NoSpacing">
    <w:name w:val="No Spacing"/>
    <w:uiPriority w:val="1"/>
    <w:qFormat/>
    <w:rsid w:val="000275D3"/>
    <w:rPr>
      <w:sz w:val="22"/>
      <w:szCs w:val="22"/>
      <w:lang w:val="sq-AL"/>
    </w:rPr>
  </w:style>
  <w:style w:type="table" w:styleId="TableGrid">
    <w:name w:val="Table Grid"/>
    <w:basedOn w:val="TableNormal"/>
    <w:uiPriority w:val="59"/>
    <w:rsid w:val="00B741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rsid w:val="00B06062"/>
    <w:rPr>
      <w:rFonts w:ascii="Calibri" w:hAnsi="Calibri"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767"/>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F02F2"/>
    <w:pPr>
      <w:spacing w:after="0" w:line="240" w:lineRule="auto"/>
    </w:pPr>
    <w:rPr>
      <w:rFonts w:eastAsia="Calibri"/>
      <w:sz w:val="20"/>
      <w:szCs w:val="20"/>
    </w:rPr>
  </w:style>
  <w:style w:type="character" w:customStyle="1" w:styleId="FootnoteTextChar">
    <w:name w:val="Footnote Text Char"/>
    <w:link w:val="FootnoteText"/>
    <w:uiPriority w:val="99"/>
    <w:semiHidden/>
    <w:rsid w:val="00DF02F2"/>
    <w:rPr>
      <w:rFonts w:ascii="Calibri" w:eastAsia="Calibri" w:hAnsi="Calibri" w:cs="Times New Roman"/>
      <w:sz w:val="20"/>
      <w:szCs w:val="20"/>
    </w:rPr>
  </w:style>
  <w:style w:type="paragraph" w:styleId="ListParagraph">
    <w:name w:val="List Paragraph"/>
    <w:basedOn w:val="Normal"/>
    <w:uiPriority w:val="34"/>
    <w:qFormat/>
    <w:rsid w:val="00DF02F2"/>
    <w:pPr>
      <w:spacing w:after="160" w:line="256" w:lineRule="auto"/>
      <w:ind w:left="720"/>
      <w:contextualSpacing/>
    </w:pPr>
    <w:rPr>
      <w:rFonts w:eastAsia="Calibri"/>
    </w:rPr>
  </w:style>
  <w:style w:type="paragraph" w:customStyle="1" w:styleId="Normal2">
    <w:name w:val="Normal2"/>
    <w:rsid w:val="00DF02F2"/>
    <w:pPr>
      <w:widowControl w:val="0"/>
      <w:spacing w:after="200" w:line="276" w:lineRule="auto"/>
    </w:pPr>
    <w:rPr>
      <w:rFonts w:eastAsia="Calibri" w:cs="Calibri"/>
      <w:color w:val="000000"/>
      <w:sz w:val="22"/>
      <w:szCs w:val="22"/>
      <w:lang w:val="sq-AL" w:eastAsia="sq-AL"/>
    </w:rPr>
  </w:style>
  <w:style w:type="character" w:styleId="FootnoteReference">
    <w:name w:val="footnote reference"/>
    <w:uiPriority w:val="99"/>
    <w:semiHidden/>
    <w:unhideWhenUsed/>
    <w:rsid w:val="00DF02F2"/>
    <w:rPr>
      <w:vertAlign w:val="superscript"/>
    </w:rPr>
  </w:style>
  <w:style w:type="paragraph" w:styleId="Header">
    <w:name w:val="header"/>
    <w:basedOn w:val="Normal"/>
    <w:link w:val="HeaderChar"/>
    <w:uiPriority w:val="99"/>
    <w:unhideWhenUsed/>
    <w:rsid w:val="00EA0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7C2"/>
  </w:style>
  <w:style w:type="paragraph" w:styleId="Footer">
    <w:name w:val="footer"/>
    <w:basedOn w:val="Normal"/>
    <w:link w:val="FooterChar"/>
    <w:uiPriority w:val="99"/>
    <w:unhideWhenUsed/>
    <w:rsid w:val="00EA0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7C2"/>
  </w:style>
  <w:style w:type="character" w:styleId="CommentReference">
    <w:name w:val="annotation reference"/>
    <w:uiPriority w:val="99"/>
    <w:semiHidden/>
    <w:unhideWhenUsed/>
    <w:rsid w:val="00C67BC8"/>
    <w:rPr>
      <w:sz w:val="16"/>
      <w:szCs w:val="16"/>
    </w:rPr>
  </w:style>
  <w:style w:type="paragraph" w:styleId="CommentText">
    <w:name w:val="annotation text"/>
    <w:basedOn w:val="Normal"/>
    <w:link w:val="CommentTextChar"/>
    <w:uiPriority w:val="99"/>
    <w:semiHidden/>
    <w:unhideWhenUsed/>
    <w:rsid w:val="00C67BC8"/>
    <w:pPr>
      <w:spacing w:line="240" w:lineRule="auto"/>
    </w:pPr>
    <w:rPr>
      <w:sz w:val="20"/>
      <w:szCs w:val="20"/>
    </w:rPr>
  </w:style>
  <w:style w:type="character" w:customStyle="1" w:styleId="CommentTextChar">
    <w:name w:val="Comment Text Char"/>
    <w:link w:val="CommentText"/>
    <w:uiPriority w:val="99"/>
    <w:semiHidden/>
    <w:rsid w:val="00C67BC8"/>
    <w:rPr>
      <w:sz w:val="20"/>
      <w:szCs w:val="20"/>
    </w:rPr>
  </w:style>
  <w:style w:type="paragraph" w:styleId="CommentSubject">
    <w:name w:val="annotation subject"/>
    <w:basedOn w:val="CommentText"/>
    <w:next w:val="CommentText"/>
    <w:link w:val="CommentSubjectChar"/>
    <w:uiPriority w:val="99"/>
    <w:semiHidden/>
    <w:unhideWhenUsed/>
    <w:rsid w:val="00C67BC8"/>
    <w:rPr>
      <w:b/>
      <w:bCs/>
    </w:rPr>
  </w:style>
  <w:style w:type="character" w:customStyle="1" w:styleId="CommentSubjectChar">
    <w:name w:val="Comment Subject Char"/>
    <w:link w:val="CommentSubject"/>
    <w:uiPriority w:val="99"/>
    <w:semiHidden/>
    <w:rsid w:val="00C67BC8"/>
    <w:rPr>
      <w:b/>
      <w:bCs/>
      <w:sz w:val="20"/>
      <w:szCs w:val="20"/>
    </w:rPr>
  </w:style>
  <w:style w:type="paragraph" w:styleId="BalloonText">
    <w:name w:val="Balloon Text"/>
    <w:basedOn w:val="Normal"/>
    <w:link w:val="BalloonTextChar"/>
    <w:uiPriority w:val="99"/>
    <w:semiHidden/>
    <w:unhideWhenUsed/>
    <w:rsid w:val="00C67BC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67BC8"/>
    <w:rPr>
      <w:rFonts w:ascii="Tahoma" w:hAnsi="Tahoma" w:cs="Tahoma"/>
      <w:sz w:val="16"/>
      <w:szCs w:val="16"/>
    </w:rPr>
  </w:style>
  <w:style w:type="paragraph" w:styleId="NoSpacing">
    <w:name w:val="No Spacing"/>
    <w:uiPriority w:val="1"/>
    <w:qFormat/>
    <w:rsid w:val="000275D3"/>
    <w:rPr>
      <w:sz w:val="22"/>
      <w:szCs w:val="22"/>
      <w:lang w:val="sq-AL"/>
    </w:rPr>
  </w:style>
  <w:style w:type="table" w:styleId="TableGrid">
    <w:name w:val="Table Grid"/>
    <w:basedOn w:val="TableNormal"/>
    <w:uiPriority w:val="59"/>
    <w:rsid w:val="00B741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rsid w:val="00B06062"/>
    <w:rPr>
      <w:rFonts w:ascii="Calibri" w:hAnsi="Calibri"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06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602B9654EC6432D8B468509E10072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A602B9654EC6432D8B468509E10072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Date_x0020_protokolli"/>
                <xsd:element ref="ns2:Titulli"/>
                <xsd:element ref="ns2:Nr_x002e__x0020_prot_x0020_QBZ"/>
                <xsd:element ref="ns2:Dekretuar" minOccurs="0"/>
                <xsd:element ref="ns2:Data"/>
                <xsd:element ref="ns2:Nr_x002e__x0020_protokolli_x0020_i_x0020_aktit"/>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URL" ma:index="10" nillable="true" ma:displayName="URL" ma:internalName="URL">
      <xsd:simpleType>
        <xsd:restriction base="dms:Text">
</xsd:restriction>
      </xsd:simpleType>
    </xsd:element>
    <xsd:element name="Institucion_x0020_Pergjegjes" ma:index="11" ma:displayName="Institucion Pergjegjes" ma:internalName="Institucion_x0020_Pergjegjes">
      <xsd:simpleType>
        <xsd:restriction base="dms:Text">
</xsd:restriction>
      </xsd:simpleType>
    </xsd:element>
    <xsd:element name="Lloji_x0020_i_x0020_aktit" ma:index="12"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3" nillable="true" ma:displayName="Tipi i aktit" ma:internalName="Tipi_x0020_i_x0020_aktit">
      <xsd:simpleType>
        <xsd:restriction base="dms:Text">
</xsd:restriction>
      </xsd:simpleType>
    </xsd:element>
    <xsd:element name="P_x00eb_rshkrimi" ma:index="14" nillable="true" ma:displayName="Përshkrimi" ma:internalName="P_x00eb_rshkrimi">
      <xsd:simpleType>
        <xsd:restriction base="dms:Note">
</xsd:restriction>
      </xsd:simpleType>
    </xsd:element>
    <xsd:element name="Data_x0020_e_x0020_FZ" ma:index="15" nillable="true" ma:displayName="Data e FZ" ma:format="DateOnly" ma:internalName="Data_x0020_e_x0020_FZ">
      <xsd:simpleType>
        <xsd:restriction base="dms:DateTime">
</xsd:restriction>
      </xsd:simpleType>
    </xsd:element>
    <xsd:element name="Akte_x0020_ekstra" ma:index="16" nillable="true" ma:displayName="Akte ekstra" ma:default="0" ma:internalName="Akte_x0020_ekstra">
      <xsd:simpleType>
        <xsd:restriction base="dms:Boolean">
</xsd:restriction>
      </xsd:simpleType>
    </xsd:element>
    <xsd:element name="Nr_x002e__x0020_FZ" ma:index="17" nillable="true" ma:displayName="Nr. FZ" ma:internalName="Nr_x002e__x0020_FZ">
      <xsd:simpleType>
        <xsd:restriction base="dms:Text">
</xsd:restriction>
      </xsd:simpleType>
    </xsd:element>
    <xsd:element name="Date_x0020_protokolli" ma:index="18" ma:displayName="Date protokolli" ma:format="DateOnly" ma:internalName="Date_x0020_protokolli">
      <xsd:simpleType>
        <xsd:restriction base="dms:DateTime">
</xsd:restriction>
      </xsd:simpleType>
    </xsd:element>
    <xsd:element name="Titulli" ma:index="19" ma:displayName="Titulli" ma:internalName="Titulli">
      <xsd:simpleType>
        <xsd:restriction base="dms:Text">
</xsd:restriction>
      </xsd:simpleType>
    </xsd:element>
    <xsd:element name="Nr_x002e__x0020_prot_x0020_QBZ" ma:index="20" ma:displayName="Nr. prot QBZ" ma:internalName="Nr_x002e__x0020_prot_x0020_QBZ">
      <xsd:simpleType>
        <xsd:restriction base="dms:Text">
</xsd:restriction>
      </xsd:simpleType>
    </xsd:element>
    <xsd:element name="Dekretuar" ma:index="21" nillable="true" ma:displayName="Dekretuar" ma:default="0" ma:internalName="Dekretuar">
      <xsd:simpleType>
        <xsd:restriction base="dms:Boolean">
</xsd:restriction>
      </xsd:simpleType>
    </xsd:element>
    <xsd:element name="Data" ma:index="22" ma:displayName="Data" ma:format="DateOnly" ma:internalName="Data">
      <xsd:simpleType>
        <xsd:restriction base="dms:DateTime">
</xsd:restriction>
      </xsd:simpleType>
    </xsd:element>
    <xsd:element name="Nr_x002e__x0020_protokolli_x0020_i_x0020_aktit" ma:index="23" ma:displayName="Nr. protokolli i aktit" ma:internalName="Nr_x002e__x0020_protokolli_x0020_i_x0020_aktit">
      <xsd:simpleType>
        <xsd:restriction base="dms:Text">
</xsd:restriction>
      </xsd:simpleType>
    </xsd:element>
    <xsd:element name="Eligible_x0020_To_x0020_Select" ma:index="24"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ipi_x0020_i_x0020_aktit xmlns="0e656187-b300-4fb0-8bf4-3a50f872073c" xsi:nil="true"/>
    <Nr_x002e__x0020_FZ xmlns="0e656187-b300-4fb0-8bf4-3a50f872073c" xsi:nil="true"/>
    <Nr_x002e__x0020_akti xmlns="0e656187-b300-4fb0-8bf4-3a50f872073c">197</Nr_x002e__x0020_akti>
    <Institucion_x0020_Pergjegjes xmlns="0e656187-b300-4fb0-8bf4-3a50f872073c">http://qbz.gov.al/resource/authority/legal-institution/21|keshilli-i-larte-gjyqesor</Institucion_x0020_Pergjegjes>
    <P_x00eb_rshkrimi xmlns="0e656187-b300-4fb0-8bf4-3a50f872073c" xsi:nil="true"/>
    <Data_x0020_e_x0020_FZ xmlns="0e656187-b300-4fb0-8bf4-3a50f872073c" xsi:nil="true"/>
    <Date_x0020_protokolli xmlns="0e656187-b300-4fb0-8bf4-3a50f872073c">2020-06-11T20:00:00+00:00</Date_x0020_protokolli>
    <URL xmlns="0e656187-b300-4fb0-8bf4-3a50f872073c" xsi:nil="true"/>
    <Dekretuar xmlns="0e656187-b300-4fb0-8bf4-3a50f872073c">false</Dekretuar>
    <Data xmlns="0e656187-b300-4fb0-8bf4-3a50f872073c">2020-06-10T20:00:00+00:00</Data>
    <Date_x0020_publikimi xmlns="0e656187-b300-4fb0-8bf4-3a50f872073c" xsi:nil="true"/>
    <Titulli xmlns="0e656187-b300-4fb0-8bf4-3a50f872073c">Për miratimin e "Rregullave për përzgjedhjen me short të çështjeve në procesin e vlerësimit etik dhe profesional të gjyqtarit"</Titulli>
    <Eligible_x0020_To_x0020_Select xmlns="0e656187-b300-4fb0-8bf4-3a50f872073c">true</Eligible_x0020_To_x0020_Select>
    <Nr_x002e__x0020_prot_x0020_QBZ xmlns="0e656187-b300-4fb0-8bf4-3a50f872073c">916/1</Nr_x002e__x0020_prot_x0020_QBZ>
    <Lloji_x0020_i_x0020_aktit xmlns="0e656187-b300-4fb0-8bf4-3a50f872073c">Akt bazë</Lloji_x0020_i_x0020_aktit>
    <Akte_x0020_ekstra xmlns="0e656187-b300-4fb0-8bf4-3a50f872073c">false</Akte_x0020_ekstra>
    <Nr_x002e__x0020_protokolli_x0020_i_x0020_aktit xmlns="0e656187-b300-4fb0-8bf4-3a50f872073c">2705/2</Nr_x002e__x0020_protokolli_x0020_i_x0020_aktit>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BA66B-1AF7-4973-8E8E-6D28C9F81C28}">
  <ds:schemaRefs>
    <ds:schemaRef ds:uri="http://schemas.microsoft.com/sharepoint/v3/contenttype/forms"/>
  </ds:schemaRefs>
</ds:datastoreItem>
</file>

<file path=customXml/itemProps2.xml><?xml version="1.0" encoding="utf-8"?>
<ds:datastoreItem xmlns:ds="http://schemas.openxmlformats.org/officeDocument/2006/customXml" ds:itemID="{02FEB86D-F401-430D-B3CF-5FB90EA4E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E42CD6F-4AA7-4149-929F-F079171B8E29}">
  <ds:schemaRefs>
    <ds:schemaRef ds:uri="http://schemas.microsoft.com/office/2006/metadata/longProperties"/>
  </ds:schemaRefs>
</ds:datastoreItem>
</file>

<file path=customXml/itemProps4.xml><?xml version="1.0" encoding="utf-8"?>
<ds:datastoreItem xmlns:ds="http://schemas.openxmlformats.org/officeDocument/2006/customXml" ds:itemID="{549A3D45-80AA-402E-8C86-32B3A32F8D71}">
  <ds:schemaRefs>
    <ds:schemaRef ds:uri="http://schemas.microsoft.com/office/2006/metadata/longProperties"/>
  </ds:schemaRefs>
</ds:datastoreItem>
</file>

<file path=customXml/itemProps5.xml><?xml version="1.0" encoding="utf-8"?>
<ds:datastoreItem xmlns:ds="http://schemas.openxmlformats.org/officeDocument/2006/customXml" ds:itemID="{120F1650-F6BE-4255-A70F-2BCEDD914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81D8FB5-2814-40D9-BFA7-AD5CDE71742C}">
  <ds:schemaRefs>
    <ds:schemaRef ds:uri="http://schemas.microsoft.com/sharepoint/v3/contenttype/forms"/>
  </ds:schemaRefs>
</ds:datastoreItem>
</file>

<file path=customXml/itemProps7.xml><?xml version="1.0" encoding="utf-8"?>
<ds:datastoreItem xmlns:ds="http://schemas.openxmlformats.org/officeDocument/2006/customXml" ds:itemID="{B439F1DA-0182-450D-B55E-13555791FA6E}">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768DDB8A-5686-4B53-9DD1-AA80E36AD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1816</Words>
  <Characters>10352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Për miratimin e "Rregullave për përzgjedhjen me short të çështjeve në procesin e vlerësimit etik dhe profesional të gjyqtarit"</vt:lpstr>
    </vt:vector>
  </TitlesOfParts>
  <Company>Deftones</Company>
  <LinksUpToDate>false</LinksUpToDate>
  <CharactersWithSpaces>12144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përzgjedhjen me short të çështjeve në procesin e vlerësimit etik dhe profesional të gjyqtarit"</dc:title>
  <dc:creator>bkadi</dc:creator>
  <cp:lastModifiedBy>Jonida Resulaj</cp:lastModifiedBy>
  <cp:revision>2</cp:revision>
  <cp:lastPrinted>2020-06-05T16:23:00Z</cp:lastPrinted>
  <dcterms:created xsi:type="dcterms:W3CDTF">2020-06-15T13:11:00Z</dcterms:created>
  <dcterms:modified xsi:type="dcterms:W3CDTF">2020-06-15T13:11:00Z</dcterms:modified>
</cp:coreProperties>
</file>