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E7A694" w14:textId="77777777" w:rsidR="00DF6A99" w:rsidRPr="000D6EB8" w:rsidRDefault="00DF6A99" w:rsidP="00DF6A9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smallCaps/>
          <w:lang w:val="sq-AL"/>
        </w:rPr>
      </w:pPr>
      <w:r w:rsidRPr="000D6EB8">
        <w:rPr>
          <w:rFonts w:ascii="Garamond" w:eastAsiaTheme="minorHAnsi" w:hAnsi="Garamond" w:cs="Calibri"/>
          <w:b/>
          <w:bCs/>
          <w:smallCaps/>
          <w:lang w:val="sq-AL"/>
        </w:rPr>
        <w:t>VENDIM</w:t>
      </w:r>
    </w:p>
    <w:p w14:paraId="7D5C8135" w14:textId="77777777" w:rsidR="00DF6A99" w:rsidRPr="000D6EB8" w:rsidRDefault="00DF6A99" w:rsidP="00DF6A9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val="sq-AL"/>
        </w:rPr>
      </w:pPr>
      <w:r w:rsidRPr="000D6EB8">
        <w:rPr>
          <w:rFonts w:ascii="Garamond" w:eastAsiaTheme="minorHAnsi" w:hAnsi="Garamond"/>
          <w:b/>
          <w:lang w:val="sq-AL"/>
        </w:rPr>
        <w:t>Nr. 554, datë 29.12.2022</w:t>
      </w:r>
    </w:p>
    <w:p w14:paraId="60D5D69F" w14:textId="77777777" w:rsidR="00DF6A99" w:rsidRPr="000D6EB8" w:rsidRDefault="00DF6A99" w:rsidP="00DF6A99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smallCaps/>
          <w:lang w:val="sq-AL"/>
        </w:rPr>
      </w:pPr>
    </w:p>
    <w:p w14:paraId="7D661DD1" w14:textId="4BF1A6DF" w:rsidR="00DF6A99" w:rsidRPr="000D6EB8" w:rsidRDefault="00DF6A99" w:rsidP="00DF6A9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val="sq-AL"/>
        </w:rPr>
      </w:pPr>
      <w:r w:rsidRPr="000D6EB8">
        <w:rPr>
          <w:rFonts w:ascii="Garamond" w:eastAsiaTheme="minorHAnsi" w:hAnsi="Garamond"/>
          <w:b/>
          <w:bCs/>
          <w:lang w:val="sq-AL"/>
        </w:rPr>
        <w:t xml:space="preserve">PËR NDARJEN ME SHORT TË ÇËSHTJEVE GJYQËSORE </w:t>
      </w:r>
    </w:p>
    <w:p w14:paraId="5192D1FC" w14:textId="77777777" w:rsidR="00DF6A99" w:rsidRPr="000D6EB8" w:rsidRDefault="00DF6A99" w:rsidP="00DF6A99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lang w:val="sq-AL"/>
        </w:rPr>
      </w:pPr>
    </w:p>
    <w:p w14:paraId="088EA284" w14:textId="60FB8708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lang w:val="sq-AL"/>
        </w:rPr>
      </w:pPr>
      <w:r w:rsidRPr="000D6EB8">
        <w:rPr>
          <w:rFonts w:ascii="Garamond" w:eastAsiaTheme="minorHAnsi" w:hAnsi="Garamond" w:cs="Calibri"/>
          <w:lang w:val="sq-AL"/>
        </w:rPr>
        <w:t xml:space="preserve">Këshilli i Lartë Gjyqësor, bazuar në nenet 118, pika 1, 147, pika 1 dhe 147/a, pika 1, shkronja “d” dhe “ë”, të Kushtetutës së Republikës së Shqipërisë, nenin 25, pika 3, të </w:t>
      </w:r>
      <w:r w:rsidR="00673A18" w:rsidRPr="000D6EB8">
        <w:rPr>
          <w:rFonts w:ascii="Garamond" w:eastAsiaTheme="minorHAnsi" w:hAnsi="Garamond" w:cs="Calibri"/>
          <w:lang w:val="sq-AL"/>
        </w:rPr>
        <w:t>l</w:t>
      </w:r>
      <w:r w:rsidRPr="000D6EB8">
        <w:rPr>
          <w:rFonts w:ascii="Garamond" w:eastAsiaTheme="minorHAnsi" w:hAnsi="Garamond" w:cs="Calibri"/>
          <w:lang w:val="sq-AL"/>
        </w:rPr>
        <w:t xml:space="preserve">igjit nr. 98/2016, “Për organizimin e pushtetit gjyqësor në Republikën e Shqipërisë”, i ndryshuar, nenin 61, pika 2, shkronja “ë”, nenin 94, pika 4, si dhe në nenin 97, pika 1, shkronja “c”, të </w:t>
      </w:r>
      <w:r w:rsidR="00673A18" w:rsidRPr="000D6EB8">
        <w:rPr>
          <w:rFonts w:ascii="Garamond" w:eastAsiaTheme="minorHAnsi" w:hAnsi="Garamond" w:cs="Calibri"/>
          <w:lang w:val="sq-AL"/>
        </w:rPr>
        <w:t>l</w:t>
      </w:r>
      <w:r w:rsidRPr="000D6EB8">
        <w:rPr>
          <w:rFonts w:ascii="Garamond" w:eastAsiaTheme="minorHAnsi" w:hAnsi="Garamond" w:cs="Calibri"/>
          <w:lang w:val="sq-AL"/>
        </w:rPr>
        <w:t xml:space="preserve">igjit nr. 115/2016, “Për organet e qeverisjes së sistemit të drejtësisë”, i ndryshuar, me propozim të anëtarëve z. Ilir Rusi, </w:t>
      </w:r>
      <w:proofErr w:type="spellStart"/>
      <w:r w:rsidRPr="000D6EB8">
        <w:rPr>
          <w:rFonts w:ascii="Garamond" w:eastAsiaTheme="minorHAnsi" w:hAnsi="Garamond" w:cs="Calibri"/>
          <w:lang w:val="sq-AL"/>
        </w:rPr>
        <w:t>znj</w:t>
      </w:r>
      <w:proofErr w:type="spellEnd"/>
      <w:r w:rsidRPr="000D6EB8">
        <w:rPr>
          <w:rFonts w:ascii="Garamond" w:eastAsiaTheme="minorHAnsi" w:hAnsi="Garamond" w:cs="Calibri"/>
          <w:lang w:val="sq-AL"/>
        </w:rPr>
        <w:t xml:space="preserve">. Brikena </w:t>
      </w:r>
      <w:proofErr w:type="spellStart"/>
      <w:r w:rsidRPr="000D6EB8">
        <w:rPr>
          <w:rFonts w:ascii="Garamond" w:eastAsiaTheme="minorHAnsi" w:hAnsi="Garamond" w:cs="Calibri"/>
          <w:lang w:val="sq-AL"/>
        </w:rPr>
        <w:t>Ukperaj</w:t>
      </w:r>
      <w:proofErr w:type="spellEnd"/>
      <w:r w:rsidRPr="000D6EB8">
        <w:rPr>
          <w:rFonts w:ascii="Garamond" w:eastAsiaTheme="minorHAnsi" w:hAnsi="Garamond" w:cs="Calibri"/>
          <w:lang w:val="sq-AL"/>
        </w:rPr>
        <w:t xml:space="preserve"> dhe </w:t>
      </w:r>
      <w:proofErr w:type="spellStart"/>
      <w:r w:rsidRPr="000D6EB8">
        <w:rPr>
          <w:rFonts w:ascii="Garamond" w:eastAsiaTheme="minorHAnsi" w:hAnsi="Garamond" w:cs="Calibri"/>
          <w:lang w:val="sq-AL"/>
        </w:rPr>
        <w:t>znj</w:t>
      </w:r>
      <w:proofErr w:type="spellEnd"/>
      <w:r w:rsidRPr="000D6EB8">
        <w:rPr>
          <w:rFonts w:ascii="Garamond" w:eastAsiaTheme="minorHAnsi" w:hAnsi="Garamond" w:cs="Calibri"/>
          <w:lang w:val="sq-AL"/>
        </w:rPr>
        <w:t xml:space="preserve">. </w:t>
      </w:r>
      <w:proofErr w:type="spellStart"/>
      <w:r w:rsidRPr="000D6EB8">
        <w:rPr>
          <w:rFonts w:ascii="Garamond" w:eastAsiaTheme="minorHAnsi" w:hAnsi="Garamond" w:cs="Calibri"/>
          <w:lang w:val="sq-AL"/>
        </w:rPr>
        <w:t>Marçela</w:t>
      </w:r>
      <w:proofErr w:type="spellEnd"/>
      <w:r w:rsidRPr="000D6EB8">
        <w:rPr>
          <w:rFonts w:ascii="Garamond" w:eastAsiaTheme="minorHAnsi" w:hAnsi="Garamond" w:cs="Calibri"/>
          <w:lang w:val="sq-AL"/>
        </w:rPr>
        <w:t xml:space="preserve"> Shehu,</w:t>
      </w:r>
    </w:p>
    <w:p w14:paraId="62FD5FFE" w14:textId="77777777" w:rsidR="00DF6A99" w:rsidRPr="000D6EB8" w:rsidRDefault="00DF6A99" w:rsidP="00DF6A9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lang w:val="sq-AL"/>
        </w:rPr>
      </w:pPr>
    </w:p>
    <w:p w14:paraId="2D587C66" w14:textId="77777777" w:rsidR="00DF6A99" w:rsidRPr="000D6EB8" w:rsidRDefault="00DF6A99" w:rsidP="00DF6A9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val="sq-AL"/>
        </w:rPr>
      </w:pPr>
      <w:r w:rsidRPr="000D6EB8">
        <w:rPr>
          <w:rFonts w:ascii="Garamond" w:eastAsiaTheme="minorHAnsi" w:hAnsi="Garamond"/>
          <w:bCs/>
          <w:lang w:val="sq-AL"/>
        </w:rPr>
        <w:t>VENDOSI:</w:t>
      </w:r>
    </w:p>
    <w:p w14:paraId="36A928D3" w14:textId="77777777" w:rsidR="00DF6A99" w:rsidRPr="000D6EB8" w:rsidRDefault="00DF6A99" w:rsidP="00DF6A99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lang w:val="sq-AL"/>
        </w:rPr>
      </w:pPr>
    </w:p>
    <w:p w14:paraId="12900357" w14:textId="4729B5F7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lang w:val="sq-AL"/>
        </w:rPr>
      </w:pPr>
      <w:r w:rsidRPr="000D6EB8">
        <w:rPr>
          <w:rFonts w:ascii="Garamond" w:eastAsiaTheme="minorHAnsi" w:hAnsi="Garamond"/>
          <w:b/>
          <w:bCs/>
          <w:lang w:val="sq-AL"/>
        </w:rPr>
        <w:t>I. Objekti dhe parimet</w:t>
      </w:r>
    </w:p>
    <w:p w14:paraId="6BB7ADA5" w14:textId="1718081A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>1. Objekt i këtij vendimi është përcaktimi i</w:t>
      </w:r>
      <w:r w:rsidRPr="000D6EB8">
        <w:rPr>
          <w:rFonts w:ascii="Garamond" w:eastAsiaTheme="minorHAnsi" w:hAnsi="Garamond"/>
          <w:b/>
          <w:bCs/>
          <w:lang w:val="sq-AL"/>
        </w:rPr>
        <w:t xml:space="preserve"> </w:t>
      </w:r>
      <w:r w:rsidRPr="000D6EB8">
        <w:rPr>
          <w:rFonts w:ascii="Garamond" w:eastAsiaTheme="minorHAnsi" w:hAnsi="Garamond"/>
          <w:lang w:val="sq-AL"/>
        </w:rPr>
        <w:t>kritereve dhe</w:t>
      </w:r>
      <w:r w:rsidRPr="000D6EB8">
        <w:rPr>
          <w:rFonts w:ascii="Garamond" w:eastAsiaTheme="minorHAnsi" w:hAnsi="Garamond"/>
          <w:b/>
          <w:bCs/>
          <w:lang w:val="sq-AL"/>
        </w:rPr>
        <w:t xml:space="preserve"> </w:t>
      </w:r>
      <w:r w:rsidRPr="000D6EB8">
        <w:rPr>
          <w:rFonts w:ascii="Garamond" w:eastAsiaTheme="minorHAnsi" w:hAnsi="Garamond"/>
          <w:lang w:val="sq-AL"/>
        </w:rPr>
        <w:t>rregullave të hollësishme për ndarjen e çështjeve gjyqësore me short, në të gjitha nivelet e gjykatave në Republikën e Shqipërisë. Rastet dhe kriteret e rindarjes së çështjeve me short, do të rregullohen me një akt të veçantë të Këshillit të Lartë Gjyqësor.</w:t>
      </w:r>
    </w:p>
    <w:p w14:paraId="008D95C5" w14:textId="42FD1C53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2. Ndarja e çështjeve gjyqësore me short realizohet mbi bazën e parimit të transparencës, informimit, kontrollit, mbikëqyrjes, gjurmimit, barazisë së shpërndarjes dhe objektivitetit. </w:t>
      </w:r>
    </w:p>
    <w:p w14:paraId="5FE09FD7" w14:textId="0C12E04E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lang w:val="sq-AL"/>
        </w:rPr>
      </w:pPr>
      <w:proofErr w:type="spellStart"/>
      <w:r w:rsidRPr="000D6EB8">
        <w:rPr>
          <w:rFonts w:ascii="Garamond" w:eastAsiaTheme="minorHAnsi" w:hAnsi="Garamond"/>
          <w:b/>
          <w:bCs/>
          <w:lang w:val="sq-AL"/>
        </w:rPr>
        <w:t>II</w:t>
      </w:r>
      <w:proofErr w:type="spellEnd"/>
      <w:r w:rsidRPr="000D6EB8">
        <w:rPr>
          <w:rFonts w:ascii="Garamond" w:eastAsiaTheme="minorHAnsi" w:hAnsi="Garamond"/>
          <w:b/>
          <w:bCs/>
          <w:lang w:val="sq-AL"/>
        </w:rPr>
        <w:t>. Ndarja e çështjes me short elektronik dhe kodi unik i organizimit të shortit</w:t>
      </w:r>
    </w:p>
    <w:p w14:paraId="698B3170" w14:textId="1E10F287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1. Zhvillimi i shortit në njësi përpunimi dhe ruajtje kryhet nëpërmjet algoritmeve që vërtetojnë autenticitetin e shortit, integritetin e të dhënave, sigurinë dhe </w:t>
      </w:r>
      <w:proofErr w:type="spellStart"/>
      <w:r w:rsidRPr="000D6EB8">
        <w:rPr>
          <w:rFonts w:ascii="Garamond" w:eastAsiaTheme="minorHAnsi" w:hAnsi="Garamond"/>
          <w:lang w:val="sq-AL"/>
        </w:rPr>
        <w:t>auditimin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 e tyre.</w:t>
      </w:r>
    </w:p>
    <w:p w14:paraId="1BF477FF" w14:textId="0A3180A4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2. Sistemi i shortit përdor algoritme për </w:t>
      </w:r>
      <w:proofErr w:type="spellStart"/>
      <w:r w:rsidRPr="000D6EB8">
        <w:rPr>
          <w:rFonts w:ascii="Garamond" w:eastAsiaTheme="minorHAnsi" w:hAnsi="Garamond"/>
          <w:lang w:val="sq-AL"/>
        </w:rPr>
        <w:t>autentifikimin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 e gjykatës që kërkon procesin e </w:t>
      </w:r>
      <w:proofErr w:type="spellStart"/>
      <w:r w:rsidRPr="000D6EB8">
        <w:rPr>
          <w:rFonts w:ascii="Garamond" w:eastAsiaTheme="minorHAnsi" w:hAnsi="Garamond"/>
          <w:lang w:val="sq-AL"/>
        </w:rPr>
        <w:t>shortimit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. Çdo gjykatë përdor “çelësa të ndarë” </w:t>
      </w:r>
      <w:r w:rsidRPr="000D6EB8">
        <w:rPr>
          <w:rFonts w:ascii="Garamond" w:eastAsiaTheme="minorHAnsi" w:hAnsi="Garamond"/>
          <w:i/>
          <w:iCs/>
          <w:lang w:val="sq-AL"/>
        </w:rPr>
        <w:t>(</w:t>
      </w:r>
      <w:proofErr w:type="spellStart"/>
      <w:r w:rsidRPr="000D6EB8">
        <w:rPr>
          <w:rFonts w:ascii="Garamond" w:eastAsiaTheme="minorHAnsi" w:hAnsi="Garamond"/>
          <w:i/>
          <w:iCs/>
          <w:lang w:val="sq-AL"/>
        </w:rPr>
        <w:t>shared</w:t>
      </w:r>
      <w:proofErr w:type="spellEnd"/>
      <w:r w:rsidRPr="000D6EB8">
        <w:rPr>
          <w:rFonts w:ascii="Garamond" w:eastAsiaTheme="minorHAnsi" w:hAnsi="Garamond"/>
          <w:i/>
          <w:iCs/>
          <w:lang w:val="sq-AL"/>
        </w:rPr>
        <w:t xml:space="preserve"> </w:t>
      </w:r>
      <w:proofErr w:type="spellStart"/>
      <w:r w:rsidRPr="000D6EB8">
        <w:rPr>
          <w:rFonts w:ascii="Garamond" w:eastAsiaTheme="minorHAnsi" w:hAnsi="Garamond"/>
          <w:i/>
          <w:iCs/>
          <w:lang w:val="sq-AL"/>
        </w:rPr>
        <w:t>key</w:t>
      </w:r>
      <w:proofErr w:type="spellEnd"/>
      <w:r w:rsidRPr="000D6EB8">
        <w:rPr>
          <w:rFonts w:ascii="Garamond" w:eastAsiaTheme="minorHAnsi" w:hAnsi="Garamond"/>
          <w:i/>
          <w:iCs/>
          <w:lang w:val="sq-AL"/>
        </w:rPr>
        <w:t>)</w:t>
      </w:r>
      <w:r w:rsidRPr="000D6EB8">
        <w:rPr>
          <w:rFonts w:ascii="Garamond" w:eastAsiaTheme="minorHAnsi" w:hAnsi="Garamond"/>
          <w:lang w:val="sq-AL"/>
        </w:rPr>
        <w:t xml:space="preserve"> për të </w:t>
      </w:r>
      <w:proofErr w:type="spellStart"/>
      <w:r w:rsidRPr="000D6EB8">
        <w:rPr>
          <w:rFonts w:ascii="Garamond" w:eastAsiaTheme="minorHAnsi" w:hAnsi="Garamond"/>
          <w:lang w:val="sq-AL"/>
        </w:rPr>
        <w:t>gjeneruar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 kod unik të çastit </w:t>
      </w:r>
      <w:r w:rsidRPr="000D6EB8">
        <w:rPr>
          <w:rFonts w:ascii="Garamond" w:eastAsiaTheme="minorHAnsi" w:hAnsi="Garamond"/>
          <w:i/>
          <w:iCs/>
          <w:lang w:val="sq-AL"/>
        </w:rPr>
        <w:t>(</w:t>
      </w:r>
      <w:proofErr w:type="spellStart"/>
      <w:r w:rsidRPr="000D6EB8">
        <w:rPr>
          <w:rFonts w:ascii="Garamond" w:eastAsiaTheme="minorHAnsi" w:hAnsi="Garamond"/>
          <w:i/>
          <w:iCs/>
          <w:lang w:val="sq-AL"/>
        </w:rPr>
        <w:t>One</w:t>
      </w:r>
      <w:proofErr w:type="spellEnd"/>
      <w:r w:rsidRPr="000D6EB8">
        <w:rPr>
          <w:rFonts w:ascii="Garamond" w:eastAsiaTheme="minorHAnsi" w:hAnsi="Garamond"/>
          <w:i/>
          <w:iCs/>
          <w:lang w:val="sq-AL"/>
        </w:rPr>
        <w:t xml:space="preserve"> Time </w:t>
      </w:r>
      <w:proofErr w:type="spellStart"/>
      <w:r w:rsidRPr="000D6EB8">
        <w:rPr>
          <w:rFonts w:ascii="Garamond" w:eastAsiaTheme="minorHAnsi" w:hAnsi="Garamond"/>
          <w:i/>
          <w:iCs/>
          <w:lang w:val="sq-AL"/>
        </w:rPr>
        <w:t>Password</w:t>
      </w:r>
      <w:proofErr w:type="spellEnd"/>
      <w:r w:rsidRPr="000D6EB8">
        <w:rPr>
          <w:rFonts w:ascii="Garamond" w:eastAsiaTheme="minorHAnsi" w:hAnsi="Garamond"/>
          <w:i/>
          <w:iCs/>
          <w:lang w:val="sq-AL"/>
        </w:rPr>
        <w:t>).</w:t>
      </w:r>
      <w:r w:rsidRPr="000D6EB8">
        <w:rPr>
          <w:rFonts w:ascii="Garamond" w:eastAsiaTheme="minorHAnsi" w:hAnsi="Garamond"/>
          <w:lang w:val="sq-AL"/>
        </w:rPr>
        <w:t xml:space="preserve"> Kjo procedurë synon garantimin e procedimit të mesazheve të dërguara vetëm nga gjykatat dhe çdo mesazh i tillë ka një </w:t>
      </w:r>
      <w:proofErr w:type="spellStart"/>
      <w:r w:rsidRPr="000D6EB8">
        <w:rPr>
          <w:rFonts w:ascii="Garamond" w:eastAsiaTheme="minorHAnsi" w:hAnsi="Garamond"/>
          <w:lang w:val="sq-AL"/>
        </w:rPr>
        <w:t>autentifikimin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 të paimitueshëm në rast të gjurmimeve në rrjet </w:t>
      </w:r>
      <w:r w:rsidRPr="000D6EB8">
        <w:rPr>
          <w:rFonts w:ascii="Garamond" w:eastAsiaTheme="minorHAnsi" w:hAnsi="Garamond"/>
          <w:i/>
          <w:iCs/>
          <w:lang w:val="sq-AL"/>
        </w:rPr>
        <w:t xml:space="preserve">(Man In The </w:t>
      </w:r>
      <w:proofErr w:type="spellStart"/>
      <w:r w:rsidRPr="000D6EB8">
        <w:rPr>
          <w:rFonts w:ascii="Garamond" w:eastAsiaTheme="minorHAnsi" w:hAnsi="Garamond"/>
          <w:i/>
          <w:iCs/>
          <w:lang w:val="sq-AL"/>
        </w:rPr>
        <w:t>Middle</w:t>
      </w:r>
      <w:proofErr w:type="spellEnd"/>
      <w:r w:rsidRPr="000D6EB8">
        <w:rPr>
          <w:rFonts w:ascii="Garamond" w:eastAsiaTheme="minorHAnsi" w:hAnsi="Garamond"/>
          <w:i/>
          <w:iCs/>
          <w:lang w:val="sq-AL"/>
        </w:rPr>
        <w:t xml:space="preserve"> </w:t>
      </w:r>
      <w:proofErr w:type="spellStart"/>
      <w:r w:rsidRPr="000D6EB8">
        <w:rPr>
          <w:rFonts w:ascii="Garamond" w:eastAsiaTheme="minorHAnsi" w:hAnsi="Garamond"/>
          <w:i/>
          <w:iCs/>
          <w:lang w:val="sq-AL"/>
        </w:rPr>
        <w:t>Attacks</w:t>
      </w:r>
      <w:proofErr w:type="spellEnd"/>
      <w:r w:rsidRPr="000D6EB8">
        <w:rPr>
          <w:rFonts w:ascii="Garamond" w:eastAsiaTheme="minorHAnsi" w:hAnsi="Garamond"/>
          <w:i/>
          <w:iCs/>
          <w:lang w:val="sq-AL"/>
        </w:rPr>
        <w:t>).</w:t>
      </w:r>
    </w:p>
    <w:p w14:paraId="0CAC311B" w14:textId="0C9274FC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3. Të dhënat e </w:t>
      </w:r>
      <w:proofErr w:type="spellStart"/>
      <w:r w:rsidRPr="000D6EB8">
        <w:rPr>
          <w:rFonts w:ascii="Garamond" w:eastAsiaTheme="minorHAnsi" w:hAnsi="Garamond"/>
          <w:lang w:val="sq-AL"/>
        </w:rPr>
        <w:t>shortimeve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 ruhen të plota,  në mënyrë historike, të lidhura në mënyrë unike të paimitueshme me mesazhet </w:t>
      </w:r>
      <w:proofErr w:type="spellStart"/>
      <w:r w:rsidRPr="000D6EB8">
        <w:rPr>
          <w:rFonts w:ascii="Garamond" w:eastAsiaTheme="minorHAnsi" w:hAnsi="Garamond"/>
          <w:lang w:val="sq-AL"/>
        </w:rPr>
        <w:t>sekuenciale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, duke bërë procesin e </w:t>
      </w:r>
      <w:proofErr w:type="spellStart"/>
      <w:r w:rsidRPr="000D6EB8">
        <w:rPr>
          <w:rFonts w:ascii="Garamond" w:eastAsiaTheme="minorHAnsi" w:hAnsi="Garamond"/>
          <w:lang w:val="sq-AL"/>
        </w:rPr>
        <w:t>auditueshëm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 dhe të dhënat e pa modifikueshme. </w:t>
      </w:r>
    </w:p>
    <w:p w14:paraId="44E48684" w14:textId="06A7F018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4. Sistemi elektronik i </w:t>
      </w:r>
      <w:proofErr w:type="spellStart"/>
      <w:r w:rsidRPr="000D6EB8">
        <w:rPr>
          <w:rFonts w:ascii="Garamond" w:eastAsiaTheme="minorHAnsi" w:hAnsi="Garamond"/>
          <w:lang w:val="sq-AL"/>
        </w:rPr>
        <w:t>shortimit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 </w:t>
      </w:r>
      <w:proofErr w:type="spellStart"/>
      <w:r w:rsidRPr="000D6EB8">
        <w:rPr>
          <w:rFonts w:ascii="Garamond" w:eastAsiaTheme="minorHAnsi" w:hAnsi="Garamond"/>
          <w:lang w:val="sq-AL"/>
        </w:rPr>
        <w:t>auditohet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 në mënyrë të automatizuar, nëpërmjet verifikimit të ekuivalencës së rezultatit të ruajtur </w:t>
      </w:r>
      <w:proofErr w:type="spellStart"/>
      <w:r w:rsidRPr="000D6EB8">
        <w:rPr>
          <w:rFonts w:ascii="Garamond" w:eastAsiaTheme="minorHAnsi" w:hAnsi="Garamond"/>
          <w:lang w:val="sq-AL"/>
        </w:rPr>
        <w:t>lokalisht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 me atë në sistemin qendror dhe verifikimit të kodeve për të garantuar integritetin e bllokut të informacionit të ruajtur.</w:t>
      </w:r>
    </w:p>
    <w:p w14:paraId="0E094827" w14:textId="21CC1668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5. Sistemi elektronik i </w:t>
      </w:r>
      <w:proofErr w:type="spellStart"/>
      <w:r w:rsidRPr="000D6EB8">
        <w:rPr>
          <w:rFonts w:ascii="Garamond" w:eastAsiaTheme="minorHAnsi" w:hAnsi="Garamond"/>
          <w:lang w:val="sq-AL"/>
        </w:rPr>
        <w:t>shortimit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 prodhon raporte periodike të auditimit ose mbi bazë të kërkesave për </w:t>
      </w:r>
      <w:proofErr w:type="spellStart"/>
      <w:r w:rsidRPr="000D6EB8">
        <w:rPr>
          <w:rFonts w:ascii="Garamond" w:eastAsiaTheme="minorHAnsi" w:hAnsi="Garamond"/>
          <w:lang w:val="sq-AL"/>
        </w:rPr>
        <w:t>auditim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 (gjurmim) nga Këshilli i Lartë Gjyqësor ose Inspektori i Lartë i Drejtësisë.</w:t>
      </w:r>
    </w:p>
    <w:p w14:paraId="4A73E16A" w14:textId="496BE118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lang w:val="sq-AL"/>
        </w:rPr>
      </w:pPr>
      <w:proofErr w:type="spellStart"/>
      <w:r w:rsidRPr="000D6EB8">
        <w:rPr>
          <w:rFonts w:ascii="Garamond" w:eastAsiaTheme="minorHAnsi" w:hAnsi="Garamond"/>
          <w:b/>
          <w:bCs/>
          <w:lang w:val="sq-AL"/>
        </w:rPr>
        <w:t>III</w:t>
      </w:r>
      <w:proofErr w:type="spellEnd"/>
      <w:r w:rsidRPr="000D6EB8">
        <w:rPr>
          <w:rFonts w:ascii="Garamond" w:eastAsiaTheme="minorHAnsi" w:hAnsi="Garamond"/>
          <w:b/>
          <w:bCs/>
          <w:lang w:val="sq-AL"/>
        </w:rPr>
        <w:t xml:space="preserve">. Procedurat dhe rregullat e ndarjes së çështjeve me short </w:t>
      </w:r>
    </w:p>
    <w:p w14:paraId="17D350CB" w14:textId="0990A15E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1. Çështjet gjyqësore, me paraqitjen në gjykatë, regjistrohen menjëherë në sistemin elektronik të menaxhimit të çështjeve nga sekretaria gjyqësore, sipas kategorive të  sistemit, nën mbikëqyrjen e kryesekretarit dhe kancelarit. </w:t>
      </w:r>
    </w:p>
    <w:p w14:paraId="20CF3F7C" w14:textId="577A2A47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2. Kryetari i Gjykatës merr masa për organizmin e ndarjes së çështjeve gjyqësore nëpërmjet shortit elektronik, duke përcaktuar orën në të cilën realizohet procedura e shortit elektronik. Vendimi publikohet në faqen zyrtare të internetit të gjykatës. </w:t>
      </w:r>
    </w:p>
    <w:p w14:paraId="49C33351" w14:textId="25B8350F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3. Ndarja e çështjeve me short, si rregull, realizohet çdo ditë pune në rrugë elektronike me anë të sistemit të menaxhimit të çështjeve gjyqësore. </w:t>
      </w:r>
    </w:p>
    <w:p w14:paraId="609477E6" w14:textId="52D933E7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>4. Në rast pamundësie të realizimit të shortit brenda ditës së punës, çështjet e regjistruara shortohen jo më vonë se dita e nesërme e punës.</w:t>
      </w:r>
    </w:p>
    <w:p w14:paraId="3AC8ABB7" w14:textId="7B81674D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lastRenderedPageBreak/>
        <w:t>5. Në short përfshihen të gjitha çështjet e regjistruara në sistemin e menaxhimit të çështjeve deri në momentin e orës së publikuar të shortit.</w:t>
      </w:r>
    </w:p>
    <w:p w14:paraId="3F705A4E" w14:textId="6FF6A9EC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6. Procesi i </w:t>
      </w:r>
      <w:proofErr w:type="spellStart"/>
      <w:r w:rsidRPr="000D6EB8">
        <w:rPr>
          <w:rFonts w:ascii="Garamond" w:eastAsiaTheme="minorHAnsi" w:hAnsi="Garamond"/>
          <w:lang w:val="sq-AL"/>
        </w:rPr>
        <w:t>shortimit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 për ndarjen e çështjeve realizohet në sallë gjykimi dhe shfaqet në kohë reale në monitorët e vendosur në ambientet e hyrjes së gjykatës për aq sa është e mundur.</w:t>
      </w:r>
    </w:p>
    <w:p w14:paraId="54453F79" w14:textId="42D27097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7. Raporti i </w:t>
      </w:r>
      <w:proofErr w:type="spellStart"/>
      <w:r w:rsidRPr="000D6EB8">
        <w:rPr>
          <w:rFonts w:ascii="Garamond" w:eastAsiaTheme="minorHAnsi" w:hAnsi="Garamond"/>
          <w:lang w:val="sq-AL"/>
        </w:rPr>
        <w:t>shortimit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 është publik dhe pasqyrohet menjëherë në faqen zyrtare të internetit të gjykatës.</w:t>
      </w:r>
    </w:p>
    <w:p w14:paraId="7FA0D653" w14:textId="1CF178C8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>8. Shorti elektronik cakton gjyqtarin e çështjes, i cili është kryetari i trupit gjykues ose gjyqtarin relator, në rastet kur çështja gjykohet me trup gjykues.</w:t>
      </w:r>
    </w:p>
    <w:p w14:paraId="584B3865" w14:textId="57F5EAC1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>9. Çështjet gjyqësore u ndahen në mënyrë të barabartë gjyqtarëve, sipas organizimit të brendshëm të gjykatës.</w:t>
      </w:r>
    </w:p>
    <w:p w14:paraId="58BF5979" w14:textId="605BAE58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>10. Barazia në ndarjen e çështjeve nënkupton ndarjen në numër të barabartë mes gjyqtarëve të seksionit përkatës, të çështjeve të regjistruara për short, pavarësisht nga ngarkesa individuale e çdo gjyqtari në kohën e hedhjes së shortit.</w:t>
      </w:r>
    </w:p>
    <w:p w14:paraId="3FD86E8B" w14:textId="7F4841BD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>11. Në çështjet penale me të mitur në konflikt me ligjin ose të mitur viktimë nga vepra penale, shorti për caktimin e gjyqtarit të çështjes, hidhet ndërmjet gjyqtarëve të seksionit përkatës. Në mungesë të këtij të fundit, shorti hidhet ndërmjet gjyqtarëve të caktuar për gjykimin e këtyre çështjeve penale.</w:t>
      </w:r>
    </w:p>
    <w:p w14:paraId="6D15A070" w14:textId="64312AB7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12. Tërësia e veprimeve të </w:t>
      </w:r>
      <w:proofErr w:type="spellStart"/>
      <w:r w:rsidRPr="000D6EB8">
        <w:rPr>
          <w:rFonts w:ascii="Garamond" w:eastAsiaTheme="minorHAnsi" w:hAnsi="Garamond"/>
          <w:lang w:val="sq-AL"/>
        </w:rPr>
        <w:t>shortimit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 në sistemin elektronik të menaxhimit të çështjeve dokumentohet dhe vendoset në çdo rast në dosjen gjyqësore dhe bëhet pjesë përbërëse e saj.</w:t>
      </w:r>
    </w:p>
    <w:p w14:paraId="71B8CFA3" w14:textId="4554E2ED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13. Kancelari i gjykatës mbikëqyr procesin e </w:t>
      </w:r>
      <w:proofErr w:type="spellStart"/>
      <w:r w:rsidRPr="000D6EB8">
        <w:rPr>
          <w:rFonts w:ascii="Garamond" w:eastAsiaTheme="minorHAnsi" w:hAnsi="Garamond"/>
          <w:lang w:val="sq-AL"/>
        </w:rPr>
        <w:t>shortimit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 dhe nënshkruan kalimin e praktikës së regjistrimit të çështjes, sipas formës standarde bashkëlidhur kësaj rregulloreje. </w:t>
      </w:r>
    </w:p>
    <w:p w14:paraId="5A02903B" w14:textId="6AC20DB6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>14. Ndarja e çështjeve gjyqësore me short pezullohet gjatë procesit të mbartjes së dosjeve</w:t>
      </w:r>
      <w:r w:rsidR="00747041">
        <w:rPr>
          <w:rFonts w:ascii="Garamond" w:eastAsiaTheme="minorHAnsi" w:hAnsi="Garamond"/>
          <w:lang w:val="sq-AL"/>
        </w:rPr>
        <w:t>,</w:t>
      </w:r>
      <w:r w:rsidRPr="000D6EB8">
        <w:rPr>
          <w:rFonts w:ascii="Garamond" w:eastAsiaTheme="minorHAnsi" w:hAnsi="Garamond"/>
          <w:lang w:val="sq-AL"/>
        </w:rPr>
        <w:t xml:space="preserve"> si dhe gjatë lejes vjetore në muajin gusht. Afati i pezullimit përcaktohet me vendim të arsyetuar të Kryetarit të Gjykatës.</w:t>
      </w:r>
    </w:p>
    <w:p w14:paraId="2F64168E" w14:textId="5F46CB3B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15. Këshilli i Lartë Gjyqësor publikon periodikisht manualin e përdorimit të sistemit të menaxhimit të çështjeve, përfshirë rubrikën e </w:t>
      </w:r>
      <w:proofErr w:type="spellStart"/>
      <w:r w:rsidRPr="000D6EB8">
        <w:rPr>
          <w:rFonts w:ascii="Garamond" w:eastAsiaTheme="minorHAnsi" w:hAnsi="Garamond"/>
          <w:lang w:val="sq-AL"/>
        </w:rPr>
        <w:t>shortimit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 elektronik. </w:t>
      </w:r>
    </w:p>
    <w:p w14:paraId="07A1B3C9" w14:textId="34DD9AA2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lang w:val="sq-AL"/>
        </w:rPr>
      </w:pPr>
      <w:proofErr w:type="spellStart"/>
      <w:r w:rsidRPr="000D6EB8">
        <w:rPr>
          <w:rFonts w:ascii="Garamond" w:eastAsiaTheme="minorHAnsi" w:hAnsi="Garamond"/>
          <w:b/>
          <w:bCs/>
          <w:lang w:val="sq-AL"/>
        </w:rPr>
        <w:t>IV</w:t>
      </w:r>
      <w:proofErr w:type="spellEnd"/>
      <w:r w:rsidRPr="000D6EB8">
        <w:rPr>
          <w:rFonts w:ascii="Garamond" w:eastAsiaTheme="minorHAnsi" w:hAnsi="Garamond"/>
          <w:b/>
          <w:bCs/>
          <w:lang w:val="sq-AL"/>
        </w:rPr>
        <w:t>. Përjashtimi i çështjeve gjyqësore nga shorti</w:t>
      </w:r>
    </w:p>
    <w:p w14:paraId="43AB6FA4" w14:textId="7B537625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>1. Përjashtohen nga ndarja me short:</w:t>
      </w:r>
    </w:p>
    <w:p w14:paraId="22E6C43E" w14:textId="29C66A77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a) </w:t>
      </w:r>
      <w:r w:rsidR="000D6EB8" w:rsidRPr="000D6EB8">
        <w:rPr>
          <w:rFonts w:ascii="Garamond" w:eastAsiaTheme="minorHAnsi" w:hAnsi="Garamond"/>
          <w:lang w:val="sq-AL"/>
        </w:rPr>
        <w:t xml:space="preserve">kërkesat </w:t>
      </w:r>
      <w:r w:rsidRPr="000D6EB8">
        <w:rPr>
          <w:rFonts w:ascii="Garamond" w:eastAsiaTheme="minorHAnsi" w:hAnsi="Garamond"/>
          <w:lang w:val="sq-AL"/>
        </w:rPr>
        <w:t xml:space="preserve">për të cilat ligji parashikon afate shqyrtimi, jo më shumë se 72 orë për gjykatën e shkallës së parë dhe jo më shumë se 10 ditë për gjykatën e apelit, të cilat shqyrtohen nga gjyqtarët e listës së gatishmërisë, në zbatim të shkronjës “b”, të nenit 37, të </w:t>
      </w:r>
      <w:r w:rsidR="000D6EB8" w:rsidRPr="000D6EB8">
        <w:rPr>
          <w:rFonts w:ascii="Garamond" w:eastAsiaTheme="minorHAnsi" w:hAnsi="Garamond"/>
          <w:lang w:val="sq-AL"/>
        </w:rPr>
        <w:t xml:space="preserve">ligjit </w:t>
      </w:r>
      <w:r w:rsidRPr="000D6EB8">
        <w:rPr>
          <w:rFonts w:ascii="Garamond" w:eastAsiaTheme="minorHAnsi" w:hAnsi="Garamond"/>
          <w:lang w:val="sq-AL"/>
        </w:rPr>
        <w:t>nr. 98/2016, “Për organizimin e pushtetit gjyqësor në Republikën e Shqipërisë” i ndryshuar;</w:t>
      </w:r>
    </w:p>
    <w:p w14:paraId="0A0333F3" w14:textId="2CC4F6C4" w:rsidR="00DF6A99" w:rsidRPr="000D6EB8" w:rsidRDefault="00DF6A99" w:rsidP="00DF6A99">
      <w:pPr>
        <w:tabs>
          <w:tab w:val="left" w:pos="4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b) </w:t>
      </w:r>
      <w:r w:rsidR="000D6EB8" w:rsidRPr="000D6EB8">
        <w:rPr>
          <w:rFonts w:ascii="Garamond" w:eastAsiaTheme="minorHAnsi" w:hAnsi="Garamond"/>
          <w:lang w:val="sq-AL"/>
        </w:rPr>
        <w:t xml:space="preserve">kërkesat </w:t>
      </w:r>
      <w:r w:rsidRPr="000D6EB8">
        <w:rPr>
          <w:rFonts w:ascii="Garamond" w:eastAsiaTheme="minorHAnsi" w:hAnsi="Garamond"/>
          <w:lang w:val="sq-AL"/>
        </w:rPr>
        <w:t>e paraqitura rishtazi, për të cilat ligji procedural parashikon shqyrtimin nga gjyqtari i hetimeve paraprake apo nga gjyqtari i seancës paraprake;</w:t>
      </w:r>
    </w:p>
    <w:p w14:paraId="37ECB84F" w14:textId="31AED5AB" w:rsidR="00DF6A99" w:rsidRPr="000D6EB8" w:rsidRDefault="00DF6A99" w:rsidP="00DF6A99">
      <w:pPr>
        <w:tabs>
          <w:tab w:val="left" w:pos="4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c) </w:t>
      </w:r>
      <w:r w:rsidR="000D6EB8" w:rsidRPr="000D6EB8">
        <w:rPr>
          <w:rFonts w:ascii="Garamond" w:eastAsiaTheme="minorHAnsi" w:hAnsi="Garamond"/>
          <w:lang w:val="sq-AL"/>
        </w:rPr>
        <w:t xml:space="preserve">çështjet </w:t>
      </w:r>
      <w:r w:rsidRPr="000D6EB8">
        <w:rPr>
          <w:rFonts w:ascii="Garamond" w:eastAsiaTheme="minorHAnsi" w:hAnsi="Garamond"/>
          <w:lang w:val="sq-AL"/>
        </w:rPr>
        <w:t xml:space="preserve">e caktuara me short, për të cilat është disponuar më parë nga </w:t>
      </w:r>
      <w:bookmarkStart w:id="0" w:name="_GoBack"/>
      <w:bookmarkEnd w:id="0"/>
      <w:r w:rsidRPr="000D6EB8">
        <w:rPr>
          <w:rFonts w:ascii="Garamond" w:eastAsiaTheme="minorHAnsi" w:hAnsi="Garamond"/>
          <w:lang w:val="sq-AL"/>
        </w:rPr>
        <w:t xml:space="preserve">gjykata me vendim </w:t>
      </w:r>
      <w:proofErr w:type="spellStart"/>
      <w:r w:rsidRPr="000D6EB8">
        <w:rPr>
          <w:rFonts w:ascii="Garamond" w:eastAsiaTheme="minorHAnsi" w:hAnsi="Garamond"/>
          <w:lang w:val="sq-AL"/>
        </w:rPr>
        <w:t>jopërfundimtar</w:t>
      </w:r>
      <w:proofErr w:type="spellEnd"/>
      <w:r w:rsidRPr="000D6EB8">
        <w:rPr>
          <w:rFonts w:ascii="Garamond" w:eastAsiaTheme="minorHAnsi" w:hAnsi="Garamond"/>
          <w:lang w:val="sq-AL"/>
        </w:rPr>
        <w:t>, si edhe çdo vendim tjetër, që pa e zgjidhur çështjen në themel, i jep fund procesit gjyqësor të filluar sipas ligjit;</w:t>
      </w:r>
    </w:p>
    <w:p w14:paraId="0F679009" w14:textId="19D75CF2" w:rsidR="00DF6A99" w:rsidRPr="000D6EB8" w:rsidRDefault="00DF6A99" w:rsidP="00DF6A99">
      <w:pPr>
        <w:tabs>
          <w:tab w:val="left" w:pos="4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d) </w:t>
      </w:r>
      <w:r w:rsidR="000D6EB8" w:rsidRPr="000D6EB8">
        <w:rPr>
          <w:rFonts w:ascii="Garamond" w:eastAsiaTheme="minorHAnsi" w:hAnsi="Garamond"/>
          <w:lang w:val="sq-AL"/>
        </w:rPr>
        <w:t xml:space="preserve">çështjet </w:t>
      </w:r>
      <w:r w:rsidRPr="000D6EB8">
        <w:rPr>
          <w:rFonts w:ascii="Garamond" w:eastAsiaTheme="minorHAnsi" w:hAnsi="Garamond"/>
          <w:lang w:val="sq-AL"/>
        </w:rPr>
        <w:t>gjyqësore për të cilat është pranuar gjykimi i shkurtuar;</w:t>
      </w:r>
    </w:p>
    <w:p w14:paraId="130D5AE0" w14:textId="7CEB6B44" w:rsidR="00DF6A99" w:rsidRPr="000D6EB8" w:rsidRDefault="00DF6A99" w:rsidP="00DF6A99">
      <w:pPr>
        <w:tabs>
          <w:tab w:val="left" w:pos="4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e) </w:t>
      </w:r>
      <w:r w:rsidR="000D6EB8" w:rsidRPr="000D6EB8">
        <w:rPr>
          <w:rFonts w:ascii="Garamond" w:eastAsiaTheme="minorHAnsi" w:hAnsi="Garamond"/>
          <w:lang w:val="sq-AL"/>
        </w:rPr>
        <w:t xml:space="preserve">çdo </w:t>
      </w:r>
      <w:r w:rsidRPr="000D6EB8">
        <w:rPr>
          <w:rFonts w:ascii="Garamond" w:eastAsiaTheme="minorHAnsi" w:hAnsi="Garamond"/>
          <w:lang w:val="sq-AL"/>
        </w:rPr>
        <w:t>kërkesë apo çështje gjyqësore për të cilat ligji ka parashikuar shqyrtimin nga i njëjti trup gjykues.</w:t>
      </w:r>
    </w:p>
    <w:p w14:paraId="0264004C" w14:textId="4565BAF4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2. </w:t>
      </w:r>
      <w:proofErr w:type="spellStart"/>
      <w:r w:rsidRPr="000D6EB8">
        <w:rPr>
          <w:rFonts w:ascii="Garamond" w:eastAsiaTheme="minorHAnsi" w:hAnsi="Garamond"/>
          <w:lang w:val="sq-AL"/>
        </w:rPr>
        <w:t>Kryesekretaria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, nën mbikëqyrjen e kancelarit, kryen verifikimin paraprak të çështjeve të paraqitura, me qëllimin për të përjashtuar nga ndarja me short, sipas parashikimeve të pikën 1 të këtij të </w:t>
      </w:r>
      <w:r w:rsidR="000D6EB8" w:rsidRPr="000D6EB8">
        <w:rPr>
          <w:rFonts w:ascii="Garamond" w:eastAsiaTheme="minorHAnsi" w:hAnsi="Garamond"/>
          <w:lang w:val="sq-AL"/>
        </w:rPr>
        <w:t xml:space="preserve">kreut </w:t>
      </w:r>
      <w:proofErr w:type="spellStart"/>
      <w:r w:rsidRPr="000D6EB8">
        <w:rPr>
          <w:rFonts w:ascii="Garamond" w:eastAsiaTheme="minorHAnsi" w:hAnsi="Garamond"/>
          <w:lang w:val="sq-AL"/>
        </w:rPr>
        <w:t>IV</w:t>
      </w:r>
      <w:proofErr w:type="spellEnd"/>
      <w:r w:rsidR="00747041">
        <w:rPr>
          <w:rFonts w:ascii="Garamond" w:eastAsiaTheme="minorHAnsi" w:hAnsi="Garamond"/>
          <w:lang w:val="sq-AL"/>
        </w:rPr>
        <w:t>,</w:t>
      </w:r>
      <w:r w:rsidRPr="000D6EB8">
        <w:rPr>
          <w:rFonts w:ascii="Garamond" w:eastAsiaTheme="minorHAnsi" w:hAnsi="Garamond"/>
          <w:lang w:val="sq-AL"/>
        </w:rPr>
        <w:t xml:space="preserve"> si dhe parashikimeve të pikës 1 të </w:t>
      </w:r>
      <w:r w:rsidR="000D6EB8" w:rsidRPr="000D6EB8">
        <w:rPr>
          <w:rFonts w:ascii="Garamond" w:eastAsiaTheme="minorHAnsi" w:hAnsi="Garamond"/>
          <w:lang w:val="sq-AL"/>
        </w:rPr>
        <w:t xml:space="preserve">kreut </w:t>
      </w:r>
      <w:r w:rsidRPr="000D6EB8">
        <w:rPr>
          <w:rFonts w:ascii="Garamond" w:eastAsiaTheme="minorHAnsi" w:hAnsi="Garamond"/>
          <w:lang w:val="sq-AL"/>
        </w:rPr>
        <w:t xml:space="preserve">V.  </w:t>
      </w:r>
    </w:p>
    <w:p w14:paraId="516C0A92" w14:textId="4387C49D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>3. Verifikimi paraprak kryhet bazuar në dokumentin e identifikimit, që i bashkëngjitet padisë apo kërkesës për gjykim nga pala apo përfaqësuesi i tij.</w:t>
      </w:r>
    </w:p>
    <w:p w14:paraId="38DE6E44" w14:textId="5D3C8CAA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4. Kur nga të dhënat paraprake evidentohet se çështja është e njëjtë, me atë për të cilën gjykata më parë ka disponuar në mënyrë </w:t>
      </w:r>
      <w:proofErr w:type="spellStart"/>
      <w:r w:rsidRPr="000D6EB8">
        <w:rPr>
          <w:rFonts w:ascii="Garamond" w:eastAsiaTheme="minorHAnsi" w:hAnsi="Garamond"/>
          <w:lang w:val="sq-AL"/>
        </w:rPr>
        <w:t>jopërfundimtare</w:t>
      </w:r>
      <w:proofErr w:type="spellEnd"/>
      <w:r w:rsidRPr="000D6EB8">
        <w:rPr>
          <w:rFonts w:ascii="Garamond" w:eastAsiaTheme="minorHAnsi" w:hAnsi="Garamond"/>
          <w:lang w:val="sq-AL"/>
        </w:rPr>
        <w:t xml:space="preserve">, atëherë çështja kalohet automatikisht tek e njëjta trup gjykuese, nëpërmjet sistemit të menaxhimit të çështjeve gjyqësore. Në rastet </w:t>
      </w:r>
      <w:r w:rsidRPr="000D6EB8">
        <w:rPr>
          <w:rFonts w:ascii="Garamond" w:eastAsiaTheme="minorHAnsi" w:hAnsi="Garamond"/>
          <w:lang w:val="sq-AL"/>
        </w:rPr>
        <w:lastRenderedPageBreak/>
        <w:t>kur çështja nuk mund të shqyrtohet nga i njëjti trup gjykues, ajo përfshihet në shortin elektronik të radhës.</w:t>
      </w:r>
    </w:p>
    <w:p w14:paraId="4B1F0577" w14:textId="04B50D58" w:rsidR="00DF6A99" w:rsidRPr="000D6EB8" w:rsidRDefault="00DF6A99" w:rsidP="00DF6A99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lang w:val="sq-AL"/>
        </w:rPr>
      </w:pPr>
      <w:r w:rsidRPr="000D6EB8">
        <w:rPr>
          <w:rFonts w:ascii="Garamond" w:eastAsiaTheme="minorHAnsi" w:hAnsi="Garamond"/>
          <w:b/>
          <w:bCs/>
          <w:lang w:val="sq-AL"/>
        </w:rPr>
        <w:t>V. Përjashtimi i gjyqtarit nga shorti</w:t>
      </w:r>
    </w:p>
    <w:p w14:paraId="2024053F" w14:textId="5A6D994B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>1. Përjashtohet nga shorti gjyqtari, i cili ndodhet përpara njërës prej pengesave ligjore të tilla si:</w:t>
      </w:r>
    </w:p>
    <w:p w14:paraId="20EA15E3" w14:textId="111700A8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pacing w:val="-15"/>
          <w:lang w:val="sq-AL"/>
        </w:rPr>
      </w:pPr>
      <w:r w:rsidRPr="000D6EB8">
        <w:rPr>
          <w:rFonts w:ascii="Garamond" w:eastAsiaTheme="minorHAnsi" w:hAnsi="Garamond"/>
          <w:spacing w:val="-15"/>
          <w:lang w:val="sq-AL"/>
        </w:rPr>
        <w:t xml:space="preserve">a) </w:t>
      </w:r>
      <w:r w:rsidR="000D6EB8" w:rsidRPr="000D6EB8">
        <w:rPr>
          <w:rFonts w:ascii="Garamond" w:eastAsiaTheme="minorHAnsi" w:hAnsi="Garamond"/>
          <w:spacing w:val="-15"/>
          <w:lang w:val="sq-AL"/>
        </w:rPr>
        <w:t xml:space="preserve">gjyqtari </w:t>
      </w:r>
      <w:r w:rsidRPr="000D6EB8">
        <w:rPr>
          <w:rFonts w:ascii="Garamond" w:eastAsiaTheme="minorHAnsi" w:hAnsi="Garamond"/>
          <w:spacing w:val="-15"/>
          <w:lang w:val="sq-AL"/>
        </w:rPr>
        <w:t>që ka dhënë ose që ka marrë pjesë në dhënien e vendimit në një shkallë gjykimi përjashtohet nga shorti në shkallët e tjera;</w:t>
      </w:r>
    </w:p>
    <w:p w14:paraId="4F5658B7" w14:textId="1A12FD9B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pacing w:val="-15"/>
          <w:lang w:val="sq-AL"/>
        </w:rPr>
      </w:pPr>
      <w:r w:rsidRPr="000D6EB8">
        <w:rPr>
          <w:rFonts w:ascii="Garamond" w:eastAsiaTheme="minorHAnsi" w:hAnsi="Garamond"/>
          <w:spacing w:val="-15"/>
          <w:lang w:val="sq-AL"/>
        </w:rPr>
        <w:t xml:space="preserve">b) </w:t>
      </w:r>
      <w:r w:rsidR="000D6EB8" w:rsidRPr="000D6EB8">
        <w:rPr>
          <w:rFonts w:ascii="Garamond" w:eastAsiaTheme="minorHAnsi" w:hAnsi="Garamond"/>
          <w:spacing w:val="-15"/>
          <w:lang w:val="sq-AL"/>
        </w:rPr>
        <w:t xml:space="preserve">gjyqtari </w:t>
      </w:r>
      <w:r w:rsidRPr="000D6EB8">
        <w:rPr>
          <w:rFonts w:ascii="Garamond" w:eastAsiaTheme="minorHAnsi" w:hAnsi="Garamond"/>
          <w:spacing w:val="-15"/>
          <w:lang w:val="sq-AL"/>
        </w:rPr>
        <w:t>që ka dhënë ose ka marrë pjesë në dhënien e vendimit përjashtohet nga shorti në rigjykim, përveçse kur është urdhëruar ndryshe nga një gjykatë më e lartë;</w:t>
      </w:r>
    </w:p>
    <w:p w14:paraId="3E96479C" w14:textId="090A1EED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pacing w:val="-15"/>
          <w:lang w:val="sq-AL"/>
        </w:rPr>
      </w:pPr>
      <w:r w:rsidRPr="000D6EB8">
        <w:rPr>
          <w:rFonts w:ascii="Garamond" w:eastAsiaTheme="minorHAnsi" w:hAnsi="Garamond"/>
          <w:spacing w:val="-15"/>
          <w:lang w:val="sq-AL"/>
        </w:rPr>
        <w:t xml:space="preserve">c) </w:t>
      </w:r>
      <w:r w:rsidR="000D6EB8" w:rsidRPr="000D6EB8">
        <w:rPr>
          <w:rFonts w:ascii="Garamond" w:eastAsiaTheme="minorHAnsi" w:hAnsi="Garamond"/>
          <w:spacing w:val="-15"/>
          <w:lang w:val="sq-AL"/>
        </w:rPr>
        <w:t xml:space="preserve">gjyqtari </w:t>
      </w:r>
      <w:r w:rsidRPr="000D6EB8">
        <w:rPr>
          <w:rFonts w:ascii="Garamond" w:eastAsiaTheme="minorHAnsi" w:hAnsi="Garamond"/>
          <w:spacing w:val="-15"/>
          <w:lang w:val="sq-AL"/>
        </w:rPr>
        <w:t>që ka shqyrtuar në themel kërkesat e palëve gjatë hetimeve paraprake, përjashtohet nga shorti për të gjykuar kërkesat në seancë paraprake dhe kërkesat në gjykimin në themel të çështjes;</w:t>
      </w:r>
    </w:p>
    <w:p w14:paraId="2646116D" w14:textId="621D9281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pacing w:val="-15"/>
          <w:lang w:val="sq-AL"/>
        </w:rPr>
      </w:pPr>
      <w:r w:rsidRPr="000D6EB8">
        <w:rPr>
          <w:rFonts w:ascii="Garamond" w:eastAsiaTheme="minorHAnsi" w:hAnsi="Garamond"/>
          <w:spacing w:val="-15"/>
          <w:lang w:val="sq-AL"/>
        </w:rPr>
        <w:t xml:space="preserve">d) </w:t>
      </w:r>
      <w:r w:rsidR="000D6EB8" w:rsidRPr="000D6EB8">
        <w:rPr>
          <w:rFonts w:ascii="Garamond" w:eastAsiaTheme="minorHAnsi" w:hAnsi="Garamond"/>
          <w:spacing w:val="-15"/>
          <w:lang w:val="sq-AL"/>
        </w:rPr>
        <w:t xml:space="preserve">gjyqtari </w:t>
      </w:r>
      <w:r w:rsidRPr="000D6EB8">
        <w:rPr>
          <w:rFonts w:ascii="Garamond" w:eastAsiaTheme="minorHAnsi" w:hAnsi="Garamond"/>
          <w:spacing w:val="-15"/>
          <w:lang w:val="sq-AL"/>
        </w:rPr>
        <w:t>i seancës paraprake përjashtohet nga shorti për kërkesat në gjykimin në themel të çështjes, përveç rasteve kur ligji parashikon ndryshe.</w:t>
      </w:r>
    </w:p>
    <w:p w14:paraId="69174FB2" w14:textId="508D0C69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>2. Kryetari i Gjykatës, pas kërkesës së motivuar të gjyqtarit, mund të përjashtojë nga shorti pjesërisht apo tërësisht gjyqtarin, gjatë lejes së papaguar, me afat deri në 30 ditë. Në këto raste Kryetari i Gjykatës disponon me vendim të arsyetuar.</w:t>
      </w:r>
    </w:p>
    <w:p w14:paraId="3E595C58" w14:textId="08E54FDC" w:rsidR="00DF6A99" w:rsidRPr="000D6EB8" w:rsidRDefault="00DF6A99" w:rsidP="00DF6A99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>3. Kryetari i gjykatës përjashton gjyqtarin nga shorti, menjëherë me miratimin e dorëheqjes me vendim të Këshillit të Lartë Gjyqësor.</w:t>
      </w:r>
    </w:p>
    <w:p w14:paraId="05387F67" w14:textId="78EC5250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4. Kryetari i gjykatës, me vendim të arsyetuar, përjashton nga shorti gjyqtarin që mungon në detyrë për shkaqe të justifikuara, vetëm për ato çështje që lidhen me afate të ngutshme shqyrtimi. Në çdo rast shkaku i mungesës duhet të ketë lindur dhe t’i jetë bërë i ditur kryetarit para hedhjes së shortit. </w:t>
      </w:r>
    </w:p>
    <w:p w14:paraId="637C4751" w14:textId="3E7F2817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5. Në rast nevoje të diktuar nga ngarkesa e pabarabartë e punës midis gjyqtarëve, kur mekanizmi i rindarjes së çështjeve nuk mund të realizohet, kryetari me vendim të arsyetuar, përjashton plotësisht ose pjesërisht gjyqtarin nga ndarja me short e çështjeve, deri në sigurimin për aq sa është e mundur, e një ngarkese pune të barabartë midis gjyqtarëve. </w:t>
      </w:r>
    </w:p>
    <w:p w14:paraId="31C8D168" w14:textId="275E200D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6. Kryetari i gjykatave të mëdha mund të marrë një ngarkesë pune, jo më pak se 50% të ngarkesës së çdo gjyqtari, ndërsa kryetari i gjykatave të një madhësie mesatare e atyre të vogla, një ngarkesë pune jo më pak se 75% të ngarkesës së punës së një gjyqtari. </w:t>
      </w:r>
    </w:p>
    <w:p w14:paraId="749E74EC" w14:textId="65BF5F99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lang w:val="sq-AL"/>
        </w:rPr>
      </w:pPr>
      <w:proofErr w:type="spellStart"/>
      <w:r w:rsidRPr="000D6EB8">
        <w:rPr>
          <w:rFonts w:ascii="Garamond" w:eastAsiaTheme="minorHAnsi" w:hAnsi="Garamond"/>
          <w:b/>
          <w:bCs/>
          <w:lang w:val="sq-AL"/>
        </w:rPr>
        <w:t>VI</w:t>
      </w:r>
      <w:proofErr w:type="spellEnd"/>
      <w:r w:rsidRPr="000D6EB8">
        <w:rPr>
          <w:rFonts w:ascii="Garamond" w:eastAsiaTheme="minorHAnsi" w:hAnsi="Garamond"/>
          <w:b/>
          <w:bCs/>
          <w:lang w:val="sq-AL"/>
        </w:rPr>
        <w:t xml:space="preserve">. Ndarja e çështjeve me short manual. </w:t>
      </w:r>
    </w:p>
    <w:p w14:paraId="40F9DB05" w14:textId="576C1BFA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>1. Në rastin kur sistemi elektronik i menaxhimit të çështjeve nuk funksionin në mënyrë të dokumentuar, për më shumë se dy ditë pune, ndarja e çështjeve realizohet përmes shortit manual.</w:t>
      </w:r>
    </w:p>
    <w:p w14:paraId="4C5416D2" w14:textId="7BBBFDB5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 xml:space="preserve">2. Ndarja e çështjeve me short manual realizohet nga Kancelari, nën mbikëqyrjen e </w:t>
      </w:r>
      <w:r w:rsidR="000D6EB8">
        <w:rPr>
          <w:rFonts w:ascii="Garamond" w:eastAsiaTheme="minorHAnsi" w:hAnsi="Garamond"/>
          <w:lang w:val="sq-AL"/>
        </w:rPr>
        <w:t>k</w:t>
      </w:r>
      <w:r w:rsidRPr="000D6EB8">
        <w:rPr>
          <w:rFonts w:ascii="Garamond" w:eastAsiaTheme="minorHAnsi" w:hAnsi="Garamond"/>
          <w:lang w:val="sq-AL"/>
        </w:rPr>
        <w:t>ryetarit të Gjykatës, si dhe pjesëmarrjen e gjyqtarëve të gjykatës, pasi janë njoftuar paraprakisht për zhvillimin e shortit manual.</w:t>
      </w:r>
    </w:p>
    <w:p w14:paraId="50FC657B" w14:textId="26C02608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>3. Në çdo rast shorti manual i çështjeve kryhet duke respektuar parimin e transparencës, ndarjes së barabartë të çështjeve mes gjyqtarëve të së njëjtit seksion, si dhe caktimit rastësor të gjyqtarëve.</w:t>
      </w:r>
    </w:p>
    <w:p w14:paraId="7DCE0ECC" w14:textId="26C13107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>4. Procedura e ndarjes së çështjeve me short manual dokumentohet në procesverbal dhe publikohet në faqen e internetit të gjykatës. Në çdo rast një kopje e procesverbalit të dokumentimit të procedurës së shortit manual bëhet pjesë e fashikullit të gjykimit.</w:t>
      </w:r>
    </w:p>
    <w:p w14:paraId="4CDCDE2F" w14:textId="77777777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0D6EB8">
        <w:rPr>
          <w:rFonts w:ascii="Garamond" w:eastAsiaTheme="minorHAnsi" w:hAnsi="Garamond"/>
          <w:lang w:val="sq-AL"/>
        </w:rPr>
        <w:t>Ky vendim hyn në fuqi me botimin në Fletoren Zyrtare.</w:t>
      </w:r>
    </w:p>
    <w:p w14:paraId="6F9DAFAB" w14:textId="77777777" w:rsidR="00DF6A99" w:rsidRPr="000D6EB8" w:rsidRDefault="00DF6A99" w:rsidP="00DF6A9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</w:p>
    <w:p w14:paraId="0F6937E6" w14:textId="77777777" w:rsidR="00DF6A99" w:rsidRPr="000D6EB8" w:rsidRDefault="00DF6A99" w:rsidP="00E563F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lang w:val="sq-AL"/>
        </w:rPr>
      </w:pPr>
      <w:r w:rsidRPr="000D6EB8">
        <w:rPr>
          <w:rFonts w:ascii="Garamond" w:eastAsiaTheme="minorHAnsi" w:hAnsi="Garamond" w:cs="Calibri"/>
          <w:bCs/>
          <w:lang w:val="sq-AL"/>
        </w:rPr>
        <w:t>PËR KËSHILLIN E LARTË GJYQËSOR</w:t>
      </w:r>
    </w:p>
    <w:p w14:paraId="4B065B5F" w14:textId="77777777" w:rsidR="00DF6A99" w:rsidRPr="000D6EB8" w:rsidRDefault="00DF6A99" w:rsidP="00E563FB">
      <w:pPr>
        <w:tabs>
          <w:tab w:val="left" w:pos="6560"/>
          <w:tab w:val="left" w:pos="8300"/>
        </w:tabs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lang w:val="sq-AL"/>
        </w:rPr>
      </w:pPr>
      <w:r w:rsidRPr="000D6EB8">
        <w:rPr>
          <w:rFonts w:ascii="Garamond" w:eastAsiaTheme="minorHAnsi" w:hAnsi="Garamond" w:cs="Calibri"/>
          <w:bCs/>
          <w:lang w:val="sq-AL"/>
        </w:rPr>
        <w:t>KRYETARE</w:t>
      </w:r>
    </w:p>
    <w:p w14:paraId="7910EBF7" w14:textId="6564EC6B" w:rsidR="00DF6A99" w:rsidRPr="000D6EB8" w:rsidRDefault="00E563FB" w:rsidP="00E563FB">
      <w:pPr>
        <w:tabs>
          <w:tab w:val="left" w:pos="6560"/>
          <w:tab w:val="left" w:pos="8300"/>
        </w:tabs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lang w:val="sq-AL"/>
        </w:rPr>
      </w:pPr>
      <w:proofErr w:type="spellStart"/>
      <w:r w:rsidRPr="000D6EB8">
        <w:rPr>
          <w:rFonts w:ascii="Garamond" w:eastAsiaTheme="minorHAnsi" w:hAnsi="Garamond" w:cs="Calibri"/>
          <w:b/>
          <w:bCs/>
          <w:lang w:val="sq-AL"/>
        </w:rPr>
        <w:t>Naureda</w:t>
      </w:r>
      <w:proofErr w:type="spellEnd"/>
      <w:r w:rsidRPr="000D6EB8">
        <w:rPr>
          <w:rFonts w:ascii="Garamond" w:eastAsiaTheme="minorHAnsi" w:hAnsi="Garamond" w:cs="Calibri"/>
          <w:b/>
          <w:bCs/>
          <w:lang w:val="sq-AL"/>
        </w:rPr>
        <w:t xml:space="preserve"> </w:t>
      </w:r>
      <w:proofErr w:type="spellStart"/>
      <w:r w:rsidRPr="000D6EB8">
        <w:rPr>
          <w:rFonts w:ascii="Garamond" w:eastAsiaTheme="minorHAnsi" w:hAnsi="Garamond" w:cs="Calibri"/>
          <w:b/>
          <w:bCs/>
          <w:lang w:val="sq-AL"/>
        </w:rPr>
        <w:t>Llagami</w:t>
      </w:r>
      <w:proofErr w:type="spellEnd"/>
    </w:p>
    <w:p w14:paraId="50E5BE83" w14:textId="77777777" w:rsidR="00694985" w:rsidRPr="000D6EB8" w:rsidRDefault="00694985" w:rsidP="00DF6A99">
      <w:pPr>
        <w:tabs>
          <w:tab w:val="left" w:pos="6570"/>
          <w:tab w:val="left" w:pos="8310"/>
        </w:tabs>
        <w:ind w:firstLine="284"/>
        <w:jc w:val="center"/>
        <w:rPr>
          <w:rFonts w:ascii="Garamond" w:eastAsia="MS Mincho" w:hAnsi="Garamond"/>
          <w:b/>
          <w:lang w:val="sq-AL"/>
        </w:rPr>
      </w:pPr>
    </w:p>
    <w:p w14:paraId="36C4CE4A" w14:textId="35777B4B" w:rsidR="008022D3" w:rsidRPr="000D6EB8" w:rsidRDefault="00DF6A99" w:rsidP="00AE04CC">
      <w:pPr>
        <w:pStyle w:val="NoSpacing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0D6EB8">
        <w:rPr>
          <w:rFonts w:ascii="Times New Roman" w:hAnsi="Times New Roman" w:cs="Times New Roman"/>
          <w:i/>
          <w:sz w:val="24"/>
          <w:szCs w:val="24"/>
          <w:lang w:val="sq-AL"/>
        </w:rPr>
        <w:lastRenderedPageBreak/>
        <w:drawing>
          <wp:inline distT="0" distB="0" distL="0" distR="0" wp14:anchorId="43C1C9AF" wp14:editId="762853D6">
            <wp:extent cx="5612130" cy="7237095"/>
            <wp:effectExtent l="0" t="0" r="7620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554 final  - per ndarjen me short te ceshtjeve gjyqesore-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23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22D3" w:rsidRPr="000D6EB8" w:rsidSect="00AE04CC">
      <w:footerReference w:type="default" r:id="rId14"/>
      <w:pgSz w:w="12240" w:h="15840"/>
      <w:pgMar w:top="1134" w:right="170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371E20" w14:textId="77777777" w:rsidR="00673A18" w:rsidRDefault="00673A18">
      <w:r>
        <w:separator/>
      </w:r>
    </w:p>
  </w:endnote>
  <w:endnote w:type="continuationSeparator" w:id="0">
    <w:p w14:paraId="67E5CEC4" w14:textId="77777777" w:rsidR="00673A18" w:rsidRDefault="00673A18">
      <w:r>
        <w:continuationSeparator/>
      </w:r>
    </w:p>
  </w:endnote>
  <w:endnote w:type="continuationNotice" w:id="1">
    <w:p w14:paraId="7C77F75C" w14:textId="77777777" w:rsidR="009E50F9" w:rsidRDefault="009E50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917AD4" w14:textId="0B95A38B" w:rsidR="00673A18" w:rsidRDefault="00673A18">
    <w:pPr>
      <w:pStyle w:val="Footer"/>
      <w:jc w:val="right"/>
    </w:pPr>
  </w:p>
  <w:p w14:paraId="7A21E5E9" w14:textId="77777777" w:rsidR="00673A18" w:rsidRDefault="00673A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331429" w14:textId="77777777" w:rsidR="00673A18" w:rsidRDefault="00673A18">
      <w:r>
        <w:separator/>
      </w:r>
    </w:p>
  </w:footnote>
  <w:footnote w:type="continuationSeparator" w:id="0">
    <w:p w14:paraId="6FAA408F" w14:textId="77777777" w:rsidR="00673A18" w:rsidRDefault="00673A18">
      <w:r>
        <w:continuationSeparator/>
      </w:r>
    </w:p>
  </w:footnote>
  <w:footnote w:type="continuationNotice" w:id="1">
    <w:p w14:paraId="48D2A204" w14:textId="77777777" w:rsidR="009E50F9" w:rsidRDefault="009E50F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0790D"/>
    <w:multiLevelType w:val="hybridMultilevel"/>
    <w:tmpl w:val="76029DD2"/>
    <w:lvl w:ilvl="0" w:tplc="707A5A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DD4925"/>
    <w:multiLevelType w:val="hybridMultilevel"/>
    <w:tmpl w:val="5C1E66F8"/>
    <w:lvl w:ilvl="0" w:tplc="386CE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82557F"/>
    <w:multiLevelType w:val="hybridMultilevel"/>
    <w:tmpl w:val="20886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37049F"/>
    <w:multiLevelType w:val="hybridMultilevel"/>
    <w:tmpl w:val="D1AE9EC6"/>
    <w:lvl w:ilvl="0" w:tplc="03F051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9C7E12"/>
    <w:multiLevelType w:val="hybridMultilevel"/>
    <w:tmpl w:val="8E7252FE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9A147A"/>
    <w:multiLevelType w:val="hybridMultilevel"/>
    <w:tmpl w:val="93BE5348"/>
    <w:lvl w:ilvl="0" w:tplc="041C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E86FAF"/>
    <w:multiLevelType w:val="hybridMultilevel"/>
    <w:tmpl w:val="AFC6D4CA"/>
    <w:lvl w:ilvl="0" w:tplc="08090017">
      <w:start w:val="1"/>
      <w:numFmt w:val="lowerLetter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3AD704C5"/>
    <w:multiLevelType w:val="hybridMultilevel"/>
    <w:tmpl w:val="8EFAA52C"/>
    <w:lvl w:ilvl="0" w:tplc="E74856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A2124D"/>
    <w:multiLevelType w:val="hybridMultilevel"/>
    <w:tmpl w:val="AC1AD648"/>
    <w:lvl w:ilvl="0" w:tplc="0BBA44D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9952FE"/>
    <w:multiLevelType w:val="hybridMultilevel"/>
    <w:tmpl w:val="28C42F20"/>
    <w:lvl w:ilvl="0" w:tplc="386CE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FC2997"/>
    <w:multiLevelType w:val="hybridMultilevel"/>
    <w:tmpl w:val="9E42C65E"/>
    <w:lvl w:ilvl="0" w:tplc="03F051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69038A"/>
    <w:multiLevelType w:val="hybridMultilevel"/>
    <w:tmpl w:val="28C42F20"/>
    <w:lvl w:ilvl="0" w:tplc="386CE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26712A"/>
    <w:multiLevelType w:val="hybridMultilevel"/>
    <w:tmpl w:val="69240C06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DC402C6"/>
    <w:multiLevelType w:val="hybridMultilevel"/>
    <w:tmpl w:val="BB12455E"/>
    <w:lvl w:ilvl="0" w:tplc="386CE8C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9F09F3"/>
    <w:multiLevelType w:val="hybridMultilevel"/>
    <w:tmpl w:val="D14844C0"/>
    <w:lvl w:ilvl="0" w:tplc="03F051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A96D83"/>
    <w:multiLevelType w:val="hybridMultilevel"/>
    <w:tmpl w:val="6E82DC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1"/>
  </w:num>
  <w:num w:numId="4">
    <w:abstractNumId w:val="0"/>
  </w:num>
  <w:num w:numId="5">
    <w:abstractNumId w:val="8"/>
  </w:num>
  <w:num w:numId="6">
    <w:abstractNumId w:val="4"/>
  </w:num>
  <w:num w:numId="7">
    <w:abstractNumId w:val="10"/>
  </w:num>
  <w:num w:numId="8">
    <w:abstractNumId w:val="6"/>
  </w:num>
  <w:num w:numId="9">
    <w:abstractNumId w:val="5"/>
  </w:num>
  <w:num w:numId="10">
    <w:abstractNumId w:val="11"/>
  </w:num>
  <w:num w:numId="11">
    <w:abstractNumId w:val="9"/>
  </w:num>
  <w:num w:numId="12">
    <w:abstractNumId w:val="13"/>
  </w:num>
  <w:num w:numId="13">
    <w:abstractNumId w:val="14"/>
  </w:num>
  <w:num w:numId="14">
    <w:abstractNumId w:val="7"/>
  </w:num>
  <w:num w:numId="15">
    <w:abstractNumId w:val="3"/>
  </w:num>
  <w:num w:numId="16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307"/>
    <w:rsid w:val="00002B7A"/>
    <w:rsid w:val="00014C8B"/>
    <w:rsid w:val="00017BAC"/>
    <w:rsid w:val="00032EA5"/>
    <w:rsid w:val="00050816"/>
    <w:rsid w:val="00053DB2"/>
    <w:rsid w:val="00085344"/>
    <w:rsid w:val="00091766"/>
    <w:rsid w:val="000A4C8E"/>
    <w:rsid w:val="000B15E1"/>
    <w:rsid w:val="000B2D71"/>
    <w:rsid w:val="000C72B2"/>
    <w:rsid w:val="000D6EB8"/>
    <w:rsid w:val="000E28B7"/>
    <w:rsid w:val="000E3B62"/>
    <w:rsid w:val="00124953"/>
    <w:rsid w:val="0015341B"/>
    <w:rsid w:val="0016556B"/>
    <w:rsid w:val="001720C1"/>
    <w:rsid w:val="001800E5"/>
    <w:rsid w:val="001969CF"/>
    <w:rsid w:val="001A56C2"/>
    <w:rsid w:val="001D50B0"/>
    <w:rsid w:val="001D6A0C"/>
    <w:rsid w:val="001F28BB"/>
    <w:rsid w:val="00207F02"/>
    <w:rsid w:val="00210BBC"/>
    <w:rsid w:val="00210F40"/>
    <w:rsid w:val="0021585E"/>
    <w:rsid w:val="002159BF"/>
    <w:rsid w:val="00225C36"/>
    <w:rsid w:val="00251640"/>
    <w:rsid w:val="0025552C"/>
    <w:rsid w:val="00257D04"/>
    <w:rsid w:val="00264796"/>
    <w:rsid w:val="00267E97"/>
    <w:rsid w:val="00271A7D"/>
    <w:rsid w:val="00273E3C"/>
    <w:rsid w:val="00277BE9"/>
    <w:rsid w:val="0029024F"/>
    <w:rsid w:val="00292999"/>
    <w:rsid w:val="002A1518"/>
    <w:rsid w:val="002A1ADA"/>
    <w:rsid w:val="002B7CDF"/>
    <w:rsid w:val="002D6EAB"/>
    <w:rsid w:val="002D72AF"/>
    <w:rsid w:val="002F56E9"/>
    <w:rsid w:val="00321225"/>
    <w:rsid w:val="00330624"/>
    <w:rsid w:val="003603CC"/>
    <w:rsid w:val="003B7051"/>
    <w:rsid w:val="003C1131"/>
    <w:rsid w:val="003F2072"/>
    <w:rsid w:val="00446086"/>
    <w:rsid w:val="004470BD"/>
    <w:rsid w:val="004607D0"/>
    <w:rsid w:val="00466905"/>
    <w:rsid w:val="00473EEF"/>
    <w:rsid w:val="00481563"/>
    <w:rsid w:val="00491BD5"/>
    <w:rsid w:val="00493215"/>
    <w:rsid w:val="00493634"/>
    <w:rsid w:val="004A73CE"/>
    <w:rsid w:val="004C2CE4"/>
    <w:rsid w:val="004C5850"/>
    <w:rsid w:val="004E1B8E"/>
    <w:rsid w:val="004F2340"/>
    <w:rsid w:val="005176DA"/>
    <w:rsid w:val="005202F3"/>
    <w:rsid w:val="00522496"/>
    <w:rsid w:val="00524967"/>
    <w:rsid w:val="0052662F"/>
    <w:rsid w:val="00545ABC"/>
    <w:rsid w:val="00560667"/>
    <w:rsid w:val="00571278"/>
    <w:rsid w:val="00575754"/>
    <w:rsid w:val="005B23A1"/>
    <w:rsid w:val="005B68DF"/>
    <w:rsid w:val="005D360B"/>
    <w:rsid w:val="005E1506"/>
    <w:rsid w:val="00611877"/>
    <w:rsid w:val="00613F7A"/>
    <w:rsid w:val="0061551C"/>
    <w:rsid w:val="006250F2"/>
    <w:rsid w:val="00630E6C"/>
    <w:rsid w:val="00630E74"/>
    <w:rsid w:val="0063488B"/>
    <w:rsid w:val="0065081B"/>
    <w:rsid w:val="00655A63"/>
    <w:rsid w:val="00673A18"/>
    <w:rsid w:val="00673DBF"/>
    <w:rsid w:val="00676FC0"/>
    <w:rsid w:val="00691962"/>
    <w:rsid w:val="00694985"/>
    <w:rsid w:val="006A6713"/>
    <w:rsid w:val="006C0B0C"/>
    <w:rsid w:val="006C27F8"/>
    <w:rsid w:val="006E4E1C"/>
    <w:rsid w:val="006F12E5"/>
    <w:rsid w:val="006F2683"/>
    <w:rsid w:val="00725C4C"/>
    <w:rsid w:val="00732956"/>
    <w:rsid w:val="007466D0"/>
    <w:rsid w:val="00747041"/>
    <w:rsid w:val="00761206"/>
    <w:rsid w:val="00782883"/>
    <w:rsid w:val="007B0CD6"/>
    <w:rsid w:val="007B2EC7"/>
    <w:rsid w:val="007D4482"/>
    <w:rsid w:val="007D73E9"/>
    <w:rsid w:val="008022D3"/>
    <w:rsid w:val="00817AAE"/>
    <w:rsid w:val="00821FF3"/>
    <w:rsid w:val="00847495"/>
    <w:rsid w:val="008615A3"/>
    <w:rsid w:val="008706A3"/>
    <w:rsid w:val="0088343D"/>
    <w:rsid w:val="008947B1"/>
    <w:rsid w:val="008A6E2A"/>
    <w:rsid w:val="008C1BA0"/>
    <w:rsid w:val="008C7584"/>
    <w:rsid w:val="008D1E03"/>
    <w:rsid w:val="008E3307"/>
    <w:rsid w:val="008E50FA"/>
    <w:rsid w:val="008E71F6"/>
    <w:rsid w:val="009070F7"/>
    <w:rsid w:val="0090795A"/>
    <w:rsid w:val="0094559B"/>
    <w:rsid w:val="00945966"/>
    <w:rsid w:val="00962227"/>
    <w:rsid w:val="009A43D1"/>
    <w:rsid w:val="009B6FCA"/>
    <w:rsid w:val="009D0E93"/>
    <w:rsid w:val="009E10C2"/>
    <w:rsid w:val="009E50F9"/>
    <w:rsid w:val="009F6A9C"/>
    <w:rsid w:val="00A0429F"/>
    <w:rsid w:val="00A315B6"/>
    <w:rsid w:val="00A54122"/>
    <w:rsid w:val="00A56CD7"/>
    <w:rsid w:val="00A80A3D"/>
    <w:rsid w:val="00A909FE"/>
    <w:rsid w:val="00A93CA6"/>
    <w:rsid w:val="00A94D7D"/>
    <w:rsid w:val="00AA3CC7"/>
    <w:rsid w:val="00AB794F"/>
    <w:rsid w:val="00AC1211"/>
    <w:rsid w:val="00AC41A7"/>
    <w:rsid w:val="00AE04CC"/>
    <w:rsid w:val="00AE3F57"/>
    <w:rsid w:val="00B068D2"/>
    <w:rsid w:val="00B40D2F"/>
    <w:rsid w:val="00B46F8E"/>
    <w:rsid w:val="00BB397C"/>
    <w:rsid w:val="00BC4663"/>
    <w:rsid w:val="00BC56BA"/>
    <w:rsid w:val="00BC73E6"/>
    <w:rsid w:val="00BC7E6D"/>
    <w:rsid w:val="00C25EDA"/>
    <w:rsid w:val="00C34CB0"/>
    <w:rsid w:val="00C56ABD"/>
    <w:rsid w:val="00C63E70"/>
    <w:rsid w:val="00C72AF0"/>
    <w:rsid w:val="00C82A9E"/>
    <w:rsid w:val="00C973DC"/>
    <w:rsid w:val="00CB061E"/>
    <w:rsid w:val="00CC2225"/>
    <w:rsid w:val="00CD0A57"/>
    <w:rsid w:val="00CE4DA5"/>
    <w:rsid w:val="00CF50A3"/>
    <w:rsid w:val="00D13145"/>
    <w:rsid w:val="00D13713"/>
    <w:rsid w:val="00D37C20"/>
    <w:rsid w:val="00D4177A"/>
    <w:rsid w:val="00D46452"/>
    <w:rsid w:val="00D5304A"/>
    <w:rsid w:val="00D5577C"/>
    <w:rsid w:val="00D57F70"/>
    <w:rsid w:val="00D62D0D"/>
    <w:rsid w:val="00D721AB"/>
    <w:rsid w:val="00D7482F"/>
    <w:rsid w:val="00DA519B"/>
    <w:rsid w:val="00DC2585"/>
    <w:rsid w:val="00DC4EFD"/>
    <w:rsid w:val="00DD459D"/>
    <w:rsid w:val="00DD61EC"/>
    <w:rsid w:val="00DF066F"/>
    <w:rsid w:val="00DF0A2A"/>
    <w:rsid w:val="00DF6A99"/>
    <w:rsid w:val="00E0772E"/>
    <w:rsid w:val="00E22F6E"/>
    <w:rsid w:val="00E259D8"/>
    <w:rsid w:val="00E3794B"/>
    <w:rsid w:val="00E525A0"/>
    <w:rsid w:val="00E563FB"/>
    <w:rsid w:val="00E65BCE"/>
    <w:rsid w:val="00E80A06"/>
    <w:rsid w:val="00E81462"/>
    <w:rsid w:val="00EA37F5"/>
    <w:rsid w:val="00EB14EA"/>
    <w:rsid w:val="00EB5425"/>
    <w:rsid w:val="00EB71D9"/>
    <w:rsid w:val="00EC68AC"/>
    <w:rsid w:val="00EF4D2D"/>
    <w:rsid w:val="00F03BCB"/>
    <w:rsid w:val="00F53841"/>
    <w:rsid w:val="00F8656B"/>
    <w:rsid w:val="00FA0C44"/>
    <w:rsid w:val="00FA28B9"/>
    <w:rsid w:val="00FC0D69"/>
    <w:rsid w:val="00FC2B7C"/>
    <w:rsid w:val="00FD293D"/>
    <w:rsid w:val="00FF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84AB8"/>
  <w15:docId w15:val="{D566394B-DDF5-49C9-A9C5-6901E6286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3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E3307"/>
    <w:pPr>
      <w:ind w:left="720"/>
      <w:contextualSpacing/>
    </w:pPr>
    <w:rPr>
      <w:rFonts w:asciiTheme="minorHAnsi" w:eastAsiaTheme="minorEastAsia" w:hAnsiTheme="minorHAnsi" w:cstheme="minorBidi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E33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3307"/>
    <w:rPr>
      <w:rFonts w:ascii="Times New Roman" w:eastAsia="Times New Roman" w:hAnsi="Times New Roman" w:cs="Times New Roman"/>
      <w:sz w:val="24"/>
      <w:szCs w:val="24"/>
    </w:rPr>
  </w:style>
  <w:style w:type="paragraph" w:customStyle="1" w:styleId="Title1">
    <w:name w:val="Title1"/>
    <w:basedOn w:val="Normal"/>
    <w:uiPriority w:val="99"/>
    <w:rsid w:val="008E3307"/>
    <w:pPr>
      <w:spacing w:line="240" w:lineRule="atLeast"/>
      <w:jc w:val="center"/>
    </w:pPr>
    <w:rPr>
      <w:b/>
      <w:bCs/>
      <w:sz w:val="20"/>
      <w:szCs w:val="20"/>
    </w:rPr>
  </w:style>
  <w:style w:type="character" w:customStyle="1" w:styleId="titlechar1">
    <w:name w:val="title__char1"/>
    <w:basedOn w:val="DefaultParagraphFont"/>
    <w:rsid w:val="008E3307"/>
    <w:rPr>
      <w:rFonts w:ascii="Times New Roman" w:hAnsi="Times New Roman" w:cs="Times New Roman" w:hint="default"/>
      <w:b/>
      <w:bCs/>
      <w:strike w:val="0"/>
      <w:dstrike w:val="0"/>
      <w:sz w:val="20"/>
      <w:szCs w:val="20"/>
      <w:u w:val="none"/>
      <w:effect w:val="none"/>
    </w:rPr>
  </w:style>
  <w:style w:type="paragraph" w:styleId="NoSpacing">
    <w:name w:val="No Spacing"/>
    <w:uiPriority w:val="99"/>
    <w:qFormat/>
    <w:rsid w:val="007B2EC7"/>
    <w:pPr>
      <w:spacing w:after="0" w:line="240" w:lineRule="auto"/>
    </w:pPr>
    <w:rPr>
      <w:rFonts w:eastAsiaTheme="minorEastAsia"/>
    </w:rPr>
  </w:style>
  <w:style w:type="paragraph" w:customStyle="1" w:styleId="BodyA">
    <w:name w:val="Body A"/>
    <w:rsid w:val="003F207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3F2072"/>
    <w:rPr>
      <w:rFonts w:eastAsiaTheme="minorEastAsia"/>
      <w:sz w:val="24"/>
      <w:szCs w:val="24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DF06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06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066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6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6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6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66F"/>
    <w:rPr>
      <w:rFonts w:ascii="Segoe UI" w:eastAsia="Times New Roman" w:hAnsi="Segoe UI" w:cs="Segoe UI"/>
      <w:sz w:val="18"/>
      <w:szCs w:val="18"/>
    </w:rPr>
  </w:style>
  <w:style w:type="paragraph" w:customStyle="1" w:styleId="xmsonormal">
    <w:name w:val="x_msonormal"/>
    <w:basedOn w:val="Normal"/>
    <w:rsid w:val="00571278"/>
    <w:pPr>
      <w:spacing w:before="100" w:beforeAutospacing="1" w:after="100" w:afterAutospacing="1"/>
    </w:pPr>
    <w:rPr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DF6A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A9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1E2484314243188613BE56AFB8CA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554</Nr_x002e__x0020_akti>
    <Data_x0020_e_x0020_Krijimit xmlns="0e656187-b300-4fb0-8bf4-3a50f872073c">2023-01-04T09:29:18Z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2022-12-29T23:00:00Z</Date_x0020_protokolli>
    <Titulli xmlns="0e656187-b300-4fb0-8bf4-3a50f872073c">Për ndarjen me short të çështjeve gjyqësore </Titulli>
    <Modifikuesi xmlns="0e656187-b300-4fb0-8bf4-3a50f872073c">nevila.samarxhi</Modifikuesi>
    <Nr_x002e__x0020_prot_x0020_QBZ xmlns="0e656187-b300-4fb0-8bf4-3a50f872073c">1979/1</Nr_x002e__x0020_prot_x0020_QBZ>
    <Data_x0020_e_x0020_Modifikimit xmlns="0e656187-b300-4fb0-8bf4-3a50f872073c">2023-01-04T09:54:59Z</Data_x0020_e_x0020_Modifikimit>
    <Dekretuar xmlns="0e656187-b300-4fb0-8bf4-3a50f872073c">false</Dekretuar>
    <Data xmlns="0e656187-b300-4fb0-8bf4-3a50f872073c">2022-12-28T23:00:00Z</Data>
    <Nr_x002e__x0020_protokolli_x0020_i_x0020_aktit xmlns="0e656187-b300-4fb0-8bf4-3a50f872073c">6644/1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1E2484314243188613BE56AFB8CA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718F1-0EDC-4ED2-89DE-8E27C1EEA3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3B2F7F-84FA-4658-A10B-533C2C52D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5818F8F-8C31-4B0B-BDA1-0980400F3ABF}">
  <ds:schemaRefs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F859B8C-D999-405E-BF13-67983AC15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E38FD40-B985-4133-A88B-4F9C2ACEE46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762BEDB-8512-47C5-BC77-B5572656F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1524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Ilir Toska</dc:creator>
  <cp:lastModifiedBy>Jorina Kryeziu</cp:lastModifiedBy>
  <cp:revision>9</cp:revision>
  <cp:lastPrinted>2023-01-04T09:43:00Z</cp:lastPrinted>
  <dcterms:created xsi:type="dcterms:W3CDTF">2022-12-30T07:41:00Z</dcterms:created>
  <dcterms:modified xsi:type="dcterms:W3CDTF">2023-01-04T10:47:00Z</dcterms:modified>
</cp:coreProperties>
</file>