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08725" w14:textId="77777777" w:rsidR="00D177D3" w:rsidRPr="00A15C5F" w:rsidRDefault="00D177D3" w:rsidP="00D177D3">
      <w:pPr>
        <w:spacing w:after="0" w:line="240" w:lineRule="auto"/>
        <w:ind w:firstLine="284"/>
        <w:jc w:val="center"/>
        <w:rPr>
          <w:rFonts w:ascii="Garamond" w:hAnsi="Garamond" w:cs="Times New Roman"/>
          <w:b/>
          <w:bCs/>
          <w:noProof/>
          <w:sz w:val="24"/>
          <w:szCs w:val="24"/>
          <w:lang w:val="sq-AL"/>
        </w:rPr>
      </w:pPr>
      <w:r w:rsidRPr="00A15C5F">
        <w:rPr>
          <w:rFonts w:ascii="Garamond" w:hAnsi="Garamond" w:cs="Times New Roman"/>
          <w:b/>
          <w:bCs/>
          <w:noProof/>
          <w:sz w:val="24"/>
          <w:szCs w:val="24"/>
          <w:lang w:val="sq-AL"/>
        </w:rPr>
        <w:t>VENDIM</w:t>
      </w:r>
    </w:p>
    <w:p w14:paraId="155D8EDB" w14:textId="56D76F08" w:rsidR="00D177D3" w:rsidRPr="00A15C5F" w:rsidRDefault="00A15C5F" w:rsidP="00D177D3">
      <w:pPr>
        <w:spacing w:after="0" w:line="240" w:lineRule="auto"/>
        <w:ind w:firstLine="284"/>
        <w:jc w:val="center"/>
        <w:rPr>
          <w:rFonts w:ascii="Garamond" w:hAnsi="Garamond" w:cs="Times New Roman"/>
          <w:b/>
          <w:bCs/>
          <w:noProof/>
          <w:sz w:val="24"/>
          <w:szCs w:val="24"/>
          <w:lang w:val="sq-AL"/>
        </w:rPr>
      </w:pPr>
      <w:r>
        <w:rPr>
          <w:rFonts w:ascii="Garamond" w:hAnsi="Garamond" w:cs="Times New Roman"/>
          <w:b/>
          <w:bCs/>
          <w:noProof/>
          <w:sz w:val="24"/>
          <w:szCs w:val="24"/>
          <w:lang w:val="sq-AL"/>
        </w:rPr>
        <w:t>Nr. 137, datë 28.</w:t>
      </w:r>
      <w:r w:rsidR="00D177D3" w:rsidRPr="00A15C5F">
        <w:rPr>
          <w:rFonts w:ascii="Garamond" w:hAnsi="Garamond" w:cs="Times New Roman"/>
          <w:b/>
          <w:bCs/>
          <w:noProof/>
          <w:sz w:val="24"/>
          <w:szCs w:val="24"/>
          <w:lang w:val="sq-AL"/>
        </w:rPr>
        <w:t>3.2023</w:t>
      </w:r>
    </w:p>
    <w:p w14:paraId="413E1723" w14:textId="77777777" w:rsidR="00D177D3" w:rsidRPr="00A15C5F" w:rsidRDefault="00D177D3" w:rsidP="00D177D3">
      <w:pPr>
        <w:spacing w:after="0" w:line="240" w:lineRule="auto"/>
        <w:ind w:firstLine="284"/>
        <w:jc w:val="center"/>
        <w:rPr>
          <w:rFonts w:ascii="Garamond" w:hAnsi="Garamond"/>
          <w:b/>
          <w:bCs/>
          <w:noProof/>
          <w:sz w:val="24"/>
          <w:szCs w:val="24"/>
          <w:lang w:val="sq-AL"/>
        </w:rPr>
      </w:pPr>
    </w:p>
    <w:p w14:paraId="5BF6E9A0" w14:textId="1AAF8586" w:rsidR="00D177D3" w:rsidRPr="00A15C5F" w:rsidRDefault="00D177D3" w:rsidP="00D177D3">
      <w:pPr>
        <w:spacing w:after="0" w:line="240" w:lineRule="auto"/>
        <w:ind w:firstLine="284"/>
        <w:jc w:val="center"/>
        <w:rPr>
          <w:rFonts w:ascii="Garamond" w:hAnsi="Garamond" w:cs="Times New Roman"/>
          <w:b/>
          <w:bCs/>
          <w:noProof/>
          <w:sz w:val="24"/>
          <w:szCs w:val="24"/>
          <w:lang w:val="sq-AL"/>
        </w:rPr>
      </w:pPr>
      <w:r w:rsidRPr="00A15C5F">
        <w:rPr>
          <w:rFonts w:ascii="Garamond" w:hAnsi="Garamond" w:cs="Times New Roman"/>
          <w:b/>
          <w:bCs/>
          <w:noProof/>
          <w:sz w:val="24"/>
          <w:szCs w:val="24"/>
          <w:lang w:val="sq-AL"/>
        </w:rPr>
        <w:t>PËR FILLIMIN E FUNKSIONIMIT TË GJYKATËS SË SHKALLËS SË PARË TË JURIDIKSIONIT TË PËRGJITHSHËM TIRANË</w:t>
      </w:r>
    </w:p>
    <w:p w14:paraId="1AADDACC" w14:textId="77777777" w:rsidR="00D177D3" w:rsidRPr="00A15C5F" w:rsidRDefault="00D177D3" w:rsidP="00D177D3">
      <w:pPr>
        <w:spacing w:after="0" w:line="240" w:lineRule="auto"/>
        <w:ind w:firstLine="284"/>
        <w:jc w:val="center"/>
        <w:rPr>
          <w:rFonts w:ascii="Garamond" w:hAnsi="Garamond"/>
          <w:b/>
          <w:bCs/>
          <w:noProof/>
          <w:sz w:val="24"/>
          <w:szCs w:val="24"/>
          <w:lang w:val="sq-AL"/>
        </w:rPr>
      </w:pPr>
    </w:p>
    <w:p w14:paraId="2A6D803C" w14:textId="156C4E4C" w:rsidR="00D177D3" w:rsidRPr="00A15C5F" w:rsidRDefault="00D177D3" w:rsidP="00D177D3">
      <w:pPr>
        <w:pStyle w:val="BodyText"/>
        <w:ind w:firstLine="284"/>
        <w:jc w:val="both"/>
        <w:rPr>
          <w:rFonts w:ascii="Garamond" w:hAnsi="Garamond"/>
          <w:noProof/>
          <w:lang w:val="sq-AL"/>
        </w:rPr>
      </w:pPr>
      <w:r w:rsidRPr="00A15C5F">
        <w:rPr>
          <w:rFonts w:ascii="Garamond" w:hAnsi="Garamond"/>
          <w:noProof/>
          <w:lang w:val="sq-AL"/>
        </w:rPr>
        <w:t>Këshilli i Lartë Gjyqësor, mbështetur në nenet 135, pika 1, 147, pika 1, 147/a, shkronja “ë” të Kushtetutës së Republikës së Shqipërisë, nenet</w:t>
      </w:r>
      <w:r w:rsidRPr="00A15C5F">
        <w:rPr>
          <w:rFonts w:ascii="Garamond" w:hAnsi="Garamond"/>
          <w:noProof/>
          <w:spacing w:val="-15"/>
          <w:lang w:val="sq-AL"/>
        </w:rPr>
        <w:t xml:space="preserve"> 13 dhe 66 </w:t>
      </w:r>
      <w:r w:rsidRPr="00A15C5F">
        <w:rPr>
          <w:rFonts w:ascii="Garamond" w:hAnsi="Garamond"/>
          <w:noProof/>
          <w:lang w:val="sq-AL"/>
        </w:rPr>
        <w:t>të</w:t>
      </w:r>
      <w:r w:rsidRPr="00A15C5F">
        <w:rPr>
          <w:rFonts w:ascii="Garamond" w:hAnsi="Garamond"/>
          <w:noProof/>
          <w:spacing w:val="-15"/>
          <w:lang w:val="sq-AL"/>
        </w:rPr>
        <w:t xml:space="preserve"> </w:t>
      </w:r>
      <w:r w:rsidRPr="00A15C5F">
        <w:rPr>
          <w:rFonts w:ascii="Garamond" w:hAnsi="Garamond"/>
          <w:noProof/>
          <w:lang w:val="sq-AL"/>
        </w:rPr>
        <w:t>Ligjit</w:t>
      </w:r>
      <w:r w:rsidRPr="00A15C5F">
        <w:rPr>
          <w:rFonts w:ascii="Garamond" w:hAnsi="Garamond"/>
          <w:noProof/>
          <w:spacing w:val="-15"/>
          <w:lang w:val="sq-AL"/>
        </w:rPr>
        <w:t xml:space="preserve"> </w:t>
      </w:r>
      <w:r w:rsidRPr="00A15C5F">
        <w:rPr>
          <w:rFonts w:ascii="Garamond" w:hAnsi="Garamond"/>
          <w:noProof/>
          <w:lang w:val="sq-AL"/>
        </w:rPr>
        <w:t>nr.</w:t>
      </w:r>
      <w:r w:rsidR="00A15C5F">
        <w:rPr>
          <w:rFonts w:ascii="Garamond" w:hAnsi="Garamond"/>
          <w:noProof/>
          <w:lang w:val="sq-AL"/>
        </w:rPr>
        <w:t xml:space="preserve"> </w:t>
      </w:r>
      <w:r w:rsidRPr="00A15C5F">
        <w:rPr>
          <w:rFonts w:ascii="Garamond" w:hAnsi="Garamond"/>
          <w:noProof/>
          <w:lang w:val="sq-AL"/>
        </w:rPr>
        <w:t>98/2016</w:t>
      </w:r>
      <w:r w:rsidRPr="00A15C5F">
        <w:rPr>
          <w:rFonts w:ascii="Garamond" w:hAnsi="Garamond"/>
          <w:noProof/>
          <w:spacing w:val="-15"/>
          <w:lang w:val="sq-AL"/>
        </w:rPr>
        <w:t xml:space="preserve"> </w:t>
      </w:r>
      <w:r w:rsidRPr="00A15C5F">
        <w:rPr>
          <w:rFonts w:ascii="Garamond" w:hAnsi="Garamond"/>
          <w:noProof/>
          <w:lang w:val="sq-AL"/>
        </w:rPr>
        <w:t>“Për</w:t>
      </w:r>
      <w:r w:rsidRPr="00A15C5F">
        <w:rPr>
          <w:rFonts w:ascii="Garamond" w:hAnsi="Garamond"/>
          <w:noProof/>
          <w:spacing w:val="-15"/>
          <w:lang w:val="sq-AL"/>
        </w:rPr>
        <w:t xml:space="preserve"> </w:t>
      </w:r>
      <w:r w:rsidRPr="00A15C5F">
        <w:rPr>
          <w:rFonts w:ascii="Garamond" w:hAnsi="Garamond"/>
          <w:noProof/>
          <w:lang w:val="sq-AL"/>
        </w:rPr>
        <w:t>organizimin</w:t>
      </w:r>
      <w:r w:rsidRPr="00A15C5F">
        <w:rPr>
          <w:rFonts w:ascii="Garamond" w:hAnsi="Garamond"/>
          <w:noProof/>
          <w:spacing w:val="-15"/>
          <w:lang w:val="sq-AL"/>
        </w:rPr>
        <w:t xml:space="preserve"> </w:t>
      </w:r>
      <w:r w:rsidRPr="00A15C5F">
        <w:rPr>
          <w:rFonts w:ascii="Garamond" w:hAnsi="Garamond"/>
          <w:noProof/>
          <w:lang w:val="sq-AL"/>
        </w:rPr>
        <w:t>e</w:t>
      </w:r>
      <w:r w:rsidRPr="00A15C5F">
        <w:rPr>
          <w:rFonts w:ascii="Garamond" w:hAnsi="Garamond"/>
          <w:noProof/>
          <w:spacing w:val="-15"/>
          <w:lang w:val="sq-AL"/>
        </w:rPr>
        <w:t xml:space="preserve"> </w:t>
      </w:r>
      <w:r w:rsidRPr="00A15C5F">
        <w:rPr>
          <w:rFonts w:ascii="Garamond" w:hAnsi="Garamond"/>
          <w:noProof/>
          <w:lang w:val="sq-AL"/>
        </w:rPr>
        <w:t>pushtetit</w:t>
      </w:r>
      <w:r w:rsidRPr="00A15C5F">
        <w:rPr>
          <w:rFonts w:ascii="Garamond" w:hAnsi="Garamond"/>
          <w:noProof/>
          <w:spacing w:val="-15"/>
          <w:lang w:val="sq-AL"/>
        </w:rPr>
        <w:t xml:space="preserve"> </w:t>
      </w:r>
      <w:r w:rsidRPr="00A15C5F">
        <w:rPr>
          <w:rFonts w:ascii="Garamond" w:hAnsi="Garamond"/>
          <w:noProof/>
          <w:lang w:val="sq-AL"/>
        </w:rPr>
        <w:t>gjyqësor</w:t>
      </w:r>
      <w:r w:rsidRPr="00A15C5F">
        <w:rPr>
          <w:rFonts w:ascii="Garamond" w:hAnsi="Garamond"/>
          <w:noProof/>
          <w:spacing w:val="-15"/>
          <w:lang w:val="sq-AL"/>
        </w:rPr>
        <w:t xml:space="preserve"> </w:t>
      </w:r>
      <w:r w:rsidRPr="00A15C5F">
        <w:rPr>
          <w:rFonts w:ascii="Garamond" w:hAnsi="Garamond"/>
          <w:noProof/>
          <w:lang w:val="sq-AL"/>
        </w:rPr>
        <w:t>në</w:t>
      </w:r>
      <w:r w:rsidRPr="00A15C5F">
        <w:rPr>
          <w:rFonts w:ascii="Garamond" w:hAnsi="Garamond"/>
          <w:noProof/>
          <w:spacing w:val="-15"/>
          <w:lang w:val="sq-AL"/>
        </w:rPr>
        <w:t xml:space="preserve"> </w:t>
      </w:r>
      <w:r w:rsidRPr="00A15C5F">
        <w:rPr>
          <w:rFonts w:ascii="Garamond" w:hAnsi="Garamond"/>
          <w:noProof/>
          <w:lang w:val="sq-AL"/>
        </w:rPr>
        <w:t>Republikën</w:t>
      </w:r>
      <w:r w:rsidRPr="00A15C5F">
        <w:rPr>
          <w:rFonts w:ascii="Garamond" w:hAnsi="Garamond"/>
          <w:noProof/>
          <w:spacing w:val="-15"/>
          <w:lang w:val="sq-AL"/>
        </w:rPr>
        <w:t xml:space="preserve"> </w:t>
      </w:r>
      <w:r w:rsidRPr="00A15C5F">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A15C5F">
        <w:rPr>
          <w:rFonts w:ascii="Garamond" w:hAnsi="Garamond"/>
          <w:noProof/>
          <w:lang w:val="sq-AL"/>
        </w:rPr>
        <w:t xml:space="preserve"> </w:t>
      </w:r>
      <w:r w:rsidRPr="00A15C5F">
        <w:rPr>
          <w:rFonts w:ascii="Garamond" w:hAnsi="Garamond"/>
          <w:noProof/>
          <w:lang w:val="sq-AL"/>
        </w:rPr>
        <w:t>115/2016 “Për organet e qeverisjes së sistemit të drejtësisë”, i ndryshuar, me propozim të Komisionit të Planifikimit Strategjik, Administrimit dhe Buxhetit,</w:t>
      </w:r>
    </w:p>
    <w:p w14:paraId="45DD40DC" w14:textId="77777777" w:rsidR="00D177D3" w:rsidRPr="00A15C5F" w:rsidRDefault="00D177D3" w:rsidP="00D177D3">
      <w:pPr>
        <w:pStyle w:val="BodyText"/>
        <w:ind w:firstLine="284"/>
        <w:jc w:val="both"/>
        <w:rPr>
          <w:rFonts w:ascii="Garamond" w:hAnsi="Garamond"/>
          <w:noProof/>
          <w:lang w:val="sq-AL"/>
        </w:rPr>
      </w:pPr>
    </w:p>
    <w:p w14:paraId="3850F418" w14:textId="214EC4CB" w:rsidR="00D177D3" w:rsidRPr="00A15C5F" w:rsidRDefault="00D177D3" w:rsidP="00D177D3">
      <w:pPr>
        <w:pStyle w:val="Heading1"/>
        <w:ind w:left="0" w:firstLine="284"/>
        <w:rPr>
          <w:rFonts w:ascii="Garamond" w:hAnsi="Garamond"/>
          <w:noProof/>
          <w:lang w:val="sq-AL"/>
        </w:rPr>
      </w:pPr>
      <w:r w:rsidRPr="00A15C5F">
        <w:rPr>
          <w:rFonts w:ascii="Garamond" w:hAnsi="Garamond"/>
          <w:b w:val="0"/>
          <w:bCs w:val="0"/>
          <w:noProof/>
          <w:lang w:val="sq-AL"/>
        </w:rPr>
        <w:t>VENDOSI:</w:t>
      </w:r>
    </w:p>
    <w:p w14:paraId="14B10C25" w14:textId="77777777" w:rsidR="00D177D3" w:rsidRPr="00A15C5F" w:rsidRDefault="00D177D3" w:rsidP="00D177D3">
      <w:pPr>
        <w:pStyle w:val="BodyText"/>
        <w:ind w:firstLine="284"/>
        <w:jc w:val="both"/>
        <w:rPr>
          <w:rFonts w:ascii="Garamond" w:hAnsi="Garamond"/>
          <w:noProof/>
          <w:lang w:val="sq-AL"/>
        </w:rPr>
      </w:pPr>
    </w:p>
    <w:p w14:paraId="672BAF98" w14:textId="77777777" w:rsidR="00D177D3" w:rsidRPr="00A15C5F" w:rsidRDefault="00D177D3" w:rsidP="00D177D3">
      <w:pPr>
        <w:tabs>
          <w:tab w:val="left" w:pos="300"/>
        </w:tabs>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I</w:t>
      </w:r>
    </w:p>
    <w:p w14:paraId="11FC575A" w14:textId="77777777" w:rsidR="00D177D3" w:rsidRPr="00A15C5F" w:rsidRDefault="00D177D3" w:rsidP="00D177D3">
      <w:pPr>
        <w:tabs>
          <w:tab w:val="left" w:pos="300"/>
        </w:tabs>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DISPOZITA TË PËRGJITHSHME</w:t>
      </w:r>
    </w:p>
    <w:p w14:paraId="18AFD836" w14:textId="77777777" w:rsidR="00D177D3" w:rsidRPr="00A15C5F" w:rsidRDefault="00D177D3" w:rsidP="00D177D3">
      <w:pPr>
        <w:tabs>
          <w:tab w:val="left" w:pos="300"/>
        </w:tabs>
        <w:spacing w:after="0" w:line="240" w:lineRule="auto"/>
        <w:ind w:firstLine="284"/>
        <w:jc w:val="center"/>
        <w:rPr>
          <w:rFonts w:ascii="Garamond" w:hAnsi="Garamond" w:cs="Times New Roman"/>
          <w:bCs/>
          <w:noProof/>
          <w:sz w:val="24"/>
          <w:szCs w:val="24"/>
          <w:lang w:val="sq-AL"/>
        </w:rPr>
      </w:pPr>
    </w:p>
    <w:p w14:paraId="2D065228" w14:textId="77777777" w:rsidR="00D177D3" w:rsidRPr="00A15C5F" w:rsidRDefault="00D177D3" w:rsidP="00D177D3">
      <w:pPr>
        <w:tabs>
          <w:tab w:val="left" w:pos="300"/>
        </w:tabs>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1</w:t>
      </w:r>
    </w:p>
    <w:p w14:paraId="668A8765" w14:textId="77777777" w:rsidR="00D177D3" w:rsidRPr="00A15C5F" w:rsidRDefault="00D177D3" w:rsidP="00D177D3">
      <w:pPr>
        <w:tabs>
          <w:tab w:val="left" w:pos="300"/>
        </w:tabs>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 xml:space="preserve">Emërtimi dhe selia </w:t>
      </w:r>
    </w:p>
    <w:p w14:paraId="6B7916BD" w14:textId="77777777" w:rsidR="00D177D3" w:rsidRPr="00A15C5F" w:rsidRDefault="00D177D3" w:rsidP="00D177D3">
      <w:pPr>
        <w:tabs>
          <w:tab w:val="left" w:pos="3200"/>
        </w:tabs>
        <w:spacing w:after="0" w:line="240" w:lineRule="auto"/>
        <w:ind w:firstLine="284"/>
        <w:rPr>
          <w:rFonts w:ascii="Garamond" w:hAnsi="Garamond"/>
          <w:b/>
          <w:bCs/>
          <w:noProof/>
          <w:sz w:val="24"/>
          <w:szCs w:val="24"/>
          <w:lang w:val="sq-AL"/>
        </w:rPr>
      </w:pPr>
    </w:p>
    <w:p w14:paraId="1F6A43D4" w14:textId="392CED4A"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1. Gjykata e Rrethit Gjyqësor Tiranë emërtohet Gjykata e Shkallës së Parë e Juridiksionit të Përgjithshëm Tiranë.</w:t>
      </w:r>
    </w:p>
    <w:p w14:paraId="4AB8D689" w14:textId="286A2D83"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2. Gjykata e Shkallës së Parë të Juridiksionit e Përgjithshëm Tira</w:t>
      </w:r>
      <w:r w:rsidR="00A15C5F">
        <w:rPr>
          <w:rFonts w:ascii="Garamond" w:hAnsi="Garamond" w:cs="Times New Roman"/>
          <w:noProof/>
          <w:sz w:val="24"/>
          <w:szCs w:val="24"/>
          <w:lang w:val="sq-AL"/>
        </w:rPr>
        <w:t>në fillon funksionimin më datë 1.</w:t>
      </w:r>
      <w:r w:rsidRPr="00A15C5F">
        <w:rPr>
          <w:rFonts w:ascii="Garamond" w:hAnsi="Garamond" w:cs="Times New Roman"/>
          <w:noProof/>
          <w:sz w:val="24"/>
          <w:szCs w:val="24"/>
          <w:lang w:val="sq-AL"/>
        </w:rPr>
        <w:t>5.2023.</w:t>
      </w:r>
    </w:p>
    <w:p w14:paraId="300B1A4A" w14:textId="6572619D"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3. Selia e Gjykatës së Shkallës së Parë të Juridiksionit të Përgjithshëm Tiranë është në Tiranë, në adresën Bulevardi “Gjergj Fishta”.</w:t>
      </w:r>
    </w:p>
    <w:p w14:paraId="6A807B40" w14:textId="768C369E"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4. Gjykata e Rrethit Gjyqësor Krujë, ndërpret</w:t>
      </w:r>
      <w:r w:rsidR="00A15C5F">
        <w:rPr>
          <w:rFonts w:ascii="Garamond" w:hAnsi="Garamond" w:cs="Times New Roman"/>
          <w:noProof/>
          <w:sz w:val="24"/>
          <w:szCs w:val="24"/>
          <w:lang w:val="sq-AL"/>
        </w:rPr>
        <w:t xml:space="preserve"> veprimtarinë më datë 30.</w:t>
      </w:r>
      <w:r w:rsidRPr="00A15C5F">
        <w:rPr>
          <w:rFonts w:ascii="Garamond" w:hAnsi="Garamond" w:cs="Times New Roman"/>
          <w:noProof/>
          <w:sz w:val="24"/>
          <w:szCs w:val="24"/>
          <w:lang w:val="sq-AL"/>
        </w:rPr>
        <w:t>4.2023.</w:t>
      </w:r>
    </w:p>
    <w:p w14:paraId="78E6544C" w14:textId="77777777"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p>
    <w:p w14:paraId="373CD06F" w14:textId="77777777" w:rsidR="00D177D3" w:rsidRPr="00A15C5F" w:rsidRDefault="00D177D3" w:rsidP="00D177D3">
      <w:pPr>
        <w:pStyle w:val="ListParagraph"/>
        <w:spacing w:after="0" w:line="240" w:lineRule="auto"/>
        <w:ind w:left="0" w:firstLine="284"/>
        <w:jc w:val="both"/>
        <w:rPr>
          <w:rFonts w:ascii="Garamond" w:hAnsi="Garamond" w:cs="Times New Roman"/>
          <w:b/>
          <w:bCs/>
          <w:noProof/>
          <w:sz w:val="24"/>
          <w:szCs w:val="24"/>
          <w:lang w:val="sq-AL"/>
        </w:rPr>
      </w:pPr>
    </w:p>
    <w:p w14:paraId="5E0525DB" w14:textId="77777777" w:rsidR="00D177D3" w:rsidRPr="00A15C5F" w:rsidRDefault="00D177D3" w:rsidP="00D177D3">
      <w:pPr>
        <w:pStyle w:val="ListParagraph"/>
        <w:spacing w:after="0" w:line="240" w:lineRule="auto"/>
        <w:ind w:left="0"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II</w:t>
      </w:r>
    </w:p>
    <w:p w14:paraId="068A3A13" w14:textId="77777777" w:rsidR="00D177D3" w:rsidRPr="00A15C5F" w:rsidRDefault="00D177D3" w:rsidP="00D177D3">
      <w:pPr>
        <w:pStyle w:val="ListParagraph"/>
        <w:spacing w:after="0" w:line="240" w:lineRule="auto"/>
        <w:ind w:left="0"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 xml:space="preserve">ORGANIZIMI DHE FUNKSIONIMI I GJYKATËS SË SHKALLËS SË PARË TË </w:t>
      </w:r>
    </w:p>
    <w:p w14:paraId="7FE29383" w14:textId="77777777" w:rsidR="00D177D3" w:rsidRPr="00A15C5F" w:rsidRDefault="00D177D3" w:rsidP="00D177D3">
      <w:pPr>
        <w:pStyle w:val="ListParagraph"/>
        <w:spacing w:after="0" w:line="240" w:lineRule="auto"/>
        <w:ind w:left="0"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JURIDIKSIONIT TË PËRGJITHSHËM TIRANË</w:t>
      </w:r>
    </w:p>
    <w:p w14:paraId="3241F3AA" w14:textId="77777777" w:rsidR="00D177D3" w:rsidRPr="00A15C5F" w:rsidRDefault="00D177D3" w:rsidP="00D177D3">
      <w:pPr>
        <w:spacing w:after="0" w:line="240" w:lineRule="auto"/>
        <w:ind w:firstLine="284"/>
        <w:jc w:val="center"/>
        <w:rPr>
          <w:rFonts w:ascii="Garamond" w:hAnsi="Garamond" w:cs="Times New Roman"/>
          <w:b/>
          <w:bCs/>
          <w:noProof/>
          <w:sz w:val="24"/>
          <w:szCs w:val="24"/>
          <w:lang w:val="sq-AL"/>
        </w:rPr>
      </w:pPr>
    </w:p>
    <w:p w14:paraId="272D89F7"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2</w:t>
      </w:r>
    </w:p>
    <w:p w14:paraId="19128DF8"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Gjyqtarët e Gjykatës së Shkallës së Parë të Juridiksionit të Përgjithshëm Tiranë</w:t>
      </w:r>
    </w:p>
    <w:p w14:paraId="77DD1046" w14:textId="77777777" w:rsidR="00D177D3" w:rsidRPr="00A15C5F" w:rsidRDefault="00D177D3" w:rsidP="00D177D3">
      <w:pPr>
        <w:spacing w:after="0" w:line="240" w:lineRule="auto"/>
        <w:ind w:firstLine="284"/>
        <w:rPr>
          <w:rFonts w:ascii="Garamond" w:hAnsi="Garamond" w:cs="Times New Roman"/>
          <w:b/>
          <w:bCs/>
          <w:noProof/>
          <w:sz w:val="24"/>
          <w:szCs w:val="24"/>
          <w:lang w:val="sq-AL"/>
        </w:rPr>
      </w:pPr>
    </w:p>
    <w:p w14:paraId="76C63B92" w14:textId="7840BE9A"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1. Numri i gjyqtarëve të Gjykatës së Shkallës së Parë të Juridiksionit të Përgjithshëm Tiranë përcaktohet me akt të veçantë të Këshillit të Lartë Gjyqësor.</w:t>
      </w:r>
    </w:p>
    <w:p w14:paraId="2DE850D8" w14:textId="4CCDA3B4"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2. Gjyqtari i emëruar/caktuar në një pozicion të përhershëm/të përkohshëm në Gjykatën e Rrethit Gjyqësor Tiranë qëndron në pozicion në strukturën e Gjykatës së Shkallës së Parë të Juridiksionit të Përgjithshëm Tiranë.</w:t>
      </w:r>
    </w:p>
    <w:p w14:paraId="44722B3C" w14:textId="1FA81438"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3. Gjyqtari i emëruar/caktuar në një pozicion të përhershëm në Gjykatën e Rrethit Gjyqësor Krujë, të cilit i suprimohet pozicioni për shkak të riorganizimit gjyqësor, transferohet në pozicion të përhershëm në strukturën e Gjykatës së Shkallës së Parë të Juridiksionit të Përgjithshëm Tiranë.</w:t>
      </w:r>
    </w:p>
    <w:p w14:paraId="6AF1828C" w14:textId="577EA173"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4. Pozicionet e shpallura për lëvizje paralele në Gjykatën e Rrethit Gjyqësor T</w:t>
      </w:r>
      <w:r w:rsidR="008B6791">
        <w:rPr>
          <w:rFonts w:ascii="Garamond" w:hAnsi="Garamond" w:cs="Times New Roman"/>
          <w:noProof/>
          <w:sz w:val="24"/>
          <w:szCs w:val="24"/>
          <w:lang w:val="sq-AL"/>
        </w:rPr>
        <w:t>iranë, për të cilat në datën 1.</w:t>
      </w:r>
      <w:r w:rsidRPr="00A15C5F">
        <w:rPr>
          <w:rFonts w:ascii="Garamond" w:hAnsi="Garamond" w:cs="Times New Roman"/>
          <w:noProof/>
          <w:sz w:val="24"/>
          <w:szCs w:val="24"/>
          <w:lang w:val="sq-AL"/>
        </w:rPr>
        <w:t xml:space="preserve">5.2023 nuk ka përfunduar ende procedura e lëvizjes paralele, konsiderohen pozicione të lira të përhershme në strukturën e Gjykatës së Shkallës së Parë të Juridiksionit të </w:t>
      </w:r>
      <w:r w:rsidRPr="00A15C5F">
        <w:rPr>
          <w:rFonts w:ascii="Garamond" w:hAnsi="Garamond" w:cs="Times New Roman"/>
          <w:noProof/>
          <w:sz w:val="24"/>
          <w:szCs w:val="24"/>
          <w:lang w:val="sq-AL"/>
        </w:rPr>
        <w:lastRenderedPageBreak/>
        <w:t>Përgjithshëm Tiranë. Këshilli i Lartë Gjyqësor pas datës 1.05.2023 vijon procedurat e papërfunduara për llogari të Gjykatës së Shkallës së Parë të Juridiksionit të Përgjithshëm Tiranë.</w:t>
      </w:r>
    </w:p>
    <w:p w14:paraId="4E2A2853" w14:textId="77777777"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p>
    <w:p w14:paraId="4259CE8B"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III</w:t>
      </w:r>
    </w:p>
    <w:p w14:paraId="0A5594E6"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ORGANET E ADMINISTRIMIT GJYQËSOR</w:t>
      </w:r>
    </w:p>
    <w:p w14:paraId="103DEC56" w14:textId="77777777" w:rsidR="00D177D3" w:rsidRPr="00A15C5F" w:rsidRDefault="00D177D3" w:rsidP="00D177D3">
      <w:pPr>
        <w:pStyle w:val="ListParagraph"/>
        <w:spacing w:after="0" w:line="240" w:lineRule="auto"/>
        <w:ind w:left="0" w:firstLine="284"/>
        <w:rPr>
          <w:rFonts w:ascii="Garamond" w:hAnsi="Garamond" w:cs="Times New Roman"/>
          <w:b/>
          <w:bCs/>
          <w:noProof/>
          <w:sz w:val="24"/>
          <w:szCs w:val="24"/>
          <w:lang w:val="sq-AL"/>
        </w:rPr>
      </w:pPr>
    </w:p>
    <w:p w14:paraId="32A05C3C"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3</w:t>
      </w:r>
    </w:p>
    <w:p w14:paraId="4CFF3E17"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Organet e administrimit gjyqësor</w:t>
      </w:r>
    </w:p>
    <w:p w14:paraId="76FDDF74" w14:textId="77777777" w:rsidR="00D177D3" w:rsidRPr="00A15C5F" w:rsidRDefault="00D177D3" w:rsidP="00D177D3">
      <w:pPr>
        <w:spacing w:after="0" w:line="240" w:lineRule="auto"/>
        <w:ind w:firstLine="284"/>
        <w:rPr>
          <w:rFonts w:ascii="Garamond" w:hAnsi="Garamond" w:cs="Times New Roman"/>
          <w:noProof/>
          <w:sz w:val="24"/>
          <w:szCs w:val="24"/>
          <w:lang w:val="sq-AL"/>
        </w:rPr>
      </w:pPr>
    </w:p>
    <w:p w14:paraId="047262F3" w14:textId="1FAD0411"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 xml:space="preserve">1. Kryetari i Gjykatës së Shkallës së Parë të Juridiksionit të Përgjithshëm Tiranë zgjidhet nga Këshilli i Lartë Gjyqësor sipas përcaktimit të ligjit “Për statusin e gjyqtarëve dhe prokurorëve në Republikën e Shqipërisë”, i ndryshuar. </w:t>
      </w:r>
    </w:p>
    <w:p w14:paraId="334AB6DB" w14:textId="4E95C8A2"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2. Në mungesë të kryetarit të Gjykatës së Shkallës së Parë të Juridiksionit të Përgjithshëm Tiranë, kompetencat ushtrohen nga zëvendëskryetari i gjykatës deri në zgjedhjen e kryetarit.</w:t>
      </w:r>
    </w:p>
    <w:p w14:paraId="5455BA56" w14:textId="7DCDBBA1"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3. Zëvendëskryetari në detyrë i Gjykatës së Rrethit Gjyqësor Tiranë qëndron në detyrën e zëvendëskryetarit të Gjykatës së Shkallës së Parë të Juridiksionit të Përgjithshëm Tiranë deri në përfundim të mandatit, me përjashtim të rasteve kur ka shkaqe për mbarimin e statusit të magjistratit.</w:t>
      </w:r>
    </w:p>
    <w:p w14:paraId="77DA59B8" w14:textId="27D87830"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4. Kancelari në detyrë i Gjykatës së Rrethit Gjyqësor Tiranë qëndron në detyrën e kancelarit të Gjykatës së Shkallës së Parë të Juridiksionit të Përgjithshëm Tiranë deri në emërimin e kancelarit të ri të kësaj gjykate, sipas ligjit.</w:t>
      </w:r>
    </w:p>
    <w:p w14:paraId="0EB0D7F1" w14:textId="07F8015D"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 xml:space="preserve">5. Këshilli i Gjykatës së Shkallës së Parë të Juridiksionit të Përgjithshëm Tiranë, deri në zgjedhjen e kryetarit dhe emërimin e kancelarit, nuk ndryshon përbërjen aktuale të tij. </w:t>
      </w:r>
    </w:p>
    <w:p w14:paraId="3158E1D6" w14:textId="77777777" w:rsidR="00D177D3" w:rsidRPr="00A15C5F" w:rsidRDefault="00D177D3" w:rsidP="00D177D3">
      <w:pPr>
        <w:spacing w:after="0" w:line="240" w:lineRule="auto"/>
        <w:ind w:firstLine="284"/>
        <w:jc w:val="both"/>
        <w:rPr>
          <w:rFonts w:ascii="Garamond" w:hAnsi="Garamond" w:cs="Times New Roman"/>
          <w:b/>
          <w:bCs/>
          <w:noProof/>
          <w:sz w:val="24"/>
          <w:szCs w:val="24"/>
          <w:lang w:val="sq-AL"/>
        </w:rPr>
      </w:pPr>
    </w:p>
    <w:p w14:paraId="39DCABCE"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IV</w:t>
      </w:r>
    </w:p>
    <w:p w14:paraId="61B7C83D"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ADMINISTRIMI I BRENDSHËM GJYQËSOR</w:t>
      </w:r>
    </w:p>
    <w:p w14:paraId="6289B429" w14:textId="77777777" w:rsidR="00D177D3" w:rsidRPr="00A15C5F" w:rsidRDefault="00D177D3" w:rsidP="00D177D3">
      <w:pPr>
        <w:spacing w:after="0" w:line="240" w:lineRule="auto"/>
        <w:ind w:firstLine="284"/>
        <w:jc w:val="center"/>
        <w:rPr>
          <w:rFonts w:ascii="Garamond" w:hAnsi="Garamond" w:cs="Times New Roman"/>
          <w:b/>
          <w:bCs/>
          <w:noProof/>
          <w:sz w:val="24"/>
          <w:szCs w:val="24"/>
          <w:lang w:val="sq-AL"/>
        </w:rPr>
      </w:pPr>
    </w:p>
    <w:p w14:paraId="57D1673A"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4</w:t>
      </w:r>
    </w:p>
    <w:p w14:paraId="17721036"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Administrata gjyqësore</w:t>
      </w:r>
    </w:p>
    <w:p w14:paraId="0DE4AFED" w14:textId="77777777" w:rsidR="00D177D3" w:rsidRPr="00A15C5F" w:rsidRDefault="00D177D3" w:rsidP="00D177D3">
      <w:pPr>
        <w:spacing w:after="0" w:line="240" w:lineRule="auto"/>
        <w:ind w:firstLine="284"/>
        <w:jc w:val="both"/>
        <w:rPr>
          <w:rFonts w:ascii="Garamond" w:hAnsi="Garamond" w:cs="Times New Roman"/>
          <w:noProof/>
          <w:sz w:val="24"/>
          <w:szCs w:val="24"/>
          <w:lang w:val="sq-AL"/>
        </w:rPr>
      </w:pPr>
    </w:p>
    <w:p w14:paraId="193DD571" w14:textId="00FBC10F"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1. Administrata gjyqësore e Gjykatës së Rrethit Gjyqësor Tiranë, e përbërë nga punonjësit që ushtrojnë shërbimet gjyqësore, administrative dhe mbështetëse sipas përcaktimit të ligjit, vijon të ushtrojë veprimtarinë pranë Gjykatës së Shkallës së Parë të Juridiksionit të Përgjithshëm Tiranë dhe nuk i nënshtrohet procesit të ristrukturimit.</w:t>
      </w:r>
    </w:p>
    <w:p w14:paraId="74320852" w14:textId="4AB75D00"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2. Administrata gjyqësore e Gjykatës së Rrethit Gjyqësor Krujë i nënshtrohet procesit të ristrukturimit.</w:t>
      </w:r>
    </w:p>
    <w:p w14:paraId="3E761B70" w14:textId="46A001E5"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3. Këshilli i Lartë Gjyqësor përcakton me akt të veçantë krijimin dhe funksionimin e Komisionit të Ristrukturimit, sipas ligjit.</w:t>
      </w:r>
    </w:p>
    <w:p w14:paraId="54077605" w14:textId="4E0A76EC"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4. Rregullat standarde për strukturën dhe organika e administratës gjyqësore të Gjykatës së Shkallës së Parë të Juridiksionit të Përgjithshëm Tiranë, përcaktohen me akt të veçantë të Këshillit të Lartë Gjyqësor.</w:t>
      </w:r>
    </w:p>
    <w:p w14:paraId="3D4791F5" w14:textId="77777777"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p>
    <w:p w14:paraId="7DB72C4E" w14:textId="77777777" w:rsidR="00D177D3" w:rsidRPr="00A15C5F" w:rsidRDefault="00D177D3" w:rsidP="00D177D3">
      <w:pPr>
        <w:pStyle w:val="ListParagraph"/>
        <w:spacing w:after="0" w:line="240" w:lineRule="auto"/>
        <w:ind w:left="0"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V</w:t>
      </w:r>
    </w:p>
    <w:p w14:paraId="772BB766" w14:textId="77777777" w:rsidR="00D177D3" w:rsidRPr="00A15C5F" w:rsidRDefault="00D177D3" w:rsidP="00D177D3">
      <w:pPr>
        <w:pStyle w:val="ListParagraph"/>
        <w:spacing w:after="0" w:line="240" w:lineRule="auto"/>
        <w:ind w:left="0"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TRANSFERIMI DHE MENAXHIMI I ÇËSHTJEVE GJYQËSORE</w:t>
      </w:r>
    </w:p>
    <w:p w14:paraId="70F14757"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p>
    <w:p w14:paraId="6327C90D"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5</w:t>
      </w:r>
    </w:p>
    <w:p w14:paraId="0858E173"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Transferimi i çështjeve gjyqësore</w:t>
      </w:r>
    </w:p>
    <w:p w14:paraId="54CDB791"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p>
    <w:p w14:paraId="730817C1" w14:textId="3AE10FE1"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lastRenderedPageBreak/>
        <w:t>1. Çështjet gjyqësore të regjistruara në gjykatat e rretheve gjyqësore Tir</w:t>
      </w:r>
      <w:r w:rsidR="008B6791">
        <w:rPr>
          <w:rFonts w:ascii="Garamond" w:hAnsi="Garamond" w:cs="Times New Roman"/>
          <w:noProof/>
          <w:sz w:val="24"/>
          <w:szCs w:val="24"/>
          <w:lang w:val="sq-AL"/>
        </w:rPr>
        <w:t>anë dhe Krujë deri në datën 30.</w:t>
      </w:r>
      <w:r w:rsidRPr="00A15C5F">
        <w:rPr>
          <w:rFonts w:ascii="Garamond" w:hAnsi="Garamond" w:cs="Times New Roman"/>
          <w:noProof/>
          <w:sz w:val="24"/>
          <w:szCs w:val="24"/>
          <w:lang w:val="sq-AL"/>
        </w:rPr>
        <w:t xml:space="preserve">4.2023, por që nuk kanë përfunduar sipas ligjit, transferohen në Gjykatën e Shkallës së Parë të Juridiksionit të Përgjithshëm Tiranë. </w:t>
      </w:r>
    </w:p>
    <w:p w14:paraId="18843E67" w14:textId="3E8BF2E6"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 xml:space="preserve">2. Çështjet gjyqësore që transferohen në Gjykatën e Shkallës së Parë të Juridiksionit të Përgjithshëm Tiranë, regjistrohen në regjistrat manualë dhe sistemin elektronik të menaxhimit të çështjeve Ark-IT. </w:t>
      </w:r>
    </w:p>
    <w:p w14:paraId="33C3A00E" w14:textId="0F1D311D"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 xml:space="preserve">3. Për zbatimin e pikës 1 dhe 2 të këtij neni ngarkohet Departamenti i Administrimit të Gjykatave dhe Teknologjisë së Informacionit pranë Këshillit të Lartë Gjyqësor.  </w:t>
      </w:r>
    </w:p>
    <w:p w14:paraId="6DF1D124" w14:textId="77777777" w:rsidR="00D177D3" w:rsidRPr="00A15C5F" w:rsidRDefault="00D177D3" w:rsidP="00D177D3">
      <w:pPr>
        <w:pStyle w:val="ListParagraph"/>
        <w:spacing w:after="0" w:line="240" w:lineRule="auto"/>
        <w:ind w:left="0" w:firstLine="284"/>
        <w:jc w:val="both"/>
        <w:rPr>
          <w:rFonts w:ascii="Garamond" w:hAnsi="Garamond" w:cs="Times New Roman"/>
          <w:noProof/>
          <w:sz w:val="24"/>
          <w:szCs w:val="24"/>
          <w:lang w:val="sq-AL"/>
        </w:rPr>
      </w:pPr>
    </w:p>
    <w:p w14:paraId="72E001EA"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6</w:t>
      </w:r>
    </w:p>
    <w:p w14:paraId="16B65D21"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Menaxhimi i çështjeve gjyqësore</w:t>
      </w:r>
    </w:p>
    <w:p w14:paraId="6D1F7CD9"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p>
    <w:p w14:paraId="6C058412" w14:textId="77777777" w:rsidR="00D177D3" w:rsidRPr="00A15C5F" w:rsidRDefault="00D177D3" w:rsidP="00D177D3">
      <w:pPr>
        <w:spacing w:after="0" w:line="240" w:lineRule="auto"/>
        <w:ind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Çështjet gjyqësore të transferuara në Gjykatën e Shkallës së Parë të Juridiksionit të Përgjithshëm Tiranë nuk i nënshtrohen rindarjes me short. Këto çështje vijojnë të shqyrtohen nga i njëjti trup gjykues.</w:t>
      </w:r>
    </w:p>
    <w:p w14:paraId="2AA88E77" w14:textId="77777777" w:rsidR="00D177D3" w:rsidRPr="00A15C5F" w:rsidRDefault="00D177D3" w:rsidP="00D177D3">
      <w:pPr>
        <w:pStyle w:val="ListParagraph"/>
        <w:spacing w:after="0" w:line="240" w:lineRule="auto"/>
        <w:ind w:left="0" w:firstLine="284"/>
        <w:rPr>
          <w:rFonts w:ascii="Garamond" w:hAnsi="Garamond" w:cs="Times New Roman"/>
          <w:noProof/>
          <w:sz w:val="24"/>
          <w:szCs w:val="24"/>
          <w:lang w:val="sq-AL"/>
        </w:rPr>
      </w:pPr>
    </w:p>
    <w:p w14:paraId="1F6E42AD"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SEKSIONI VI</w:t>
      </w:r>
    </w:p>
    <w:p w14:paraId="64009959"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r w:rsidRPr="00A15C5F">
        <w:rPr>
          <w:rFonts w:ascii="Garamond" w:hAnsi="Garamond" w:cs="Times New Roman"/>
          <w:bCs/>
          <w:noProof/>
          <w:sz w:val="24"/>
          <w:szCs w:val="24"/>
          <w:lang w:val="sq-AL"/>
        </w:rPr>
        <w:t>PËRGJEGJËSITË BUXHETORE DHE FINANCIARE</w:t>
      </w:r>
    </w:p>
    <w:p w14:paraId="0607D582" w14:textId="77777777" w:rsidR="00D177D3" w:rsidRPr="00A15C5F" w:rsidRDefault="00D177D3" w:rsidP="00D177D3">
      <w:pPr>
        <w:spacing w:after="0" w:line="240" w:lineRule="auto"/>
        <w:ind w:firstLine="284"/>
        <w:jc w:val="center"/>
        <w:rPr>
          <w:rFonts w:ascii="Garamond" w:hAnsi="Garamond" w:cs="Times New Roman"/>
          <w:bCs/>
          <w:noProof/>
          <w:sz w:val="24"/>
          <w:szCs w:val="24"/>
          <w:lang w:val="sq-AL"/>
        </w:rPr>
      </w:pPr>
    </w:p>
    <w:p w14:paraId="75969E76"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 xml:space="preserve">Neni 7 </w:t>
      </w:r>
    </w:p>
    <w:p w14:paraId="2E4A0496"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Përgjegjësitë buxhetore dhe financiare</w:t>
      </w:r>
    </w:p>
    <w:p w14:paraId="689EC1BC"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p>
    <w:p w14:paraId="2D7B41EF" w14:textId="77DA1941" w:rsidR="00D177D3" w:rsidRPr="00A15C5F" w:rsidRDefault="00D177D3" w:rsidP="00D177D3">
      <w:pPr>
        <w:spacing w:after="0" w:line="240" w:lineRule="auto"/>
        <w:ind w:firstLine="284"/>
        <w:jc w:val="both"/>
        <w:rPr>
          <w:rFonts w:ascii="Garamond" w:hAnsi="Garamond" w:cs="Times New Roman"/>
          <w:noProof/>
          <w:sz w:val="24"/>
          <w:szCs w:val="24"/>
          <w:lang w:val="sq-AL"/>
        </w:rPr>
      </w:pPr>
      <w:r w:rsidRPr="00A15C5F">
        <w:rPr>
          <w:rFonts w:ascii="Garamond" w:hAnsi="Garamond" w:cs="Times New Roman"/>
          <w:noProof/>
          <w:sz w:val="24"/>
          <w:szCs w:val="24"/>
          <w:lang w:val="sq-AL"/>
        </w:rPr>
        <w:t>Gjykata e Shkallës së Parë e Juridiksionit të Përgjithshëm Tiranë, brenda muajit maj 2023, mbështetur në legjislacionin në fuqi, përmbush të gjitha detyrimet dhe përgjegjësitë që r</w:t>
      </w:r>
      <w:r w:rsidR="008B6791">
        <w:rPr>
          <w:rFonts w:ascii="Garamond" w:hAnsi="Garamond" w:cs="Times New Roman"/>
          <w:noProof/>
          <w:sz w:val="24"/>
          <w:szCs w:val="24"/>
          <w:lang w:val="sq-AL"/>
        </w:rPr>
        <w:t>rjedhin nga mbyllja më datë 30.</w:t>
      </w:r>
      <w:bookmarkStart w:id="0" w:name="_GoBack"/>
      <w:bookmarkEnd w:id="0"/>
      <w:r w:rsidRPr="00A15C5F">
        <w:rPr>
          <w:rFonts w:ascii="Garamond" w:hAnsi="Garamond" w:cs="Times New Roman"/>
          <w:noProof/>
          <w:sz w:val="24"/>
          <w:szCs w:val="24"/>
          <w:lang w:val="sq-AL"/>
        </w:rPr>
        <w:t xml:space="preserve">4.2023 e aktivitetit ekonomiko-financiar të Gjykatës së Rrethit Gjyqësor Krujë. </w:t>
      </w:r>
    </w:p>
    <w:p w14:paraId="6C9D323B"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p>
    <w:p w14:paraId="659CFB6A" w14:textId="77777777" w:rsidR="00D177D3" w:rsidRPr="00A15C5F" w:rsidRDefault="00D177D3" w:rsidP="00D177D3">
      <w:pPr>
        <w:spacing w:after="0" w:line="240" w:lineRule="auto"/>
        <w:ind w:firstLine="284"/>
        <w:jc w:val="center"/>
        <w:rPr>
          <w:rFonts w:ascii="Garamond" w:hAnsi="Garamond" w:cs="Times New Roman"/>
          <w:noProof/>
          <w:sz w:val="24"/>
          <w:szCs w:val="24"/>
          <w:lang w:val="sq-AL"/>
        </w:rPr>
      </w:pPr>
      <w:r w:rsidRPr="00A15C5F">
        <w:rPr>
          <w:rFonts w:ascii="Garamond" w:hAnsi="Garamond" w:cs="Times New Roman"/>
          <w:noProof/>
          <w:sz w:val="24"/>
          <w:szCs w:val="24"/>
          <w:lang w:val="sq-AL"/>
        </w:rPr>
        <w:t>Neni 8</w:t>
      </w:r>
    </w:p>
    <w:p w14:paraId="5266069F" w14:textId="77777777" w:rsidR="00D177D3" w:rsidRPr="00A15C5F" w:rsidRDefault="00D177D3" w:rsidP="00D177D3">
      <w:pPr>
        <w:spacing w:after="0" w:line="240" w:lineRule="auto"/>
        <w:ind w:firstLine="284"/>
        <w:jc w:val="center"/>
        <w:rPr>
          <w:rFonts w:ascii="Garamond" w:hAnsi="Garamond" w:cs="Times New Roman"/>
          <w:b/>
          <w:noProof/>
          <w:sz w:val="24"/>
          <w:szCs w:val="24"/>
          <w:lang w:val="sq-AL"/>
        </w:rPr>
      </w:pPr>
      <w:r w:rsidRPr="00A15C5F">
        <w:rPr>
          <w:rFonts w:ascii="Garamond" w:hAnsi="Garamond" w:cs="Times New Roman"/>
          <w:b/>
          <w:noProof/>
          <w:sz w:val="24"/>
          <w:szCs w:val="24"/>
          <w:lang w:val="sq-AL"/>
        </w:rPr>
        <w:t>Hyrja në fuqi e vendimit</w:t>
      </w:r>
    </w:p>
    <w:p w14:paraId="2F18D7EE" w14:textId="77777777" w:rsidR="00D177D3" w:rsidRPr="00A15C5F" w:rsidRDefault="00D177D3" w:rsidP="00D177D3">
      <w:pPr>
        <w:spacing w:after="0" w:line="240" w:lineRule="auto"/>
        <w:ind w:firstLine="284"/>
        <w:rPr>
          <w:rFonts w:ascii="Garamond" w:hAnsi="Garamond" w:cs="Times New Roman"/>
          <w:noProof/>
          <w:sz w:val="24"/>
          <w:szCs w:val="24"/>
          <w:lang w:val="sq-AL"/>
        </w:rPr>
      </w:pPr>
    </w:p>
    <w:p w14:paraId="67209AF4" w14:textId="77777777" w:rsidR="00D177D3" w:rsidRPr="00A15C5F" w:rsidRDefault="00D177D3" w:rsidP="00D177D3">
      <w:pPr>
        <w:spacing w:after="0" w:line="240" w:lineRule="auto"/>
        <w:ind w:firstLine="284"/>
        <w:rPr>
          <w:rFonts w:ascii="Garamond" w:hAnsi="Garamond" w:cs="Times New Roman"/>
          <w:noProof/>
          <w:sz w:val="24"/>
          <w:szCs w:val="24"/>
          <w:lang w:val="sq-AL"/>
        </w:rPr>
      </w:pPr>
      <w:r w:rsidRPr="00A15C5F">
        <w:rPr>
          <w:rFonts w:ascii="Garamond" w:hAnsi="Garamond" w:cs="Times New Roman"/>
          <w:noProof/>
          <w:sz w:val="24"/>
          <w:szCs w:val="24"/>
          <w:lang w:val="sq-AL"/>
        </w:rPr>
        <w:t>Ky vendim hyn në fuqi me botimin në Fletoren Zyrtare.</w:t>
      </w:r>
    </w:p>
    <w:p w14:paraId="68E56625" w14:textId="77777777" w:rsidR="00D177D3" w:rsidRPr="00A15C5F" w:rsidRDefault="00D177D3" w:rsidP="00D177D3">
      <w:pPr>
        <w:spacing w:after="0" w:line="240" w:lineRule="auto"/>
        <w:ind w:firstLine="284"/>
        <w:jc w:val="center"/>
        <w:rPr>
          <w:rFonts w:ascii="Garamond" w:hAnsi="Garamond"/>
          <w:b/>
          <w:bCs/>
          <w:noProof/>
          <w:sz w:val="24"/>
          <w:szCs w:val="24"/>
          <w:lang w:val="sq-AL"/>
        </w:rPr>
      </w:pPr>
    </w:p>
    <w:p w14:paraId="7F715457" w14:textId="77777777" w:rsidR="00D177D3" w:rsidRPr="00A15C5F" w:rsidRDefault="00D177D3" w:rsidP="00D177D3">
      <w:pPr>
        <w:spacing w:after="0" w:line="240" w:lineRule="auto"/>
        <w:ind w:firstLine="284"/>
        <w:jc w:val="right"/>
        <w:rPr>
          <w:rFonts w:ascii="Garamond" w:hAnsi="Garamond" w:cs="Times New Roman"/>
          <w:bCs/>
          <w:noProof/>
          <w:sz w:val="24"/>
          <w:szCs w:val="24"/>
          <w:lang w:val="sq-AL"/>
        </w:rPr>
      </w:pPr>
      <w:r w:rsidRPr="00A15C5F">
        <w:rPr>
          <w:rFonts w:ascii="Garamond" w:hAnsi="Garamond" w:cs="Times New Roman"/>
          <w:bCs/>
          <w:noProof/>
          <w:sz w:val="24"/>
          <w:szCs w:val="24"/>
          <w:lang w:val="sq-AL"/>
        </w:rPr>
        <w:t>PËR KËSHILLIN E LARTË GJYQËSOR</w:t>
      </w:r>
    </w:p>
    <w:p w14:paraId="37B6D2CB" w14:textId="77777777" w:rsidR="00D177D3" w:rsidRPr="00A15C5F" w:rsidRDefault="00D177D3" w:rsidP="00D177D3">
      <w:pPr>
        <w:tabs>
          <w:tab w:val="left" w:pos="6560"/>
          <w:tab w:val="left" w:pos="8300"/>
        </w:tabs>
        <w:spacing w:after="0" w:line="240" w:lineRule="auto"/>
        <w:ind w:firstLine="284"/>
        <w:jc w:val="right"/>
        <w:rPr>
          <w:rFonts w:ascii="Garamond" w:hAnsi="Garamond" w:cs="Times New Roman"/>
          <w:bCs/>
          <w:noProof/>
          <w:sz w:val="24"/>
          <w:szCs w:val="24"/>
          <w:lang w:val="sq-AL"/>
        </w:rPr>
      </w:pPr>
      <w:r w:rsidRPr="00A15C5F">
        <w:rPr>
          <w:rFonts w:ascii="Garamond" w:hAnsi="Garamond" w:cs="Times New Roman"/>
          <w:bCs/>
          <w:noProof/>
          <w:sz w:val="24"/>
          <w:szCs w:val="24"/>
          <w:lang w:val="sq-AL"/>
        </w:rPr>
        <w:t>KRYETARE</w:t>
      </w:r>
    </w:p>
    <w:p w14:paraId="7BC17DAD" w14:textId="08036AC9" w:rsidR="00D177D3" w:rsidRPr="00A15C5F" w:rsidRDefault="00D177D3" w:rsidP="00D177D3">
      <w:pPr>
        <w:tabs>
          <w:tab w:val="left" w:pos="6560"/>
          <w:tab w:val="left" w:pos="8300"/>
        </w:tabs>
        <w:spacing w:after="0" w:line="240" w:lineRule="auto"/>
        <w:ind w:firstLine="284"/>
        <w:jc w:val="right"/>
        <w:rPr>
          <w:rFonts w:ascii="Garamond" w:hAnsi="Garamond"/>
          <w:b/>
          <w:bCs/>
          <w:noProof/>
          <w:sz w:val="24"/>
          <w:szCs w:val="24"/>
          <w:lang w:val="sq-AL"/>
        </w:rPr>
      </w:pPr>
      <w:r w:rsidRPr="00A15C5F">
        <w:rPr>
          <w:rFonts w:ascii="Garamond" w:hAnsi="Garamond" w:cs="Times New Roman"/>
          <w:b/>
          <w:bCs/>
          <w:noProof/>
          <w:sz w:val="24"/>
          <w:szCs w:val="24"/>
          <w:lang w:val="sq-AL"/>
        </w:rPr>
        <w:t>Naureda Llagami</w:t>
      </w:r>
    </w:p>
    <w:p w14:paraId="28BD9A7F" w14:textId="3D4B60F8" w:rsidR="00983800" w:rsidRPr="00A15C5F" w:rsidRDefault="00983800" w:rsidP="00D177D3">
      <w:pPr>
        <w:tabs>
          <w:tab w:val="left" w:pos="6560"/>
          <w:tab w:val="left" w:pos="8300"/>
        </w:tabs>
        <w:spacing w:after="0" w:line="240" w:lineRule="auto"/>
        <w:ind w:firstLine="284"/>
        <w:jc w:val="right"/>
        <w:rPr>
          <w:rFonts w:ascii="Garamond" w:hAnsi="Garamond"/>
          <w:noProof/>
          <w:sz w:val="24"/>
          <w:szCs w:val="24"/>
          <w:lang w:val="sq-AL"/>
        </w:rPr>
      </w:pPr>
    </w:p>
    <w:sectPr w:rsidR="00983800" w:rsidRPr="00A15C5F" w:rsidSect="001754CE">
      <w:pgSz w:w="12240" w:h="15840"/>
      <w:pgMar w:top="1134"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56DD0D" w14:textId="77777777" w:rsidR="00A15C5F" w:rsidRDefault="00A15C5F" w:rsidP="00DD0F49">
      <w:pPr>
        <w:spacing w:after="0" w:line="240" w:lineRule="auto"/>
      </w:pPr>
      <w:r>
        <w:separator/>
      </w:r>
    </w:p>
  </w:endnote>
  <w:endnote w:type="continuationSeparator" w:id="0">
    <w:p w14:paraId="76B6C084" w14:textId="77777777" w:rsidR="00A15C5F" w:rsidRDefault="00A15C5F" w:rsidP="00DD0F49">
      <w:pPr>
        <w:spacing w:after="0" w:line="240" w:lineRule="auto"/>
      </w:pPr>
      <w:r>
        <w:continuationSeparator/>
      </w:r>
    </w:p>
  </w:endnote>
  <w:endnote w:type="continuationNotice" w:id="1">
    <w:p w14:paraId="7FCEC117" w14:textId="77777777" w:rsidR="00735BF6" w:rsidRDefault="00735B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C3D55" w14:textId="77777777" w:rsidR="00A15C5F" w:rsidRDefault="00A15C5F" w:rsidP="00DD0F49">
      <w:pPr>
        <w:spacing w:after="0" w:line="240" w:lineRule="auto"/>
      </w:pPr>
      <w:r>
        <w:separator/>
      </w:r>
    </w:p>
  </w:footnote>
  <w:footnote w:type="continuationSeparator" w:id="0">
    <w:p w14:paraId="14681B7E" w14:textId="77777777" w:rsidR="00A15C5F" w:rsidRDefault="00A15C5F" w:rsidP="00DD0F49">
      <w:pPr>
        <w:spacing w:after="0" w:line="240" w:lineRule="auto"/>
      </w:pPr>
      <w:r>
        <w:continuationSeparator/>
      </w:r>
    </w:p>
  </w:footnote>
  <w:footnote w:type="continuationNotice" w:id="1">
    <w:p w14:paraId="69957A53" w14:textId="77777777" w:rsidR="00735BF6" w:rsidRDefault="00735BF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01EBD"/>
    <w:multiLevelType w:val="hybridMultilevel"/>
    <w:tmpl w:val="C5841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28FF72CB"/>
    <w:multiLevelType w:val="hybridMultilevel"/>
    <w:tmpl w:val="2DD0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C2F08"/>
    <w:multiLevelType w:val="hybridMultilevel"/>
    <w:tmpl w:val="E33E4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251822"/>
    <w:multiLevelType w:val="hybridMultilevel"/>
    <w:tmpl w:val="0B5E9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5"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48602CB"/>
    <w:multiLevelType w:val="hybridMultilevel"/>
    <w:tmpl w:val="B27EF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874C8D"/>
    <w:multiLevelType w:val="hybridMultilevel"/>
    <w:tmpl w:val="8BFCC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1"/>
  </w:num>
  <w:num w:numId="4">
    <w:abstractNumId w:val="18"/>
  </w:num>
  <w:num w:numId="5">
    <w:abstractNumId w:val="2"/>
  </w:num>
  <w:num w:numId="6">
    <w:abstractNumId w:val="14"/>
  </w:num>
  <w:num w:numId="7">
    <w:abstractNumId w:val="16"/>
  </w:num>
  <w:num w:numId="8">
    <w:abstractNumId w:val="15"/>
  </w:num>
  <w:num w:numId="9">
    <w:abstractNumId w:val="13"/>
  </w:num>
  <w:num w:numId="10">
    <w:abstractNumId w:val="7"/>
  </w:num>
  <w:num w:numId="11">
    <w:abstractNumId w:val="19"/>
  </w:num>
  <w:num w:numId="12">
    <w:abstractNumId w:val="5"/>
  </w:num>
  <w:num w:numId="13">
    <w:abstractNumId w:val="3"/>
  </w:num>
  <w:num w:numId="14">
    <w:abstractNumId w:val="0"/>
  </w:num>
  <w:num w:numId="15">
    <w:abstractNumId w:val="6"/>
  </w:num>
  <w:num w:numId="16">
    <w:abstractNumId w:val="12"/>
  </w:num>
  <w:num w:numId="17">
    <w:abstractNumId w:val="17"/>
  </w:num>
  <w:num w:numId="18">
    <w:abstractNumId w:val="9"/>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6568C"/>
    <w:rsid w:val="000816BF"/>
    <w:rsid w:val="0008251C"/>
    <w:rsid w:val="00087DC1"/>
    <w:rsid w:val="000A01FF"/>
    <w:rsid w:val="000A1410"/>
    <w:rsid w:val="000B54A5"/>
    <w:rsid w:val="000D32B5"/>
    <w:rsid w:val="000D756B"/>
    <w:rsid w:val="00106CFF"/>
    <w:rsid w:val="00142A08"/>
    <w:rsid w:val="00144BA5"/>
    <w:rsid w:val="00152EA4"/>
    <w:rsid w:val="0016029D"/>
    <w:rsid w:val="00161A56"/>
    <w:rsid w:val="0017308B"/>
    <w:rsid w:val="001754CE"/>
    <w:rsid w:val="001B7B50"/>
    <w:rsid w:val="001C72DC"/>
    <w:rsid w:val="001D363E"/>
    <w:rsid w:val="001F26AD"/>
    <w:rsid w:val="001F56E9"/>
    <w:rsid w:val="00201EC9"/>
    <w:rsid w:val="00225F18"/>
    <w:rsid w:val="00226689"/>
    <w:rsid w:val="00233845"/>
    <w:rsid w:val="0024488B"/>
    <w:rsid w:val="0024524A"/>
    <w:rsid w:val="00246615"/>
    <w:rsid w:val="00264E6B"/>
    <w:rsid w:val="00277545"/>
    <w:rsid w:val="002926CC"/>
    <w:rsid w:val="00295F1F"/>
    <w:rsid w:val="002B21E2"/>
    <w:rsid w:val="002B4233"/>
    <w:rsid w:val="002D15FC"/>
    <w:rsid w:val="002E4800"/>
    <w:rsid w:val="003045BA"/>
    <w:rsid w:val="00316AFB"/>
    <w:rsid w:val="00316B03"/>
    <w:rsid w:val="003202C2"/>
    <w:rsid w:val="0032244E"/>
    <w:rsid w:val="00333413"/>
    <w:rsid w:val="003354A3"/>
    <w:rsid w:val="00370C38"/>
    <w:rsid w:val="003803F7"/>
    <w:rsid w:val="00381834"/>
    <w:rsid w:val="00381E9C"/>
    <w:rsid w:val="00382C1B"/>
    <w:rsid w:val="00387016"/>
    <w:rsid w:val="003A703F"/>
    <w:rsid w:val="003C7C80"/>
    <w:rsid w:val="003E4CF0"/>
    <w:rsid w:val="00440346"/>
    <w:rsid w:val="00453384"/>
    <w:rsid w:val="004609D3"/>
    <w:rsid w:val="00492096"/>
    <w:rsid w:val="004A0BFC"/>
    <w:rsid w:val="004C2D6F"/>
    <w:rsid w:val="004E3381"/>
    <w:rsid w:val="004E7F75"/>
    <w:rsid w:val="004F468B"/>
    <w:rsid w:val="004F472F"/>
    <w:rsid w:val="00505223"/>
    <w:rsid w:val="005074A3"/>
    <w:rsid w:val="00511348"/>
    <w:rsid w:val="00515781"/>
    <w:rsid w:val="00522795"/>
    <w:rsid w:val="00550F5D"/>
    <w:rsid w:val="00577C79"/>
    <w:rsid w:val="005940DE"/>
    <w:rsid w:val="005C305D"/>
    <w:rsid w:val="005D014C"/>
    <w:rsid w:val="005F5D7C"/>
    <w:rsid w:val="00601772"/>
    <w:rsid w:val="006022A2"/>
    <w:rsid w:val="00637450"/>
    <w:rsid w:val="006B2AB2"/>
    <w:rsid w:val="006F0BD6"/>
    <w:rsid w:val="006F3B2B"/>
    <w:rsid w:val="00700D5E"/>
    <w:rsid w:val="00724E19"/>
    <w:rsid w:val="00735BF6"/>
    <w:rsid w:val="0075622F"/>
    <w:rsid w:val="0077204E"/>
    <w:rsid w:val="00774799"/>
    <w:rsid w:val="00786912"/>
    <w:rsid w:val="00796232"/>
    <w:rsid w:val="00797704"/>
    <w:rsid w:val="00802999"/>
    <w:rsid w:val="008101DB"/>
    <w:rsid w:val="00816D75"/>
    <w:rsid w:val="00824E18"/>
    <w:rsid w:val="008303AE"/>
    <w:rsid w:val="00837177"/>
    <w:rsid w:val="00840E42"/>
    <w:rsid w:val="0085021C"/>
    <w:rsid w:val="0085709A"/>
    <w:rsid w:val="008B6791"/>
    <w:rsid w:val="008C5884"/>
    <w:rsid w:val="008F1F9B"/>
    <w:rsid w:val="008F6052"/>
    <w:rsid w:val="008F690E"/>
    <w:rsid w:val="009025DD"/>
    <w:rsid w:val="00923D57"/>
    <w:rsid w:val="00932BA7"/>
    <w:rsid w:val="00935CED"/>
    <w:rsid w:val="00950DB5"/>
    <w:rsid w:val="0095582C"/>
    <w:rsid w:val="009717F5"/>
    <w:rsid w:val="0097719C"/>
    <w:rsid w:val="0098025C"/>
    <w:rsid w:val="00983800"/>
    <w:rsid w:val="0099188E"/>
    <w:rsid w:val="009A14F7"/>
    <w:rsid w:val="009E0461"/>
    <w:rsid w:val="009E0487"/>
    <w:rsid w:val="00A13AC5"/>
    <w:rsid w:val="00A154E2"/>
    <w:rsid w:val="00A15711"/>
    <w:rsid w:val="00A15C5F"/>
    <w:rsid w:val="00A2320D"/>
    <w:rsid w:val="00A376D0"/>
    <w:rsid w:val="00A55C3E"/>
    <w:rsid w:val="00A631EC"/>
    <w:rsid w:val="00A65821"/>
    <w:rsid w:val="00A84176"/>
    <w:rsid w:val="00A87165"/>
    <w:rsid w:val="00A93AE2"/>
    <w:rsid w:val="00AC7EA1"/>
    <w:rsid w:val="00AD1AE8"/>
    <w:rsid w:val="00AE0C17"/>
    <w:rsid w:val="00AF2E7E"/>
    <w:rsid w:val="00AF6531"/>
    <w:rsid w:val="00B077D0"/>
    <w:rsid w:val="00B313C4"/>
    <w:rsid w:val="00B47B9E"/>
    <w:rsid w:val="00B64BFB"/>
    <w:rsid w:val="00B64C08"/>
    <w:rsid w:val="00B76039"/>
    <w:rsid w:val="00B8004D"/>
    <w:rsid w:val="00B91384"/>
    <w:rsid w:val="00B95A6E"/>
    <w:rsid w:val="00B97425"/>
    <w:rsid w:val="00BC57A3"/>
    <w:rsid w:val="00BD3B22"/>
    <w:rsid w:val="00BE669D"/>
    <w:rsid w:val="00C11BF4"/>
    <w:rsid w:val="00C50235"/>
    <w:rsid w:val="00C50398"/>
    <w:rsid w:val="00C60F00"/>
    <w:rsid w:val="00C719B3"/>
    <w:rsid w:val="00C76161"/>
    <w:rsid w:val="00C9670C"/>
    <w:rsid w:val="00CB5EE6"/>
    <w:rsid w:val="00CC1F4A"/>
    <w:rsid w:val="00CC24B3"/>
    <w:rsid w:val="00CD49A5"/>
    <w:rsid w:val="00CF1F68"/>
    <w:rsid w:val="00D06A8E"/>
    <w:rsid w:val="00D177D3"/>
    <w:rsid w:val="00D27DE2"/>
    <w:rsid w:val="00D32B8A"/>
    <w:rsid w:val="00D37944"/>
    <w:rsid w:val="00D557AB"/>
    <w:rsid w:val="00D77995"/>
    <w:rsid w:val="00DC519D"/>
    <w:rsid w:val="00DC6317"/>
    <w:rsid w:val="00DD0F49"/>
    <w:rsid w:val="00DE5209"/>
    <w:rsid w:val="00DF4094"/>
    <w:rsid w:val="00DF6B01"/>
    <w:rsid w:val="00DF7E6E"/>
    <w:rsid w:val="00E13B2C"/>
    <w:rsid w:val="00E242B1"/>
    <w:rsid w:val="00E42AA3"/>
    <w:rsid w:val="00E67D22"/>
    <w:rsid w:val="00E7047C"/>
    <w:rsid w:val="00E856A0"/>
    <w:rsid w:val="00E92080"/>
    <w:rsid w:val="00EB1412"/>
    <w:rsid w:val="00EB46E2"/>
    <w:rsid w:val="00EC1C60"/>
    <w:rsid w:val="00EE2178"/>
    <w:rsid w:val="00EF3999"/>
    <w:rsid w:val="00F16EDA"/>
    <w:rsid w:val="00F32B1D"/>
    <w:rsid w:val="00F45E3B"/>
    <w:rsid w:val="00F6066A"/>
    <w:rsid w:val="00F611F1"/>
    <w:rsid w:val="00F97BB6"/>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6729A856-9FB4-4208-8CA6-A1D5AD4D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6618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137</Nr_x002e__x0020_akti>
    <Data_x0020_e_x0020_Krijimit xmlns="0e656187-b300-4fb0-8bf4-3a50f872073c">2023-03-29T05:26:55Z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Tiranë</Titulli>
    <Modifikuesi xmlns="0e656187-b300-4fb0-8bf4-3a50f872073c">nevila.samarxhi</Modifikuesi>
    <Nr_x002e__x0020_prot_x0020_QBZ xmlns="0e656187-b300-4fb0-8bf4-3a50f872073c">470/3</Nr_x002e__x0020_prot_x0020_QBZ>
    <Data_x0020_e_x0020_Modifikimit xmlns="0e656187-b300-4fb0-8bf4-3a50f872073c">2023-03-29T05:42:27Z</Data_x0020_e_x0020_Modifikimit>
    <Dekretuar xmlns="0e656187-b300-4fb0-8bf4-3a50f872073c">false</Dekretuar>
    <Data xmlns="0e656187-b300-4fb0-8bf4-3a50f872073c">2023-03-27T22:00:00Z</Data>
    <Nr_x002e__x0020_protokolli_x0020_i_x0020_aktit xmlns="0e656187-b300-4fb0-8bf4-3a50f872073c">2054/9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EB6B7C1B15F4B7D8D41B3D0107163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B6B7C1B15F4B7D8D41B3D0107163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FD563-F7CB-4155-AF00-A361B19B5931}">
  <ds:schemaRefs>
    <ds:schemaRef ds:uri="http://purl.org/dc/dcmitype/"/>
    <ds:schemaRef ds:uri="http://purl.org/dc/terms/"/>
    <ds:schemaRef ds:uri="http://schemas.openxmlformats.org/package/2006/metadata/core-properties"/>
    <ds:schemaRef ds:uri="http://schemas.microsoft.com/office/2006/documentManagement/types"/>
    <ds:schemaRef ds:uri="http://purl.org/dc/elements/1.1/"/>
    <ds:schemaRef ds:uri="0e656187-b300-4fb0-8bf4-3a50f872073c"/>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392E8789-9877-4967-A626-7518E5BF4B8A}">
  <ds:schemaRefs>
    <ds:schemaRef ds:uri="http://schemas.microsoft.com/sharepoint/v3/contenttype/forms"/>
  </ds:schemaRefs>
</ds:datastoreItem>
</file>

<file path=customXml/itemProps3.xml><?xml version="1.0" encoding="utf-8"?>
<ds:datastoreItem xmlns:ds="http://schemas.openxmlformats.org/officeDocument/2006/customXml" ds:itemID="{B78849AE-9C2B-452A-9C05-A81678705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6203BB-7AD4-417C-965B-B0DBA7CBC762}">
  <ds:schemaRefs>
    <ds:schemaRef ds:uri="http://schemas.microsoft.com/sharepoint/v3/contenttype/forms"/>
  </ds:schemaRefs>
</ds:datastoreItem>
</file>

<file path=customXml/itemProps5.xml><?xml version="1.0" encoding="utf-8"?>
<ds:datastoreItem xmlns:ds="http://schemas.openxmlformats.org/officeDocument/2006/customXml" ds:itemID="{86F3BB3F-35F9-4295-ACB5-595881591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9A5C9D-04CF-4CAF-94F5-1CF2F327E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917</Words>
  <Characters>5229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18</cp:revision>
  <cp:lastPrinted>2023-03-27T08:11:00Z</cp:lastPrinted>
  <dcterms:created xsi:type="dcterms:W3CDTF">2023-03-21T12:12:00Z</dcterms:created>
  <dcterms:modified xsi:type="dcterms:W3CDTF">2023-03-29T06:10:00Z</dcterms:modified>
</cp:coreProperties>
</file>