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AFEF1" w14:textId="2C6F0EE3" w:rsidR="007265CB" w:rsidRPr="0009653C" w:rsidRDefault="007265CB" w:rsidP="008E6563">
      <w:pPr>
        <w:spacing w:after="0" w:line="240" w:lineRule="auto"/>
        <w:ind w:firstLine="284"/>
        <w:jc w:val="center"/>
        <w:rPr>
          <w:rFonts w:ascii="Garamond" w:eastAsia="Batang" w:hAnsi="Garamond" w:cs="Times New Roman"/>
          <w:b/>
          <w:color w:val="000000" w:themeColor="text1"/>
          <w:sz w:val="24"/>
          <w:szCs w:val="24"/>
          <w:lang w:val="sq-AL"/>
        </w:rPr>
      </w:pPr>
      <w:r w:rsidRPr="0009653C">
        <w:rPr>
          <w:rFonts w:ascii="Garamond" w:eastAsia="Batang" w:hAnsi="Garamond" w:cs="Times New Roman"/>
          <w:b/>
          <w:color w:val="000000" w:themeColor="text1"/>
          <w:sz w:val="24"/>
          <w:szCs w:val="24"/>
          <w:lang w:val="sq-AL"/>
        </w:rPr>
        <w:t>VENDIM</w:t>
      </w:r>
    </w:p>
    <w:p w14:paraId="44333CDE" w14:textId="2F221B55" w:rsidR="007265CB" w:rsidRPr="0009653C" w:rsidRDefault="007265CB" w:rsidP="008E6563">
      <w:pPr>
        <w:spacing w:after="0" w:line="240" w:lineRule="auto"/>
        <w:ind w:firstLine="284"/>
        <w:jc w:val="center"/>
        <w:rPr>
          <w:rFonts w:ascii="Garamond" w:eastAsia="Batang" w:hAnsi="Garamond" w:cs="Times New Roman"/>
          <w:b/>
          <w:bCs/>
          <w:color w:val="000000" w:themeColor="text1"/>
          <w:sz w:val="24"/>
          <w:szCs w:val="24"/>
          <w:lang w:val="sq-AL"/>
        </w:rPr>
      </w:pPr>
      <w:r w:rsidRPr="0009653C">
        <w:rPr>
          <w:rFonts w:ascii="Garamond" w:eastAsia="Batang" w:hAnsi="Garamond" w:cs="Times New Roman"/>
          <w:b/>
          <w:bCs/>
          <w:color w:val="000000" w:themeColor="text1"/>
          <w:sz w:val="24"/>
          <w:szCs w:val="24"/>
          <w:lang w:val="sq-AL"/>
        </w:rPr>
        <w:t xml:space="preserve">Nr. </w:t>
      </w:r>
      <w:r w:rsidR="00F11620" w:rsidRPr="0009653C">
        <w:rPr>
          <w:rFonts w:ascii="Garamond" w:eastAsia="Batang" w:hAnsi="Garamond" w:cs="Times New Roman"/>
          <w:b/>
          <w:bCs/>
          <w:color w:val="000000" w:themeColor="text1"/>
          <w:sz w:val="24"/>
          <w:szCs w:val="24"/>
          <w:lang w:val="sq-AL"/>
        </w:rPr>
        <w:t>204</w:t>
      </w:r>
      <w:r w:rsidR="00BD72A3" w:rsidRPr="0009653C">
        <w:rPr>
          <w:rFonts w:ascii="Garamond" w:eastAsia="Batang" w:hAnsi="Garamond" w:cs="Times New Roman"/>
          <w:b/>
          <w:bCs/>
          <w:color w:val="000000" w:themeColor="text1"/>
          <w:sz w:val="24"/>
          <w:szCs w:val="24"/>
          <w:lang w:val="sq-AL"/>
        </w:rPr>
        <w:t xml:space="preserve">, datë </w:t>
      </w:r>
      <w:r w:rsidR="00CF05FF" w:rsidRPr="0009653C">
        <w:rPr>
          <w:rFonts w:ascii="Garamond" w:eastAsia="Batang" w:hAnsi="Garamond" w:cs="Times New Roman"/>
          <w:b/>
          <w:bCs/>
          <w:color w:val="000000" w:themeColor="text1"/>
          <w:sz w:val="24"/>
          <w:szCs w:val="24"/>
          <w:lang w:val="sq-AL"/>
        </w:rPr>
        <w:t>10.4</w:t>
      </w:r>
      <w:r w:rsidR="00280F2A" w:rsidRPr="0009653C">
        <w:rPr>
          <w:rFonts w:ascii="Garamond" w:eastAsia="Batang" w:hAnsi="Garamond" w:cs="Times New Roman"/>
          <w:b/>
          <w:bCs/>
          <w:color w:val="000000" w:themeColor="text1"/>
          <w:sz w:val="24"/>
          <w:szCs w:val="24"/>
          <w:lang w:val="sq-AL"/>
        </w:rPr>
        <w:t>.2025</w:t>
      </w:r>
    </w:p>
    <w:p w14:paraId="61AF56A6" w14:textId="77777777" w:rsidR="0011138B" w:rsidRPr="0009653C" w:rsidRDefault="0011138B" w:rsidP="008E6563">
      <w:pPr>
        <w:spacing w:after="0" w:line="240" w:lineRule="auto"/>
        <w:ind w:firstLine="284"/>
        <w:contextualSpacing/>
        <w:jc w:val="center"/>
        <w:rPr>
          <w:rFonts w:ascii="Garamond" w:eastAsia="Times New Roman" w:hAnsi="Garamond" w:cs="Times New Roman"/>
          <w:b/>
          <w:sz w:val="24"/>
          <w:szCs w:val="24"/>
          <w:lang w:val="sq-AL"/>
        </w:rPr>
      </w:pPr>
    </w:p>
    <w:p w14:paraId="3D09F52C" w14:textId="768FFEBB" w:rsidR="0011138B" w:rsidRPr="0009653C" w:rsidRDefault="0011138B" w:rsidP="008E6563">
      <w:pPr>
        <w:spacing w:after="0" w:line="240" w:lineRule="auto"/>
        <w:ind w:firstLine="284"/>
        <w:contextualSpacing/>
        <w:jc w:val="center"/>
        <w:rPr>
          <w:rFonts w:ascii="Garamond" w:eastAsia="Times New Roman" w:hAnsi="Garamond" w:cs="Times New Roman"/>
          <w:b/>
          <w:sz w:val="24"/>
          <w:szCs w:val="24"/>
          <w:lang w:val="sq-AL"/>
        </w:rPr>
      </w:pPr>
      <w:r w:rsidRPr="0009653C">
        <w:rPr>
          <w:rFonts w:ascii="Garamond" w:eastAsia="Times New Roman" w:hAnsi="Garamond" w:cs="Times New Roman"/>
          <w:b/>
          <w:sz w:val="24"/>
          <w:szCs w:val="24"/>
          <w:lang w:val="sq-AL"/>
        </w:rPr>
        <w:t>MBI MIRATIMIN E RREGULLORES “</w:t>
      </w:r>
      <w:r w:rsidR="0096067E" w:rsidRPr="0009653C">
        <w:rPr>
          <w:rFonts w:ascii="Garamond" w:eastAsia="Times New Roman" w:hAnsi="Garamond" w:cs="Times New Roman"/>
          <w:b/>
          <w:sz w:val="24"/>
          <w:szCs w:val="24"/>
          <w:lang w:val="sq-AL"/>
        </w:rPr>
        <w:t>MBI</w:t>
      </w:r>
      <w:r w:rsidR="00280F2A" w:rsidRPr="0009653C">
        <w:rPr>
          <w:rFonts w:ascii="Garamond" w:eastAsia="Times New Roman" w:hAnsi="Garamond" w:cs="Times New Roman"/>
          <w:b/>
          <w:sz w:val="24"/>
          <w:szCs w:val="24"/>
          <w:lang w:val="sq-AL"/>
        </w:rPr>
        <w:t xml:space="preserve"> </w:t>
      </w:r>
      <w:r w:rsidR="007E0DBE" w:rsidRPr="0009653C">
        <w:rPr>
          <w:rFonts w:ascii="Garamond" w:eastAsia="Times New Roman" w:hAnsi="Garamond" w:cs="Times New Roman"/>
          <w:b/>
          <w:sz w:val="24"/>
          <w:szCs w:val="24"/>
          <w:lang w:val="sq-AL"/>
        </w:rPr>
        <w:t>ORGANIZIMIN DHE FUNKSIONIMIN E NJ</w:t>
      </w:r>
      <w:r w:rsidR="00BB5E39" w:rsidRPr="0009653C">
        <w:rPr>
          <w:rFonts w:ascii="Garamond" w:eastAsia="Times New Roman" w:hAnsi="Garamond" w:cs="Times New Roman"/>
          <w:b/>
          <w:sz w:val="24"/>
          <w:szCs w:val="24"/>
          <w:lang w:val="sq-AL"/>
        </w:rPr>
        <w:t>Ë</w:t>
      </w:r>
      <w:r w:rsidR="007E0DBE" w:rsidRPr="0009653C">
        <w:rPr>
          <w:rFonts w:ascii="Garamond" w:eastAsia="Times New Roman" w:hAnsi="Garamond" w:cs="Times New Roman"/>
          <w:b/>
          <w:sz w:val="24"/>
          <w:szCs w:val="24"/>
          <w:lang w:val="sq-AL"/>
        </w:rPr>
        <w:t>SIS</w:t>
      </w:r>
      <w:r w:rsidR="00BB5E39" w:rsidRPr="0009653C">
        <w:rPr>
          <w:rFonts w:ascii="Garamond" w:eastAsia="Times New Roman" w:hAnsi="Garamond" w:cs="Times New Roman"/>
          <w:b/>
          <w:sz w:val="24"/>
          <w:szCs w:val="24"/>
          <w:lang w:val="sq-AL"/>
        </w:rPr>
        <w:t>Ë</w:t>
      </w:r>
      <w:r w:rsidR="007E0DBE" w:rsidRPr="0009653C">
        <w:rPr>
          <w:rFonts w:ascii="Garamond" w:eastAsia="Times New Roman" w:hAnsi="Garamond" w:cs="Times New Roman"/>
          <w:b/>
          <w:sz w:val="24"/>
          <w:szCs w:val="24"/>
          <w:lang w:val="sq-AL"/>
        </w:rPr>
        <w:t xml:space="preserve"> S</w:t>
      </w:r>
      <w:r w:rsidR="00BB5E39" w:rsidRPr="0009653C">
        <w:rPr>
          <w:rFonts w:ascii="Garamond" w:eastAsia="Times New Roman" w:hAnsi="Garamond" w:cs="Times New Roman"/>
          <w:b/>
          <w:sz w:val="24"/>
          <w:szCs w:val="24"/>
          <w:lang w:val="sq-AL"/>
        </w:rPr>
        <w:t>Ë</w:t>
      </w:r>
      <w:r w:rsidR="007E0DBE" w:rsidRPr="0009653C">
        <w:rPr>
          <w:rFonts w:ascii="Garamond" w:eastAsia="Times New Roman" w:hAnsi="Garamond" w:cs="Times New Roman"/>
          <w:b/>
          <w:sz w:val="24"/>
          <w:szCs w:val="24"/>
          <w:lang w:val="sq-AL"/>
        </w:rPr>
        <w:t xml:space="preserve"> SH</w:t>
      </w:r>
      <w:r w:rsidR="00BB5E39" w:rsidRPr="0009653C">
        <w:rPr>
          <w:rFonts w:ascii="Garamond" w:eastAsia="Times New Roman" w:hAnsi="Garamond" w:cs="Times New Roman"/>
          <w:b/>
          <w:sz w:val="24"/>
          <w:szCs w:val="24"/>
          <w:lang w:val="sq-AL"/>
        </w:rPr>
        <w:t>Ë</w:t>
      </w:r>
      <w:r w:rsidR="007E0DBE" w:rsidRPr="0009653C">
        <w:rPr>
          <w:rFonts w:ascii="Garamond" w:eastAsia="Times New Roman" w:hAnsi="Garamond" w:cs="Times New Roman"/>
          <w:b/>
          <w:sz w:val="24"/>
          <w:szCs w:val="24"/>
          <w:lang w:val="sq-AL"/>
        </w:rPr>
        <w:t>RBIMIT LIGJOR</w:t>
      </w:r>
      <w:r w:rsidRPr="0009653C">
        <w:rPr>
          <w:rFonts w:ascii="Garamond" w:eastAsia="Times New Roman" w:hAnsi="Garamond" w:cs="Times New Roman"/>
          <w:b/>
          <w:sz w:val="24"/>
          <w:szCs w:val="24"/>
          <w:lang w:val="sq-AL"/>
        </w:rPr>
        <w:t>”</w:t>
      </w:r>
    </w:p>
    <w:p w14:paraId="420F6EA1" w14:textId="77777777" w:rsidR="0011138B" w:rsidRPr="0009653C" w:rsidRDefault="0011138B" w:rsidP="008E6563">
      <w:pPr>
        <w:shd w:val="clear" w:color="auto" w:fill="FFFFFF"/>
        <w:spacing w:after="0" w:line="240" w:lineRule="auto"/>
        <w:ind w:firstLine="284"/>
        <w:jc w:val="center"/>
        <w:rPr>
          <w:rFonts w:ascii="Garamond" w:eastAsia="Times New Roman" w:hAnsi="Garamond" w:cs="Times New Roman"/>
          <w:sz w:val="24"/>
          <w:szCs w:val="24"/>
          <w:lang w:val="sq-AL"/>
        </w:rPr>
      </w:pPr>
    </w:p>
    <w:p w14:paraId="46C151AA" w14:textId="717A09C7" w:rsidR="0011138B" w:rsidRPr="0009653C" w:rsidRDefault="0011138B" w:rsidP="008E6563">
      <w:pPr>
        <w:autoSpaceDE w:val="0"/>
        <w:autoSpaceDN w:val="0"/>
        <w:adjustRightInd w:val="0"/>
        <w:spacing w:after="0" w:line="240" w:lineRule="auto"/>
        <w:ind w:firstLine="284"/>
        <w:jc w:val="both"/>
        <w:rPr>
          <w:rFonts w:ascii="Garamond" w:eastAsia="Garamond" w:hAnsi="Garamond" w:cs="Times New Roman"/>
          <w:sz w:val="24"/>
          <w:szCs w:val="24"/>
          <w:lang w:val="sq-AL"/>
        </w:rPr>
      </w:pPr>
      <w:r w:rsidRPr="0009653C">
        <w:rPr>
          <w:rFonts w:ascii="Garamond" w:eastAsia="Garamond" w:hAnsi="Garamond" w:cs="Times New Roman"/>
          <w:sz w:val="24"/>
          <w:szCs w:val="24"/>
          <w:lang w:val="sq-AL"/>
        </w:rPr>
        <w:t xml:space="preserve">Këshilli i Lartë Gjyqësor, në mbështetje të </w:t>
      </w:r>
      <w:r w:rsidRPr="0009653C">
        <w:rPr>
          <w:rFonts w:ascii="Garamond" w:eastAsia="Times New Roman" w:hAnsi="Garamond" w:cs="Times New Roman"/>
          <w:sz w:val="24"/>
          <w:szCs w:val="24"/>
          <w:lang w:val="sq-AL"/>
        </w:rPr>
        <w:t>nenit 147/a të Kushtetutës së Repu</w:t>
      </w:r>
      <w:r w:rsidR="00940ADA" w:rsidRPr="0009653C">
        <w:rPr>
          <w:rFonts w:ascii="Garamond" w:eastAsia="Times New Roman" w:hAnsi="Garamond" w:cs="Times New Roman"/>
          <w:sz w:val="24"/>
          <w:szCs w:val="24"/>
          <w:lang w:val="sq-AL"/>
        </w:rPr>
        <w:t>blikës së Shqipërisë”, nenit</w:t>
      </w:r>
      <w:r w:rsidR="007E0DBE" w:rsidRPr="0009653C">
        <w:rPr>
          <w:rFonts w:ascii="Garamond" w:eastAsia="Times New Roman" w:hAnsi="Garamond" w:cs="Times New Roman"/>
          <w:sz w:val="24"/>
          <w:szCs w:val="24"/>
          <w:lang w:val="sq-AL"/>
        </w:rPr>
        <w:t xml:space="preserve"> 42</w:t>
      </w:r>
      <w:r w:rsidR="00A164C8">
        <w:rPr>
          <w:rFonts w:ascii="Garamond" w:eastAsia="Times New Roman" w:hAnsi="Garamond" w:cs="Times New Roman"/>
          <w:sz w:val="24"/>
          <w:szCs w:val="24"/>
          <w:lang w:val="sq-AL"/>
        </w:rPr>
        <w:t>,</w:t>
      </w:r>
      <w:r w:rsidRPr="0009653C">
        <w:rPr>
          <w:rFonts w:ascii="Garamond" w:eastAsia="Times New Roman" w:hAnsi="Garamond" w:cs="Times New Roman"/>
          <w:sz w:val="24"/>
          <w:szCs w:val="24"/>
          <w:lang w:val="sq-AL"/>
        </w:rPr>
        <w:t xml:space="preserve"> </w:t>
      </w:r>
      <w:r w:rsidRPr="0009653C">
        <w:rPr>
          <w:rFonts w:ascii="Garamond" w:eastAsia="Garamond" w:hAnsi="Garamond" w:cs="Times New Roman"/>
          <w:sz w:val="24"/>
          <w:szCs w:val="24"/>
          <w:lang w:val="sq-AL"/>
        </w:rPr>
        <w:t xml:space="preserve">të ligjit </w:t>
      </w:r>
      <w:r w:rsidRPr="0009653C">
        <w:rPr>
          <w:rFonts w:ascii="Garamond" w:eastAsia="Times New Roman" w:hAnsi="Garamond" w:cs="Times New Roman"/>
          <w:bCs/>
          <w:sz w:val="24"/>
          <w:szCs w:val="24"/>
          <w:lang w:val="sq-AL"/>
        </w:rPr>
        <w:t>nr.</w:t>
      </w:r>
      <w:r w:rsidR="00344099" w:rsidRPr="0009653C">
        <w:rPr>
          <w:rFonts w:ascii="Garamond" w:eastAsia="Times New Roman" w:hAnsi="Garamond" w:cs="Times New Roman"/>
          <w:bCs/>
          <w:sz w:val="24"/>
          <w:szCs w:val="24"/>
          <w:lang w:val="sq-AL"/>
        </w:rPr>
        <w:t xml:space="preserve"> </w:t>
      </w:r>
      <w:r w:rsidRPr="0009653C">
        <w:rPr>
          <w:rFonts w:ascii="Garamond" w:eastAsia="Times New Roman" w:hAnsi="Garamond" w:cs="Times New Roman"/>
          <w:bCs/>
          <w:sz w:val="24"/>
          <w:szCs w:val="24"/>
          <w:lang w:val="sq-AL"/>
        </w:rPr>
        <w:t>98/2016</w:t>
      </w:r>
      <w:r w:rsidR="00A164C8">
        <w:rPr>
          <w:rFonts w:ascii="Garamond" w:eastAsia="Times New Roman" w:hAnsi="Garamond" w:cs="Times New Roman"/>
          <w:bCs/>
          <w:sz w:val="24"/>
          <w:szCs w:val="24"/>
          <w:lang w:val="sq-AL"/>
        </w:rPr>
        <w:t>,</w:t>
      </w:r>
      <w:r w:rsidRPr="0009653C">
        <w:rPr>
          <w:rFonts w:ascii="Garamond" w:eastAsia="Times New Roman" w:hAnsi="Garamond" w:cs="Times New Roman"/>
          <w:bCs/>
          <w:sz w:val="24"/>
          <w:szCs w:val="24"/>
          <w:lang w:val="sq-AL"/>
        </w:rPr>
        <w:t xml:space="preserve"> “Për organizimin e pushtetit gjyqësor në Republikën e Shqipërisë”</w:t>
      </w:r>
      <w:r w:rsidRPr="0009653C">
        <w:rPr>
          <w:rFonts w:ascii="Garamond" w:eastAsia="Garamond" w:hAnsi="Garamond" w:cs="Times New Roman"/>
          <w:sz w:val="24"/>
          <w:szCs w:val="24"/>
          <w:lang w:val="sq-AL"/>
        </w:rPr>
        <w:t xml:space="preserve">, i ndryshuar, </w:t>
      </w:r>
      <w:r w:rsidR="00344099" w:rsidRPr="0009653C">
        <w:rPr>
          <w:rFonts w:ascii="Garamond" w:eastAsia="Garamond" w:hAnsi="Garamond" w:cs="Times New Roman"/>
          <w:sz w:val="24"/>
          <w:szCs w:val="24"/>
          <w:lang w:val="sq-AL"/>
        </w:rPr>
        <w:t xml:space="preserve">nenit </w:t>
      </w:r>
      <w:r w:rsidR="00344099" w:rsidRPr="0009653C">
        <w:rPr>
          <w:rFonts w:ascii="Garamond" w:eastAsia="Times New Roman" w:hAnsi="Garamond" w:cs="Times New Roman"/>
          <w:sz w:val="24"/>
          <w:szCs w:val="24"/>
          <w:lang w:val="sq-AL"/>
        </w:rPr>
        <w:t xml:space="preserve">61, pika 2, </w:t>
      </w:r>
      <w:r w:rsidR="00280F2A" w:rsidRPr="0009653C">
        <w:rPr>
          <w:rFonts w:ascii="Garamond" w:eastAsia="Times New Roman" w:hAnsi="Garamond" w:cs="Times New Roman"/>
          <w:sz w:val="24"/>
          <w:szCs w:val="24"/>
          <w:lang w:val="sq-AL"/>
        </w:rPr>
        <w:t xml:space="preserve">shkronja </w:t>
      </w:r>
      <w:r w:rsidR="0009653C" w:rsidRPr="0009653C">
        <w:rPr>
          <w:rFonts w:ascii="Garamond" w:eastAsia="Times New Roman" w:hAnsi="Garamond" w:cs="Times New Roman"/>
          <w:sz w:val="24"/>
          <w:szCs w:val="24"/>
          <w:lang w:val="sq-AL"/>
        </w:rPr>
        <w:t>“</w:t>
      </w:r>
      <w:r w:rsidR="00280F2A" w:rsidRPr="0009653C">
        <w:rPr>
          <w:rFonts w:ascii="Garamond" w:eastAsia="Times New Roman" w:hAnsi="Garamond" w:cs="Times New Roman"/>
          <w:sz w:val="24"/>
          <w:szCs w:val="24"/>
          <w:lang w:val="sq-AL"/>
        </w:rPr>
        <w:t>ë</w:t>
      </w:r>
      <w:r w:rsidR="0009653C" w:rsidRPr="0009653C">
        <w:rPr>
          <w:rFonts w:ascii="Garamond" w:eastAsia="Times New Roman" w:hAnsi="Garamond" w:cs="Times New Roman"/>
          <w:sz w:val="24"/>
          <w:szCs w:val="24"/>
          <w:lang w:val="sq-AL"/>
        </w:rPr>
        <w:t>”</w:t>
      </w:r>
      <w:r w:rsidR="00344099" w:rsidRPr="0009653C">
        <w:rPr>
          <w:rFonts w:ascii="Garamond" w:eastAsia="Times New Roman" w:hAnsi="Garamond" w:cs="Times New Roman"/>
          <w:sz w:val="24"/>
          <w:szCs w:val="24"/>
          <w:lang w:val="sq-AL"/>
        </w:rPr>
        <w:t xml:space="preserve">, nenit </w:t>
      </w:r>
      <w:r w:rsidR="00344099" w:rsidRPr="0009653C">
        <w:rPr>
          <w:rFonts w:ascii="Garamond" w:eastAsia="Garamond" w:hAnsi="Garamond" w:cs="Times New Roman"/>
          <w:sz w:val="24"/>
          <w:szCs w:val="24"/>
          <w:lang w:val="sq-AL"/>
        </w:rPr>
        <w:t xml:space="preserve">90, </w:t>
      </w:r>
      <w:r w:rsidR="0096067E" w:rsidRPr="0009653C">
        <w:rPr>
          <w:rFonts w:ascii="Garamond" w:eastAsia="Garamond" w:hAnsi="Garamond" w:cs="Times New Roman"/>
          <w:sz w:val="24"/>
          <w:szCs w:val="24"/>
          <w:lang w:val="sq-AL"/>
        </w:rPr>
        <w:t xml:space="preserve">nenit </w:t>
      </w:r>
      <w:r w:rsidR="009B1F0A" w:rsidRPr="0009653C">
        <w:rPr>
          <w:rFonts w:ascii="Garamond" w:eastAsia="Garamond" w:hAnsi="Garamond" w:cs="Times New Roman"/>
          <w:sz w:val="24"/>
          <w:szCs w:val="24"/>
          <w:lang w:val="sq-AL"/>
        </w:rPr>
        <w:t>9</w:t>
      </w:r>
      <w:r w:rsidR="00330738" w:rsidRPr="0009653C">
        <w:rPr>
          <w:rFonts w:ascii="Garamond" w:eastAsia="Garamond" w:hAnsi="Garamond" w:cs="Times New Roman"/>
          <w:sz w:val="24"/>
          <w:szCs w:val="24"/>
          <w:lang w:val="sq-AL"/>
        </w:rPr>
        <w:t>7</w:t>
      </w:r>
      <w:r w:rsidR="0089037D">
        <w:rPr>
          <w:rFonts w:ascii="Garamond" w:eastAsia="Garamond" w:hAnsi="Garamond" w:cs="Times New Roman"/>
          <w:sz w:val="24"/>
          <w:szCs w:val="24"/>
          <w:lang w:val="sq-AL"/>
        </w:rPr>
        <w:t>,</w:t>
      </w:r>
      <w:r w:rsidR="009B1F0A" w:rsidRPr="0009653C">
        <w:rPr>
          <w:rFonts w:ascii="Garamond" w:eastAsia="Garamond" w:hAnsi="Garamond" w:cs="Times New Roman"/>
          <w:sz w:val="24"/>
          <w:szCs w:val="24"/>
          <w:lang w:val="sq-AL"/>
        </w:rPr>
        <w:t xml:space="preserve"> pika 1</w:t>
      </w:r>
      <w:r w:rsidR="00330738" w:rsidRPr="0009653C">
        <w:rPr>
          <w:rFonts w:ascii="Garamond" w:eastAsia="Garamond" w:hAnsi="Garamond" w:cs="Times New Roman"/>
          <w:sz w:val="24"/>
          <w:szCs w:val="24"/>
          <w:lang w:val="sq-AL"/>
        </w:rPr>
        <w:t xml:space="preserve">, shkronja </w:t>
      </w:r>
      <w:r w:rsidR="0009653C" w:rsidRPr="0009653C">
        <w:rPr>
          <w:rFonts w:ascii="Garamond" w:eastAsia="Garamond" w:hAnsi="Garamond" w:cs="Times New Roman"/>
          <w:sz w:val="24"/>
          <w:szCs w:val="24"/>
          <w:lang w:val="sq-AL"/>
        </w:rPr>
        <w:t>“</w:t>
      </w:r>
      <w:r w:rsidR="00330738" w:rsidRPr="0009653C">
        <w:rPr>
          <w:rFonts w:ascii="Garamond" w:eastAsia="Garamond" w:hAnsi="Garamond" w:cs="Times New Roman"/>
          <w:sz w:val="24"/>
          <w:szCs w:val="24"/>
          <w:lang w:val="sq-AL"/>
        </w:rPr>
        <w:t>c</w:t>
      </w:r>
      <w:r w:rsidR="0009653C" w:rsidRPr="0009653C">
        <w:rPr>
          <w:rFonts w:ascii="Garamond" w:eastAsia="Garamond" w:hAnsi="Garamond" w:cs="Times New Roman"/>
          <w:sz w:val="24"/>
          <w:szCs w:val="24"/>
          <w:lang w:val="sq-AL"/>
        </w:rPr>
        <w:t>”,</w:t>
      </w:r>
      <w:r w:rsidR="009B1F0A" w:rsidRPr="0009653C">
        <w:rPr>
          <w:rFonts w:ascii="Garamond" w:eastAsia="Garamond" w:hAnsi="Garamond" w:cs="Times New Roman"/>
          <w:sz w:val="24"/>
          <w:szCs w:val="24"/>
          <w:lang w:val="sq-AL"/>
        </w:rPr>
        <w:t xml:space="preserve"> të </w:t>
      </w:r>
      <w:r w:rsidR="009B1F0A" w:rsidRPr="0009653C">
        <w:rPr>
          <w:rFonts w:ascii="Garamond" w:eastAsia="Times New Roman" w:hAnsi="Garamond" w:cs="Times New Roman"/>
          <w:bCs/>
          <w:sz w:val="24"/>
          <w:szCs w:val="24"/>
          <w:lang w:val="sq-AL"/>
        </w:rPr>
        <w:t>ligjit nr.</w:t>
      </w:r>
      <w:r w:rsidR="0009653C" w:rsidRPr="0009653C">
        <w:rPr>
          <w:rFonts w:ascii="Garamond" w:eastAsia="Times New Roman" w:hAnsi="Garamond" w:cs="Times New Roman"/>
          <w:bCs/>
          <w:sz w:val="24"/>
          <w:szCs w:val="24"/>
          <w:lang w:val="sq-AL"/>
        </w:rPr>
        <w:t xml:space="preserve"> </w:t>
      </w:r>
      <w:r w:rsidR="009B1F0A" w:rsidRPr="0009653C">
        <w:rPr>
          <w:rFonts w:ascii="Garamond" w:eastAsia="Times New Roman" w:hAnsi="Garamond" w:cs="Times New Roman"/>
          <w:bCs/>
          <w:sz w:val="24"/>
          <w:szCs w:val="24"/>
          <w:lang w:val="sq-AL"/>
        </w:rPr>
        <w:t>115/2016</w:t>
      </w:r>
      <w:r w:rsidR="0009653C" w:rsidRPr="0009653C">
        <w:rPr>
          <w:rFonts w:ascii="Garamond" w:eastAsia="Times New Roman" w:hAnsi="Garamond" w:cs="Times New Roman"/>
          <w:bCs/>
          <w:sz w:val="24"/>
          <w:szCs w:val="24"/>
          <w:lang w:val="sq-AL"/>
        </w:rPr>
        <w:t>,</w:t>
      </w:r>
      <w:r w:rsidR="009B1F0A" w:rsidRPr="0009653C">
        <w:rPr>
          <w:rFonts w:ascii="Garamond" w:eastAsia="Times New Roman" w:hAnsi="Garamond" w:cs="Times New Roman"/>
          <w:bCs/>
          <w:sz w:val="24"/>
          <w:szCs w:val="24"/>
          <w:lang w:val="sq-AL"/>
        </w:rPr>
        <w:t xml:space="preserve"> “</w:t>
      </w:r>
      <w:r w:rsidR="009B1F0A" w:rsidRPr="0009653C">
        <w:rPr>
          <w:rFonts w:ascii="Garamond" w:eastAsia="Times New Roman" w:hAnsi="Garamond" w:cs="Times New Roman"/>
          <w:sz w:val="24"/>
          <w:szCs w:val="24"/>
          <w:lang w:val="sq-AL"/>
        </w:rPr>
        <w:t>Për organet e qeverisjes të sistemit të drejtësisë</w:t>
      </w:r>
      <w:r w:rsidR="009B1F0A" w:rsidRPr="0009653C">
        <w:rPr>
          <w:rFonts w:ascii="Garamond" w:eastAsia="Times New Roman" w:hAnsi="Garamond" w:cs="Times New Roman"/>
          <w:bCs/>
          <w:sz w:val="24"/>
          <w:szCs w:val="24"/>
          <w:lang w:val="sq-AL"/>
        </w:rPr>
        <w:t xml:space="preserve">”, </w:t>
      </w:r>
      <w:r w:rsidRPr="0009653C">
        <w:rPr>
          <w:rFonts w:ascii="Garamond" w:eastAsia="Garamond" w:hAnsi="Garamond" w:cs="Times New Roman"/>
          <w:sz w:val="24"/>
          <w:szCs w:val="24"/>
          <w:lang w:val="sq-AL"/>
        </w:rPr>
        <w:t xml:space="preserve">me propozim të </w:t>
      </w:r>
      <w:r w:rsidR="009C4337" w:rsidRPr="0009653C">
        <w:rPr>
          <w:rFonts w:ascii="Garamond" w:eastAsia="Garamond" w:hAnsi="Garamond" w:cs="Times New Roman"/>
          <w:sz w:val="24"/>
          <w:szCs w:val="24"/>
          <w:lang w:val="sq-AL"/>
        </w:rPr>
        <w:t>an</w:t>
      </w:r>
      <w:r w:rsidR="00344099" w:rsidRPr="0009653C">
        <w:rPr>
          <w:rFonts w:ascii="Garamond" w:eastAsia="Garamond" w:hAnsi="Garamond" w:cs="Times New Roman"/>
          <w:sz w:val="24"/>
          <w:szCs w:val="24"/>
          <w:lang w:val="sq-AL"/>
        </w:rPr>
        <w:t>ë</w:t>
      </w:r>
      <w:r w:rsidR="009C4337" w:rsidRPr="0009653C">
        <w:rPr>
          <w:rFonts w:ascii="Garamond" w:eastAsia="Garamond" w:hAnsi="Garamond" w:cs="Times New Roman"/>
          <w:sz w:val="24"/>
          <w:szCs w:val="24"/>
          <w:lang w:val="sq-AL"/>
        </w:rPr>
        <w:t>tar</w:t>
      </w:r>
      <w:r w:rsidR="00344099" w:rsidRPr="0009653C">
        <w:rPr>
          <w:rFonts w:ascii="Garamond" w:eastAsia="Garamond" w:hAnsi="Garamond" w:cs="Times New Roman"/>
          <w:sz w:val="24"/>
          <w:szCs w:val="24"/>
          <w:lang w:val="sq-AL"/>
        </w:rPr>
        <w:t>ë</w:t>
      </w:r>
      <w:r w:rsidR="009C4337" w:rsidRPr="0009653C">
        <w:rPr>
          <w:rFonts w:ascii="Garamond" w:eastAsia="Garamond" w:hAnsi="Garamond" w:cs="Times New Roman"/>
          <w:sz w:val="24"/>
          <w:szCs w:val="24"/>
          <w:lang w:val="sq-AL"/>
        </w:rPr>
        <w:t>ve znj. Gentiana Muçaj, znj. Irena Plaku dhe znj. Violanda Theodhori,</w:t>
      </w:r>
      <w:r w:rsidRPr="0009653C">
        <w:rPr>
          <w:rFonts w:ascii="Garamond" w:eastAsia="Garamond" w:hAnsi="Garamond" w:cs="Times New Roman"/>
          <w:sz w:val="24"/>
          <w:szCs w:val="24"/>
          <w:lang w:val="sq-AL"/>
        </w:rPr>
        <w:t xml:space="preserve"> </w:t>
      </w:r>
    </w:p>
    <w:p w14:paraId="7CD764BA" w14:textId="77777777" w:rsidR="00ED5955" w:rsidRPr="0009653C" w:rsidRDefault="00ED5955" w:rsidP="008E6563">
      <w:pPr>
        <w:autoSpaceDE w:val="0"/>
        <w:autoSpaceDN w:val="0"/>
        <w:adjustRightInd w:val="0"/>
        <w:spacing w:after="0" w:line="240" w:lineRule="auto"/>
        <w:ind w:firstLine="284"/>
        <w:jc w:val="both"/>
        <w:rPr>
          <w:rFonts w:ascii="Garamond" w:eastAsia="Times New Roman" w:hAnsi="Garamond" w:cs="Times New Roman"/>
          <w:sz w:val="24"/>
          <w:szCs w:val="24"/>
          <w:lang w:val="sq-AL"/>
        </w:rPr>
      </w:pPr>
    </w:p>
    <w:p w14:paraId="0166C65F" w14:textId="77777777" w:rsidR="0011138B" w:rsidRPr="0009653C" w:rsidRDefault="0011138B" w:rsidP="008E6563">
      <w:pPr>
        <w:spacing w:after="0" w:line="240" w:lineRule="auto"/>
        <w:ind w:firstLine="284"/>
        <w:jc w:val="center"/>
        <w:rPr>
          <w:rFonts w:ascii="Garamond" w:eastAsia="Times New Roman" w:hAnsi="Garamond" w:cs="Times New Roman"/>
          <w:sz w:val="24"/>
          <w:szCs w:val="24"/>
          <w:lang w:val="sq-AL"/>
        </w:rPr>
      </w:pPr>
      <w:r w:rsidRPr="0009653C">
        <w:rPr>
          <w:rFonts w:ascii="Garamond" w:eastAsia="Times New Roman" w:hAnsi="Garamond" w:cs="Times New Roman"/>
          <w:sz w:val="24"/>
          <w:szCs w:val="24"/>
          <w:lang w:val="sq-AL"/>
        </w:rPr>
        <w:t>VENDOSI:</w:t>
      </w:r>
    </w:p>
    <w:p w14:paraId="5ED4D54B" w14:textId="77777777" w:rsidR="0011138B" w:rsidRPr="0009653C" w:rsidRDefault="0011138B" w:rsidP="008E6563">
      <w:pPr>
        <w:spacing w:after="0" w:line="240" w:lineRule="auto"/>
        <w:ind w:firstLine="284"/>
        <w:jc w:val="center"/>
        <w:rPr>
          <w:rFonts w:ascii="Garamond" w:eastAsia="Times New Roman" w:hAnsi="Garamond" w:cs="Times New Roman"/>
          <w:b/>
          <w:sz w:val="24"/>
          <w:szCs w:val="24"/>
          <w:lang w:val="sq-AL"/>
        </w:rPr>
      </w:pPr>
    </w:p>
    <w:p w14:paraId="0BB5B1AB" w14:textId="71D6194A" w:rsidR="0011138B" w:rsidRPr="0009653C" w:rsidRDefault="000E71C3" w:rsidP="008E6563">
      <w:pPr>
        <w:spacing w:after="0" w:line="240" w:lineRule="auto"/>
        <w:ind w:firstLine="284"/>
        <w:jc w:val="both"/>
        <w:rPr>
          <w:rFonts w:ascii="Garamond" w:eastAsia="Calibri" w:hAnsi="Garamond" w:cs="Times New Roman"/>
          <w:iCs/>
          <w:sz w:val="24"/>
          <w:szCs w:val="24"/>
          <w:lang w:val="sq-AL" w:bidi="en-US"/>
        </w:rPr>
      </w:pPr>
      <w:r w:rsidRPr="0009653C">
        <w:rPr>
          <w:rFonts w:ascii="Garamond" w:eastAsia="Times New Roman" w:hAnsi="Garamond" w:cs="Times New Roman"/>
          <w:sz w:val="24"/>
          <w:szCs w:val="24"/>
          <w:lang w:val="sq-AL"/>
        </w:rPr>
        <w:t xml:space="preserve">1. </w:t>
      </w:r>
      <w:r w:rsidR="0011138B" w:rsidRPr="0009653C">
        <w:rPr>
          <w:rFonts w:ascii="Garamond" w:eastAsia="Times New Roman" w:hAnsi="Garamond" w:cs="Times New Roman"/>
          <w:sz w:val="24"/>
          <w:szCs w:val="24"/>
          <w:lang w:val="sq-AL"/>
        </w:rPr>
        <w:t xml:space="preserve">Miratimin e </w:t>
      </w:r>
      <w:r w:rsidR="0009653C" w:rsidRPr="0009653C">
        <w:rPr>
          <w:rFonts w:ascii="Garamond" w:eastAsia="Times New Roman" w:hAnsi="Garamond" w:cs="Times New Roman"/>
          <w:sz w:val="24"/>
          <w:szCs w:val="24"/>
          <w:lang w:val="sq-AL"/>
        </w:rPr>
        <w:t>r</w:t>
      </w:r>
      <w:r w:rsidR="0011138B" w:rsidRPr="0009653C">
        <w:rPr>
          <w:rFonts w:ascii="Garamond" w:eastAsia="Times New Roman" w:hAnsi="Garamond" w:cs="Times New Roman"/>
          <w:sz w:val="24"/>
          <w:szCs w:val="24"/>
          <w:lang w:val="sq-AL"/>
        </w:rPr>
        <w:t>regullores “</w:t>
      </w:r>
      <w:r w:rsidR="0096067E" w:rsidRPr="0009653C">
        <w:rPr>
          <w:rFonts w:ascii="Garamond" w:eastAsia="Calibri" w:hAnsi="Garamond" w:cs="Times New Roman"/>
          <w:iCs/>
          <w:sz w:val="24"/>
          <w:szCs w:val="24"/>
          <w:lang w:val="sq-AL" w:bidi="en-US"/>
        </w:rPr>
        <w:t>Mbi organizimin dhe funksionimin e Nj</w:t>
      </w:r>
      <w:r w:rsidR="00BB5E39" w:rsidRPr="0009653C">
        <w:rPr>
          <w:rFonts w:ascii="Garamond" w:eastAsia="Calibri" w:hAnsi="Garamond" w:cs="Times New Roman"/>
          <w:iCs/>
          <w:sz w:val="24"/>
          <w:szCs w:val="24"/>
          <w:lang w:val="sq-AL" w:bidi="en-US"/>
        </w:rPr>
        <w:t>ë</w:t>
      </w:r>
      <w:r w:rsidR="0096067E" w:rsidRPr="0009653C">
        <w:rPr>
          <w:rFonts w:ascii="Garamond" w:eastAsia="Calibri" w:hAnsi="Garamond" w:cs="Times New Roman"/>
          <w:iCs/>
          <w:sz w:val="24"/>
          <w:szCs w:val="24"/>
          <w:lang w:val="sq-AL" w:bidi="en-US"/>
        </w:rPr>
        <w:t>sis</w:t>
      </w:r>
      <w:r w:rsidR="00BB5E39" w:rsidRPr="0009653C">
        <w:rPr>
          <w:rFonts w:ascii="Garamond" w:eastAsia="Calibri" w:hAnsi="Garamond" w:cs="Times New Roman"/>
          <w:iCs/>
          <w:sz w:val="24"/>
          <w:szCs w:val="24"/>
          <w:lang w:val="sq-AL" w:bidi="en-US"/>
        </w:rPr>
        <w:t>ë</w:t>
      </w:r>
      <w:r w:rsidR="0096067E" w:rsidRPr="0009653C">
        <w:rPr>
          <w:rFonts w:ascii="Garamond" w:eastAsia="Calibri" w:hAnsi="Garamond" w:cs="Times New Roman"/>
          <w:iCs/>
          <w:sz w:val="24"/>
          <w:szCs w:val="24"/>
          <w:lang w:val="sq-AL" w:bidi="en-US"/>
        </w:rPr>
        <w:t xml:space="preserve"> s</w:t>
      </w:r>
      <w:r w:rsidR="00BB5E39" w:rsidRPr="0009653C">
        <w:rPr>
          <w:rFonts w:ascii="Garamond" w:eastAsia="Calibri" w:hAnsi="Garamond" w:cs="Times New Roman"/>
          <w:iCs/>
          <w:sz w:val="24"/>
          <w:szCs w:val="24"/>
          <w:lang w:val="sq-AL" w:bidi="en-US"/>
        </w:rPr>
        <w:t>ë</w:t>
      </w:r>
      <w:r w:rsidR="0096067E" w:rsidRPr="0009653C">
        <w:rPr>
          <w:rFonts w:ascii="Garamond" w:eastAsia="Calibri" w:hAnsi="Garamond" w:cs="Times New Roman"/>
          <w:iCs/>
          <w:sz w:val="24"/>
          <w:szCs w:val="24"/>
          <w:lang w:val="sq-AL" w:bidi="en-US"/>
        </w:rPr>
        <w:t xml:space="preserve"> Sh</w:t>
      </w:r>
      <w:r w:rsidR="00BB5E39" w:rsidRPr="0009653C">
        <w:rPr>
          <w:rFonts w:ascii="Garamond" w:eastAsia="Calibri" w:hAnsi="Garamond" w:cs="Times New Roman"/>
          <w:iCs/>
          <w:sz w:val="24"/>
          <w:szCs w:val="24"/>
          <w:lang w:val="sq-AL" w:bidi="en-US"/>
        </w:rPr>
        <w:t>ë</w:t>
      </w:r>
      <w:r w:rsidR="0096067E" w:rsidRPr="0009653C">
        <w:rPr>
          <w:rFonts w:ascii="Garamond" w:eastAsia="Calibri" w:hAnsi="Garamond" w:cs="Times New Roman"/>
          <w:iCs/>
          <w:sz w:val="24"/>
          <w:szCs w:val="24"/>
          <w:lang w:val="sq-AL" w:bidi="en-US"/>
        </w:rPr>
        <w:t>rbimit</w:t>
      </w:r>
      <w:r w:rsidR="000C1C2C" w:rsidRPr="0009653C">
        <w:rPr>
          <w:rFonts w:ascii="Garamond" w:eastAsia="Calibri" w:hAnsi="Garamond" w:cs="Times New Roman"/>
          <w:iCs/>
          <w:sz w:val="24"/>
          <w:szCs w:val="24"/>
          <w:lang w:val="sq-AL" w:bidi="en-US"/>
        </w:rPr>
        <w:t xml:space="preserve"> Ligjor</w:t>
      </w:r>
      <w:r w:rsidR="0011138B" w:rsidRPr="0009653C">
        <w:rPr>
          <w:rFonts w:ascii="Garamond" w:eastAsia="Calibri" w:hAnsi="Garamond" w:cs="Times New Roman"/>
          <w:iCs/>
          <w:sz w:val="24"/>
          <w:szCs w:val="24"/>
          <w:lang w:val="sq-AL" w:bidi="en-US"/>
        </w:rPr>
        <w:t>”</w:t>
      </w:r>
      <w:r w:rsidR="0089037D">
        <w:rPr>
          <w:rFonts w:ascii="Garamond" w:eastAsia="Calibri" w:hAnsi="Garamond" w:cs="Times New Roman"/>
          <w:iCs/>
          <w:sz w:val="24"/>
          <w:szCs w:val="24"/>
          <w:lang w:val="sq-AL" w:bidi="en-US"/>
        </w:rPr>
        <w:t>,</w:t>
      </w:r>
      <w:r w:rsidR="0011138B" w:rsidRPr="0009653C">
        <w:rPr>
          <w:rFonts w:ascii="Garamond" w:eastAsia="Calibri" w:hAnsi="Garamond" w:cs="Times New Roman"/>
          <w:iCs/>
          <w:sz w:val="24"/>
          <w:szCs w:val="24"/>
          <w:lang w:val="sq-AL" w:bidi="en-US"/>
        </w:rPr>
        <w:t xml:space="preserve"> sipas tekstit bashkëlidhur këtij vendimi.</w:t>
      </w:r>
    </w:p>
    <w:p w14:paraId="44AEE21A" w14:textId="19C0FEF9" w:rsidR="0011138B" w:rsidRPr="0009653C" w:rsidRDefault="0011138B" w:rsidP="008E6563">
      <w:pPr>
        <w:shd w:val="clear" w:color="auto" w:fill="FFFFFF"/>
        <w:spacing w:after="0" w:line="240" w:lineRule="auto"/>
        <w:ind w:firstLine="284"/>
        <w:jc w:val="both"/>
        <w:rPr>
          <w:rFonts w:ascii="Garamond" w:eastAsia="Times New Roman" w:hAnsi="Garamond" w:cs="Times New Roman"/>
          <w:sz w:val="24"/>
          <w:szCs w:val="24"/>
          <w:lang w:val="sq-AL"/>
        </w:rPr>
      </w:pPr>
      <w:r w:rsidRPr="0009653C">
        <w:rPr>
          <w:rFonts w:ascii="Garamond" w:eastAsia="Times New Roman" w:hAnsi="Garamond" w:cs="Times New Roman"/>
          <w:sz w:val="24"/>
          <w:szCs w:val="24"/>
          <w:lang w:val="sq-AL"/>
        </w:rPr>
        <w:t>Ky</w:t>
      </w:r>
      <w:r w:rsidR="00DC0E2C" w:rsidRPr="0009653C">
        <w:rPr>
          <w:rFonts w:ascii="Garamond" w:eastAsia="Times New Roman" w:hAnsi="Garamond" w:cs="Times New Roman"/>
          <w:sz w:val="24"/>
          <w:szCs w:val="24"/>
          <w:lang w:val="sq-AL"/>
        </w:rPr>
        <w:t xml:space="preserve"> vendim</w:t>
      </w:r>
      <w:r w:rsidRPr="0009653C">
        <w:rPr>
          <w:rFonts w:ascii="Garamond" w:eastAsia="Times New Roman" w:hAnsi="Garamond" w:cs="Times New Roman"/>
          <w:sz w:val="24"/>
          <w:szCs w:val="24"/>
          <w:lang w:val="sq-AL"/>
        </w:rPr>
        <w:t xml:space="preserve"> </w:t>
      </w:r>
      <w:r w:rsidR="00DC0E2C" w:rsidRPr="0009653C">
        <w:rPr>
          <w:rFonts w:ascii="Garamond" w:eastAsia="Times New Roman" w:hAnsi="Garamond" w:cs="Times New Roman"/>
          <w:sz w:val="24"/>
          <w:szCs w:val="24"/>
          <w:lang w:val="sq-AL"/>
        </w:rPr>
        <w:t xml:space="preserve">publikohet në faqen zyrtare të internetit të Këshillit të Lartë Gjyqësor dhe </w:t>
      </w:r>
      <w:r w:rsidRPr="0009653C">
        <w:rPr>
          <w:rFonts w:ascii="Garamond" w:eastAsia="Times New Roman" w:hAnsi="Garamond" w:cs="Times New Roman"/>
          <w:sz w:val="24"/>
          <w:szCs w:val="24"/>
          <w:lang w:val="sq-AL"/>
        </w:rPr>
        <w:t xml:space="preserve">hyn në fuqi në datën e botimit në Fletoren Zyrtare. </w:t>
      </w:r>
    </w:p>
    <w:p w14:paraId="1C02461D" w14:textId="77777777" w:rsidR="00BD72A3" w:rsidRPr="0009653C" w:rsidRDefault="00BD72A3" w:rsidP="008E6563">
      <w:pPr>
        <w:shd w:val="clear" w:color="auto" w:fill="FFFFFF"/>
        <w:spacing w:after="0" w:line="240" w:lineRule="auto"/>
        <w:ind w:firstLine="284"/>
        <w:jc w:val="both"/>
        <w:rPr>
          <w:rFonts w:ascii="Garamond" w:eastAsia="Times New Roman" w:hAnsi="Garamond" w:cs="Times New Roman"/>
          <w:b/>
          <w:sz w:val="24"/>
          <w:szCs w:val="24"/>
          <w:lang w:val="sq-AL"/>
        </w:rPr>
      </w:pPr>
    </w:p>
    <w:p w14:paraId="0424EB7F" w14:textId="77777777" w:rsidR="0011138B" w:rsidRPr="0009653C" w:rsidRDefault="0011138B" w:rsidP="008E6563">
      <w:pPr>
        <w:spacing w:after="0" w:line="240" w:lineRule="auto"/>
        <w:ind w:firstLine="284"/>
        <w:jc w:val="right"/>
        <w:rPr>
          <w:rFonts w:ascii="Garamond" w:eastAsia="Calibri" w:hAnsi="Garamond" w:cs="Times New Roman"/>
          <w:iCs/>
          <w:sz w:val="24"/>
          <w:szCs w:val="24"/>
          <w:lang w:val="sq-AL" w:bidi="en-US"/>
        </w:rPr>
      </w:pPr>
      <w:r w:rsidRPr="0009653C">
        <w:rPr>
          <w:rFonts w:ascii="Garamond" w:eastAsia="Calibri" w:hAnsi="Garamond" w:cs="Times New Roman"/>
          <w:iCs/>
          <w:sz w:val="24"/>
          <w:szCs w:val="24"/>
          <w:lang w:val="sq-AL" w:bidi="en-US"/>
        </w:rPr>
        <w:t>PËR KËSHILLIN E LARTË GJYQËSOR</w:t>
      </w:r>
    </w:p>
    <w:p w14:paraId="027B8FA0" w14:textId="759242B0" w:rsidR="0011138B" w:rsidRPr="0009653C" w:rsidRDefault="009C227E" w:rsidP="008E6563">
      <w:pPr>
        <w:tabs>
          <w:tab w:val="left" w:pos="6570"/>
          <w:tab w:val="left" w:pos="8310"/>
        </w:tabs>
        <w:spacing w:after="0" w:line="240" w:lineRule="auto"/>
        <w:ind w:firstLine="284"/>
        <w:jc w:val="right"/>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KRYETAR</w:t>
      </w:r>
    </w:p>
    <w:p w14:paraId="462280F7" w14:textId="062C8525" w:rsidR="0011138B" w:rsidRPr="0009653C" w:rsidRDefault="000E71C3" w:rsidP="008E6563">
      <w:pPr>
        <w:tabs>
          <w:tab w:val="left" w:pos="6570"/>
          <w:tab w:val="left" w:pos="8310"/>
        </w:tabs>
        <w:spacing w:after="0" w:line="240" w:lineRule="auto"/>
        <w:ind w:firstLine="284"/>
        <w:jc w:val="right"/>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Ilir Rusi</w:t>
      </w:r>
    </w:p>
    <w:p w14:paraId="5CBA7C2B"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bCs/>
          <w:iCs/>
          <w:sz w:val="24"/>
          <w:szCs w:val="24"/>
          <w:lang w:val="sq-AL" w:bidi="en-US"/>
        </w:rPr>
      </w:pPr>
    </w:p>
    <w:p w14:paraId="1C1E3313" w14:textId="6D5F267A"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bCs/>
          <w:iCs/>
          <w:sz w:val="24"/>
          <w:szCs w:val="24"/>
          <w:lang w:val="sq-AL" w:bidi="en-US"/>
        </w:rPr>
      </w:pPr>
      <w:r w:rsidRPr="0009653C">
        <w:rPr>
          <w:rFonts w:ascii="Garamond" w:eastAsia="MS Mincho" w:hAnsi="Garamond" w:cs="Times New Roman"/>
          <w:b/>
          <w:bCs/>
          <w:iCs/>
          <w:sz w:val="24"/>
          <w:szCs w:val="24"/>
          <w:lang w:val="sq-AL" w:bidi="en-US"/>
        </w:rPr>
        <w:t>RREGULLORE</w:t>
      </w:r>
    </w:p>
    <w:p w14:paraId="2C2273B0" w14:textId="36003B76" w:rsidR="008E6563" w:rsidRPr="0009653C" w:rsidRDefault="008E6563" w:rsidP="0009653C">
      <w:pPr>
        <w:tabs>
          <w:tab w:val="left" w:pos="6570"/>
          <w:tab w:val="left" w:pos="8310"/>
        </w:tabs>
        <w:spacing w:after="0" w:line="240" w:lineRule="auto"/>
        <w:rPr>
          <w:rFonts w:ascii="Garamond" w:eastAsia="MS Mincho" w:hAnsi="Garamond" w:cs="Times New Roman"/>
          <w:bCs/>
          <w:iCs/>
          <w:sz w:val="24"/>
          <w:szCs w:val="24"/>
          <w:lang w:val="sq-AL" w:bidi="en-US"/>
        </w:rPr>
      </w:pPr>
      <w:r w:rsidRPr="0009653C">
        <w:rPr>
          <w:rFonts w:ascii="Garamond" w:eastAsia="MS Mincho" w:hAnsi="Garamond" w:cs="Times New Roman"/>
          <w:bCs/>
          <w:iCs/>
          <w:sz w:val="24"/>
          <w:szCs w:val="24"/>
          <w:lang w:val="sq-AL" w:bidi="en-US"/>
        </w:rPr>
        <w:t>MBI</w:t>
      </w:r>
      <w:r w:rsidR="001576EF" w:rsidRPr="0009653C">
        <w:rPr>
          <w:rFonts w:ascii="Garamond" w:eastAsia="MS Mincho" w:hAnsi="Garamond" w:cs="Times New Roman"/>
          <w:bCs/>
          <w:iCs/>
          <w:sz w:val="24"/>
          <w:szCs w:val="24"/>
          <w:lang w:val="sq-AL" w:bidi="en-US"/>
        </w:rPr>
        <w:t xml:space="preserve"> </w:t>
      </w:r>
      <w:r w:rsidRPr="0009653C">
        <w:rPr>
          <w:rFonts w:ascii="Garamond" w:eastAsia="MS Mincho" w:hAnsi="Garamond" w:cs="Times New Roman"/>
          <w:bCs/>
          <w:iCs/>
          <w:sz w:val="24"/>
          <w:szCs w:val="24"/>
          <w:lang w:val="sq-AL" w:bidi="en-US"/>
        </w:rPr>
        <w:t>ORGANIZIMIN DHE FUNKSIONIMIN E NJËSISË SË SHËRBIMIT LIGJOR</w:t>
      </w:r>
    </w:p>
    <w:p w14:paraId="2910DACD"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bCs/>
          <w:iCs/>
          <w:sz w:val="24"/>
          <w:szCs w:val="24"/>
          <w:lang w:val="sq-AL" w:bidi="en-US"/>
        </w:rPr>
      </w:pPr>
    </w:p>
    <w:p w14:paraId="5460C5C4"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09653C">
        <w:rPr>
          <w:rFonts w:ascii="Garamond" w:eastAsia="MS Mincho" w:hAnsi="Garamond" w:cs="Times New Roman"/>
          <w:bCs/>
          <w:iCs/>
          <w:sz w:val="24"/>
          <w:szCs w:val="24"/>
          <w:lang w:val="sq-AL" w:bidi="en-US"/>
        </w:rPr>
        <w:t>KREU I</w:t>
      </w:r>
    </w:p>
    <w:p w14:paraId="1F8FD343"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09653C">
        <w:rPr>
          <w:rFonts w:ascii="Garamond" w:eastAsia="MS Mincho" w:hAnsi="Garamond" w:cs="Times New Roman"/>
          <w:bCs/>
          <w:iCs/>
          <w:sz w:val="24"/>
          <w:szCs w:val="24"/>
          <w:lang w:val="sq-AL" w:bidi="en-US"/>
        </w:rPr>
        <w:t>DISPOZITA TË PËRGJITHSHME</w:t>
      </w:r>
    </w:p>
    <w:p w14:paraId="6BA869C2"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bCs/>
          <w:iCs/>
          <w:sz w:val="24"/>
          <w:szCs w:val="24"/>
          <w:lang w:val="sq-AL" w:bidi="en-US"/>
        </w:rPr>
      </w:pPr>
    </w:p>
    <w:p w14:paraId="36EE2F10"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1</w:t>
      </w:r>
    </w:p>
    <w:p w14:paraId="6A904EC1" w14:textId="26FE8B56"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Objekti dhe qëllimi</w:t>
      </w:r>
    </w:p>
    <w:p w14:paraId="3D2A2911"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15763AAF" w14:textId="28244A4B"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1. Objekt i kësaj rregulloreje është vendosja e rregullave të detajuara mbi: </w:t>
      </w:r>
    </w:p>
    <w:p w14:paraId="73B60651" w14:textId="13F0503C"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a) llojin dhe natyrën e detyrave dhe çështjeve për t</w:t>
      </w:r>
      <w:r w:rsidR="0009653C">
        <w:rPr>
          <w:rFonts w:ascii="Garamond" w:eastAsia="MS Mincho" w:hAnsi="Garamond" w:cs="Times New Roman"/>
          <w:iCs/>
          <w:sz w:val="24"/>
          <w:szCs w:val="24"/>
          <w:lang w:val="sq-AL" w:bidi="en-US"/>
        </w:rPr>
        <w:t>’</w:t>
      </w:r>
      <w:r w:rsidRPr="0009653C">
        <w:rPr>
          <w:rFonts w:ascii="Garamond" w:eastAsia="MS Mincho" w:hAnsi="Garamond" w:cs="Times New Roman"/>
          <w:iCs/>
          <w:sz w:val="24"/>
          <w:szCs w:val="24"/>
          <w:lang w:val="sq-AL" w:bidi="en-US"/>
        </w:rPr>
        <w:t>u përpunuar dhe përgatitur nga ndihmësit ligjorë;</w:t>
      </w:r>
    </w:p>
    <w:p w14:paraId="291D3ADA" w14:textId="522194BE"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b) kriteret dhe procedurat për ndarjen e çështjeve me short; </w:t>
      </w:r>
    </w:p>
    <w:p w14:paraId="6167868C" w14:textId="6CAB19D0"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c)</w:t>
      </w:r>
      <w:r w:rsidR="0009653C" w:rsidRPr="0009653C">
        <w:rPr>
          <w:rFonts w:ascii="Garamond" w:eastAsia="MS Mincho" w:hAnsi="Garamond" w:cs="Times New Roman"/>
          <w:iCs/>
          <w:sz w:val="24"/>
          <w:szCs w:val="24"/>
          <w:lang w:val="sq-AL" w:bidi="en-US"/>
        </w:rPr>
        <w:t xml:space="preserve"> </w:t>
      </w:r>
      <w:r w:rsidRPr="0009653C">
        <w:rPr>
          <w:rFonts w:ascii="Garamond" w:eastAsia="MS Mincho" w:hAnsi="Garamond" w:cs="Times New Roman"/>
          <w:iCs/>
          <w:sz w:val="24"/>
          <w:szCs w:val="24"/>
          <w:lang w:val="sq-AL" w:bidi="en-US"/>
        </w:rPr>
        <w:t>vlerësimin e ngarkesës së punës së ndihmësve ligjorë.</w:t>
      </w:r>
    </w:p>
    <w:p w14:paraId="5BA1A264" w14:textId="508340E3"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2. Qëllimi i kësaj rregulloreje është rritja e efikasitetit dhe cilësisë të veprimtarisë së gjykatës, si edhe garantimi i një procesi të drejtë dhe transparent në ndarjen e barabartë të ngarkesës së punës mes ndihmësve ligjorë.</w:t>
      </w:r>
    </w:p>
    <w:p w14:paraId="4C363AC2"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62DFC7FE" w14:textId="493D3565"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2</w:t>
      </w:r>
    </w:p>
    <w:p w14:paraId="3E084A2B"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Fusha e zbatimit</w:t>
      </w:r>
    </w:p>
    <w:p w14:paraId="5F1226DD"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5669E4EB"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Kjo rregullore zbatohet për të gjithë ndihmësit ligjorë në sistemin gjyqësor të Republikës së Shqipërisë, duke përfshirë gjykatat e juridiksionit të përgjithshëm dhe të posaçëm të shkallëve të para dhe të apelit.</w:t>
      </w:r>
    </w:p>
    <w:p w14:paraId="377FF625"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4312BD10"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3</w:t>
      </w:r>
    </w:p>
    <w:p w14:paraId="40EBDD90"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Përkufizime</w:t>
      </w:r>
    </w:p>
    <w:p w14:paraId="339FB37B"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10B54B2E"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Në këtë rregullore, termat e mëposhtëm kanë kuptimet e dhëna si më poshtë:</w:t>
      </w:r>
    </w:p>
    <w:p w14:paraId="1611E0DB" w14:textId="181E1F4C"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lastRenderedPageBreak/>
        <w:t>a) “Çështje” janë kërkesa ose mosmarrëveshje juridike të paraqitura në gjykatë të cilat</w:t>
      </w:r>
      <w:r w:rsidR="0009653C" w:rsidRPr="0009653C">
        <w:rPr>
          <w:rFonts w:ascii="Garamond" w:eastAsia="MS Mincho" w:hAnsi="Garamond" w:cs="Times New Roman"/>
          <w:iCs/>
          <w:sz w:val="24"/>
          <w:szCs w:val="24"/>
          <w:lang w:val="sq-AL" w:bidi="en-US"/>
        </w:rPr>
        <w:t xml:space="preserve"> </w:t>
      </w:r>
      <w:r w:rsidRPr="0009653C">
        <w:rPr>
          <w:rFonts w:ascii="Garamond" w:eastAsia="MS Mincho" w:hAnsi="Garamond" w:cs="Times New Roman"/>
          <w:iCs/>
          <w:sz w:val="24"/>
          <w:szCs w:val="24"/>
          <w:lang w:val="sq-AL" w:bidi="en-US"/>
        </w:rPr>
        <w:t>kërkojnë përpunim dhe përgatitje nga ndihmësit ligjorë;</w:t>
      </w:r>
    </w:p>
    <w:p w14:paraId="46EBED6D" w14:textId="53A1513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b) “Ndihmës ligjor” është ndihmësi që ushtron funksionin e</w:t>
      </w:r>
      <w:r w:rsidR="0009653C" w:rsidRPr="0009653C">
        <w:rPr>
          <w:rFonts w:ascii="Garamond" w:eastAsia="MS Mincho" w:hAnsi="Garamond" w:cs="Times New Roman"/>
          <w:iCs/>
          <w:sz w:val="24"/>
          <w:szCs w:val="24"/>
          <w:lang w:val="sq-AL" w:bidi="en-US"/>
        </w:rPr>
        <w:t xml:space="preserve"> </w:t>
      </w:r>
      <w:r w:rsidRPr="0009653C">
        <w:rPr>
          <w:rFonts w:ascii="Garamond" w:eastAsia="MS Mincho" w:hAnsi="Garamond" w:cs="Times New Roman"/>
          <w:iCs/>
          <w:sz w:val="24"/>
          <w:szCs w:val="24"/>
          <w:lang w:val="sq-AL" w:bidi="en-US"/>
        </w:rPr>
        <w:t>tij në njësinë e shërbimit ligjor pranë gjykatave të shkallës së parë dhe gjykatave të apelit;</w:t>
      </w:r>
    </w:p>
    <w:p w14:paraId="64004D74" w14:textId="70EB7ED6"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c) “Njësi e shërbimit ligjor” është </w:t>
      </w:r>
      <w:r w:rsidR="0009653C" w:rsidRPr="0009653C">
        <w:rPr>
          <w:rFonts w:ascii="Garamond" w:eastAsia="MS Mincho" w:hAnsi="Garamond" w:cs="Times New Roman"/>
          <w:iCs/>
          <w:sz w:val="24"/>
          <w:szCs w:val="24"/>
          <w:lang w:val="sq-AL" w:bidi="en-US"/>
        </w:rPr>
        <w:t>strukturë</w:t>
      </w:r>
      <w:r w:rsidRPr="0009653C">
        <w:rPr>
          <w:rFonts w:ascii="Garamond" w:eastAsia="MS Mincho" w:hAnsi="Garamond" w:cs="Times New Roman"/>
          <w:iCs/>
          <w:sz w:val="24"/>
          <w:szCs w:val="24"/>
          <w:lang w:val="sq-AL" w:bidi="en-US"/>
        </w:rPr>
        <w:t xml:space="preserve"> në gjykata e përbërë nga ndihmësit ligjorë që ushtron shërbime gjyqësore mbështetëse në procesin vendimmarrës të gjykatës;</w:t>
      </w:r>
    </w:p>
    <w:p w14:paraId="7AA859B1" w14:textId="464D6B99"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ç)</w:t>
      </w:r>
      <w:r w:rsidR="0009653C" w:rsidRPr="0009653C">
        <w:rPr>
          <w:rFonts w:ascii="Garamond" w:eastAsia="MS Mincho" w:hAnsi="Garamond" w:cs="Times New Roman"/>
          <w:iCs/>
          <w:sz w:val="24"/>
          <w:szCs w:val="24"/>
          <w:lang w:val="sq-AL" w:bidi="en-US"/>
        </w:rPr>
        <w:t xml:space="preserve"> </w:t>
      </w:r>
      <w:r w:rsidRPr="0009653C">
        <w:rPr>
          <w:rFonts w:ascii="Garamond" w:eastAsia="MS Mincho" w:hAnsi="Garamond" w:cs="Times New Roman"/>
          <w:iCs/>
          <w:sz w:val="24"/>
          <w:szCs w:val="24"/>
          <w:lang w:val="sq-AL" w:bidi="en-US"/>
        </w:rPr>
        <w:t xml:space="preserve">“Ngarkesë” është sasia mujore e punës, caktuar një ndihmësi ligjor bazuar në kritere sasiore dhe cilësore; </w:t>
      </w:r>
    </w:p>
    <w:p w14:paraId="2785D37D" w14:textId="685B5E40"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d) “Regjistër i veprimeve të ndihmësit ligjor” është dokumenti në të cilin shënohen dhe ruhen të dhënat e lëvizjes së çështjes prej ndihmësve ligjorë.</w:t>
      </w:r>
    </w:p>
    <w:p w14:paraId="540F235F"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p>
    <w:p w14:paraId="63CCDFDB"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4</w:t>
      </w:r>
    </w:p>
    <w:p w14:paraId="45B4C76C"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Parimet në ushtrimin e funksionit të ndihmësit ligjor</w:t>
      </w:r>
    </w:p>
    <w:p w14:paraId="43536588"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716AF070" w14:textId="51788CFA"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1. Veprimtaria e ndihmësve bazohet në parimet e profesionalizmit dhe përgjegjshmërisë, objektivitetit, barazisë, mosdiskriminimit, integritetit, llogaridhënies, konfidencialitetit, bashkëpunimit dhe efektivitetit.</w:t>
      </w:r>
    </w:p>
    <w:p w14:paraId="2E96F751" w14:textId="61B36585"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2. Gjatë ushtrimit të funksionit, ndihmësit janë të detyruar të shmangin çdo konflikt interesi, papajtueshmëri, si edhe të zbatojnë rregullat e etikës dhe të kufizimeve në detyrë ashtu si magjistrati.</w:t>
      </w:r>
    </w:p>
    <w:p w14:paraId="709AB75D"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7A795BEC"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09653C">
        <w:rPr>
          <w:rFonts w:ascii="Garamond" w:eastAsia="MS Mincho" w:hAnsi="Garamond" w:cs="Times New Roman"/>
          <w:bCs/>
          <w:iCs/>
          <w:sz w:val="24"/>
          <w:szCs w:val="24"/>
          <w:lang w:val="sq-AL" w:bidi="en-US"/>
        </w:rPr>
        <w:t>KREU II</w:t>
      </w:r>
    </w:p>
    <w:p w14:paraId="1CC877BB" w14:textId="77777777" w:rsidR="008E6563" w:rsidRPr="0030169E" w:rsidRDefault="008E6563" w:rsidP="008E6563">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30169E">
        <w:rPr>
          <w:rFonts w:ascii="Garamond" w:eastAsia="MS Mincho" w:hAnsi="Garamond" w:cs="Times New Roman"/>
          <w:bCs/>
          <w:iCs/>
          <w:sz w:val="24"/>
          <w:szCs w:val="24"/>
          <w:lang w:val="sq-AL" w:bidi="en-US"/>
        </w:rPr>
        <w:t>ORGANIZIMI DHE FUNKSIONIMI I NJËSISË SË SHËRBIMIT LIGJOR</w:t>
      </w:r>
    </w:p>
    <w:p w14:paraId="51A5F250"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bCs/>
          <w:iCs/>
          <w:sz w:val="24"/>
          <w:szCs w:val="24"/>
          <w:lang w:val="sq-AL" w:bidi="en-US"/>
        </w:rPr>
      </w:pPr>
    </w:p>
    <w:p w14:paraId="664DB56F"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5</w:t>
      </w:r>
    </w:p>
    <w:p w14:paraId="4E366360"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Organizimi i Njësisë së Shërbimit Ligjor</w:t>
      </w:r>
    </w:p>
    <w:p w14:paraId="178F43FA"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p>
    <w:p w14:paraId="6E2F8916" w14:textId="56B4DE1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1. Pranë gjykatave të shkallës së parë dhe gjykatave të apelit ngrihet dhe funksionon Njësia e Shërbimit Ligjor, e përbërë nga ndihmësit ligjorë. </w:t>
      </w:r>
    </w:p>
    <w:p w14:paraId="30AB04D5" w14:textId="19A61489"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2. Njësia organizohet në varësi të nevojave të gjykatës, si më poshtë:</w:t>
      </w:r>
    </w:p>
    <w:p w14:paraId="2BE53253" w14:textId="1FA38FEA"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a) </w:t>
      </w:r>
      <w:r w:rsidR="0089037D" w:rsidRPr="0009653C">
        <w:rPr>
          <w:rFonts w:ascii="Garamond" w:eastAsia="MS Mincho" w:hAnsi="Garamond" w:cs="Times New Roman"/>
          <w:iCs/>
          <w:sz w:val="24"/>
          <w:szCs w:val="24"/>
          <w:lang w:val="sq-AL" w:bidi="en-US"/>
        </w:rPr>
        <w:t xml:space="preserve">ndihmësit </w:t>
      </w:r>
      <w:r w:rsidRPr="0009653C">
        <w:rPr>
          <w:rFonts w:ascii="Garamond" w:eastAsia="MS Mincho" w:hAnsi="Garamond" w:cs="Times New Roman"/>
          <w:iCs/>
          <w:sz w:val="24"/>
          <w:szCs w:val="24"/>
          <w:lang w:val="sq-AL" w:bidi="en-US"/>
        </w:rPr>
        <w:t xml:space="preserve">ligjorë punojnë për të gjithë gjyqtarët e gjykatës; </w:t>
      </w:r>
    </w:p>
    <w:p w14:paraId="12C876EB" w14:textId="5B988154"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b) </w:t>
      </w:r>
      <w:r w:rsidR="0089037D" w:rsidRPr="0009653C">
        <w:rPr>
          <w:rFonts w:ascii="Garamond" w:eastAsia="MS Mincho" w:hAnsi="Garamond" w:cs="Times New Roman"/>
          <w:iCs/>
          <w:sz w:val="24"/>
          <w:szCs w:val="24"/>
          <w:lang w:val="sq-AL" w:bidi="en-US"/>
        </w:rPr>
        <w:t xml:space="preserve">ndihmësit </w:t>
      </w:r>
      <w:r w:rsidRPr="0009653C">
        <w:rPr>
          <w:rFonts w:ascii="Garamond" w:eastAsia="MS Mincho" w:hAnsi="Garamond" w:cs="Times New Roman"/>
          <w:iCs/>
          <w:sz w:val="24"/>
          <w:szCs w:val="24"/>
          <w:lang w:val="sq-AL" w:bidi="en-US"/>
        </w:rPr>
        <w:t xml:space="preserve">ligjorë caktohen pranë seksioneve të gjykatës; </w:t>
      </w:r>
    </w:p>
    <w:p w14:paraId="2F86C3E7" w14:textId="7EC6A1A0"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c) </w:t>
      </w:r>
      <w:r w:rsidR="0089037D" w:rsidRPr="0009653C">
        <w:rPr>
          <w:rFonts w:ascii="Garamond" w:eastAsia="MS Mincho" w:hAnsi="Garamond" w:cs="Times New Roman"/>
          <w:iCs/>
          <w:sz w:val="24"/>
          <w:szCs w:val="24"/>
          <w:lang w:val="sq-AL" w:bidi="en-US"/>
        </w:rPr>
        <w:t xml:space="preserve">ndihmësit </w:t>
      </w:r>
      <w:r w:rsidRPr="0009653C">
        <w:rPr>
          <w:rFonts w:ascii="Garamond" w:eastAsia="MS Mincho" w:hAnsi="Garamond" w:cs="Times New Roman"/>
          <w:iCs/>
          <w:sz w:val="24"/>
          <w:szCs w:val="24"/>
          <w:lang w:val="sq-AL" w:bidi="en-US"/>
        </w:rPr>
        <w:t>ligjorë caktohen pranë trupave gjykuese.</w:t>
      </w:r>
    </w:p>
    <w:p w14:paraId="6016470A" w14:textId="3823B381"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3. Këshilli i Gjykatës, pasi merr mendimin e Mbledhjes së Përgjithshme të Gjyqtarëve, miraton rregulla më të hollësishme për organizimin dhe funksionimin e Njësisë së Shërbimit Ligjor.</w:t>
      </w:r>
    </w:p>
    <w:p w14:paraId="51B02778" w14:textId="3A287D10"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4. Këshilli i gjykatës, në varësi të zgjedhjes organizative të Njësisë së Shërbimit Ligjor të gjykatës sipas pikës 2 të këtij neni, së paku për çdo vit kalendarik ose në përgjigje të nevojave që rezultojnë për ruajtjen dhe rritjen e efektivitetit të punës, cakton ndihmësit ligjorë për të kryer detyrat sipas zgjedhjes organizative, pranë gjyqtarëve të veçantë, trupave gjykuese, seksioneve të gjykatës apo të gjithë gjyqtarëve të saj, si edhe ngarkesën maksimale që duhet të përballojnë pranë tyre.</w:t>
      </w:r>
    </w:p>
    <w:p w14:paraId="6DE70274" w14:textId="5382097D"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5. Kancelari kujdeset për plotësimin e nevojave për realizimin e detyrave dhe ndjek në përditshmëri veprimtarinë e ndihmësve ligjorë, në mbështetje dhe në bashkërendim me gjyqtarët relatorë të çështjeve dhe </w:t>
      </w:r>
      <w:r w:rsidR="00A164C8">
        <w:rPr>
          <w:rFonts w:ascii="Garamond" w:eastAsia="MS Mincho" w:hAnsi="Garamond" w:cs="Times New Roman"/>
          <w:iCs/>
          <w:sz w:val="24"/>
          <w:szCs w:val="24"/>
          <w:lang w:val="sq-AL" w:bidi="en-US"/>
        </w:rPr>
        <w:t>k</w:t>
      </w:r>
      <w:r w:rsidRPr="0009653C">
        <w:rPr>
          <w:rFonts w:ascii="Garamond" w:eastAsia="MS Mincho" w:hAnsi="Garamond" w:cs="Times New Roman"/>
          <w:iCs/>
          <w:sz w:val="24"/>
          <w:szCs w:val="24"/>
          <w:lang w:val="sq-AL" w:bidi="en-US"/>
        </w:rPr>
        <w:t xml:space="preserve">ryetarin e gjykatës. </w:t>
      </w:r>
    </w:p>
    <w:p w14:paraId="52561081"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p>
    <w:p w14:paraId="4AC40226"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6</w:t>
      </w:r>
    </w:p>
    <w:p w14:paraId="5C934B1D"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Ndarja e çështjeve dhe caktimi i detyrave</w:t>
      </w:r>
    </w:p>
    <w:p w14:paraId="19B5732D" w14:textId="77777777" w:rsidR="008E6563" w:rsidRPr="0009653C" w:rsidRDefault="008E6563" w:rsidP="008E6563">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p>
    <w:p w14:paraId="61103E71" w14:textId="590E2DCB"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1. Ndarja e çështjeve ndërmjet ndihmësve ligjorë kryhet me short. </w:t>
      </w:r>
    </w:p>
    <w:p w14:paraId="47385EA0" w14:textId="5D4CB870"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2. Kryetari përcakton ngarkesën e punës për ndihmësin ligjor, duke mbajtur parasysh përvojën profesionale dhe specializimin e tij. Në çdo rast kryetari siguron ngarkesë pune të barabartë ndërmjet ndihmësve ligjorë, për aq sa është e mundshme.</w:t>
      </w:r>
    </w:p>
    <w:p w14:paraId="5892F757" w14:textId="07D760CA"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lastRenderedPageBreak/>
        <w:t xml:space="preserve">3. Ndihmësi ligjor kryen detyra të tjera, të përcaktuara nga gjyqtari i çështjes në përputhje me parashikimet ligjore në fuqi. </w:t>
      </w:r>
    </w:p>
    <w:p w14:paraId="1927AEEE"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226EB0A3"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7</w:t>
      </w:r>
    </w:p>
    <w:p w14:paraId="0B7B1E55"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Mbledhjet periodike</w:t>
      </w:r>
    </w:p>
    <w:p w14:paraId="0D475070"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p>
    <w:p w14:paraId="03E59CF3" w14:textId="6A674035"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Kryetari i gjykatës organizon mbledhje periodike, të paktën 1 (një) herë në muaj, me Njësinë e Shërbimit Ligjor, për diskutimin e rezultateve të arritura,</w:t>
      </w:r>
      <w:r w:rsidR="0009653C" w:rsidRPr="0009653C">
        <w:rPr>
          <w:rFonts w:ascii="Garamond" w:eastAsia="MS Mincho" w:hAnsi="Garamond" w:cs="Times New Roman"/>
          <w:iCs/>
          <w:sz w:val="24"/>
          <w:szCs w:val="24"/>
          <w:lang w:val="sq-AL" w:bidi="en-US"/>
        </w:rPr>
        <w:t xml:space="preserve"> </w:t>
      </w:r>
      <w:r w:rsidRPr="0009653C">
        <w:rPr>
          <w:rFonts w:ascii="Garamond" w:eastAsia="MS Mincho" w:hAnsi="Garamond" w:cs="Times New Roman"/>
          <w:iCs/>
          <w:sz w:val="24"/>
          <w:szCs w:val="24"/>
          <w:lang w:val="sq-AL" w:bidi="en-US"/>
        </w:rPr>
        <w:t>identifikimin e problematikave të hasura dhe mënyrat për trajtimin dhe zgjidhjen e</w:t>
      </w:r>
      <w:r w:rsidR="0009653C" w:rsidRPr="0009653C">
        <w:rPr>
          <w:rFonts w:ascii="Garamond" w:eastAsia="MS Mincho" w:hAnsi="Garamond" w:cs="Times New Roman"/>
          <w:iCs/>
          <w:sz w:val="24"/>
          <w:szCs w:val="24"/>
          <w:lang w:val="sq-AL" w:bidi="en-US"/>
        </w:rPr>
        <w:t xml:space="preserve"> </w:t>
      </w:r>
      <w:r w:rsidRPr="0009653C">
        <w:rPr>
          <w:rFonts w:ascii="Garamond" w:eastAsia="MS Mincho" w:hAnsi="Garamond" w:cs="Times New Roman"/>
          <w:iCs/>
          <w:sz w:val="24"/>
          <w:szCs w:val="24"/>
          <w:lang w:val="sq-AL" w:bidi="en-US"/>
        </w:rPr>
        <w:t>tyre, me qëllim mbarëvajtjen e gjykatës.</w:t>
      </w:r>
    </w:p>
    <w:p w14:paraId="1AC2DBF7"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407D435C"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09653C">
        <w:rPr>
          <w:rFonts w:ascii="Garamond" w:eastAsia="MS Mincho" w:hAnsi="Garamond" w:cs="Times New Roman"/>
          <w:bCs/>
          <w:iCs/>
          <w:sz w:val="24"/>
          <w:szCs w:val="24"/>
          <w:lang w:val="sq-AL" w:bidi="en-US"/>
        </w:rPr>
        <w:t>KREU III</w:t>
      </w:r>
    </w:p>
    <w:p w14:paraId="208DF5D8" w14:textId="77777777" w:rsidR="008E6563" w:rsidRPr="0030169E" w:rsidRDefault="008E6563" w:rsidP="006A3CC5">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30169E">
        <w:rPr>
          <w:rFonts w:ascii="Garamond" w:eastAsia="MS Mincho" w:hAnsi="Garamond" w:cs="Times New Roman"/>
          <w:bCs/>
          <w:iCs/>
          <w:sz w:val="24"/>
          <w:szCs w:val="24"/>
          <w:lang w:val="sq-AL" w:bidi="en-US"/>
        </w:rPr>
        <w:t>DETYRAT E NDIHMËSIT LIGJOR</w:t>
      </w:r>
    </w:p>
    <w:p w14:paraId="011D15A5"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bCs/>
          <w:iCs/>
          <w:sz w:val="24"/>
          <w:szCs w:val="24"/>
          <w:lang w:val="sq-AL" w:bidi="en-US"/>
        </w:rPr>
      </w:pPr>
    </w:p>
    <w:p w14:paraId="53D41AEE"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8</w:t>
      </w:r>
    </w:p>
    <w:p w14:paraId="0B19FAF3"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Lloji dhe natyra e detyrave</w:t>
      </w:r>
    </w:p>
    <w:p w14:paraId="7EBCFD16"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334639C4"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Ndihmësit ligjorë ushtrojnë veprimtari ndihmëse, me cilësi dhe efikasitet, në funksion të procesit vendimmarrës të gjykatës. Nën drejtimin e gjyqtarit të çështjes, ndihmësi përveç detyrave të përcaktuara në ligj, përmbush edhe detyrat e mëposhtme:</w:t>
      </w:r>
    </w:p>
    <w:p w14:paraId="2822E8F3" w14:textId="2DA59C76"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a) </w:t>
      </w:r>
      <w:r w:rsidR="0030169E" w:rsidRPr="0009653C">
        <w:rPr>
          <w:rFonts w:ascii="Garamond" w:eastAsia="MS Mincho" w:hAnsi="Garamond" w:cs="Times New Roman"/>
          <w:iCs/>
          <w:sz w:val="24"/>
          <w:szCs w:val="24"/>
          <w:lang w:val="sq-AL" w:bidi="en-US"/>
        </w:rPr>
        <w:t xml:space="preserve">përgatit </w:t>
      </w:r>
      <w:r w:rsidRPr="0009653C">
        <w:rPr>
          <w:rFonts w:ascii="Garamond" w:eastAsia="MS Mincho" w:hAnsi="Garamond" w:cs="Times New Roman"/>
          <w:iCs/>
          <w:sz w:val="24"/>
          <w:szCs w:val="24"/>
          <w:lang w:val="sq-AL" w:bidi="en-US"/>
        </w:rPr>
        <w:t xml:space="preserve">përmbledhjen e materialit të çështjes sipas formatit tip të relacionit, të miratuar nga Këshilli i Gjykatës pas marrjes së mendimit nga Mbledhja e Përgjithshme e Gjyqtarëve; </w:t>
      </w:r>
    </w:p>
    <w:p w14:paraId="5E4F7676" w14:textId="5406B8A1"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b) </w:t>
      </w:r>
      <w:r w:rsidR="0030169E" w:rsidRPr="0009653C">
        <w:rPr>
          <w:rFonts w:ascii="Garamond" w:eastAsia="MS Mincho" w:hAnsi="Garamond" w:cs="Times New Roman"/>
          <w:iCs/>
          <w:sz w:val="24"/>
          <w:szCs w:val="24"/>
          <w:lang w:val="sq-AL" w:bidi="en-US"/>
        </w:rPr>
        <w:t xml:space="preserve">identifikon </w:t>
      </w:r>
      <w:r w:rsidRPr="0009653C">
        <w:rPr>
          <w:rFonts w:ascii="Garamond" w:eastAsia="MS Mincho" w:hAnsi="Garamond" w:cs="Times New Roman"/>
          <w:iCs/>
          <w:sz w:val="24"/>
          <w:szCs w:val="24"/>
          <w:lang w:val="sq-AL" w:bidi="en-US"/>
        </w:rPr>
        <w:t>elementët për trajtimin e çështjes nga gjykata;</w:t>
      </w:r>
    </w:p>
    <w:p w14:paraId="298071F2" w14:textId="24421668"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c) </w:t>
      </w:r>
      <w:r w:rsidR="0030169E" w:rsidRPr="0009653C">
        <w:rPr>
          <w:rFonts w:ascii="Garamond" w:eastAsia="MS Mincho" w:hAnsi="Garamond" w:cs="Times New Roman"/>
          <w:iCs/>
          <w:sz w:val="24"/>
          <w:szCs w:val="24"/>
          <w:lang w:val="sq-AL" w:bidi="en-US"/>
        </w:rPr>
        <w:t xml:space="preserve">identifikon </w:t>
      </w:r>
      <w:r w:rsidRPr="0009653C">
        <w:rPr>
          <w:rFonts w:ascii="Garamond" w:eastAsia="MS Mincho" w:hAnsi="Garamond" w:cs="Times New Roman"/>
          <w:iCs/>
          <w:sz w:val="24"/>
          <w:szCs w:val="24"/>
          <w:lang w:val="sq-AL" w:bidi="en-US"/>
        </w:rPr>
        <w:t>dhe analizon legjislacionin e zbatueshëm dhe/ose jurisprudencën kombëtare dhe/ose ndërkombëtare;</w:t>
      </w:r>
    </w:p>
    <w:p w14:paraId="3FA02C07" w14:textId="21A75E09"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ç)</w:t>
      </w:r>
      <w:r w:rsidR="0009653C" w:rsidRPr="0009653C">
        <w:rPr>
          <w:rFonts w:ascii="Garamond" w:eastAsia="MS Mincho" w:hAnsi="Garamond" w:cs="Times New Roman"/>
          <w:iCs/>
          <w:sz w:val="24"/>
          <w:szCs w:val="24"/>
          <w:lang w:val="sq-AL" w:bidi="en-US"/>
        </w:rPr>
        <w:t xml:space="preserve"> </w:t>
      </w:r>
      <w:r w:rsidR="0030169E" w:rsidRPr="0009653C">
        <w:rPr>
          <w:rFonts w:ascii="Garamond" w:eastAsia="MS Mincho" w:hAnsi="Garamond" w:cs="Times New Roman"/>
          <w:iCs/>
          <w:sz w:val="24"/>
          <w:szCs w:val="24"/>
          <w:lang w:val="sq-AL" w:bidi="en-US"/>
        </w:rPr>
        <w:t xml:space="preserve">analizon </w:t>
      </w:r>
      <w:r w:rsidRPr="0009653C">
        <w:rPr>
          <w:rFonts w:ascii="Garamond" w:eastAsia="MS Mincho" w:hAnsi="Garamond" w:cs="Times New Roman"/>
          <w:iCs/>
          <w:sz w:val="24"/>
          <w:szCs w:val="24"/>
          <w:lang w:val="sq-AL" w:bidi="en-US"/>
        </w:rPr>
        <w:t>faktet dhe jep mendim ligjor për zgjidhjen e çështjes;</w:t>
      </w:r>
    </w:p>
    <w:p w14:paraId="7EC5DD95" w14:textId="37CC471F"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d) </w:t>
      </w:r>
      <w:r w:rsidR="0030169E" w:rsidRPr="0009653C">
        <w:rPr>
          <w:rFonts w:ascii="Garamond" w:eastAsia="MS Mincho" w:hAnsi="Garamond" w:cs="Times New Roman"/>
          <w:iCs/>
          <w:sz w:val="24"/>
          <w:szCs w:val="24"/>
          <w:lang w:val="sq-AL" w:bidi="en-US"/>
        </w:rPr>
        <w:t xml:space="preserve">kryerja </w:t>
      </w:r>
      <w:r w:rsidRPr="0009653C">
        <w:rPr>
          <w:rFonts w:ascii="Garamond" w:eastAsia="MS Mincho" w:hAnsi="Garamond" w:cs="Times New Roman"/>
          <w:iCs/>
          <w:sz w:val="24"/>
          <w:szCs w:val="24"/>
          <w:lang w:val="sq-AL" w:bidi="en-US"/>
        </w:rPr>
        <w:t xml:space="preserve">e detyrave të tjera të përcaktuara nga gjyqtari i çështjes në përputhje me legjislacionin në fuqi. </w:t>
      </w:r>
    </w:p>
    <w:p w14:paraId="07D2A38E"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p>
    <w:p w14:paraId="36D92CF8"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9</w:t>
      </w:r>
    </w:p>
    <w:p w14:paraId="1F8E8AE0"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Detyrat e tjera të ndihmësit ligjor</w:t>
      </w:r>
    </w:p>
    <w:p w14:paraId="3A726820"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521168AB" w14:textId="7BCCF2E0"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1. Ndihmësi tërheq dosjen e caktuar pranë sekretarit të gjyqtarit të çështjes, duke nënshkruar në regjistrin e veprimeve të ndihmësit ligjor ku është pasqyruar data e tërheqjes dhe të dhënat identifikuese të dosjes gjyqësore;</w:t>
      </w:r>
    </w:p>
    <w:p w14:paraId="00E9482F" w14:textId="1A13D19B"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2. Kontrollon plotësinë dhe përmbajtjen e dosjes, duke verifikuar praninë apo mungesën e të gjitha kushteve formale të nevojshme, identifikon llojin dhe natyrën e mosmarrëveshjes, kompetencën e gjykatës, legjitimimin procedural të palëve në proces, rrethanat e faktit, shkaqet ligjore</w:t>
      </w:r>
      <w:r w:rsidR="006D5715">
        <w:rPr>
          <w:rFonts w:ascii="Garamond" w:eastAsia="MS Mincho" w:hAnsi="Garamond" w:cs="Times New Roman"/>
          <w:iCs/>
          <w:sz w:val="24"/>
          <w:szCs w:val="24"/>
          <w:lang w:val="sq-AL" w:bidi="en-US"/>
        </w:rPr>
        <w:t>,</w:t>
      </w:r>
      <w:r w:rsidRPr="0009653C">
        <w:rPr>
          <w:rFonts w:ascii="Garamond" w:eastAsia="MS Mincho" w:hAnsi="Garamond" w:cs="Times New Roman"/>
          <w:iCs/>
          <w:sz w:val="24"/>
          <w:szCs w:val="24"/>
          <w:lang w:val="sq-AL" w:bidi="en-US"/>
        </w:rPr>
        <w:t xml:space="preserve"> si dhe aspekte të tjera sipas rastit;</w:t>
      </w:r>
    </w:p>
    <w:p w14:paraId="1082E14F" w14:textId="0D333909"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3. Informon trupin gjykues mbi evidentimin e problematikave faktike dhe ligjore të çështjes, ligjin e zbatueshëm, hierarkinë e normave dhe konfliktet mes tyre; </w:t>
      </w:r>
    </w:p>
    <w:p w14:paraId="080A49F4" w14:textId="3B80A0BD"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4. Kryen punë kërkimore në funksion të zgjidhjes së çështjes dhe arsyetimit të vendimit; </w:t>
      </w:r>
    </w:p>
    <w:p w14:paraId="0DC3C1BD" w14:textId="05FB724C"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5. Bazuar në udhëzimet e gjyqtarit të çështjes përgatit relacionin, të cilin e</w:t>
      </w:r>
      <w:r w:rsidR="0009653C" w:rsidRPr="0009653C">
        <w:rPr>
          <w:rFonts w:ascii="Garamond" w:eastAsia="MS Mincho" w:hAnsi="Garamond" w:cs="Times New Roman"/>
          <w:iCs/>
          <w:sz w:val="24"/>
          <w:szCs w:val="24"/>
          <w:lang w:val="sq-AL" w:bidi="en-US"/>
        </w:rPr>
        <w:t xml:space="preserve"> </w:t>
      </w:r>
      <w:r w:rsidRPr="0009653C">
        <w:rPr>
          <w:rFonts w:ascii="Garamond" w:eastAsia="MS Mincho" w:hAnsi="Garamond" w:cs="Times New Roman"/>
          <w:iCs/>
          <w:sz w:val="24"/>
          <w:szCs w:val="24"/>
          <w:lang w:val="sq-AL" w:bidi="en-US"/>
        </w:rPr>
        <w:t>nënshkruan dhe bashkon me fashikullin gjyqësor;</w:t>
      </w:r>
    </w:p>
    <w:p w14:paraId="29EC3250" w14:textId="7216CB76"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6. Kryen përcjelljen e relacionit drejt trupit gjykuese, sipas afateve të përcaktuara në vendimin e Këshillit të Gjykatës;</w:t>
      </w:r>
    </w:p>
    <w:p w14:paraId="6552DD32" w14:textId="5E4A0D6D"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7. Dorëzon dosjen pranë gjyqtarit të çështjes duke nënshkruar datën e dorëzimit në regjistrin e veprimeve;</w:t>
      </w:r>
    </w:p>
    <w:p w14:paraId="36FCBD37" w14:textId="30D65DB4"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8. Koordinon me njësitë e tjera të gjykatës për të siguruar një rrjedhë të vazhdueshme dhe efektive të punës;</w:t>
      </w:r>
    </w:p>
    <w:p w14:paraId="18F3B44F" w14:textId="60898D16"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9. Kryen çdo detyrë tjetër të ngarkuar në përputhje me parashikimet ligjore.</w:t>
      </w:r>
    </w:p>
    <w:p w14:paraId="5858FF8F"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p>
    <w:p w14:paraId="6950E804" w14:textId="77777777" w:rsidR="008E6563" w:rsidRPr="0030169E" w:rsidRDefault="008E6563" w:rsidP="006A3CC5">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30169E">
        <w:rPr>
          <w:rFonts w:ascii="Garamond" w:eastAsia="MS Mincho" w:hAnsi="Garamond" w:cs="Times New Roman"/>
          <w:bCs/>
          <w:iCs/>
          <w:sz w:val="24"/>
          <w:szCs w:val="24"/>
          <w:lang w:val="sq-AL" w:bidi="en-US"/>
        </w:rPr>
        <w:t>KREU IV</w:t>
      </w:r>
    </w:p>
    <w:p w14:paraId="5FE1BDD7" w14:textId="79C6A076" w:rsidR="008E6563" w:rsidRPr="0030169E" w:rsidRDefault="008E6563" w:rsidP="006A3CC5">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30169E">
        <w:rPr>
          <w:rFonts w:ascii="Garamond" w:eastAsia="MS Mincho" w:hAnsi="Garamond" w:cs="Times New Roman"/>
          <w:bCs/>
          <w:iCs/>
          <w:sz w:val="24"/>
          <w:szCs w:val="24"/>
          <w:lang w:val="sq-AL" w:bidi="en-US"/>
        </w:rPr>
        <w:lastRenderedPageBreak/>
        <w:t>NDARJA E ÇËSHTJEVE DHE VLERËSIMI I NGARKESËS</w:t>
      </w:r>
    </w:p>
    <w:p w14:paraId="723CB985"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p>
    <w:p w14:paraId="1EA60A0C"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10</w:t>
      </w:r>
    </w:p>
    <w:p w14:paraId="62DC2308" w14:textId="5406C015"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Parimet e ndarjes së çështjeve me short</w:t>
      </w:r>
    </w:p>
    <w:p w14:paraId="3238DE59"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4AB6BA26" w14:textId="6383CD52"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1. Ndarja e çështjeve ndërmjet ndihmësve ligjorë bëhet sipas shortit, në bazë të parimit të transparencës, kontrollit dhe mbikëqyrjes. </w:t>
      </w:r>
    </w:p>
    <w:p w14:paraId="5F101806" w14:textId="17B71FD4"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2. Çështjet ndahen në mënyrë objektive, të barabartë dhe rastësore mes ndihmësve, sipas organizimit të tyre të brendshëm.</w:t>
      </w:r>
    </w:p>
    <w:p w14:paraId="07767E51" w14:textId="2AA2BAD4" w:rsidR="008E6563" w:rsidRPr="0009653C" w:rsidRDefault="003E0E7B"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Pr>
          <w:rFonts w:ascii="Garamond" w:eastAsia="MS Mincho" w:hAnsi="Garamond" w:cs="Times New Roman"/>
          <w:iCs/>
          <w:sz w:val="24"/>
          <w:szCs w:val="24"/>
          <w:lang w:val="sq-AL" w:bidi="en-US"/>
        </w:rPr>
        <w:t>3</w:t>
      </w:r>
      <w:bookmarkStart w:id="0" w:name="_GoBack"/>
      <w:bookmarkEnd w:id="0"/>
      <w:r w:rsidR="008E6563" w:rsidRPr="0009653C">
        <w:rPr>
          <w:rFonts w:ascii="Garamond" w:eastAsia="MS Mincho" w:hAnsi="Garamond" w:cs="Times New Roman"/>
          <w:iCs/>
          <w:sz w:val="24"/>
          <w:szCs w:val="24"/>
          <w:lang w:val="sq-AL" w:bidi="en-US"/>
        </w:rPr>
        <w:t xml:space="preserve">. Të dhënat e shortimeve ruhen të plota, të renditura në mënyrë kronologjike, të paimitueshme dhe të pamodifikueshme. </w:t>
      </w:r>
    </w:p>
    <w:p w14:paraId="67D89E9F"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p>
    <w:p w14:paraId="7C4A389D"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11</w:t>
      </w:r>
    </w:p>
    <w:p w14:paraId="466ACCBB" w14:textId="7AFA922C"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Kriteret e ndarjes së çështjeve me short</w:t>
      </w:r>
    </w:p>
    <w:p w14:paraId="0A3CF8C7"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6020B1C6" w14:textId="22332AF6"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1. Kryetari i gjykatës kryen shortin për ndarjen e çështjeve në ngarkim të ndihmësve ligjorë.</w:t>
      </w:r>
    </w:p>
    <w:p w14:paraId="6150DDB5" w14:textId="51DE4A8C"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2. Në short përfshihen të gjitha çështjet e planifikuara për gjykim nga trupi gjykues.</w:t>
      </w:r>
    </w:p>
    <w:p w14:paraId="76564E5B" w14:textId="18B46471"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3. Shorti kryhet duke siguruar ndarje të barabartë të ngarkesës së punës.</w:t>
      </w:r>
    </w:p>
    <w:p w14:paraId="6808DE96" w14:textId="098CF48C"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4. Në varësi të natyrës së çështjes, shorti mund të hidhet ndërmjet ndihmësve të specializuar për shqyrtimin e tyre.</w:t>
      </w:r>
    </w:p>
    <w:p w14:paraId="374FFF21" w14:textId="12D9B4D4"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5. Një kopje e të dhënave të shortimit i bashkëlidhet dosjes gjyqësore duke u bërë pjesë përbërëse e saj.</w:t>
      </w:r>
    </w:p>
    <w:p w14:paraId="12FB5847"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p>
    <w:p w14:paraId="0972943E" w14:textId="0082E2B3"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12</w:t>
      </w:r>
    </w:p>
    <w:p w14:paraId="0BADB8B6" w14:textId="383F99C3"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Rastet e pengesave ligjore</w:t>
      </w:r>
    </w:p>
    <w:p w14:paraId="2293DBB6"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p>
    <w:p w14:paraId="1D60946F" w14:textId="6A6A7718"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1. Pengesa ligjore në përpunimin e çështjes nga ndihmësit ligjorë, janë të njëjta me shkaqet ligjore për të cilat magjistratët kanë detyrim të heqin dorë nga gjykimi i çështjes. </w:t>
      </w:r>
    </w:p>
    <w:p w14:paraId="1D2B2C76" w14:textId="5431B953"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2. Në rastet e pengesave ligjore, ndihmësi paraqet detyrimisht kërkesën me shkrim përpara kryetarit të gjykatës duke parashtruar shkaqet të cilat e pengojnë në përpunimin e çështjes.</w:t>
      </w:r>
    </w:p>
    <w:p w14:paraId="1C555EF2" w14:textId="0BCC28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3. Kryetari pasi vihet në dijeni, shqyrton kërkesën menjëherë dhe merr vendim në lidhje me pranimin apo refuzimin e saj. </w:t>
      </w:r>
    </w:p>
    <w:p w14:paraId="1228269C" w14:textId="54A9E5C0"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4. Në rastin e pranimit të kërkesës së ndihmësit, kryetari rindan menjëherë çështjen, duke përjashtuar nga shorti ndihmësin i cili ka pengesë ligjore.</w:t>
      </w:r>
    </w:p>
    <w:p w14:paraId="295DE718" w14:textId="69520286"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5. Në rastin e mospranimit të kërkesës, ndihmësi ligjor ka detyrimin të vijoj me përpunimin e çështjes.</w:t>
      </w:r>
    </w:p>
    <w:p w14:paraId="127754F2" w14:textId="19F7468D"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6. Kërkesa e ndihmësit dhe vendimi i kryetarit bëhen pjesë e dosjes së çështjes, si dhe pasqyrohen në regjistrin e veprimeve të ndihmësve ligjorë. </w:t>
      </w:r>
    </w:p>
    <w:p w14:paraId="0702777F"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p>
    <w:p w14:paraId="04AF03BB"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13</w:t>
      </w:r>
    </w:p>
    <w:p w14:paraId="492EC013" w14:textId="0A1F1348"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Kriteret e vlerësimit të ngarkesës së punës</w:t>
      </w:r>
    </w:p>
    <w:p w14:paraId="218B7A03"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p>
    <w:p w14:paraId="7ED48826" w14:textId="65336A53" w:rsidR="008E6563" w:rsidRPr="0009653C" w:rsidRDefault="008E6563" w:rsidP="006A3CC5">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Vlerësimi i ngarkesës së punës së ndihmësve ligjorë bëhet bazuar në kritere sasiore dhe cilësore.</w:t>
      </w:r>
    </w:p>
    <w:p w14:paraId="3A780973" w14:textId="77777777" w:rsidR="008E6563" w:rsidRPr="0009653C" w:rsidRDefault="008E6563" w:rsidP="006A3CC5">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p>
    <w:p w14:paraId="2A0F4D22"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14</w:t>
      </w:r>
    </w:p>
    <w:p w14:paraId="280EC85A"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Kriteri sasior</w:t>
      </w:r>
    </w:p>
    <w:p w14:paraId="5A28E49C"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p>
    <w:p w14:paraId="6DD70C30" w14:textId="2B60F4CD"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1. Këshilli i Gjykatës, pas marrjes së mendimit të Mbledhjes së Përgjithshme të Gjyqtarëve përcakton kriterin sasior të çështjeve për përpunim prej ndihmësit ligjor, në përputhje me objektivat e gjykatës. </w:t>
      </w:r>
    </w:p>
    <w:p w14:paraId="6DFB6D45" w14:textId="1C2AE2CC"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lastRenderedPageBreak/>
        <w:t>2. Kriteri sasior i çështjeve për t’u përpunuar parashikon një balancë të ngarkesës së punës mes çështjeve për çdo ndihmës.</w:t>
      </w:r>
    </w:p>
    <w:p w14:paraId="619BD631"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327505D2"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15</w:t>
      </w:r>
    </w:p>
    <w:p w14:paraId="4E6D11F8"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Kriteri cilësor</w:t>
      </w:r>
    </w:p>
    <w:p w14:paraId="49573847"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3216C5D3"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Në përcaktimin e ngarkesës së punës së ndihmësve ligjorë merret parasysh shkalla e kompleksitetit që paraqet çështja për përpunim, sipas përcaktimit të gjyqtarit të çështjes/trupit gjykues.</w:t>
      </w:r>
    </w:p>
    <w:p w14:paraId="2EAFF4D0"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p>
    <w:p w14:paraId="2F4F9C24"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16</w:t>
      </w:r>
    </w:p>
    <w:p w14:paraId="1C25DCFC"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Raportimi dhe vlerësimi i ngarkesës së punës</w:t>
      </w:r>
    </w:p>
    <w:p w14:paraId="739B6318"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2B358EB9" w14:textId="49FDD668"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1. Ndihmësi ligjor raporton pranë kryetarit, javën e parë të punës të muajit pasardhës, mbi përmbushjen ose mospërmbushjen e kritereve sasiore, duke shpjeguar arsyet. Raportimi bëhet përmes formularit tip të miratuar nga Këshilli i Gjykatës.</w:t>
      </w:r>
    </w:p>
    <w:p w14:paraId="40B1248D" w14:textId="5643BE2D"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 xml:space="preserve">2. Kryetari i gjykatës raporton çdo tre muaj, mbi përmbushjen ose mospërmbushjen e kritereve sasiore si edhe të arsyeve shpjeguese, pranë Këshillit të Lartë Gjyqësor. </w:t>
      </w:r>
    </w:p>
    <w:p w14:paraId="66D40ACA" w14:textId="58EAF81C"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3. Këshilli i Lartë Gjyqësor vlerëson rregullisht ngarkesën e punës së ndihmësve ligjorë bazuar në raportimin e tyre periodik.</w:t>
      </w:r>
    </w:p>
    <w:p w14:paraId="6FAED1DA" w14:textId="77777777" w:rsidR="008E6563" w:rsidRPr="0009653C" w:rsidRDefault="008E6563" w:rsidP="008E6563">
      <w:pPr>
        <w:tabs>
          <w:tab w:val="left" w:pos="6570"/>
          <w:tab w:val="left" w:pos="8310"/>
        </w:tabs>
        <w:spacing w:after="0" w:line="240" w:lineRule="auto"/>
        <w:ind w:firstLine="284"/>
        <w:jc w:val="both"/>
        <w:rPr>
          <w:rFonts w:ascii="Garamond" w:eastAsia="MS Mincho" w:hAnsi="Garamond" w:cs="Times New Roman"/>
          <w:b/>
          <w:iCs/>
          <w:sz w:val="24"/>
          <w:szCs w:val="24"/>
          <w:lang w:val="sq-AL" w:bidi="en-US"/>
        </w:rPr>
      </w:pPr>
    </w:p>
    <w:p w14:paraId="20B59CAC"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09653C">
        <w:rPr>
          <w:rFonts w:ascii="Garamond" w:eastAsia="MS Mincho" w:hAnsi="Garamond" w:cs="Times New Roman"/>
          <w:bCs/>
          <w:iCs/>
          <w:sz w:val="24"/>
          <w:szCs w:val="24"/>
          <w:lang w:val="sq-AL" w:bidi="en-US"/>
        </w:rPr>
        <w:t>KREU V</w:t>
      </w:r>
    </w:p>
    <w:p w14:paraId="72482B5A" w14:textId="77777777" w:rsidR="008E6563" w:rsidRPr="0030169E" w:rsidRDefault="008E6563" w:rsidP="006A3CC5">
      <w:pPr>
        <w:tabs>
          <w:tab w:val="left" w:pos="6570"/>
          <w:tab w:val="left" w:pos="8310"/>
        </w:tabs>
        <w:spacing w:after="0" w:line="240" w:lineRule="auto"/>
        <w:ind w:firstLine="284"/>
        <w:jc w:val="center"/>
        <w:rPr>
          <w:rFonts w:ascii="Garamond" w:eastAsia="MS Mincho" w:hAnsi="Garamond" w:cs="Times New Roman"/>
          <w:bCs/>
          <w:iCs/>
          <w:sz w:val="24"/>
          <w:szCs w:val="24"/>
          <w:lang w:val="sq-AL" w:bidi="en-US"/>
        </w:rPr>
      </w:pPr>
      <w:r w:rsidRPr="0030169E">
        <w:rPr>
          <w:rFonts w:ascii="Garamond" w:eastAsia="MS Mincho" w:hAnsi="Garamond" w:cs="Times New Roman"/>
          <w:bCs/>
          <w:iCs/>
          <w:sz w:val="24"/>
          <w:szCs w:val="24"/>
          <w:lang w:val="sq-AL" w:bidi="en-US"/>
        </w:rPr>
        <w:t>DISPOZITA KALIMTARE DHE TË FUNDIT</w:t>
      </w:r>
    </w:p>
    <w:p w14:paraId="55B416BA" w14:textId="77777777" w:rsidR="008E6563" w:rsidRPr="0030169E"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p>
    <w:p w14:paraId="78D8C14C"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Neni 17</w:t>
      </w:r>
    </w:p>
    <w:p w14:paraId="2E7C77BF" w14:textId="09290176"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r w:rsidRPr="0009653C">
        <w:rPr>
          <w:rFonts w:ascii="Garamond" w:eastAsia="MS Mincho" w:hAnsi="Garamond" w:cs="Times New Roman"/>
          <w:b/>
          <w:iCs/>
          <w:sz w:val="24"/>
          <w:szCs w:val="24"/>
          <w:lang w:val="sq-AL" w:bidi="en-US"/>
        </w:rPr>
        <w:t>Dispozita kalimtare</w:t>
      </w:r>
      <w:r w:rsidR="00E87890">
        <w:rPr>
          <w:rFonts w:ascii="Garamond" w:eastAsia="MS Mincho" w:hAnsi="Garamond" w:cs="Times New Roman"/>
          <w:b/>
          <w:iCs/>
          <w:sz w:val="24"/>
          <w:szCs w:val="24"/>
          <w:lang w:val="sq-AL" w:bidi="en-US"/>
        </w:rPr>
        <w:t xml:space="preserve"> </w:t>
      </w:r>
    </w:p>
    <w:p w14:paraId="780AAD08" w14:textId="77777777" w:rsidR="008E6563" w:rsidRPr="0009653C" w:rsidRDefault="008E6563" w:rsidP="006A3CC5">
      <w:pPr>
        <w:tabs>
          <w:tab w:val="left" w:pos="6570"/>
          <w:tab w:val="left" w:pos="8310"/>
        </w:tabs>
        <w:spacing w:after="0" w:line="240" w:lineRule="auto"/>
        <w:ind w:firstLine="284"/>
        <w:jc w:val="center"/>
        <w:rPr>
          <w:rFonts w:ascii="Garamond" w:eastAsia="MS Mincho" w:hAnsi="Garamond" w:cs="Times New Roman"/>
          <w:b/>
          <w:iCs/>
          <w:sz w:val="24"/>
          <w:szCs w:val="24"/>
          <w:lang w:val="sq-AL" w:bidi="en-US"/>
        </w:rPr>
      </w:pPr>
    </w:p>
    <w:p w14:paraId="1996012E" w14:textId="5719B8FE" w:rsidR="00130113" w:rsidRPr="0009653C" w:rsidRDefault="008E6563" w:rsidP="00A164C8">
      <w:pPr>
        <w:tabs>
          <w:tab w:val="left" w:pos="6570"/>
          <w:tab w:val="left" w:pos="8310"/>
        </w:tabs>
        <w:spacing w:after="0" w:line="240" w:lineRule="auto"/>
        <w:ind w:firstLine="284"/>
        <w:jc w:val="both"/>
        <w:rPr>
          <w:rFonts w:ascii="Garamond" w:eastAsia="MS Mincho" w:hAnsi="Garamond" w:cs="Times New Roman"/>
          <w:iCs/>
          <w:sz w:val="24"/>
          <w:szCs w:val="24"/>
          <w:lang w:val="sq-AL" w:bidi="en-US"/>
        </w:rPr>
      </w:pPr>
      <w:r w:rsidRPr="0009653C">
        <w:rPr>
          <w:rFonts w:ascii="Garamond" w:eastAsia="MS Mincho" w:hAnsi="Garamond" w:cs="Times New Roman"/>
          <w:iCs/>
          <w:sz w:val="24"/>
          <w:szCs w:val="24"/>
          <w:lang w:val="sq-AL" w:bidi="en-US"/>
        </w:rPr>
        <w:t>Me hyrjen në fuqi të kësaj rregullore</w:t>
      </w:r>
      <w:r w:rsidR="006D5715">
        <w:rPr>
          <w:rFonts w:ascii="Garamond" w:eastAsia="MS Mincho" w:hAnsi="Garamond" w:cs="Times New Roman"/>
          <w:iCs/>
          <w:sz w:val="24"/>
          <w:szCs w:val="24"/>
          <w:lang w:val="sq-AL" w:bidi="en-US"/>
        </w:rPr>
        <w:t>je</w:t>
      </w:r>
      <w:r w:rsidRPr="0009653C">
        <w:rPr>
          <w:rFonts w:ascii="Garamond" w:eastAsia="MS Mincho" w:hAnsi="Garamond" w:cs="Times New Roman"/>
          <w:iCs/>
          <w:sz w:val="24"/>
          <w:szCs w:val="24"/>
          <w:lang w:val="sq-AL" w:bidi="en-US"/>
        </w:rPr>
        <w:t xml:space="preserve"> shfuqizohet çdo akt tjetër normativ që bie në kundërshtim me të.</w:t>
      </w:r>
    </w:p>
    <w:sectPr w:rsidR="00130113" w:rsidRPr="0009653C" w:rsidSect="003F271C">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35961"/>
    <w:multiLevelType w:val="hybridMultilevel"/>
    <w:tmpl w:val="4A528D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821E3"/>
    <w:multiLevelType w:val="hybridMultilevel"/>
    <w:tmpl w:val="4FB666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B5326E4"/>
    <w:multiLevelType w:val="hybridMultilevel"/>
    <w:tmpl w:val="71A679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48C57D3"/>
    <w:multiLevelType w:val="hybridMultilevel"/>
    <w:tmpl w:val="181EA85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9E6C82"/>
    <w:multiLevelType w:val="hybridMultilevel"/>
    <w:tmpl w:val="F00453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72638B"/>
    <w:multiLevelType w:val="hybridMultilevel"/>
    <w:tmpl w:val="0E94829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C9744E"/>
    <w:multiLevelType w:val="hybridMultilevel"/>
    <w:tmpl w:val="2DDEFCB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A704BEC"/>
    <w:multiLevelType w:val="hybridMultilevel"/>
    <w:tmpl w:val="BE426F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9C6360"/>
    <w:multiLevelType w:val="hybridMultilevel"/>
    <w:tmpl w:val="766A4C1A"/>
    <w:lvl w:ilvl="0" w:tplc="7E4CD088">
      <w:start w:val="1"/>
      <w:numFmt w:val="decimal"/>
      <w:lvlText w:val="%1."/>
      <w:lvlJc w:val="left"/>
      <w:pPr>
        <w:ind w:left="720" w:hanging="360"/>
      </w:pPr>
      <w:rPr>
        <w:rFonts w:eastAsia="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2E5750"/>
    <w:multiLevelType w:val="hybridMultilevel"/>
    <w:tmpl w:val="E17002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461BD2"/>
    <w:multiLevelType w:val="hybridMultilevel"/>
    <w:tmpl w:val="205810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91350C4"/>
    <w:multiLevelType w:val="hybridMultilevel"/>
    <w:tmpl w:val="6F882DD4"/>
    <w:lvl w:ilvl="0" w:tplc="08090017">
      <w:start w:val="1"/>
      <w:numFmt w:val="lowerLetter"/>
      <w:lvlText w:val="%1)"/>
      <w:lvlJc w:val="left"/>
      <w:pPr>
        <w:ind w:left="720" w:hanging="360"/>
      </w:pPr>
    </w:lvl>
    <w:lvl w:ilvl="1" w:tplc="97FADD2C">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E106B7"/>
    <w:multiLevelType w:val="hybridMultilevel"/>
    <w:tmpl w:val="84F65E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972E0C"/>
    <w:multiLevelType w:val="hybridMultilevel"/>
    <w:tmpl w:val="0D389E5E"/>
    <w:lvl w:ilvl="0" w:tplc="127C67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2032912"/>
    <w:multiLevelType w:val="hybridMultilevel"/>
    <w:tmpl w:val="86EC6E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A720A1"/>
    <w:multiLevelType w:val="hybridMultilevel"/>
    <w:tmpl w:val="ECAE90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177160"/>
    <w:multiLevelType w:val="hybridMultilevel"/>
    <w:tmpl w:val="7FF8AE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4836A05"/>
    <w:multiLevelType w:val="hybridMultilevel"/>
    <w:tmpl w:val="196EF63A"/>
    <w:lvl w:ilvl="0" w:tplc="28ACB0E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15:restartNumberingAfterBreak="0">
    <w:nsid w:val="589D4F91"/>
    <w:multiLevelType w:val="hybridMultilevel"/>
    <w:tmpl w:val="55F88B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3143A2A"/>
    <w:multiLevelType w:val="hybridMultilevel"/>
    <w:tmpl w:val="2D22BC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269C8"/>
    <w:multiLevelType w:val="hybridMultilevel"/>
    <w:tmpl w:val="B32A01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12245F"/>
    <w:multiLevelType w:val="hybridMultilevel"/>
    <w:tmpl w:val="F50EA6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43D0783"/>
    <w:multiLevelType w:val="hybridMultilevel"/>
    <w:tmpl w:val="C59C85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B40A29"/>
    <w:multiLevelType w:val="hybridMultilevel"/>
    <w:tmpl w:val="FDD8CB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7"/>
  </w:num>
  <w:num w:numId="3">
    <w:abstractNumId w:val="18"/>
  </w:num>
  <w:num w:numId="4">
    <w:abstractNumId w:val="0"/>
  </w:num>
  <w:num w:numId="5">
    <w:abstractNumId w:val="11"/>
  </w:num>
  <w:num w:numId="6">
    <w:abstractNumId w:val="1"/>
  </w:num>
  <w:num w:numId="7">
    <w:abstractNumId w:val="5"/>
  </w:num>
  <w:num w:numId="8">
    <w:abstractNumId w:val="10"/>
  </w:num>
  <w:num w:numId="9">
    <w:abstractNumId w:val="16"/>
  </w:num>
  <w:num w:numId="10">
    <w:abstractNumId w:val="12"/>
  </w:num>
  <w:num w:numId="11">
    <w:abstractNumId w:val="20"/>
  </w:num>
  <w:num w:numId="12">
    <w:abstractNumId w:val="6"/>
  </w:num>
  <w:num w:numId="13">
    <w:abstractNumId w:val="15"/>
  </w:num>
  <w:num w:numId="14">
    <w:abstractNumId w:val="14"/>
  </w:num>
  <w:num w:numId="15">
    <w:abstractNumId w:val="9"/>
  </w:num>
  <w:num w:numId="16">
    <w:abstractNumId w:val="4"/>
  </w:num>
  <w:num w:numId="17">
    <w:abstractNumId w:val="22"/>
  </w:num>
  <w:num w:numId="18">
    <w:abstractNumId w:val="23"/>
  </w:num>
  <w:num w:numId="19">
    <w:abstractNumId w:val="3"/>
  </w:num>
  <w:num w:numId="20">
    <w:abstractNumId w:val="8"/>
  </w:num>
  <w:num w:numId="21">
    <w:abstractNumId w:val="17"/>
  </w:num>
  <w:num w:numId="22">
    <w:abstractNumId w:val="13"/>
  </w:num>
  <w:num w:numId="23">
    <w:abstractNumId w:val="19"/>
  </w:num>
  <w:num w:numId="24">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38B"/>
    <w:rsid w:val="00041424"/>
    <w:rsid w:val="00047635"/>
    <w:rsid w:val="0009653C"/>
    <w:rsid w:val="000C1C2C"/>
    <w:rsid w:val="000E71C3"/>
    <w:rsid w:val="000F2ECF"/>
    <w:rsid w:val="0011138B"/>
    <w:rsid w:val="00130113"/>
    <w:rsid w:val="001576EF"/>
    <w:rsid w:val="00187917"/>
    <w:rsid w:val="001E5126"/>
    <w:rsid w:val="001F5A55"/>
    <w:rsid w:val="00221152"/>
    <w:rsid w:val="00280F2A"/>
    <w:rsid w:val="002B20D0"/>
    <w:rsid w:val="0030169E"/>
    <w:rsid w:val="003033C3"/>
    <w:rsid w:val="00330738"/>
    <w:rsid w:val="00335E84"/>
    <w:rsid w:val="00344099"/>
    <w:rsid w:val="00352490"/>
    <w:rsid w:val="0035623A"/>
    <w:rsid w:val="0036676E"/>
    <w:rsid w:val="003869A7"/>
    <w:rsid w:val="00397492"/>
    <w:rsid w:val="003B72CD"/>
    <w:rsid w:val="003C24BE"/>
    <w:rsid w:val="003C3207"/>
    <w:rsid w:val="003D50D1"/>
    <w:rsid w:val="003E0E7B"/>
    <w:rsid w:val="003F271C"/>
    <w:rsid w:val="00403A93"/>
    <w:rsid w:val="0043451B"/>
    <w:rsid w:val="00492DAD"/>
    <w:rsid w:val="004B64C0"/>
    <w:rsid w:val="004C455D"/>
    <w:rsid w:val="005065A6"/>
    <w:rsid w:val="00517957"/>
    <w:rsid w:val="0053354E"/>
    <w:rsid w:val="005721B9"/>
    <w:rsid w:val="005A0497"/>
    <w:rsid w:val="005B4C9F"/>
    <w:rsid w:val="005C6694"/>
    <w:rsid w:val="005D47BD"/>
    <w:rsid w:val="005E6B1E"/>
    <w:rsid w:val="006272B5"/>
    <w:rsid w:val="006A3CC5"/>
    <w:rsid w:val="006A6212"/>
    <w:rsid w:val="006D5715"/>
    <w:rsid w:val="007265CB"/>
    <w:rsid w:val="00734532"/>
    <w:rsid w:val="00746D3A"/>
    <w:rsid w:val="00783354"/>
    <w:rsid w:val="007E0DBE"/>
    <w:rsid w:val="007E6F29"/>
    <w:rsid w:val="0089037D"/>
    <w:rsid w:val="008E6563"/>
    <w:rsid w:val="00915027"/>
    <w:rsid w:val="0093314B"/>
    <w:rsid w:val="00940ADA"/>
    <w:rsid w:val="0094139D"/>
    <w:rsid w:val="0096067E"/>
    <w:rsid w:val="00977AA3"/>
    <w:rsid w:val="009817ED"/>
    <w:rsid w:val="00983CCA"/>
    <w:rsid w:val="00985738"/>
    <w:rsid w:val="009A0FBF"/>
    <w:rsid w:val="009B1F0A"/>
    <w:rsid w:val="009B7E69"/>
    <w:rsid w:val="009C1C13"/>
    <w:rsid w:val="009C227E"/>
    <w:rsid w:val="009C4337"/>
    <w:rsid w:val="009D3B3E"/>
    <w:rsid w:val="009D54EC"/>
    <w:rsid w:val="00A00526"/>
    <w:rsid w:val="00A164C8"/>
    <w:rsid w:val="00A533C8"/>
    <w:rsid w:val="00A64C09"/>
    <w:rsid w:val="00AA38B3"/>
    <w:rsid w:val="00AE1B18"/>
    <w:rsid w:val="00B1782F"/>
    <w:rsid w:val="00B33360"/>
    <w:rsid w:val="00B55A8D"/>
    <w:rsid w:val="00B7268C"/>
    <w:rsid w:val="00BB5E39"/>
    <w:rsid w:val="00BD72A3"/>
    <w:rsid w:val="00C11657"/>
    <w:rsid w:val="00C34EA4"/>
    <w:rsid w:val="00C81853"/>
    <w:rsid w:val="00CC5C95"/>
    <w:rsid w:val="00CD417F"/>
    <w:rsid w:val="00CF05FF"/>
    <w:rsid w:val="00D02349"/>
    <w:rsid w:val="00D039B5"/>
    <w:rsid w:val="00D30544"/>
    <w:rsid w:val="00D51D31"/>
    <w:rsid w:val="00D51FC0"/>
    <w:rsid w:val="00D574FE"/>
    <w:rsid w:val="00D939BB"/>
    <w:rsid w:val="00DC0E2C"/>
    <w:rsid w:val="00DC76DD"/>
    <w:rsid w:val="00DF11DD"/>
    <w:rsid w:val="00E0228E"/>
    <w:rsid w:val="00E7759A"/>
    <w:rsid w:val="00E87890"/>
    <w:rsid w:val="00E939E8"/>
    <w:rsid w:val="00EA514A"/>
    <w:rsid w:val="00ED5955"/>
    <w:rsid w:val="00F101FE"/>
    <w:rsid w:val="00F11620"/>
    <w:rsid w:val="00F14514"/>
    <w:rsid w:val="00F37B02"/>
    <w:rsid w:val="00F420A9"/>
    <w:rsid w:val="00F81D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71308"/>
  <w15:chartTrackingRefBased/>
  <w15:docId w15:val="{E1E95B52-A1F5-4849-B5C3-7E37D52A4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1138B"/>
  </w:style>
  <w:style w:type="paragraph" w:customStyle="1" w:styleId="Default">
    <w:name w:val="Default"/>
    <w:rsid w:val="0011138B"/>
    <w:pPr>
      <w:autoSpaceDE w:val="0"/>
      <w:autoSpaceDN w:val="0"/>
      <w:adjustRightInd w:val="0"/>
      <w:spacing w:after="0" w:line="240" w:lineRule="auto"/>
    </w:pPr>
    <w:rPr>
      <w:rFonts w:ascii="Garamond" w:eastAsia="Times New Roman" w:hAnsi="Garamond" w:cs="Garamond"/>
      <w:color w:val="000000"/>
      <w:sz w:val="24"/>
      <w:szCs w:val="24"/>
      <w:lang w:val="en-US"/>
    </w:rPr>
  </w:style>
  <w:style w:type="paragraph" w:styleId="NoSpacing">
    <w:name w:val="No Spacing"/>
    <w:uiPriority w:val="1"/>
    <w:qFormat/>
    <w:rsid w:val="0011138B"/>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11138B"/>
    <w:pPr>
      <w:spacing w:after="0" w:line="240" w:lineRule="auto"/>
      <w:ind w:left="720"/>
      <w:contextualSpacing/>
    </w:pPr>
    <w:rPr>
      <w:rFonts w:ascii="Times New Roman" w:eastAsia="Times New Roman" w:hAnsi="Times New Roman" w:cs="Times New Roman"/>
      <w:sz w:val="24"/>
      <w:szCs w:val="20"/>
      <w:lang w:val="en-US"/>
    </w:rPr>
  </w:style>
  <w:style w:type="character" w:styleId="CommentReference">
    <w:name w:val="annotation reference"/>
    <w:uiPriority w:val="99"/>
    <w:semiHidden/>
    <w:unhideWhenUsed/>
    <w:rsid w:val="0011138B"/>
    <w:rPr>
      <w:sz w:val="16"/>
      <w:szCs w:val="16"/>
    </w:rPr>
  </w:style>
  <w:style w:type="paragraph" w:styleId="CommentText">
    <w:name w:val="annotation text"/>
    <w:basedOn w:val="Normal"/>
    <w:link w:val="CommentTextChar"/>
    <w:uiPriority w:val="99"/>
    <w:unhideWhenUsed/>
    <w:rsid w:val="0011138B"/>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11138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1138B"/>
    <w:rPr>
      <w:b/>
      <w:bCs/>
    </w:rPr>
  </w:style>
  <w:style w:type="character" w:customStyle="1" w:styleId="CommentSubjectChar">
    <w:name w:val="Comment Subject Char"/>
    <w:basedOn w:val="CommentTextChar"/>
    <w:link w:val="CommentSubject"/>
    <w:uiPriority w:val="99"/>
    <w:semiHidden/>
    <w:rsid w:val="0011138B"/>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1138B"/>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uiPriority w:val="99"/>
    <w:semiHidden/>
    <w:rsid w:val="0011138B"/>
    <w:rPr>
      <w:rFonts w:ascii="Segoe UI" w:eastAsia="Times New Roman" w:hAnsi="Segoe UI" w:cs="Segoe UI"/>
      <w:sz w:val="18"/>
      <w:szCs w:val="18"/>
      <w:lang w:val="en-US"/>
    </w:rPr>
  </w:style>
  <w:style w:type="paragraph" w:styleId="Revision">
    <w:name w:val="Revision"/>
    <w:hidden/>
    <w:uiPriority w:val="99"/>
    <w:semiHidden/>
    <w:rsid w:val="0011138B"/>
    <w:pPr>
      <w:spacing w:after="0" w:line="240" w:lineRule="auto"/>
    </w:pPr>
    <w:rPr>
      <w:rFonts w:ascii="Times New Roman" w:eastAsia="Times New Roman" w:hAnsi="Times New Roman" w:cs="Times New Roman"/>
      <w:sz w:val="24"/>
      <w:szCs w:val="20"/>
      <w:lang w:val="en-US"/>
    </w:rPr>
  </w:style>
  <w:style w:type="paragraph" w:styleId="Header">
    <w:name w:val="header"/>
    <w:basedOn w:val="Normal"/>
    <w:link w:val="HeaderChar"/>
    <w:uiPriority w:val="99"/>
    <w:unhideWhenUsed/>
    <w:rsid w:val="0011138B"/>
    <w:pPr>
      <w:tabs>
        <w:tab w:val="center" w:pos="4680"/>
        <w:tab w:val="right" w:pos="9360"/>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uiPriority w:val="99"/>
    <w:rsid w:val="0011138B"/>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11138B"/>
    <w:pPr>
      <w:tabs>
        <w:tab w:val="center" w:pos="4680"/>
        <w:tab w:val="right" w:pos="9360"/>
      </w:tabs>
      <w:spacing w:after="0" w:line="240" w:lineRule="auto"/>
    </w:pPr>
    <w:rPr>
      <w:rFonts w:ascii="Times New Roman" w:eastAsia="Times New Roman" w:hAnsi="Times New Roman" w:cs="Times New Roman"/>
      <w:sz w:val="24"/>
      <w:szCs w:val="20"/>
      <w:lang w:val="en-US"/>
    </w:rPr>
  </w:style>
  <w:style w:type="character" w:customStyle="1" w:styleId="FooterChar">
    <w:name w:val="Footer Char"/>
    <w:basedOn w:val="DefaultParagraphFont"/>
    <w:link w:val="Footer"/>
    <w:uiPriority w:val="99"/>
    <w:rsid w:val="0011138B"/>
    <w:rPr>
      <w:rFonts w:ascii="Times New Roman" w:eastAsia="Times New Roman" w:hAnsi="Times New Roman" w:cs="Times New Roman"/>
      <w:sz w:val="24"/>
      <w:szCs w:val="20"/>
      <w:lang w:val="en-US"/>
    </w:rPr>
  </w:style>
  <w:style w:type="character" w:customStyle="1" w:styleId="ListParagraphChar">
    <w:name w:val="List Paragraph Char"/>
    <w:link w:val="ListParagraph"/>
    <w:uiPriority w:val="34"/>
    <w:locked/>
    <w:rsid w:val="0011138B"/>
    <w:rPr>
      <w:rFonts w:ascii="Times New Roman" w:eastAsia="Times New Roman" w:hAnsi="Times New Roman" w:cs="Times New Roman"/>
      <w:sz w:val="24"/>
      <w:szCs w:val="20"/>
      <w:lang w:val="en-US"/>
    </w:rPr>
  </w:style>
  <w:style w:type="paragraph" w:customStyle="1" w:styleId="xelementtoproof">
    <w:name w:val="x_elementtoproof"/>
    <w:basedOn w:val="Normal"/>
    <w:rsid w:val="00403A9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403A93"/>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35350">
      <w:bodyDiv w:val="1"/>
      <w:marLeft w:val="0"/>
      <w:marRight w:val="0"/>
      <w:marTop w:val="0"/>
      <w:marBottom w:val="0"/>
      <w:divBdr>
        <w:top w:val="none" w:sz="0" w:space="0" w:color="auto"/>
        <w:left w:val="none" w:sz="0" w:space="0" w:color="auto"/>
        <w:bottom w:val="none" w:sz="0" w:space="0" w:color="auto"/>
        <w:right w:val="none" w:sz="0" w:space="0" w:color="auto"/>
      </w:divBdr>
    </w:div>
    <w:div w:id="694647872">
      <w:bodyDiv w:val="1"/>
      <w:marLeft w:val="0"/>
      <w:marRight w:val="0"/>
      <w:marTop w:val="0"/>
      <w:marBottom w:val="0"/>
      <w:divBdr>
        <w:top w:val="none" w:sz="0" w:space="0" w:color="auto"/>
        <w:left w:val="none" w:sz="0" w:space="0" w:color="auto"/>
        <w:bottom w:val="none" w:sz="0" w:space="0" w:color="auto"/>
        <w:right w:val="none" w:sz="0" w:space="0" w:color="auto"/>
      </w:divBdr>
    </w:div>
    <w:div w:id="962031532">
      <w:bodyDiv w:val="1"/>
      <w:marLeft w:val="0"/>
      <w:marRight w:val="0"/>
      <w:marTop w:val="0"/>
      <w:marBottom w:val="0"/>
      <w:divBdr>
        <w:top w:val="none" w:sz="0" w:space="0" w:color="auto"/>
        <w:left w:val="none" w:sz="0" w:space="0" w:color="auto"/>
        <w:bottom w:val="none" w:sz="0" w:space="0" w:color="auto"/>
        <w:right w:val="none" w:sz="0" w:space="0" w:color="auto"/>
      </w:divBdr>
    </w:div>
    <w:div w:id="98412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204</Nr_x002e__x0020_akti>
    <Data_x0020_e_x0020_Krijimit xmlns="0e656187-b300-4fb0-8bf4-3a50f872073c">2025-04-14T14:29:45Z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2025-04-14T00:00:00Z</Date_x0020_protokolli>
    <Titulli xmlns="0e656187-b300-4fb0-8bf4-3a50f872073c">Mbi miratimin e rregullores " Mbi organizimin dhe funksionimin e Njësisë së Shërbimit Ligjor"</Titulli>
    <Modifikuesi xmlns="0e656187-b300-4fb0-8bf4-3a50f872073c">jorina.kryeziu</Modifikuesi>
    <Nr_x002e__x0020_prot_x0020_QBZ xmlns="0e656187-b300-4fb0-8bf4-3a50f872073c">637/1</Nr_x002e__x0020_prot_x0020_QBZ>
    <Data_x0020_e_x0020_Modifikimit xmlns="0e656187-b300-4fb0-8bf4-3a50f872073c">2025-04-15T08:45:13Z</Data_x0020_e_x0020_Modifikimit>
    <Dekretuar xmlns="0e656187-b300-4fb0-8bf4-3a50f872073c">false</Dekretuar>
    <Data xmlns="0e656187-b300-4fb0-8bf4-3a50f872073c">2025-04-10T00:00:00Z</Data>
    <Nr_x002e__x0020_protokolli_x0020_i_x0020_aktit xmlns="0e656187-b300-4fb0-8bf4-3a50f872073c">2232/1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C1EFC7FF7784C018A9AAD19CE85B5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7C1EFC7FF7784C018A9AAD19CE85B5C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A47C8DE-A5AA-4779-B570-3FBFE66A8D76}">
  <ds:schemaRefs>
    <ds:schemaRef ds:uri="http://schemas.microsoft.com/office/2006/metadata/properties"/>
    <ds:schemaRef ds:uri="http://purl.org/dc/terms/"/>
    <ds:schemaRef ds:uri="0e656187-b300-4fb0-8bf4-3a50f872073c"/>
    <ds:schemaRef ds:uri="http://purl.org/dc/elements/1.1/"/>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D0D2F39D-EF7B-4E0A-B6CB-2FA66821CC96}">
  <ds:schemaRefs>
    <ds:schemaRef ds:uri="http://schemas.microsoft.com/sharepoint/v3/contenttype/forms"/>
  </ds:schemaRefs>
</ds:datastoreItem>
</file>

<file path=customXml/itemProps3.xml><?xml version="1.0" encoding="utf-8"?>
<ds:datastoreItem xmlns:ds="http://schemas.openxmlformats.org/officeDocument/2006/customXml" ds:itemID="{553A3500-DBBC-4097-A8C4-9007AF4A6C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B00E6D0-AF16-401D-997C-879C11CAA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02A7632-A1B2-49D4-A539-64CD417E83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1647</Words>
  <Characters>9389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Mbi miratimin e rregullores " Mbi organizimin dhe funksionimin e Njësisë së Shërbimit Ligjor"</vt:lpstr>
    </vt:vector>
  </TitlesOfParts>
  <Company>HP Inc.</Company>
  <LinksUpToDate>false</LinksUpToDate>
  <CharactersWithSpaces>11014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 Mbi organizimin dhe funksionimin e Njësisë së Shërbimit Ligjor"</dc:title>
  <dc:creator>Microsoft account</dc:creator>
  <cp:lastModifiedBy>Amarilda Muja</cp:lastModifiedBy>
  <cp:revision>34</cp:revision>
  <cp:lastPrinted>2025-04-10T10:18:00Z</cp:lastPrinted>
  <dcterms:created xsi:type="dcterms:W3CDTF">2025-03-03T14:47:00Z</dcterms:created>
  <dcterms:modified xsi:type="dcterms:W3CDTF">2025-04-15T08:11:00Z</dcterms:modified>
</cp:coreProperties>
</file>