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41A8B"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VENDIM</w:t>
      </w:r>
    </w:p>
    <w:p w14:paraId="16DB17DF" w14:textId="4EEF316E"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sz w:val="24"/>
          <w:szCs w:val="24"/>
        </w:rPr>
      </w:pPr>
      <w:r w:rsidRPr="00F43338">
        <w:rPr>
          <w:rFonts w:ascii="Garamond" w:hAnsi="Garamond" w:cs="Times New Roman"/>
          <w:b/>
          <w:bCs/>
          <w:color w:val="000000"/>
          <w:sz w:val="24"/>
          <w:szCs w:val="24"/>
        </w:rPr>
        <w:t>Nr. 408, datë 15.7.2025</w:t>
      </w:r>
    </w:p>
    <w:p w14:paraId="6E2F8386"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sz w:val="24"/>
          <w:szCs w:val="24"/>
        </w:rPr>
      </w:pPr>
    </w:p>
    <w:p w14:paraId="2FD5B0C1"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smallCaps/>
          <w:color w:val="000000"/>
          <w:sz w:val="24"/>
          <w:szCs w:val="24"/>
        </w:rPr>
      </w:pPr>
      <w:r w:rsidRPr="00F43338">
        <w:rPr>
          <w:rFonts w:ascii="Garamond" w:hAnsi="Garamond" w:cs="Times New Roman"/>
          <w:b/>
          <w:bCs/>
          <w:smallCaps/>
          <w:color w:val="000000"/>
          <w:sz w:val="24"/>
          <w:szCs w:val="24"/>
        </w:rPr>
        <w:t xml:space="preserve">MBI MIRATIMIN E RREGULLAVE PËR KRITERET DHE PROCEDURAT E KRIJIMIT TË SEKSIONEVE DHE TRUPAVE GJYKUES </w:t>
      </w:r>
    </w:p>
    <w:p w14:paraId="33EAA65E" w14:textId="77777777" w:rsidR="006F6AAD" w:rsidRPr="00F43338" w:rsidRDefault="006F6AAD" w:rsidP="006F6AAD">
      <w:pPr>
        <w:autoSpaceDE w:val="0"/>
        <w:autoSpaceDN w:val="0"/>
        <w:adjustRightInd w:val="0"/>
        <w:spacing w:after="0" w:line="240" w:lineRule="auto"/>
        <w:ind w:firstLine="284"/>
        <w:rPr>
          <w:rFonts w:ascii="Garamond" w:hAnsi="Garamond" w:cs="Times New Roman"/>
          <w:color w:val="000000"/>
          <w:sz w:val="24"/>
          <w:szCs w:val="24"/>
        </w:rPr>
      </w:pPr>
    </w:p>
    <w:p w14:paraId="4BFD3E36" w14:textId="34D07178"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Këshilli i Lartë Gjyqësor, bazuar në nenet 147, pika 1, dhe 147/a, pika 1, shkronja “ë” të Kushtetutës së Republikës së Shqipërisë</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nenin 23, pika 7</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të ligjit nr. 98/2016</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“Për organizimin e pushtetit gjyqësor në Republikën e Shqipërisë”, si dhe nenet 61, pika 2, shkronja “ë”, 97, pika 1, shkronja “c”</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të ligjit nr. 115/2016</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“Për organet e qeverisjes së sistemit të drejtësisë”, me propozim të Komisionit të Planifikimit Strategjik, Administrimit dhe Buxhetit,</w:t>
      </w:r>
    </w:p>
    <w:p w14:paraId="4D488432"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72043F30"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VENDOSI:</w:t>
      </w:r>
    </w:p>
    <w:p w14:paraId="27F90A27"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18073B6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 xml:space="preserve">Neni 1 </w:t>
      </w:r>
    </w:p>
    <w:p w14:paraId="687FCCD1"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Objekti</w:t>
      </w:r>
    </w:p>
    <w:p w14:paraId="09E1504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23D2AD22" w14:textId="3B9DC67C"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Objekt i këtij vendimi është përcaktimi i kritereve dhe procedurës të krijimit të seksioneve, caktimi i gjyqtarëve në seksione dhe trupa gjykues në Gjykatën e Lartë</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si dhe gjykatat me juridiksion të përgjithshëm të shkallës së parë dhe të apelit. </w:t>
      </w:r>
    </w:p>
    <w:p w14:paraId="6448C14C"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562C798B"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 xml:space="preserve">Neni 2 </w:t>
      </w:r>
    </w:p>
    <w:p w14:paraId="033FA9C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Qëllimi</w:t>
      </w:r>
    </w:p>
    <w:p w14:paraId="3C6120CB"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7533DBFE" w14:textId="6075842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Qëllimi i këtyre rregullave është krijimi i kushteve për specializim të trupës gjyqësore në funksion të rritjes së profesionalizmit, dhënies së drejtësisë pa vonesë</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si dhe rritjes së besimit të publikut në sistemin gjyqësor.</w:t>
      </w:r>
    </w:p>
    <w:p w14:paraId="618BA4B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 xml:space="preserve">Neni 3 </w:t>
      </w:r>
    </w:p>
    <w:p w14:paraId="453B1404"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Parimet</w:t>
      </w:r>
    </w:p>
    <w:p w14:paraId="067BA9E2"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51310111" w14:textId="327AE4D9"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Krijimi i seksioneve në gjykata realizohet në respektim të parimit të pavarësisë, procesit të rregullt ligjor, aksesit në drejtësi, sigurisë juridike, transparencës, profesionalizmit, fleksibilitetit dhe lëvizshmërisë të trupës gjyqësore, efikasitetit dhe objektivitetit.</w:t>
      </w:r>
    </w:p>
    <w:p w14:paraId="6002CB55" w14:textId="6B80AA0D"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Ndarja në seksione realizohet nëpërmjet gjetjes së një ekuilibri të drejtë midis nevojës për specializim të gjyqtarit si pjesë e trupës gjyqësore, ushtrimi i të drejtës për zhvillimin e karrierës së magjistratit dhe garantimit të funksionalitetit dhe mbarëvajtjes së punës në gjykatë.</w:t>
      </w:r>
    </w:p>
    <w:p w14:paraId="42089BE6"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663F53C5"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4</w:t>
      </w:r>
    </w:p>
    <w:p w14:paraId="267D88E1"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Specializimi i trupës gjyqësore</w:t>
      </w:r>
    </w:p>
    <w:p w14:paraId="38F8F130"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414982EC" w14:textId="5F51A50A"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Specializimi i gjyqtarit/trupës gjyqësore mundëson marrjen/fitimin e njohurive dhe aftësive të thelluara brenda një fushe apo nënfushe specifike të së drejtës.</w:t>
      </w:r>
    </w:p>
    <w:p w14:paraId="3C307253" w14:textId="0E6BDF8D"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2. Në gjykatat në të cilat nuk është e mundur sipas ligjit të krijohen seksione, gjyqtarët e specializuar për shqyrtimin e çështjeve penale me të mitur në konflikt me ligjin ose të mitur viktimë nga vepra penale, gjykojnë çështje në përputhje me </w:t>
      </w:r>
      <w:r w:rsidR="00F43338">
        <w:rPr>
          <w:rFonts w:ascii="Garamond" w:hAnsi="Garamond" w:cs="Times New Roman"/>
          <w:color w:val="000000"/>
          <w:sz w:val="24"/>
          <w:szCs w:val="24"/>
        </w:rPr>
        <w:t>k</w:t>
      </w:r>
      <w:r w:rsidRPr="00F43338">
        <w:rPr>
          <w:rFonts w:ascii="Garamond" w:hAnsi="Garamond" w:cs="Times New Roman"/>
          <w:color w:val="000000"/>
          <w:sz w:val="24"/>
          <w:szCs w:val="24"/>
        </w:rPr>
        <w:t>reun III, pika 11</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të vendimin nr. 554, datë 29.12.2022</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të Këshillit të Lartë Gjyqësor për ndarjen me short të çështjeve gjyqësore. </w:t>
      </w:r>
    </w:p>
    <w:p w14:paraId="33CEB225"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299EA4C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5</w:t>
      </w:r>
    </w:p>
    <w:p w14:paraId="46246333"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 xml:space="preserve">Krijimi i seksioneve </w:t>
      </w:r>
    </w:p>
    <w:p w14:paraId="7CFE6D7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47BB9666" w14:textId="5B6BD81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Këshilli i Gjykatës, pas marrjes së mendimit të Mbledhjes së Përgjithshme të Gjyqtarëve, vendos për krijimin e dy ose më shumë seksioneve në gjykatë, me vendim të arsyetuar.</w:t>
      </w:r>
    </w:p>
    <w:p w14:paraId="0285AB3D" w14:textId="2DB16FCF"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Seksioni i gjykatës përbëhet nga së paku 6 gjyqtarë.</w:t>
      </w:r>
    </w:p>
    <w:p w14:paraId="5D06F104" w14:textId="2C39285E"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3. Vendimi për krijimin e seksionit i njoftohet menjëherë Këshillit të Lartë Gjyqësor.</w:t>
      </w:r>
    </w:p>
    <w:p w14:paraId="6E590696" w14:textId="534D1F0D"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lastRenderedPageBreak/>
        <w:t>4. Vendimi i Këshillit të Gjykatës botohet në faqen zyrtare të internetit të gjykatës.</w:t>
      </w:r>
    </w:p>
    <w:p w14:paraId="685E9B0E"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106F5DF4"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6</w:t>
      </w:r>
    </w:p>
    <w:p w14:paraId="1B740267"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 xml:space="preserve">Kriteret për krijimin e seksioneve </w:t>
      </w:r>
    </w:p>
    <w:p w14:paraId="4C8CFC10"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57AED910" w14:textId="1ABC3AB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Vendimi për krijimin e seksionit, bazohet në analizën tërësore të kritereve objektive të përcaktuara në pikën 2 të këtij neni.</w:t>
      </w:r>
    </w:p>
    <w:p w14:paraId="69CA2030" w14:textId="296D24FF"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Konsiderohen kritere objektive:</w:t>
      </w:r>
    </w:p>
    <w:p w14:paraId="0A41C86D" w14:textId="602CA1AE"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a) numri i gjyqtarëve që ushtrojnë </w:t>
      </w:r>
      <w:r w:rsidR="00F43338" w:rsidRPr="00F43338">
        <w:rPr>
          <w:rFonts w:ascii="Garamond" w:hAnsi="Garamond" w:cs="Times New Roman"/>
          <w:color w:val="000000"/>
          <w:sz w:val="24"/>
          <w:szCs w:val="24"/>
        </w:rPr>
        <w:t>funksionin</w:t>
      </w:r>
      <w:r w:rsidRPr="00F43338">
        <w:rPr>
          <w:rFonts w:ascii="Garamond" w:hAnsi="Garamond" w:cs="Times New Roman"/>
          <w:color w:val="000000"/>
          <w:sz w:val="24"/>
          <w:szCs w:val="24"/>
        </w:rPr>
        <w:t xml:space="preserve"> efektivisht në gjykatë; </w:t>
      </w:r>
    </w:p>
    <w:p w14:paraId="18B2C229" w14:textId="2B43684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b) lloji i çështjeve;</w:t>
      </w:r>
    </w:p>
    <w:p w14:paraId="1CCF5A17" w14:textId="03A4030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c) numri i çështjeve të regjistruara në të paktën tri vitet e fundit;</w:t>
      </w:r>
    </w:p>
    <w:p w14:paraId="59BFEADD" w14:textId="2A1C1A6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d) ngarkesa e gjyqtarëve;</w:t>
      </w:r>
    </w:p>
    <w:p w14:paraId="32A1F734" w14:textId="0EE7F0FE"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3. Në çdo rast në krijimin e seksioneve, Këshilli i Gjykatës merr në konsideratë efektet e ndryshimeve në legjislacionin material dhe procedural</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dhe të administrimit gjyqësor që rrisin efikasitetin dhe cilësinë e drejtësisë.</w:t>
      </w:r>
    </w:p>
    <w:p w14:paraId="0A955458" w14:textId="77777777" w:rsidR="006F6AAD" w:rsidRPr="00F43338" w:rsidRDefault="006F6AAD" w:rsidP="006F6AAD">
      <w:pPr>
        <w:autoSpaceDE w:val="0"/>
        <w:autoSpaceDN w:val="0"/>
        <w:adjustRightInd w:val="0"/>
        <w:spacing w:after="0" w:line="240" w:lineRule="auto"/>
        <w:ind w:firstLine="284"/>
        <w:rPr>
          <w:rFonts w:ascii="Garamond" w:hAnsi="Garamond" w:cs="Times New Roman"/>
          <w:color w:val="000000"/>
          <w:sz w:val="24"/>
          <w:szCs w:val="24"/>
        </w:rPr>
      </w:pPr>
    </w:p>
    <w:p w14:paraId="1DD16E44"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7</w:t>
      </w:r>
    </w:p>
    <w:p w14:paraId="067FE652"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Seksionet në gjykatën e shkallës së parë të juridiksionit të përgjithshëm</w:t>
      </w:r>
    </w:p>
    <w:p w14:paraId="73B3936E"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4B2BD347" w14:textId="0F88D7C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Gjykatat e shkallës së parë të juridiksionit të përgjithshëm organizohen dhe funksionojnë në seksione.</w:t>
      </w:r>
    </w:p>
    <w:p w14:paraId="6B552F6B" w14:textId="04E6694A"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Ndarja në seksione nënkupton ndarjen, por pa u kufizuar vetëm në, seksionin civil dhe penal, tregtar, familjar etj.</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sipas fushave të veçanta të së drejtës.</w:t>
      </w:r>
    </w:p>
    <w:p w14:paraId="7E337A79"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17EE5FB5"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8</w:t>
      </w:r>
    </w:p>
    <w:p w14:paraId="2EDA5E06"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Seksionet në Gjykatën e Apelit të Juridiksionit të Përgjithshëm</w:t>
      </w:r>
    </w:p>
    <w:p w14:paraId="0A55D9A9"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b/>
          <w:bCs/>
          <w:color w:val="000000"/>
          <w:sz w:val="24"/>
          <w:szCs w:val="24"/>
        </w:rPr>
      </w:pPr>
    </w:p>
    <w:p w14:paraId="1A8BD4D4" w14:textId="407E68E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Gjykata e Apelit të Juridiksionit të Përgjithshëm organizohet dhe funksionon në seksione.</w:t>
      </w:r>
    </w:p>
    <w:p w14:paraId="017097D8" w14:textId="463F6D0F"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Ndarja në seksione nënkupton ndarjen, por pa u kufizuar vetëm</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në seksionin civil dhe penal.</w:t>
      </w:r>
    </w:p>
    <w:p w14:paraId="3F6C3316"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577DF03D"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9</w:t>
      </w:r>
    </w:p>
    <w:p w14:paraId="15764BE6"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Seksionet në Gjykatën e Lartë</w:t>
      </w:r>
    </w:p>
    <w:p w14:paraId="764A7F8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230B8177" w14:textId="5188348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Rregullat për krijimin e Seksioneve (Kolegjeve) të Gjykatës së Lartë, zbatohen parashikimet e </w:t>
      </w:r>
      <w:r w:rsidR="00F43338">
        <w:rPr>
          <w:rFonts w:ascii="Garamond" w:hAnsi="Garamond" w:cs="Times New Roman"/>
          <w:color w:val="000000"/>
          <w:sz w:val="24"/>
          <w:szCs w:val="24"/>
        </w:rPr>
        <w:t>l</w:t>
      </w:r>
      <w:r w:rsidRPr="00F43338">
        <w:rPr>
          <w:rFonts w:ascii="Garamond" w:hAnsi="Garamond" w:cs="Times New Roman"/>
          <w:color w:val="000000"/>
          <w:sz w:val="24"/>
          <w:szCs w:val="24"/>
        </w:rPr>
        <w:t>igjit 98/2016</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“Për organizimin e pushtetit gjyqësor në Republikën e Shqipërisë”</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i ndryshuar.</w:t>
      </w:r>
    </w:p>
    <w:p w14:paraId="0B726BDB"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3FA057D2"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10</w:t>
      </w:r>
    </w:p>
    <w:p w14:paraId="0555F407"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Caktimi i gjyqtarit në seksion</w:t>
      </w:r>
    </w:p>
    <w:p w14:paraId="4D7F50C3"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284A26BA" w14:textId="53EA406B"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Këshilli i Gjykatës vendos caktimin e gjyqtarit në seksionin përkatës, në përputhje me nevojat e gjykatës dhe pas marrjes së mendimit të gjyqtarit.</w:t>
      </w:r>
    </w:p>
    <w:p w14:paraId="3FBC77E6" w14:textId="08422C1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2. Si rregull, caktimi i gjyqtarit në seksion bazohet në vlerësimin tërësor të kritereve </w:t>
      </w:r>
      <w:r w:rsidR="00F43338" w:rsidRPr="00F43338">
        <w:rPr>
          <w:rFonts w:ascii="Garamond" w:hAnsi="Garamond" w:cs="Times New Roman"/>
          <w:color w:val="000000"/>
          <w:sz w:val="24"/>
          <w:szCs w:val="24"/>
        </w:rPr>
        <w:t>të</w:t>
      </w:r>
      <w:r w:rsidRPr="00F43338">
        <w:rPr>
          <w:rFonts w:ascii="Garamond" w:hAnsi="Garamond" w:cs="Times New Roman"/>
          <w:color w:val="000000"/>
          <w:sz w:val="24"/>
          <w:szCs w:val="24"/>
        </w:rPr>
        <w:t xml:space="preserve"> mëposhtme:</w:t>
      </w:r>
    </w:p>
    <w:p w14:paraId="3C509396" w14:textId="73822D5B"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a) përvoja profesionale që lidhet me natyrën e çështjeve të gjykuara;</w:t>
      </w:r>
    </w:p>
    <w:p w14:paraId="7A3AC3F2" w14:textId="6DA142B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b) fusha e interesit të gjyqtarit;</w:t>
      </w:r>
    </w:p>
    <w:p w14:paraId="3B7C0EAE" w14:textId="34EA8FB8"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3. Në rastin e procedurës së lëvizjes paralele, transferimit të përkohshëm apo ngritjes në detyrë sipas ligjit, Këshilli </w:t>
      </w:r>
      <w:r w:rsidR="00F43338">
        <w:rPr>
          <w:rFonts w:ascii="Garamond" w:hAnsi="Garamond" w:cs="Times New Roman"/>
          <w:color w:val="000000"/>
          <w:sz w:val="24"/>
          <w:szCs w:val="24"/>
        </w:rPr>
        <w:t xml:space="preserve">i </w:t>
      </w:r>
      <w:r w:rsidRPr="00F43338">
        <w:rPr>
          <w:rFonts w:ascii="Garamond" w:hAnsi="Garamond" w:cs="Times New Roman"/>
          <w:color w:val="000000"/>
          <w:sz w:val="24"/>
          <w:szCs w:val="24"/>
        </w:rPr>
        <w:t>Gjykatës cakton në seksion gjyqtarin e transferuar nëpërmjet lëvizjes paralele, transferuar përkohësisht apo ngritur në detyrë, në përputhje me vendimin e Këshillit të Lartë Gjyqësor që specifikon fushën përkatëse të së drejtës.</w:t>
      </w:r>
    </w:p>
    <w:p w14:paraId="214BF51E" w14:textId="259850ED"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4. Përjashtimisht nga rregullat e parashiku</w:t>
      </w:r>
      <w:r w:rsidR="00F43338">
        <w:rPr>
          <w:rFonts w:ascii="Garamond" w:hAnsi="Garamond" w:cs="Times New Roman"/>
          <w:color w:val="000000"/>
          <w:sz w:val="24"/>
          <w:szCs w:val="24"/>
        </w:rPr>
        <w:t>a</w:t>
      </w:r>
      <w:r w:rsidRPr="00F43338">
        <w:rPr>
          <w:rFonts w:ascii="Garamond" w:hAnsi="Garamond" w:cs="Times New Roman"/>
          <w:color w:val="000000"/>
          <w:sz w:val="24"/>
          <w:szCs w:val="24"/>
        </w:rPr>
        <w:t>ra në pikat 1, 2 dhe 3 të këtij neni, caktimi në seksion mund të kryhet nga Këshilli i Gjykatës, me vendim të arsyetuar, pavarësisht mendimit të gjyqtarit, për arsye objektive që lidhen me garantimin e funksionalitetit, mbarëvajtjes së punës në gjykatë dhe trajnimet e kryera brenda dhe jashtë vendit për një fushë të caktuar të së drejtës për të cilat konsiderohet gjyqtar i specializuar.</w:t>
      </w:r>
    </w:p>
    <w:p w14:paraId="7A073372"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014D9B6C"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lastRenderedPageBreak/>
        <w:t>Neni 11</w:t>
      </w:r>
    </w:p>
    <w:p w14:paraId="19502D3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Caktimi i trupave gjykues në seksione</w:t>
      </w:r>
    </w:p>
    <w:p w14:paraId="33E36C8D"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36C82CD6" w14:textId="5F6547B9"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Këshilli i Gjykatës vendos për krijimin, caktimin e gjyqtarëve në seksione dhe përbërjen e trupave gjykues për çdo seksion në gjykatë, me vendim të arsyetuar.</w:t>
      </w:r>
    </w:p>
    <w:p w14:paraId="386CD423" w14:textId="4B7D63D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Këshilli i Gjykatës sigurohet që trupi gjykues të ketë përbërje të tillë që garanton balancën ndërmjet përvojave profesionale të anëtarëve dhe fushën e tyre të interesit.</w:t>
      </w:r>
    </w:p>
    <w:p w14:paraId="42132253"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806000"/>
          <w:sz w:val="24"/>
          <w:szCs w:val="24"/>
        </w:rPr>
      </w:pPr>
    </w:p>
    <w:p w14:paraId="73189B4C"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12</w:t>
      </w:r>
    </w:p>
    <w:p w14:paraId="120AA7F3"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Ushtrimi i funksionit në seksion</w:t>
      </w:r>
    </w:p>
    <w:p w14:paraId="3DD9DA23"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699247C8" w14:textId="3EEA8CD9"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6E4E80">
        <w:rPr>
          <w:rFonts w:ascii="Garamond" w:hAnsi="Garamond" w:cs="Times New Roman"/>
          <w:color w:val="000000"/>
          <w:sz w:val="24"/>
          <w:szCs w:val="24"/>
        </w:rPr>
        <w:t>1. Këshilli i Gjykatës, me qëllim garantimin e shpërndarjes së ngarkesës së barabartë ndërmjet gjyqtarëve, brenda njërës prej fushave të së drejtës civile ose penale, gjyqtari mund të shqyrtojë çështje të një seksioni të ndryshëm nga ai ku është caktuar, por gjithmonë brenda së njëjtës fushë të së drejtës ku bën pjesë seksioni.</w:t>
      </w:r>
    </w:p>
    <w:p w14:paraId="2BD8A00B" w14:textId="3BD419E1"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2. Këshilli i Gjykatës, me qëllim garantimin e shpërndarjes së ngarkesës së barabartë ndërmjet gjyqtarëve, jashtë seksioneve sipas fushës së të drejtës civile ose penale, mund të caktojë përkohësisht, me vendim të arsyetuar, që një gjyqtar i caktuar në një seksion të shqyrtojë çështje të një seksioni të ndryshëm nga ai ku është caktuar, edhe jashtë fushës së </w:t>
      </w:r>
      <w:r w:rsidR="00F43338">
        <w:rPr>
          <w:rFonts w:ascii="Garamond" w:hAnsi="Garamond" w:cs="Times New Roman"/>
          <w:color w:val="000000"/>
          <w:sz w:val="24"/>
          <w:szCs w:val="24"/>
        </w:rPr>
        <w:t>t</w:t>
      </w:r>
      <w:r w:rsidRPr="00F43338">
        <w:rPr>
          <w:rFonts w:ascii="Garamond" w:hAnsi="Garamond" w:cs="Times New Roman"/>
          <w:color w:val="000000"/>
          <w:sz w:val="24"/>
          <w:szCs w:val="24"/>
        </w:rPr>
        <w:t>ë drejtës së seksionit përkatës.</w:t>
      </w:r>
    </w:p>
    <w:p w14:paraId="30809E6A"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b/>
          <w:bCs/>
          <w:color w:val="806000"/>
          <w:sz w:val="24"/>
          <w:szCs w:val="24"/>
        </w:rPr>
      </w:pPr>
    </w:p>
    <w:p w14:paraId="514A08D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13</w:t>
      </w:r>
    </w:p>
    <w:p w14:paraId="20432DFA"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Ndryshimi i seksionit</w:t>
      </w:r>
    </w:p>
    <w:p w14:paraId="4C4796ED"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color w:val="000000"/>
          <w:sz w:val="24"/>
          <w:szCs w:val="24"/>
        </w:rPr>
      </w:pPr>
      <w:r w:rsidRPr="00F43338">
        <w:rPr>
          <w:rFonts w:ascii="Garamond" w:hAnsi="Garamond" w:cs="Times New Roman"/>
          <w:b/>
          <w:bCs/>
          <w:color w:val="000000"/>
          <w:sz w:val="24"/>
          <w:szCs w:val="24"/>
        </w:rPr>
        <w:t xml:space="preserve"> </w:t>
      </w:r>
    </w:p>
    <w:p w14:paraId="7175EA65" w14:textId="52F19172"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Këshilli i Gjykatës, pas marrjes së mendimit të Mbledhjes së Përgjithshme të Gjyqtarëve, me qëllim garantimin e funksionalitetit dhe mbarëvajtjes së punës në gjykatë, të drejtës së zhvillimit të karrierës dhe specializimit të magjistratit, në respektim të parimit të fleksibilitetit dhe lëvizshmërisë së trupës gjyqësore, në përputhje me nevojat e gjykatës, vendos ndryshimin dhe kalimin e gjyqtarit nga një seksion në një tjetër brenda të njëjtës gjykatë.</w:t>
      </w:r>
    </w:p>
    <w:p w14:paraId="53AE1EE6"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59E44148"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14</w:t>
      </w:r>
    </w:p>
    <w:p w14:paraId="24A95E4B"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Shkrirja e seksionit</w:t>
      </w:r>
    </w:p>
    <w:p w14:paraId="109335B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7A819356" w14:textId="1865B1E9"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1. Këshilli i Gjykatës, pas marrjes së mendimit të Mbledhjes së Përgjithshme të Gjyqtarëve të gjykatës, me vendim të arsyetuar, vendos shkrirjen e seksionit në gjykatë.</w:t>
      </w:r>
    </w:p>
    <w:p w14:paraId="57FE37DC" w14:textId="1066F5EA"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2. Vendimi për shkrirjen e seksionit, bazohet në analizën tërësore të kritereve objektive</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të lidhura me:</w:t>
      </w:r>
    </w:p>
    <w:p w14:paraId="4EB1E93C" w14:textId="1155E7C0"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a) ndryshimin e llojit dhe numrit të çështjeve;</w:t>
      </w:r>
    </w:p>
    <w:p w14:paraId="1A4D755F" w14:textId="295A2868"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b) ngarkes</w:t>
      </w:r>
      <w:r w:rsidR="00F43338">
        <w:rPr>
          <w:rFonts w:ascii="Garamond" w:hAnsi="Garamond" w:cs="Times New Roman"/>
          <w:color w:val="000000"/>
          <w:sz w:val="24"/>
          <w:szCs w:val="24"/>
        </w:rPr>
        <w:t>ën</w:t>
      </w:r>
      <w:r w:rsidRPr="00F43338">
        <w:rPr>
          <w:rFonts w:ascii="Garamond" w:hAnsi="Garamond" w:cs="Times New Roman"/>
          <w:color w:val="000000"/>
          <w:sz w:val="24"/>
          <w:szCs w:val="24"/>
        </w:rPr>
        <w:t xml:space="preserve"> e gjyqtarëve.</w:t>
      </w:r>
    </w:p>
    <w:p w14:paraId="289C776F" w14:textId="069B6C9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3. Vendimi për shkrirjen e seksionit i njoftohet menjëherë Këshillit të Lartë Gjyqësor.</w:t>
      </w:r>
    </w:p>
    <w:p w14:paraId="159EA076" w14:textId="3AA3421A"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4. Vendimi i Këshilli të Gjykatës botohet në faqen zyrtare të internetit të gjykatës.</w:t>
      </w:r>
    </w:p>
    <w:p w14:paraId="017E9F1F" w14:textId="7BB04484"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5. Këshilli i Gjykatës</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në çdo rast</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merr në konsideratë efektet e ndryshimeve në legjislacionin material dhe procedural</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si dhe praktikat e mira të administrimit gjyqësor që rrisin efikasitetin dhe cilësinë e drejtësisë.</w:t>
      </w:r>
    </w:p>
    <w:p w14:paraId="71AB09FA"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p>
    <w:p w14:paraId="49AAB1FC"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15</w:t>
      </w:r>
    </w:p>
    <w:p w14:paraId="347AE0CC"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Dispozita tranzitore</w:t>
      </w:r>
    </w:p>
    <w:p w14:paraId="690EBA30"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7509B999" w14:textId="7CF1071E"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1. Këshilli i Gjykatës, brenda 3 muajve nga hyrja në fuqi e këtij akti, merr masa </w:t>
      </w:r>
      <w:r w:rsidR="00F43338" w:rsidRPr="006E4E80">
        <w:rPr>
          <w:rFonts w:ascii="Garamond" w:hAnsi="Garamond" w:cs="Times New Roman"/>
          <w:color w:val="000000"/>
          <w:sz w:val="24"/>
          <w:szCs w:val="24"/>
        </w:rPr>
        <w:t>për</w:t>
      </w:r>
      <w:r w:rsidR="00F43338">
        <w:rPr>
          <w:rFonts w:ascii="Garamond" w:hAnsi="Garamond" w:cs="Times New Roman"/>
          <w:color w:val="000000"/>
          <w:sz w:val="24"/>
          <w:szCs w:val="24"/>
        </w:rPr>
        <w:t xml:space="preserve"> </w:t>
      </w:r>
      <w:r w:rsidRPr="00F43338">
        <w:rPr>
          <w:rFonts w:ascii="Garamond" w:hAnsi="Garamond" w:cs="Times New Roman"/>
          <w:color w:val="000000"/>
          <w:sz w:val="24"/>
          <w:szCs w:val="24"/>
        </w:rPr>
        <w:t>plotësimin e kritereve të trupës gjyqësore pranë një seksioni</w:t>
      </w:r>
      <w:r w:rsidR="00F43338">
        <w:rPr>
          <w:rFonts w:ascii="Garamond" w:hAnsi="Garamond" w:cs="Times New Roman"/>
          <w:color w:val="000000"/>
          <w:sz w:val="24"/>
          <w:szCs w:val="24"/>
        </w:rPr>
        <w:t>,</w:t>
      </w:r>
      <w:r w:rsidRPr="00F43338">
        <w:rPr>
          <w:rFonts w:ascii="Garamond" w:hAnsi="Garamond" w:cs="Times New Roman"/>
          <w:color w:val="000000"/>
          <w:sz w:val="24"/>
          <w:szCs w:val="24"/>
        </w:rPr>
        <w:t xml:space="preserve"> në përputhje me përcaktimet e këtij vendimi.</w:t>
      </w:r>
      <w:r w:rsidR="00F43338">
        <w:rPr>
          <w:rFonts w:ascii="Garamond" w:hAnsi="Garamond" w:cs="Times New Roman"/>
          <w:color w:val="000000"/>
          <w:sz w:val="24"/>
          <w:szCs w:val="24"/>
        </w:rPr>
        <w:t xml:space="preserve"> </w:t>
      </w:r>
    </w:p>
    <w:p w14:paraId="11220D95" w14:textId="041B5204" w:rsidR="006F6AAD" w:rsidRPr="00F43338" w:rsidRDefault="006F6AAD" w:rsidP="006F6AAD">
      <w:pPr>
        <w:autoSpaceDE w:val="0"/>
        <w:autoSpaceDN w:val="0"/>
        <w:adjustRightInd w:val="0"/>
        <w:spacing w:after="0" w:line="240" w:lineRule="auto"/>
        <w:ind w:firstLine="284"/>
        <w:jc w:val="both"/>
        <w:rPr>
          <w:rFonts w:ascii="Garamond" w:hAnsi="Garamond" w:cs="Times New Roman"/>
          <w:color w:val="000000"/>
          <w:sz w:val="24"/>
          <w:szCs w:val="24"/>
        </w:rPr>
      </w:pPr>
      <w:r w:rsidRPr="00F43338">
        <w:rPr>
          <w:rFonts w:ascii="Garamond" w:hAnsi="Garamond" w:cs="Times New Roman"/>
          <w:color w:val="000000"/>
          <w:sz w:val="24"/>
          <w:szCs w:val="24"/>
        </w:rPr>
        <w:t xml:space="preserve">2. Për efekt të ndryshimeve të seksioneve në zbatim të pikës 1 të këtij neni, nuk mund të zbatohet rindarja e </w:t>
      </w:r>
      <w:r w:rsidR="00F43338" w:rsidRPr="00F43338">
        <w:rPr>
          <w:rFonts w:ascii="Garamond" w:hAnsi="Garamond" w:cs="Times New Roman"/>
          <w:color w:val="000000"/>
          <w:sz w:val="24"/>
          <w:szCs w:val="24"/>
        </w:rPr>
        <w:t>çështjeve</w:t>
      </w:r>
      <w:r w:rsidRPr="00F43338">
        <w:rPr>
          <w:rFonts w:ascii="Garamond" w:hAnsi="Garamond" w:cs="Times New Roman"/>
          <w:color w:val="000000"/>
          <w:sz w:val="24"/>
          <w:szCs w:val="24"/>
        </w:rPr>
        <w:t xml:space="preserve"> gjyqësore në</w:t>
      </w:r>
      <w:r w:rsidRPr="00F43338">
        <w:rPr>
          <w:rFonts w:ascii="Garamond" w:hAnsi="Garamond" w:cs="Times New Roman"/>
          <w:b/>
          <w:bCs/>
          <w:color w:val="000000"/>
          <w:sz w:val="24"/>
          <w:szCs w:val="24"/>
        </w:rPr>
        <w:t xml:space="preserve"> </w:t>
      </w:r>
      <w:r w:rsidRPr="00F43338">
        <w:rPr>
          <w:rFonts w:ascii="Garamond" w:hAnsi="Garamond" w:cs="Times New Roman"/>
          <w:color w:val="000000"/>
          <w:sz w:val="24"/>
          <w:szCs w:val="24"/>
        </w:rPr>
        <w:t>gjykatat e shkallës së parë të juridiksionit të përgjithshëm.</w:t>
      </w:r>
    </w:p>
    <w:p w14:paraId="626FCF4A" w14:textId="2AF26297" w:rsidR="006F6AAD" w:rsidRPr="00F43338" w:rsidRDefault="006F6AAD" w:rsidP="006F6AAD">
      <w:pPr>
        <w:autoSpaceDE w:val="0"/>
        <w:autoSpaceDN w:val="0"/>
        <w:adjustRightInd w:val="0"/>
        <w:spacing w:after="0" w:line="240" w:lineRule="auto"/>
        <w:ind w:firstLine="284"/>
        <w:jc w:val="both"/>
        <w:rPr>
          <w:rFonts w:ascii="Garamond" w:hAnsi="Garamond" w:cs="Times New Roman"/>
          <w:b/>
          <w:bCs/>
          <w:color w:val="806000"/>
          <w:sz w:val="24"/>
          <w:szCs w:val="24"/>
        </w:rPr>
      </w:pPr>
      <w:r w:rsidRPr="00F43338">
        <w:rPr>
          <w:rFonts w:ascii="Garamond" w:hAnsi="Garamond" w:cs="Times New Roman"/>
          <w:color w:val="000000"/>
          <w:sz w:val="24"/>
          <w:szCs w:val="24"/>
        </w:rPr>
        <w:t xml:space="preserve">3. Ngarkohet Departamenti i Administrimit të Gjykatave dhe Teknologjisë së Informacionit pranë Këshillit të Lartë Gjyqësor për kryerjen e procedurave dhe zhvillimeve të nevojshme në sistemin e </w:t>
      </w:r>
      <w:r w:rsidRPr="00F43338">
        <w:rPr>
          <w:rFonts w:ascii="Garamond" w:hAnsi="Garamond" w:cs="Times New Roman"/>
          <w:color w:val="000000"/>
          <w:sz w:val="24"/>
          <w:szCs w:val="24"/>
        </w:rPr>
        <w:lastRenderedPageBreak/>
        <w:t>menaxhimit të çështjeve, me qëllim pasqyrimin e seksioneve, trupave gjykues dhe caktimin e gjyqtarëve në seksione.</w:t>
      </w:r>
      <w:r w:rsidR="00F43338">
        <w:rPr>
          <w:rFonts w:ascii="Garamond" w:hAnsi="Garamond" w:cs="Times New Roman"/>
          <w:color w:val="000000"/>
          <w:sz w:val="24"/>
          <w:szCs w:val="24"/>
        </w:rPr>
        <w:t xml:space="preserve"> </w:t>
      </w:r>
    </w:p>
    <w:p w14:paraId="767032A1" w14:textId="77777777" w:rsidR="006F6AAD" w:rsidRPr="00F43338" w:rsidRDefault="006F6AAD" w:rsidP="006F6AAD">
      <w:pPr>
        <w:autoSpaceDE w:val="0"/>
        <w:autoSpaceDN w:val="0"/>
        <w:adjustRightInd w:val="0"/>
        <w:spacing w:after="0" w:line="240" w:lineRule="auto"/>
        <w:ind w:firstLine="284"/>
        <w:jc w:val="both"/>
        <w:rPr>
          <w:rFonts w:ascii="Garamond" w:hAnsi="Garamond" w:cs="Times New Roman"/>
          <w:b/>
          <w:bCs/>
          <w:color w:val="806000"/>
          <w:sz w:val="24"/>
          <w:szCs w:val="24"/>
        </w:rPr>
      </w:pPr>
    </w:p>
    <w:p w14:paraId="49534825"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Cs/>
          <w:color w:val="000000"/>
          <w:sz w:val="24"/>
          <w:szCs w:val="24"/>
        </w:rPr>
      </w:pPr>
      <w:r w:rsidRPr="00F43338">
        <w:rPr>
          <w:rFonts w:ascii="Garamond" w:hAnsi="Garamond" w:cs="Times New Roman"/>
          <w:bCs/>
          <w:color w:val="000000"/>
          <w:sz w:val="24"/>
          <w:szCs w:val="24"/>
        </w:rPr>
        <w:t>Neni 16</w:t>
      </w:r>
    </w:p>
    <w:p w14:paraId="1B037E72"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r w:rsidRPr="00F43338">
        <w:rPr>
          <w:rFonts w:ascii="Garamond" w:hAnsi="Garamond" w:cs="Times New Roman"/>
          <w:b/>
          <w:bCs/>
          <w:color w:val="000000"/>
          <w:sz w:val="24"/>
          <w:szCs w:val="24"/>
        </w:rPr>
        <w:t>Hyrja në fuqi</w:t>
      </w:r>
    </w:p>
    <w:p w14:paraId="7016AE6F" w14:textId="77777777" w:rsidR="006F6AAD" w:rsidRPr="00F43338" w:rsidRDefault="006F6AAD" w:rsidP="006F6AAD">
      <w:pPr>
        <w:autoSpaceDE w:val="0"/>
        <w:autoSpaceDN w:val="0"/>
        <w:adjustRightInd w:val="0"/>
        <w:spacing w:after="0" w:line="240" w:lineRule="auto"/>
        <w:ind w:firstLine="284"/>
        <w:jc w:val="center"/>
        <w:rPr>
          <w:rFonts w:ascii="Garamond" w:hAnsi="Garamond" w:cs="Times New Roman"/>
          <w:b/>
          <w:bCs/>
          <w:color w:val="000000"/>
          <w:sz w:val="24"/>
          <w:szCs w:val="24"/>
        </w:rPr>
      </w:pPr>
    </w:p>
    <w:p w14:paraId="312EBC0E" w14:textId="77777777" w:rsidR="006F6AAD" w:rsidRPr="00F43338" w:rsidRDefault="006F6AAD" w:rsidP="006F6AAD">
      <w:pPr>
        <w:autoSpaceDE w:val="0"/>
        <w:autoSpaceDN w:val="0"/>
        <w:adjustRightInd w:val="0"/>
        <w:spacing w:after="0" w:line="240" w:lineRule="auto"/>
        <w:ind w:firstLine="284"/>
        <w:rPr>
          <w:rFonts w:ascii="Garamond" w:hAnsi="Garamond" w:cs="Times New Roman"/>
          <w:color w:val="000000"/>
          <w:sz w:val="24"/>
          <w:szCs w:val="24"/>
        </w:rPr>
      </w:pPr>
      <w:r w:rsidRPr="00F43338">
        <w:rPr>
          <w:rFonts w:ascii="Garamond" w:hAnsi="Garamond" w:cs="Times New Roman"/>
          <w:color w:val="000000"/>
          <w:sz w:val="24"/>
          <w:szCs w:val="24"/>
        </w:rPr>
        <w:t>Ky vendim hyn në fuqi me botimin në Fletoren Zyrtare.</w:t>
      </w:r>
    </w:p>
    <w:p w14:paraId="499E05E6" w14:textId="77777777" w:rsidR="006F6AAD" w:rsidRPr="00F43338" w:rsidRDefault="006F6AAD" w:rsidP="006F6AAD">
      <w:pPr>
        <w:autoSpaceDE w:val="0"/>
        <w:autoSpaceDN w:val="0"/>
        <w:adjustRightInd w:val="0"/>
        <w:spacing w:after="0" w:line="240" w:lineRule="auto"/>
        <w:rPr>
          <w:rFonts w:ascii="Garamond" w:hAnsi="Garamond" w:cs="Times New Roman"/>
          <w:b/>
          <w:bCs/>
          <w:color w:val="000000"/>
          <w:sz w:val="24"/>
          <w:szCs w:val="24"/>
        </w:rPr>
      </w:pPr>
    </w:p>
    <w:p w14:paraId="4E5514E8" w14:textId="1EF24C4B" w:rsidR="006F6AAD" w:rsidRPr="00F43338" w:rsidRDefault="006E4E80" w:rsidP="006F6AAD">
      <w:pPr>
        <w:tabs>
          <w:tab w:val="left" w:pos="6560"/>
          <w:tab w:val="left" w:pos="8300"/>
        </w:tabs>
        <w:autoSpaceDE w:val="0"/>
        <w:autoSpaceDN w:val="0"/>
        <w:adjustRightInd w:val="0"/>
        <w:spacing w:after="0" w:line="240" w:lineRule="auto"/>
        <w:ind w:firstLine="284"/>
        <w:jc w:val="right"/>
        <w:rPr>
          <w:rFonts w:ascii="Garamond" w:hAnsi="Garamond" w:cs="Times New Roman"/>
          <w:bCs/>
          <w:color w:val="000000"/>
          <w:sz w:val="24"/>
          <w:szCs w:val="24"/>
        </w:rPr>
      </w:pPr>
      <w:r>
        <w:rPr>
          <w:rFonts w:ascii="Garamond" w:hAnsi="Garamond" w:cs="Times New Roman"/>
          <w:bCs/>
          <w:color w:val="000000"/>
          <w:sz w:val="24"/>
          <w:szCs w:val="24"/>
        </w:rPr>
        <w:t xml:space="preserve">PËR </w:t>
      </w:r>
      <w:r w:rsidR="006F6AAD" w:rsidRPr="00F43338">
        <w:rPr>
          <w:rFonts w:ascii="Garamond" w:hAnsi="Garamond" w:cs="Times New Roman"/>
          <w:bCs/>
          <w:color w:val="000000"/>
          <w:sz w:val="24"/>
          <w:szCs w:val="24"/>
        </w:rPr>
        <w:t>KËSHILLI</w:t>
      </w:r>
      <w:r>
        <w:rPr>
          <w:rFonts w:ascii="Garamond" w:hAnsi="Garamond" w:cs="Times New Roman"/>
          <w:bCs/>
          <w:color w:val="000000"/>
          <w:sz w:val="24"/>
          <w:szCs w:val="24"/>
        </w:rPr>
        <w:t>N</w:t>
      </w:r>
      <w:r w:rsidR="006F6AAD" w:rsidRPr="00F43338">
        <w:rPr>
          <w:rFonts w:ascii="Garamond" w:hAnsi="Garamond" w:cs="Times New Roman"/>
          <w:bCs/>
          <w:color w:val="000000"/>
          <w:sz w:val="24"/>
          <w:szCs w:val="24"/>
        </w:rPr>
        <w:t xml:space="preserve"> </w:t>
      </w:r>
      <w:r>
        <w:rPr>
          <w:rFonts w:ascii="Garamond" w:hAnsi="Garamond" w:cs="Times New Roman"/>
          <w:bCs/>
          <w:color w:val="000000"/>
          <w:sz w:val="24"/>
          <w:szCs w:val="24"/>
        </w:rPr>
        <w:t>E</w:t>
      </w:r>
      <w:bookmarkStart w:id="0" w:name="_GoBack"/>
      <w:bookmarkEnd w:id="0"/>
      <w:r w:rsidR="006F6AAD" w:rsidRPr="00F43338">
        <w:rPr>
          <w:rFonts w:ascii="Garamond" w:hAnsi="Garamond" w:cs="Times New Roman"/>
          <w:bCs/>
          <w:color w:val="000000"/>
          <w:sz w:val="24"/>
          <w:szCs w:val="24"/>
        </w:rPr>
        <w:t xml:space="preserve"> LARTË GJYQËSOR</w:t>
      </w:r>
    </w:p>
    <w:p w14:paraId="2493643A" w14:textId="77777777" w:rsidR="006E4E80" w:rsidRDefault="006E4E80" w:rsidP="006F6AAD">
      <w:pPr>
        <w:autoSpaceDE w:val="0"/>
        <w:autoSpaceDN w:val="0"/>
        <w:adjustRightInd w:val="0"/>
        <w:spacing w:after="0" w:line="240" w:lineRule="auto"/>
        <w:ind w:firstLine="284"/>
        <w:jc w:val="right"/>
        <w:rPr>
          <w:rFonts w:ascii="Garamond" w:hAnsi="Garamond" w:cs="Times New Roman"/>
          <w:bCs/>
          <w:color w:val="000000"/>
          <w:sz w:val="24"/>
          <w:szCs w:val="24"/>
        </w:rPr>
      </w:pPr>
      <w:r w:rsidRPr="00F43338">
        <w:rPr>
          <w:rFonts w:ascii="Garamond" w:hAnsi="Garamond" w:cs="Times New Roman"/>
          <w:bCs/>
          <w:color w:val="000000"/>
          <w:sz w:val="24"/>
          <w:szCs w:val="24"/>
        </w:rPr>
        <w:t xml:space="preserve">KRYETAR </w:t>
      </w:r>
    </w:p>
    <w:p w14:paraId="49E9AADB" w14:textId="26F654F9" w:rsidR="006F6AAD" w:rsidRPr="00F43338" w:rsidRDefault="006F6AAD" w:rsidP="006F6AAD">
      <w:pPr>
        <w:autoSpaceDE w:val="0"/>
        <w:autoSpaceDN w:val="0"/>
        <w:adjustRightInd w:val="0"/>
        <w:spacing w:after="0" w:line="240" w:lineRule="auto"/>
        <w:ind w:firstLine="284"/>
        <w:jc w:val="right"/>
        <w:rPr>
          <w:rFonts w:ascii="Garamond" w:hAnsi="Garamond" w:cs="Times New Roman"/>
          <w:b/>
          <w:bCs/>
          <w:color w:val="000000"/>
          <w:sz w:val="24"/>
          <w:szCs w:val="24"/>
        </w:rPr>
      </w:pPr>
      <w:r w:rsidRPr="00F43338">
        <w:rPr>
          <w:rFonts w:ascii="Garamond" w:hAnsi="Garamond" w:cs="Times New Roman"/>
          <w:b/>
          <w:bCs/>
          <w:color w:val="000000"/>
          <w:sz w:val="24"/>
          <w:szCs w:val="24"/>
        </w:rPr>
        <w:t>Ilir Rusi</w:t>
      </w:r>
    </w:p>
    <w:p w14:paraId="653145BF" w14:textId="566A4F39" w:rsidR="00DC251B" w:rsidRPr="00F43338" w:rsidRDefault="00DC251B" w:rsidP="006F6AAD">
      <w:pPr>
        <w:spacing w:after="0" w:line="240" w:lineRule="auto"/>
        <w:rPr>
          <w:rFonts w:ascii="Garamond" w:hAnsi="Garamond"/>
          <w:sz w:val="24"/>
          <w:szCs w:val="24"/>
        </w:rPr>
      </w:pPr>
    </w:p>
    <w:sectPr w:rsidR="00DC251B" w:rsidRPr="00F43338" w:rsidSect="000272F4">
      <w:footerReference w:type="default" r:id="rId13"/>
      <w:pgSz w:w="12240" w:h="15840"/>
      <w:pgMar w:top="540" w:right="1440" w:bottom="720" w:left="1440" w:header="720" w:footer="1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7F9B2" w14:textId="77777777" w:rsidR="006E4E80" w:rsidRDefault="006E4E80" w:rsidP="00440E16">
      <w:pPr>
        <w:spacing w:after="0" w:line="240" w:lineRule="auto"/>
      </w:pPr>
      <w:r>
        <w:separator/>
      </w:r>
    </w:p>
  </w:endnote>
  <w:endnote w:type="continuationSeparator" w:id="0">
    <w:p w14:paraId="1A8AF841" w14:textId="77777777" w:rsidR="006E4E80" w:rsidRDefault="006E4E80" w:rsidP="00440E16">
      <w:pPr>
        <w:spacing w:after="0" w:line="240" w:lineRule="auto"/>
      </w:pPr>
      <w:r>
        <w:continuationSeparator/>
      </w:r>
    </w:p>
  </w:endnote>
  <w:endnote w:type="continuationNotice" w:id="1">
    <w:p w14:paraId="409958DD" w14:textId="77777777" w:rsidR="006E4E80" w:rsidRDefault="006E4E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B89C5" w14:textId="5C8F47EB" w:rsidR="006E4E80" w:rsidRDefault="006E4E8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7B4F3" w14:textId="77777777" w:rsidR="006E4E80" w:rsidRDefault="006E4E80" w:rsidP="00440E16">
      <w:pPr>
        <w:spacing w:after="0" w:line="240" w:lineRule="auto"/>
      </w:pPr>
      <w:r>
        <w:separator/>
      </w:r>
    </w:p>
  </w:footnote>
  <w:footnote w:type="continuationSeparator" w:id="0">
    <w:p w14:paraId="174CCB79" w14:textId="77777777" w:rsidR="006E4E80" w:rsidRDefault="006E4E80" w:rsidP="00440E16">
      <w:pPr>
        <w:spacing w:after="0" w:line="240" w:lineRule="auto"/>
      </w:pPr>
      <w:r>
        <w:continuationSeparator/>
      </w:r>
    </w:p>
  </w:footnote>
  <w:footnote w:type="continuationNotice" w:id="1">
    <w:p w14:paraId="7A362236" w14:textId="77777777" w:rsidR="006E4E80" w:rsidRDefault="006E4E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31A7"/>
    <w:multiLevelType w:val="hybridMultilevel"/>
    <w:tmpl w:val="5066E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04200"/>
    <w:multiLevelType w:val="hybridMultilevel"/>
    <w:tmpl w:val="6BE6C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C77B2A"/>
    <w:multiLevelType w:val="hybridMultilevel"/>
    <w:tmpl w:val="9F809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B1588"/>
    <w:multiLevelType w:val="hybridMultilevel"/>
    <w:tmpl w:val="5D2CF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4C3622"/>
    <w:multiLevelType w:val="hybridMultilevel"/>
    <w:tmpl w:val="23CA6118"/>
    <w:lvl w:ilvl="0" w:tplc="A06830EA">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0B4E61"/>
    <w:multiLevelType w:val="hybridMultilevel"/>
    <w:tmpl w:val="6EBA3F4C"/>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234CF0"/>
    <w:multiLevelType w:val="hybridMultilevel"/>
    <w:tmpl w:val="9CFA97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5D0355"/>
    <w:multiLevelType w:val="hybridMultilevel"/>
    <w:tmpl w:val="53CAE0AA"/>
    <w:lvl w:ilvl="0" w:tplc="6898EF20">
      <w:start w:val="1"/>
      <w:numFmt w:val="lowerLetter"/>
      <w:lvlText w:val="%1."/>
      <w:lvlJc w:val="left"/>
      <w:pPr>
        <w:ind w:left="1440" w:hanging="72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683440"/>
    <w:multiLevelType w:val="hybridMultilevel"/>
    <w:tmpl w:val="7FE6F712"/>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77603B"/>
    <w:multiLevelType w:val="hybridMultilevel"/>
    <w:tmpl w:val="C3203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397801"/>
    <w:multiLevelType w:val="hybridMultilevel"/>
    <w:tmpl w:val="2F7C2A32"/>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C37A01"/>
    <w:multiLevelType w:val="hybridMultilevel"/>
    <w:tmpl w:val="B57AA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0D77E1"/>
    <w:multiLevelType w:val="hybridMultilevel"/>
    <w:tmpl w:val="7CE8659C"/>
    <w:lvl w:ilvl="0" w:tplc="69B4767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45791"/>
    <w:multiLevelType w:val="hybridMultilevel"/>
    <w:tmpl w:val="62C80678"/>
    <w:lvl w:ilvl="0" w:tplc="A9C22C2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4F09EE"/>
    <w:multiLevelType w:val="hybridMultilevel"/>
    <w:tmpl w:val="C5E47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C6C1C"/>
    <w:multiLevelType w:val="hybridMultilevel"/>
    <w:tmpl w:val="236E9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346436"/>
    <w:multiLevelType w:val="hybridMultilevel"/>
    <w:tmpl w:val="5EB23656"/>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833A41"/>
    <w:multiLevelType w:val="hybridMultilevel"/>
    <w:tmpl w:val="A5F0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C258A"/>
    <w:multiLevelType w:val="hybridMultilevel"/>
    <w:tmpl w:val="5066E3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3261C1"/>
    <w:multiLevelType w:val="hybridMultilevel"/>
    <w:tmpl w:val="2D4E5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10C35"/>
    <w:multiLevelType w:val="hybridMultilevel"/>
    <w:tmpl w:val="7CEE219E"/>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265FBC"/>
    <w:multiLevelType w:val="hybridMultilevel"/>
    <w:tmpl w:val="55A29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3F2559"/>
    <w:multiLevelType w:val="hybridMultilevel"/>
    <w:tmpl w:val="AE441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1B7FD7"/>
    <w:multiLevelType w:val="hybridMultilevel"/>
    <w:tmpl w:val="4C221AFC"/>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9051A5"/>
    <w:multiLevelType w:val="hybridMultilevel"/>
    <w:tmpl w:val="6C464EAA"/>
    <w:lvl w:ilvl="0" w:tplc="8696CC34">
      <w:numFmt w:val="bullet"/>
      <w:lvlText w:val="-"/>
      <w:lvlJc w:val="left"/>
      <w:pPr>
        <w:ind w:left="1080" w:hanging="360"/>
      </w:pPr>
      <w:rPr>
        <w:rFonts w:ascii="Times New Roman" w:eastAsia="MS Mincho"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5" w15:restartNumberingAfterBreak="0">
    <w:nsid w:val="608C1ACC"/>
    <w:multiLevelType w:val="hybridMultilevel"/>
    <w:tmpl w:val="AC024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D16677"/>
    <w:multiLevelType w:val="hybridMultilevel"/>
    <w:tmpl w:val="2DB496AA"/>
    <w:lvl w:ilvl="0" w:tplc="5EB6E03A">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597965"/>
    <w:multiLevelType w:val="hybridMultilevel"/>
    <w:tmpl w:val="67E8BD84"/>
    <w:lvl w:ilvl="0" w:tplc="1EF4C6A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663966"/>
    <w:multiLevelType w:val="hybridMultilevel"/>
    <w:tmpl w:val="923A3D5A"/>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BB6744"/>
    <w:multiLevelType w:val="hybridMultilevel"/>
    <w:tmpl w:val="77A43806"/>
    <w:lvl w:ilvl="0" w:tplc="A87E555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B139B8"/>
    <w:multiLevelType w:val="hybridMultilevel"/>
    <w:tmpl w:val="68C6D958"/>
    <w:lvl w:ilvl="0" w:tplc="B3F435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948198B"/>
    <w:multiLevelType w:val="hybridMultilevel"/>
    <w:tmpl w:val="51EEAE8A"/>
    <w:lvl w:ilvl="0" w:tplc="689ED73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0300"/>
    <w:multiLevelType w:val="hybridMultilevel"/>
    <w:tmpl w:val="14FC6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BA54D1"/>
    <w:multiLevelType w:val="hybridMultilevel"/>
    <w:tmpl w:val="5B92515E"/>
    <w:lvl w:ilvl="0" w:tplc="2C82FC3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2"/>
  </w:num>
  <w:num w:numId="3">
    <w:abstractNumId w:val="0"/>
  </w:num>
  <w:num w:numId="4">
    <w:abstractNumId w:val="31"/>
  </w:num>
  <w:num w:numId="5">
    <w:abstractNumId w:val="15"/>
  </w:num>
  <w:num w:numId="6">
    <w:abstractNumId w:val="12"/>
  </w:num>
  <w:num w:numId="7">
    <w:abstractNumId w:val="9"/>
  </w:num>
  <w:num w:numId="8">
    <w:abstractNumId w:val="22"/>
  </w:num>
  <w:num w:numId="9">
    <w:abstractNumId w:val="4"/>
  </w:num>
  <w:num w:numId="10">
    <w:abstractNumId w:val="21"/>
  </w:num>
  <w:num w:numId="11">
    <w:abstractNumId w:val="25"/>
  </w:num>
  <w:num w:numId="12">
    <w:abstractNumId w:val="13"/>
  </w:num>
  <w:num w:numId="13">
    <w:abstractNumId w:val="7"/>
  </w:num>
  <w:num w:numId="14">
    <w:abstractNumId w:val="30"/>
  </w:num>
  <w:num w:numId="15">
    <w:abstractNumId w:val="18"/>
  </w:num>
  <w:num w:numId="16">
    <w:abstractNumId w:val="27"/>
  </w:num>
  <w:num w:numId="17">
    <w:abstractNumId w:val="19"/>
  </w:num>
  <w:num w:numId="18">
    <w:abstractNumId w:val="14"/>
  </w:num>
  <w:num w:numId="19">
    <w:abstractNumId w:val="17"/>
  </w:num>
  <w:num w:numId="20">
    <w:abstractNumId w:val="3"/>
  </w:num>
  <w:num w:numId="21">
    <w:abstractNumId w:val="20"/>
  </w:num>
  <w:num w:numId="22">
    <w:abstractNumId w:val="16"/>
  </w:num>
  <w:num w:numId="23">
    <w:abstractNumId w:val="23"/>
  </w:num>
  <w:num w:numId="24">
    <w:abstractNumId w:val="10"/>
  </w:num>
  <w:num w:numId="25">
    <w:abstractNumId w:val="33"/>
  </w:num>
  <w:num w:numId="26">
    <w:abstractNumId w:val="5"/>
  </w:num>
  <w:num w:numId="27">
    <w:abstractNumId w:val="8"/>
  </w:num>
  <w:num w:numId="28">
    <w:abstractNumId w:val="32"/>
  </w:num>
  <w:num w:numId="29">
    <w:abstractNumId w:val="1"/>
  </w:num>
  <w:num w:numId="30">
    <w:abstractNumId w:val="28"/>
  </w:num>
  <w:num w:numId="31">
    <w:abstractNumId w:val="6"/>
  </w:num>
  <w:num w:numId="32">
    <w:abstractNumId w:val="11"/>
  </w:num>
  <w:num w:numId="33">
    <w:abstractNumId w:val="24"/>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36D"/>
    <w:rsid w:val="000160E5"/>
    <w:rsid w:val="000272F4"/>
    <w:rsid w:val="00040C5F"/>
    <w:rsid w:val="00045F54"/>
    <w:rsid w:val="00056907"/>
    <w:rsid w:val="000744D6"/>
    <w:rsid w:val="00082B7F"/>
    <w:rsid w:val="0009304C"/>
    <w:rsid w:val="00093E98"/>
    <w:rsid w:val="00095782"/>
    <w:rsid w:val="000B03BB"/>
    <w:rsid w:val="000B29E2"/>
    <w:rsid w:val="000B52C8"/>
    <w:rsid w:val="000C1937"/>
    <w:rsid w:val="000D623A"/>
    <w:rsid w:val="000E0619"/>
    <w:rsid w:val="000F224B"/>
    <w:rsid w:val="000F626D"/>
    <w:rsid w:val="001017F4"/>
    <w:rsid w:val="00101A11"/>
    <w:rsid w:val="0010372D"/>
    <w:rsid w:val="0013483C"/>
    <w:rsid w:val="00136C82"/>
    <w:rsid w:val="00142D67"/>
    <w:rsid w:val="001442D7"/>
    <w:rsid w:val="00153A86"/>
    <w:rsid w:val="00160570"/>
    <w:rsid w:val="00163386"/>
    <w:rsid w:val="0018609E"/>
    <w:rsid w:val="001A08D0"/>
    <w:rsid w:val="001B25DA"/>
    <w:rsid w:val="001E0DD2"/>
    <w:rsid w:val="001F205A"/>
    <w:rsid w:val="001F4696"/>
    <w:rsid w:val="002068F3"/>
    <w:rsid w:val="00210DC3"/>
    <w:rsid w:val="00212A45"/>
    <w:rsid w:val="00214390"/>
    <w:rsid w:val="00221B2F"/>
    <w:rsid w:val="00224A53"/>
    <w:rsid w:val="00226B46"/>
    <w:rsid w:val="00234F20"/>
    <w:rsid w:val="002502BB"/>
    <w:rsid w:val="00260616"/>
    <w:rsid w:val="00266620"/>
    <w:rsid w:val="002669F9"/>
    <w:rsid w:val="00277937"/>
    <w:rsid w:val="0028493F"/>
    <w:rsid w:val="00297C35"/>
    <w:rsid w:val="002A00B9"/>
    <w:rsid w:val="002B1F78"/>
    <w:rsid w:val="002B22C8"/>
    <w:rsid w:val="002C1280"/>
    <w:rsid w:val="002D678B"/>
    <w:rsid w:val="00303601"/>
    <w:rsid w:val="0030656E"/>
    <w:rsid w:val="00307941"/>
    <w:rsid w:val="003167DC"/>
    <w:rsid w:val="003612E0"/>
    <w:rsid w:val="00362F2E"/>
    <w:rsid w:val="00363AD8"/>
    <w:rsid w:val="00367883"/>
    <w:rsid w:val="00375285"/>
    <w:rsid w:val="00377DA8"/>
    <w:rsid w:val="00384268"/>
    <w:rsid w:val="003856A1"/>
    <w:rsid w:val="00387AE4"/>
    <w:rsid w:val="003B7D4B"/>
    <w:rsid w:val="003D6300"/>
    <w:rsid w:val="003F5BF0"/>
    <w:rsid w:val="00401238"/>
    <w:rsid w:val="004049FC"/>
    <w:rsid w:val="00405832"/>
    <w:rsid w:val="00405F1A"/>
    <w:rsid w:val="004203F9"/>
    <w:rsid w:val="00430013"/>
    <w:rsid w:val="0043490E"/>
    <w:rsid w:val="0043660A"/>
    <w:rsid w:val="00436EA9"/>
    <w:rsid w:val="00440E16"/>
    <w:rsid w:val="00440FDC"/>
    <w:rsid w:val="004676F0"/>
    <w:rsid w:val="0048676B"/>
    <w:rsid w:val="004A4EBE"/>
    <w:rsid w:val="004A53D3"/>
    <w:rsid w:val="004B31EC"/>
    <w:rsid w:val="004B4556"/>
    <w:rsid w:val="004B7B4D"/>
    <w:rsid w:val="004C0AD1"/>
    <w:rsid w:val="004D036D"/>
    <w:rsid w:val="004D4AB9"/>
    <w:rsid w:val="004E0D04"/>
    <w:rsid w:val="004E7237"/>
    <w:rsid w:val="004F22E0"/>
    <w:rsid w:val="005000B8"/>
    <w:rsid w:val="00507AE5"/>
    <w:rsid w:val="005240D6"/>
    <w:rsid w:val="0052433B"/>
    <w:rsid w:val="00544F73"/>
    <w:rsid w:val="005478D4"/>
    <w:rsid w:val="0056038C"/>
    <w:rsid w:val="00564A32"/>
    <w:rsid w:val="0057271F"/>
    <w:rsid w:val="00572D8C"/>
    <w:rsid w:val="00575E14"/>
    <w:rsid w:val="00591EC1"/>
    <w:rsid w:val="00591FF7"/>
    <w:rsid w:val="005A4451"/>
    <w:rsid w:val="005C2DF7"/>
    <w:rsid w:val="005E6DAC"/>
    <w:rsid w:val="005E7E4C"/>
    <w:rsid w:val="00600110"/>
    <w:rsid w:val="00604434"/>
    <w:rsid w:val="0062054B"/>
    <w:rsid w:val="00622EEC"/>
    <w:rsid w:val="0062621B"/>
    <w:rsid w:val="00634066"/>
    <w:rsid w:val="006340C9"/>
    <w:rsid w:val="00647134"/>
    <w:rsid w:val="00665F6D"/>
    <w:rsid w:val="00690BBB"/>
    <w:rsid w:val="00692743"/>
    <w:rsid w:val="006936DA"/>
    <w:rsid w:val="006A4FB0"/>
    <w:rsid w:val="006A56FB"/>
    <w:rsid w:val="006B6BEF"/>
    <w:rsid w:val="006E0ADA"/>
    <w:rsid w:val="006E4E80"/>
    <w:rsid w:val="006F6AAD"/>
    <w:rsid w:val="00701F45"/>
    <w:rsid w:val="00710C61"/>
    <w:rsid w:val="00724F7D"/>
    <w:rsid w:val="00755740"/>
    <w:rsid w:val="00757007"/>
    <w:rsid w:val="0076148F"/>
    <w:rsid w:val="007939BC"/>
    <w:rsid w:val="00794A45"/>
    <w:rsid w:val="007A4358"/>
    <w:rsid w:val="007B2A5C"/>
    <w:rsid w:val="007B2E56"/>
    <w:rsid w:val="007D5B42"/>
    <w:rsid w:val="007F61E9"/>
    <w:rsid w:val="008031A7"/>
    <w:rsid w:val="00807DCB"/>
    <w:rsid w:val="008110F1"/>
    <w:rsid w:val="0081310E"/>
    <w:rsid w:val="008148F8"/>
    <w:rsid w:val="00822C9E"/>
    <w:rsid w:val="008443DC"/>
    <w:rsid w:val="00857C1B"/>
    <w:rsid w:val="00862BA3"/>
    <w:rsid w:val="00881313"/>
    <w:rsid w:val="008A12D6"/>
    <w:rsid w:val="008A37EE"/>
    <w:rsid w:val="008C6A16"/>
    <w:rsid w:val="008D388F"/>
    <w:rsid w:val="008D74FC"/>
    <w:rsid w:val="008E3E2D"/>
    <w:rsid w:val="0090049D"/>
    <w:rsid w:val="00903D6E"/>
    <w:rsid w:val="0091519B"/>
    <w:rsid w:val="00915F5E"/>
    <w:rsid w:val="00916A3C"/>
    <w:rsid w:val="0093035A"/>
    <w:rsid w:val="00952AAD"/>
    <w:rsid w:val="00957968"/>
    <w:rsid w:val="00961F21"/>
    <w:rsid w:val="00962A27"/>
    <w:rsid w:val="00966300"/>
    <w:rsid w:val="009861B5"/>
    <w:rsid w:val="009B20F4"/>
    <w:rsid w:val="009B2DA7"/>
    <w:rsid w:val="009C0263"/>
    <w:rsid w:val="009C34B4"/>
    <w:rsid w:val="009D0290"/>
    <w:rsid w:val="009D4641"/>
    <w:rsid w:val="009E3B7E"/>
    <w:rsid w:val="009E42F7"/>
    <w:rsid w:val="009E72AF"/>
    <w:rsid w:val="00A05127"/>
    <w:rsid w:val="00A05CF3"/>
    <w:rsid w:val="00A0713D"/>
    <w:rsid w:val="00A51C1A"/>
    <w:rsid w:val="00A52D9F"/>
    <w:rsid w:val="00A53CD8"/>
    <w:rsid w:val="00A5524D"/>
    <w:rsid w:val="00A75DFB"/>
    <w:rsid w:val="00A82B9B"/>
    <w:rsid w:val="00A84AF8"/>
    <w:rsid w:val="00A872CA"/>
    <w:rsid w:val="00AB25BF"/>
    <w:rsid w:val="00AB71FC"/>
    <w:rsid w:val="00AC1796"/>
    <w:rsid w:val="00AC1F96"/>
    <w:rsid w:val="00AC30AB"/>
    <w:rsid w:val="00AD0AF5"/>
    <w:rsid w:val="00AD2AE2"/>
    <w:rsid w:val="00AE056D"/>
    <w:rsid w:val="00AE6491"/>
    <w:rsid w:val="00AF15F8"/>
    <w:rsid w:val="00AF2F65"/>
    <w:rsid w:val="00AF358D"/>
    <w:rsid w:val="00B069EE"/>
    <w:rsid w:val="00B15DC1"/>
    <w:rsid w:val="00B253D3"/>
    <w:rsid w:val="00B41677"/>
    <w:rsid w:val="00B43818"/>
    <w:rsid w:val="00B450DC"/>
    <w:rsid w:val="00B46469"/>
    <w:rsid w:val="00B618C0"/>
    <w:rsid w:val="00B72167"/>
    <w:rsid w:val="00B9224B"/>
    <w:rsid w:val="00BB196B"/>
    <w:rsid w:val="00BB327F"/>
    <w:rsid w:val="00BB73AE"/>
    <w:rsid w:val="00BD34A6"/>
    <w:rsid w:val="00C020EB"/>
    <w:rsid w:val="00C17A95"/>
    <w:rsid w:val="00C27A6C"/>
    <w:rsid w:val="00C340F9"/>
    <w:rsid w:val="00C5651A"/>
    <w:rsid w:val="00C575DB"/>
    <w:rsid w:val="00C63EA5"/>
    <w:rsid w:val="00C71CC7"/>
    <w:rsid w:val="00C80795"/>
    <w:rsid w:val="00C81F63"/>
    <w:rsid w:val="00C84CBA"/>
    <w:rsid w:val="00CA15D4"/>
    <w:rsid w:val="00CA3BE9"/>
    <w:rsid w:val="00CC3B98"/>
    <w:rsid w:val="00CD12A3"/>
    <w:rsid w:val="00CD6B13"/>
    <w:rsid w:val="00CE39C0"/>
    <w:rsid w:val="00CF3EC7"/>
    <w:rsid w:val="00CF6521"/>
    <w:rsid w:val="00D023D8"/>
    <w:rsid w:val="00D07742"/>
    <w:rsid w:val="00D11782"/>
    <w:rsid w:val="00D149A2"/>
    <w:rsid w:val="00D149BE"/>
    <w:rsid w:val="00D27F73"/>
    <w:rsid w:val="00D34135"/>
    <w:rsid w:val="00D45E02"/>
    <w:rsid w:val="00D50877"/>
    <w:rsid w:val="00D60771"/>
    <w:rsid w:val="00D61281"/>
    <w:rsid w:val="00D66614"/>
    <w:rsid w:val="00D8158E"/>
    <w:rsid w:val="00D93C2B"/>
    <w:rsid w:val="00DA235D"/>
    <w:rsid w:val="00DB0DF6"/>
    <w:rsid w:val="00DB711D"/>
    <w:rsid w:val="00DC0811"/>
    <w:rsid w:val="00DC251B"/>
    <w:rsid w:val="00DD6548"/>
    <w:rsid w:val="00DE0253"/>
    <w:rsid w:val="00DE7AB5"/>
    <w:rsid w:val="00DF2019"/>
    <w:rsid w:val="00E007E7"/>
    <w:rsid w:val="00E405A7"/>
    <w:rsid w:val="00E41127"/>
    <w:rsid w:val="00E41D9D"/>
    <w:rsid w:val="00E51259"/>
    <w:rsid w:val="00E52163"/>
    <w:rsid w:val="00E52794"/>
    <w:rsid w:val="00E61D73"/>
    <w:rsid w:val="00E71B3C"/>
    <w:rsid w:val="00EA26F4"/>
    <w:rsid w:val="00EB1580"/>
    <w:rsid w:val="00EB3C54"/>
    <w:rsid w:val="00EC4071"/>
    <w:rsid w:val="00ED2FF3"/>
    <w:rsid w:val="00ED45D2"/>
    <w:rsid w:val="00F01676"/>
    <w:rsid w:val="00F26972"/>
    <w:rsid w:val="00F32ECD"/>
    <w:rsid w:val="00F341FF"/>
    <w:rsid w:val="00F43338"/>
    <w:rsid w:val="00F51005"/>
    <w:rsid w:val="00F66392"/>
    <w:rsid w:val="00F67E9F"/>
    <w:rsid w:val="00F9180B"/>
    <w:rsid w:val="00F94606"/>
    <w:rsid w:val="00FB712A"/>
    <w:rsid w:val="00FC545F"/>
    <w:rsid w:val="00FD29FF"/>
    <w:rsid w:val="00FD4D94"/>
    <w:rsid w:val="00FE2BBD"/>
    <w:rsid w:val="00FE3B3C"/>
    <w:rsid w:val="00FE45F0"/>
    <w:rsid w:val="00FF30B9"/>
    <w:rsid w:val="00FF4417"/>
    <w:rsid w:val="00FF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5FF07D"/>
  <w15:chartTrackingRefBased/>
  <w15:docId w15:val="{C9F7DDE2-55AD-47DB-BAF0-CF9AEE51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005"/>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40E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E16"/>
    <w:rPr>
      <w:sz w:val="20"/>
      <w:szCs w:val="20"/>
    </w:rPr>
  </w:style>
  <w:style w:type="character" w:styleId="FootnoteReference">
    <w:name w:val="footnote reference"/>
    <w:basedOn w:val="DefaultParagraphFont"/>
    <w:uiPriority w:val="99"/>
    <w:semiHidden/>
    <w:unhideWhenUsed/>
    <w:rsid w:val="00440E16"/>
    <w:rPr>
      <w:vertAlign w:val="superscript"/>
    </w:rPr>
  </w:style>
  <w:style w:type="paragraph" w:styleId="ListParagraph">
    <w:name w:val="List Paragraph"/>
    <w:basedOn w:val="Normal"/>
    <w:link w:val="ListParagraphChar"/>
    <w:uiPriority w:val="1"/>
    <w:qFormat/>
    <w:rsid w:val="00D60771"/>
    <w:pPr>
      <w:ind w:left="720"/>
      <w:contextualSpacing/>
    </w:pPr>
  </w:style>
  <w:style w:type="character" w:styleId="CommentReference">
    <w:name w:val="annotation reference"/>
    <w:basedOn w:val="DefaultParagraphFont"/>
    <w:uiPriority w:val="99"/>
    <w:semiHidden/>
    <w:unhideWhenUsed/>
    <w:rsid w:val="00101A11"/>
    <w:rPr>
      <w:sz w:val="16"/>
      <w:szCs w:val="16"/>
    </w:rPr>
  </w:style>
  <w:style w:type="paragraph" w:styleId="CommentText">
    <w:name w:val="annotation text"/>
    <w:basedOn w:val="Normal"/>
    <w:link w:val="CommentTextChar"/>
    <w:uiPriority w:val="99"/>
    <w:unhideWhenUsed/>
    <w:rsid w:val="00101A11"/>
    <w:pPr>
      <w:spacing w:line="240" w:lineRule="auto"/>
    </w:pPr>
    <w:rPr>
      <w:sz w:val="20"/>
      <w:szCs w:val="20"/>
    </w:rPr>
  </w:style>
  <w:style w:type="character" w:customStyle="1" w:styleId="CommentTextChar">
    <w:name w:val="Comment Text Char"/>
    <w:basedOn w:val="DefaultParagraphFont"/>
    <w:link w:val="CommentText"/>
    <w:uiPriority w:val="99"/>
    <w:rsid w:val="00101A11"/>
    <w:rPr>
      <w:sz w:val="20"/>
      <w:szCs w:val="20"/>
    </w:rPr>
  </w:style>
  <w:style w:type="paragraph" w:styleId="CommentSubject">
    <w:name w:val="annotation subject"/>
    <w:basedOn w:val="CommentText"/>
    <w:next w:val="CommentText"/>
    <w:link w:val="CommentSubjectChar"/>
    <w:uiPriority w:val="99"/>
    <w:semiHidden/>
    <w:unhideWhenUsed/>
    <w:rsid w:val="00101A11"/>
    <w:rPr>
      <w:b/>
      <w:bCs/>
    </w:rPr>
  </w:style>
  <w:style w:type="character" w:customStyle="1" w:styleId="CommentSubjectChar">
    <w:name w:val="Comment Subject Char"/>
    <w:basedOn w:val="CommentTextChar"/>
    <w:link w:val="CommentSubject"/>
    <w:uiPriority w:val="99"/>
    <w:semiHidden/>
    <w:rsid w:val="00101A11"/>
    <w:rPr>
      <w:b/>
      <w:bCs/>
      <w:sz w:val="20"/>
      <w:szCs w:val="20"/>
    </w:rPr>
  </w:style>
  <w:style w:type="paragraph" w:styleId="Header">
    <w:name w:val="header"/>
    <w:basedOn w:val="Normal"/>
    <w:link w:val="HeaderChar"/>
    <w:uiPriority w:val="99"/>
    <w:unhideWhenUsed/>
    <w:rsid w:val="005E6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DAC"/>
  </w:style>
  <w:style w:type="paragraph" w:styleId="Footer">
    <w:name w:val="footer"/>
    <w:basedOn w:val="Normal"/>
    <w:link w:val="FooterChar"/>
    <w:uiPriority w:val="99"/>
    <w:unhideWhenUsed/>
    <w:rsid w:val="005E6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DAC"/>
  </w:style>
  <w:style w:type="paragraph" w:styleId="Revision">
    <w:name w:val="Revision"/>
    <w:hidden/>
    <w:uiPriority w:val="99"/>
    <w:semiHidden/>
    <w:rsid w:val="00FD29FF"/>
    <w:pPr>
      <w:spacing w:after="0" w:line="240" w:lineRule="auto"/>
    </w:pPr>
  </w:style>
  <w:style w:type="paragraph" w:styleId="BalloonText">
    <w:name w:val="Balloon Text"/>
    <w:basedOn w:val="Normal"/>
    <w:link w:val="BalloonTextChar"/>
    <w:uiPriority w:val="99"/>
    <w:semiHidden/>
    <w:unhideWhenUsed/>
    <w:rsid w:val="00591E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EC1"/>
    <w:rPr>
      <w:rFonts w:ascii="Segoe UI" w:hAnsi="Segoe UI" w:cs="Segoe UI"/>
      <w:sz w:val="18"/>
      <w:szCs w:val="18"/>
    </w:rPr>
  </w:style>
  <w:style w:type="character" w:customStyle="1" w:styleId="ListParagraphChar">
    <w:name w:val="List Paragraph Char"/>
    <w:link w:val="ListParagraph"/>
    <w:uiPriority w:val="34"/>
    <w:locked/>
    <w:rsid w:val="00DC251B"/>
  </w:style>
  <w:style w:type="character" w:customStyle="1" w:styleId="NoSpacingChar">
    <w:name w:val="No Spacing Char"/>
    <w:link w:val="NoSpacing"/>
    <w:uiPriority w:val="1"/>
    <w:locked/>
    <w:rsid w:val="00212A45"/>
    <w:rPr>
      <w:rFonts w:ascii="Calibri" w:eastAsia="Calibri" w:hAnsi="Calibri" w:cs="Times New Roman"/>
      <w:lang w:val="en-GB"/>
    </w:rPr>
  </w:style>
  <w:style w:type="paragraph" w:styleId="NoSpacing">
    <w:name w:val="No Spacing"/>
    <w:link w:val="NoSpacingChar"/>
    <w:uiPriority w:val="1"/>
    <w:qFormat/>
    <w:rsid w:val="00212A45"/>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028054">
      <w:bodyDiv w:val="1"/>
      <w:marLeft w:val="0"/>
      <w:marRight w:val="0"/>
      <w:marTop w:val="0"/>
      <w:marBottom w:val="0"/>
      <w:divBdr>
        <w:top w:val="none" w:sz="0" w:space="0" w:color="auto"/>
        <w:left w:val="none" w:sz="0" w:space="0" w:color="auto"/>
        <w:bottom w:val="none" w:sz="0" w:space="0" w:color="auto"/>
        <w:right w:val="none" w:sz="0" w:space="0" w:color="auto"/>
      </w:divBdr>
    </w:div>
    <w:div w:id="47815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FC81D1DA1E8468FA6A8878BEE9D35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408</Nr_x002e__x0020_akti>
    <Data_x0020_e_x0020_Krijimit xmlns="0e656187-b300-4fb0-8bf4-3a50f872073c">2025-07-18T08:30:28Z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2025-07-17T00:00:00Z</Date_x0020_protokolli>
    <Titulli xmlns="0e656187-b300-4fb0-8bf4-3a50f872073c">Mbi miratimin e rregullave për kriteret dhe procedurat e krijimit të seksioneve dhe trupave gjykues</Titulli>
    <Modifikuesi xmlns="0e656187-b300-4fb0-8bf4-3a50f872073c">Fjora.Cahani</Modifikuesi>
    <Nr_x002e__x0020_prot_x0020_QBZ xmlns="0e656187-b300-4fb0-8bf4-3a50f872073c">1194/1</Nr_x002e__x0020_prot_x0020_QBZ>
    <Data_x0020_e_x0020_Modifikimit xmlns="0e656187-b300-4fb0-8bf4-3a50f872073c">2025-07-18T10:38:46Z</Data_x0020_e_x0020_Modifikimit>
    <Dekretuar xmlns="0e656187-b300-4fb0-8bf4-3a50f872073c">false</Dekretuar>
    <Data xmlns="0e656187-b300-4fb0-8bf4-3a50f872073c">2025-07-15T00:00:00Z</Data>
    <Nr_x002e__x0020_protokolli_x0020_i_x0020_aktit xmlns="0e656187-b300-4fb0-8bf4-3a50f872073c">3975/1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FC81D1DA1E8468FA6A8878BEE9D35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00B6D-F090-4003-BED3-E9E899140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9787A3-B2E2-45CB-80EC-7076B50D3C9F}">
  <ds:schemaRefs>
    <ds:schemaRef ds:uri="http://purl.org/dc/term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purl.org/dc/dcmitype/"/>
    <ds:schemaRef ds:uri="http://purl.org/dc/elements/1.1/"/>
  </ds:schemaRefs>
</ds:datastoreItem>
</file>

<file path=customXml/itemProps3.xml><?xml version="1.0" encoding="utf-8"?>
<ds:datastoreItem xmlns:ds="http://schemas.openxmlformats.org/officeDocument/2006/customXml" ds:itemID="{7E42D7CC-58A6-40A2-B928-B935C82A819D}">
  <ds:schemaRefs>
    <ds:schemaRef ds:uri="http://schemas.microsoft.com/sharepoint/v3/contenttype/forms"/>
  </ds:schemaRefs>
</ds:datastoreItem>
</file>

<file path=customXml/itemProps4.xml><?xml version="1.0" encoding="utf-8"?>
<ds:datastoreItem xmlns:ds="http://schemas.openxmlformats.org/officeDocument/2006/customXml" ds:itemID="{380F3A11-9738-42DB-B98E-1D9E18152F5A}">
  <ds:schemaRefs>
    <ds:schemaRef ds:uri="http://schemas.microsoft.com/sharepoint/v3/contenttype/forms"/>
  </ds:schemaRefs>
</ds:datastoreItem>
</file>

<file path=customXml/itemProps5.xml><?xml version="1.0" encoding="utf-8"?>
<ds:datastoreItem xmlns:ds="http://schemas.openxmlformats.org/officeDocument/2006/customXml" ds:itemID="{7EABF57D-F7EB-4CA4-9D2F-4E104DA8E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00516B-FF7A-4BD1-8E3F-1D78441F5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miratimin e rregullave për kriteret dhe procedurat e krijimit të seksioneve dhe trupave gjykues</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rregullave për kriteret dhe procedurat e krijimit të seksioneve dhe trupave gjykues</dc:title>
  <dc:creator>Aulona Hazbiu</dc:creator>
  <cp:lastModifiedBy>Valeta Kaftalli</cp:lastModifiedBy>
  <cp:revision>17</cp:revision>
  <cp:lastPrinted>2025-07-14T07:09:00Z</cp:lastPrinted>
  <dcterms:created xsi:type="dcterms:W3CDTF">2025-07-16T06:13:00Z</dcterms:created>
  <dcterms:modified xsi:type="dcterms:W3CDTF">2025-07-21T08:52:00Z</dcterms:modified>
</cp:coreProperties>
</file>