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9001C7" w14:textId="77777777" w:rsidR="00C538A1" w:rsidRPr="00FB45C4" w:rsidRDefault="00C538A1" w:rsidP="006C3953">
      <w:pPr>
        <w:spacing w:after="0" w:line="240" w:lineRule="auto"/>
        <w:ind w:firstLine="284"/>
        <w:jc w:val="center"/>
        <w:rPr>
          <w:rFonts w:ascii="Garamond" w:eastAsiaTheme="minorEastAsia" w:hAnsi="Garamond"/>
          <w:b/>
          <w:sz w:val="24"/>
          <w:szCs w:val="24"/>
          <w:lang w:eastAsia="en-US"/>
        </w:rPr>
      </w:pPr>
      <w:r w:rsidRPr="00FB45C4">
        <w:rPr>
          <w:rFonts w:ascii="Garamond" w:hAnsi="Garamond"/>
          <w:b/>
          <w:sz w:val="24"/>
          <w:szCs w:val="24"/>
        </w:rPr>
        <w:t>VENDIM</w:t>
      </w:r>
    </w:p>
    <w:p w14:paraId="30A11785" w14:textId="77777777" w:rsidR="00C538A1" w:rsidRPr="00FB45C4" w:rsidRDefault="00B85D08" w:rsidP="006C3953">
      <w:pPr>
        <w:spacing w:after="0" w:line="240" w:lineRule="auto"/>
        <w:ind w:firstLine="284"/>
        <w:jc w:val="center"/>
        <w:rPr>
          <w:rFonts w:ascii="Garamond" w:eastAsia="Batang" w:hAnsi="Garamond"/>
          <w:b/>
          <w:bCs/>
          <w:sz w:val="24"/>
          <w:szCs w:val="24"/>
        </w:rPr>
      </w:pPr>
      <w:r w:rsidRPr="00FB45C4">
        <w:rPr>
          <w:rFonts w:ascii="Garamond" w:eastAsia="Batang" w:hAnsi="Garamond"/>
          <w:b/>
          <w:bCs/>
          <w:sz w:val="24"/>
          <w:szCs w:val="24"/>
        </w:rPr>
        <w:t>Nr. 770</w:t>
      </w:r>
      <w:r w:rsidR="00973ABA" w:rsidRPr="00FB45C4">
        <w:rPr>
          <w:rFonts w:ascii="Garamond" w:eastAsia="Batang" w:hAnsi="Garamond"/>
          <w:b/>
          <w:bCs/>
          <w:sz w:val="24"/>
          <w:szCs w:val="24"/>
        </w:rPr>
        <w:t>, datë 22</w:t>
      </w:r>
      <w:r w:rsidR="00C538A1" w:rsidRPr="00FB45C4">
        <w:rPr>
          <w:rFonts w:ascii="Garamond" w:eastAsia="Batang" w:hAnsi="Garamond"/>
          <w:b/>
          <w:bCs/>
          <w:sz w:val="24"/>
          <w:szCs w:val="24"/>
        </w:rPr>
        <w:t>.10.2025</w:t>
      </w:r>
    </w:p>
    <w:p w14:paraId="2F101645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17331D73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  <w:r w:rsidRPr="00FB45C4"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  <w:t xml:space="preserve">PËR </w:t>
      </w:r>
      <w:r w:rsidRPr="00FB45C4">
        <w:rPr>
          <w:rFonts w:ascii="Garamond" w:eastAsia="Times New Roman" w:hAnsi="Garamond" w:cs="Times New Roman"/>
          <w:b/>
          <w:sz w:val="24"/>
          <w:szCs w:val="24"/>
        </w:rPr>
        <w:t xml:space="preserve">MIRATIMIN </w:t>
      </w:r>
      <w:r w:rsidR="00D8066E" w:rsidRPr="00FB45C4">
        <w:rPr>
          <w:rFonts w:ascii="Garamond" w:eastAsia="Times New Roman" w:hAnsi="Garamond" w:cs="Times New Roman"/>
          <w:b/>
          <w:sz w:val="24"/>
          <w:szCs w:val="24"/>
        </w:rPr>
        <w:t xml:space="preserve">E </w:t>
      </w:r>
      <w:r w:rsidRPr="00FB45C4">
        <w:rPr>
          <w:rFonts w:ascii="Garamond" w:eastAsia="Times New Roman" w:hAnsi="Garamond" w:cs="Times New Roman"/>
          <w:b/>
          <w:bCs/>
          <w:sz w:val="24"/>
          <w:szCs w:val="24"/>
        </w:rPr>
        <w:t xml:space="preserve">RREGULLORES </w:t>
      </w:r>
      <w:r w:rsidR="00D8066E" w:rsidRPr="00FB45C4">
        <w:rPr>
          <w:rFonts w:ascii="Garamond" w:eastAsia="Times New Roman" w:hAnsi="Garamond" w:cs="Times New Roman"/>
          <w:b/>
          <w:bCs/>
          <w:sz w:val="24"/>
          <w:szCs w:val="24"/>
        </w:rPr>
        <w:t>“</w:t>
      </w:r>
      <w:r w:rsidR="00320221" w:rsidRPr="00FB45C4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Pr="00FB45C4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FB45C4">
        <w:rPr>
          <w:rFonts w:ascii="Garamond" w:hAnsi="Garamond" w:cs="Times New Roman"/>
          <w:b/>
          <w:bCs/>
          <w:caps/>
          <w:sz w:val="24"/>
          <w:szCs w:val="24"/>
        </w:rPr>
        <w:t>transparencën dhe përmirësimin e procesit vendimmarrës në Këshillin e Lartë Gjyqësor</w:t>
      </w:r>
      <w:r w:rsidRPr="00FB45C4">
        <w:rPr>
          <w:rFonts w:ascii="Garamond" w:eastAsia="Times New Roman" w:hAnsi="Garamond" w:cs="Times New Roman"/>
          <w:b/>
          <w:bCs/>
          <w:sz w:val="24"/>
          <w:szCs w:val="24"/>
        </w:rPr>
        <w:t>”</w:t>
      </w:r>
    </w:p>
    <w:p w14:paraId="1EFD8A17" w14:textId="77777777" w:rsidR="009470AD" w:rsidRPr="00FB45C4" w:rsidRDefault="009470AD" w:rsidP="006C395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FA74881" w14:textId="23DBFF93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Këshilli i Lartë Gjyqësor, në mbështetje të </w:t>
      </w:r>
      <w:r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nenit 147/a të Kushtetutës së Republikës së Shqipërisë”, nenit 61, nenit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72</w:t>
      </w:r>
      <w:r w:rsid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–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76 dhe </w:t>
      </w:r>
      <w:r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nenit 97 pika 1</w:t>
      </w:r>
      <w:r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, të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ligjit nr.</w:t>
      </w:r>
      <w:r w:rsidR="004800F2"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115/2016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,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“</w:t>
      </w:r>
      <w:r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Për organet e qeverisjes të sistemit të drejtësisë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”, 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të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ndryshuar, </w:t>
      </w:r>
      <w:r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me propozim të Grupit të Punës </w:t>
      </w:r>
      <w:r w:rsidR="001F4525"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për </w:t>
      </w:r>
      <w:r w:rsidR="00771003"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Hartimin </w:t>
      </w:r>
      <w:r w:rsidR="001F4525"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e </w:t>
      </w:r>
      <w:r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>Rregullores mbi</w:t>
      </w:r>
      <w:r w:rsidR="00FB45C4"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Pr="00FB45C4">
        <w:rPr>
          <w:rFonts w:ascii="Garamond" w:eastAsia="Garamond" w:hAnsi="Garamond" w:cs="Times New Roman"/>
          <w:color w:val="auto"/>
          <w:sz w:val="24"/>
          <w:szCs w:val="24"/>
          <w:bdr w:val="none" w:sz="0" w:space="0" w:color="auto"/>
          <w:lang w:eastAsia="en-US"/>
        </w:rPr>
        <w:t>Kodin e Etikës dhe Parandalimin e Konfliktit të Interesit për Anëtarët e Këshillit të Lartë Gjyqësor</w:t>
      </w:r>
      <w:r w:rsidRPr="00FB45C4">
        <w:rPr>
          <w:rFonts w:ascii="Garamond" w:eastAsia="Times New Roman" w:hAnsi="Garamond" w:cs="Times New Roman"/>
          <w:color w:val="auto"/>
          <w:sz w:val="24"/>
          <w:szCs w:val="24"/>
        </w:rPr>
        <w:t xml:space="preserve">, </w:t>
      </w:r>
      <w:r w:rsidR="007E171B">
        <w:rPr>
          <w:rFonts w:ascii="Garamond" w:eastAsia="Times New Roman" w:hAnsi="Garamond" w:cs="Times New Roman"/>
          <w:color w:val="auto"/>
          <w:sz w:val="24"/>
          <w:szCs w:val="24"/>
        </w:rPr>
        <w:t xml:space="preserve"> </w:t>
      </w:r>
    </w:p>
    <w:p w14:paraId="4F9566E3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3198ED34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  <w:r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VENDOSI:</w:t>
      </w:r>
    </w:p>
    <w:p w14:paraId="52D0BC74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auto"/>
          <w:sz w:val="24"/>
          <w:szCs w:val="24"/>
          <w:bdr w:val="none" w:sz="0" w:space="0" w:color="auto"/>
          <w:lang w:eastAsia="en-US"/>
        </w:rPr>
      </w:pPr>
    </w:p>
    <w:p w14:paraId="2CDAA2CE" w14:textId="11561D01" w:rsidR="009470AD" w:rsidRPr="00FB45C4" w:rsidRDefault="00A11E8D" w:rsidP="006C3953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50"/>
        </w:tabs>
        <w:spacing w:after="0" w:line="240" w:lineRule="auto"/>
        <w:ind w:left="0" w:firstLine="284"/>
        <w:jc w:val="both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9470AD"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Miratimin e </w:t>
      </w:r>
      <w:r w:rsidR="00F33AEE"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>r</w:t>
      </w:r>
      <w:r w:rsidR="00F33AEE"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regullores </w:t>
      </w:r>
      <w:r w:rsidR="00320221"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“Për</w:t>
      </w:r>
      <w:r w:rsidR="009470AD"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 xml:space="preserve"> </w:t>
      </w:r>
      <w:r w:rsidR="00D8066E" w:rsidRPr="00FB45C4">
        <w:rPr>
          <w:rFonts w:ascii="Garamond" w:eastAsia="Times New Roman" w:hAnsi="Garamond" w:cs="Times New Roman"/>
          <w:bCs/>
          <w:color w:val="auto"/>
          <w:sz w:val="24"/>
          <w:szCs w:val="24"/>
          <w:bdr w:val="none" w:sz="0" w:space="0" w:color="auto"/>
          <w:lang w:eastAsia="en-US"/>
        </w:rPr>
        <w:t>t</w:t>
      </w:r>
      <w:r w:rsidR="009470AD" w:rsidRPr="00FB45C4">
        <w:rPr>
          <w:rFonts w:ascii="Garamond" w:hAnsi="Garamond" w:cs="Times New Roman"/>
          <w:bCs/>
          <w:sz w:val="24"/>
          <w:szCs w:val="24"/>
        </w:rPr>
        <w:t xml:space="preserve">ransparencën </w:t>
      </w:r>
      <w:r w:rsidR="00E906F5" w:rsidRPr="00FB45C4">
        <w:rPr>
          <w:rFonts w:ascii="Garamond" w:hAnsi="Garamond" w:cs="Times New Roman"/>
          <w:bCs/>
          <w:sz w:val="24"/>
          <w:szCs w:val="24"/>
        </w:rPr>
        <w:t xml:space="preserve">dhe përmirësimin e procesit vendimmarrës </w:t>
      </w:r>
      <w:r w:rsidR="009470AD" w:rsidRPr="00FB45C4">
        <w:rPr>
          <w:rFonts w:ascii="Garamond" w:hAnsi="Garamond" w:cs="Times New Roman"/>
          <w:bCs/>
          <w:sz w:val="24"/>
          <w:szCs w:val="24"/>
        </w:rPr>
        <w:t xml:space="preserve">në Këshillin e Lartë </w:t>
      </w:r>
      <w:r w:rsidR="00D8066E" w:rsidRPr="00FB45C4">
        <w:rPr>
          <w:rFonts w:ascii="Garamond" w:hAnsi="Garamond" w:cs="Times New Roman"/>
          <w:bCs/>
          <w:sz w:val="24"/>
          <w:szCs w:val="24"/>
        </w:rPr>
        <w:t>G</w:t>
      </w:r>
      <w:r w:rsidR="009470AD" w:rsidRPr="00FB45C4">
        <w:rPr>
          <w:rFonts w:ascii="Garamond" w:hAnsi="Garamond" w:cs="Times New Roman"/>
          <w:bCs/>
          <w:sz w:val="24"/>
          <w:szCs w:val="24"/>
        </w:rPr>
        <w:t>jyqësor</w:t>
      </w:r>
      <w:r w:rsidR="009470AD" w:rsidRPr="00FB45C4"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  <w:t xml:space="preserve">”, </w:t>
      </w:r>
      <w:r w:rsidR="009470AD" w:rsidRPr="00FB45C4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sipas tekstit bashkëlidhur këtij vendimi.</w:t>
      </w:r>
    </w:p>
    <w:p w14:paraId="5AA48B8E" w14:textId="15C643D4" w:rsidR="0032262D" w:rsidRPr="00FB45C4" w:rsidRDefault="0032262D" w:rsidP="006C3953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B45C4">
        <w:rPr>
          <w:rFonts w:ascii="Garamond" w:hAnsi="Garamond"/>
          <w:color w:val="000000"/>
          <w:lang w:val="sq-AL"/>
        </w:rPr>
        <w:t xml:space="preserve">Kjo </w:t>
      </w:r>
      <w:r w:rsidR="00F33AEE" w:rsidRPr="00FB45C4">
        <w:rPr>
          <w:rFonts w:ascii="Garamond" w:hAnsi="Garamond"/>
          <w:color w:val="000000"/>
          <w:lang w:val="sq-AL"/>
        </w:rPr>
        <w:t>rreg</w:t>
      </w:r>
      <w:bookmarkStart w:id="0" w:name="_GoBack"/>
      <w:bookmarkEnd w:id="0"/>
      <w:r w:rsidR="00F33AEE" w:rsidRPr="00FB45C4">
        <w:rPr>
          <w:rFonts w:ascii="Garamond" w:hAnsi="Garamond"/>
          <w:color w:val="000000"/>
          <w:lang w:val="sq-AL"/>
        </w:rPr>
        <w:t xml:space="preserve">ullore </w:t>
      </w:r>
      <w:r w:rsidRPr="00FB45C4">
        <w:rPr>
          <w:rFonts w:ascii="Garamond" w:hAnsi="Garamond"/>
          <w:color w:val="000000"/>
          <w:lang w:val="sq-AL"/>
        </w:rPr>
        <w:t>hyn në fuqi me botimin në Fletoren Z</w:t>
      </w:r>
      <w:r w:rsidR="00EF3272" w:rsidRPr="00FB45C4">
        <w:rPr>
          <w:rFonts w:ascii="Garamond" w:hAnsi="Garamond"/>
          <w:color w:val="000000"/>
          <w:lang w:val="sq-AL"/>
        </w:rPr>
        <w:t>yrtare</w:t>
      </w:r>
      <w:r w:rsidRPr="00FB45C4">
        <w:rPr>
          <w:rFonts w:ascii="Garamond" w:hAnsi="Garamond"/>
          <w:color w:val="000000"/>
          <w:lang w:val="sq-AL"/>
        </w:rPr>
        <w:t>.</w:t>
      </w:r>
    </w:p>
    <w:p w14:paraId="758AB4CD" w14:textId="77777777" w:rsidR="009470AD" w:rsidRPr="00FB45C4" w:rsidRDefault="009470AD" w:rsidP="006C39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auto"/>
          <w:sz w:val="24"/>
          <w:szCs w:val="24"/>
          <w:bdr w:val="none" w:sz="0" w:space="0" w:color="auto"/>
          <w:lang w:eastAsia="en-US"/>
        </w:rPr>
      </w:pPr>
    </w:p>
    <w:p w14:paraId="65472417" w14:textId="77777777" w:rsidR="009470AD" w:rsidRPr="00FB45C4" w:rsidRDefault="009470AD" w:rsidP="00541E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firstLine="284"/>
        <w:jc w:val="right"/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FB45C4">
        <w:rPr>
          <w:rFonts w:ascii="Garamond" w:eastAsia="Calibri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PËR KËSHILLIN E LARTË GJYQËSOR</w:t>
      </w:r>
    </w:p>
    <w:p w14:paraId="75407DDD" w14:textId="77777777" w:rsidR="009470AD" w:rsidRPr="00FB45C4" w:rsidRDefault="009470AD" w:rsidP="00541E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FB45C4">
        <w:rPr>
          <w:rFonts w:ascii="Garamond" w:eastAsia="MS Mincho" w:hAnsi="Garamond" w:cs="Times New Roman"/>
          <w:iCs/>
          <w:color w:val="auto"/>
          <w:sz w:val="24"/>
          <w:szCs w:val="24"/>
          <w:bdr w:val="none" w:sz="0" w:space="0" w:color="auto"/>
          <w:lang w:eastAsia="en-US" w:bidi="en-US"/>
        </w:rPr>
        <w:t>KRYETAR</w:t>
      </w:r>
    </w:p>
    <w:p w14:paraId="46297C9F" w14:textId="77777777" w:rsidR="009470AD" w:rsidRPr="00FB45C4" w:rsidRDefault="00541E86" w:rsidP="00541E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</w:pPr>
      <w:r w:rsidRPr="00FB45C4"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  <w:t>Ilir Rusi</w:t>
      </w:r>
    </w:p>
    <w:p w14:paraId="409ECAFC" w14:textId="77777777" w:rsidR="00CE622F" w:rsidRPr="00FB45C4" w:rsidRDefault="00CE622F" w:rsidP="00541E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570"/>
          <w:tab w:val="left" w:pos="831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iCs/>
          <w:color w:val="auto"/>
          <w:sz w:val="24"/>
          <w:szCs w:val="24"/>
          <w:bdr w:val="none" w:sz="0" w:space="0" w:color="auto"/>
          <w:lang w:eastAsia="en-US" w:bidi="en-US"/>
        </w:rPr>
      </w:pPr>
    </w:p>
    <w:p w14:paraId="26DDFC9E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RREGULLORE</w:t>
      </w:r>
    </w:p>
    <w:p w14:paraId="2D30EF6C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PËR TRANSPARENCËN DHE PËRMIRËSIMIN E PROCESIT VENDIMMARRËS NË KËSHILLIN E LARTË GJYQËSOR</w:t>
      </w:r>
    </w:p>
    <w:p w14:paraId="495DDAA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3099F908" w14:textId="546B741B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Preambulë</w:t>
      </w:r>
    </w:p>
    <w:p w14:paraId="1DF382D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Të vetëdijshëm se duke forcuar transparencën, Këshilli rrit llogaridhënien, nxit besimin publik dhe forcon pavarësinë dhe integritetin e gjyqësorit. </w:t>
      </w:r>
    </w:p>
    <w:p w14:paraId="21F06C1F" w14:textId="1405540B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Këshilli i Lartë Gjyqësor (KLGJ) riafirmon përgjegjësinë e tij për të mbrojtur pavarësinë gjyqësore dhe për të ruajtur besimin e publikut përmes standardeve më të larta të transparencës, llogaridhënies dhe sjelljes etike. </w:t>
      </w:r>
      <w:r w:rsidR="00A11E8D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Këshilli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4800F2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është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i angazhuar t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respektoj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ë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“</w:t>
      </w:r>
      <w:r w:rsidR="00A11E8D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Parimin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</w:t>
      </w:r>
      <w:r w:rsidR="00FB45C4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="00A11E8D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transparencës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”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si një nga parimet themelore që udhëheqin veprimtarinë e tij. </w:t>
      </w:r>
    </w:p>
    <w:p w14:paraId="1F70A333" w14:textId="401F0224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Qëllimi i kësaj Rregulloreje është të vendosë një kuadër të qartë, të aksesueshëm dhe të zbatueshëm për të garantuar transparencën në funksionimin dhe proceset vendimmarrëse të Këshillit të Lartë Gjyqësor (</w:t>
      </w:r>
      <w:r w:rsidR="00BF4D4A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KLGJ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), veçanërisht në fushat që ndikojnë në karrierën gjyqësore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si emërimet, ngritjet në detyrë, transferimet, vlerësimet dhe disiplinën, si dhe në performancën më të gjerë institucionale të tij. </w:t>
      </w:r>
    </w:p>
    <w:p w14:paraId="3F31AF5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021B32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KREU I</w:t>
      </w:r>
    </w:p>
    <w:p w14:paraId="57E3426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DISPOZITA TË PËRGJITHSHME</w:t>
      </w:r>
    </w:p>
    <w:p w14:paraId="4478264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5061C4C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1</w:t>
      </w:r>
    </w:p>
    <w:p w14:paraId="51C7666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Objekti dhe qëllimi i rregullores</w:t>
      </w:r>
    </w:p>
    <w:p w14:paraId="69B0624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EB6DDA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1. Rregullorja përcakton rregullat, detyrimet dhe procedurat për zbatimin e transparencës në veprimtarinë e Këshillit të Lartë Gjyqësor, në përputhje me parimet e përcaktuara në ligj.</w:t>
      </w:r>
    </w:p>
    <w:p w14:paraId="3861979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Rregullorja zbatohet për publikimin dhe qasjen në informacionin që lidhet me ushtrimin e kompetencave të Këshillit, përfshirë shpalljen e vendeve vakante gjyqësore, emërimet, ngritjet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lastRenderedPageBreak/>
        <w:t>në detyrë, transferimet, vlerësimet, masat disiplinore dhe vendime të tjera të marra në fushën e karrierës gjyqësore dhe qeverisjes institucionale.</w:t>
      </w:r>
    </w:p>
    <w:p w14:paraId="13028DB3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3. Qëllimi i Rregullores është të garantojë zbatimin transparent të kompetencave kushtetuese dhe ligjore të Këshillit, me synim sigurimin e llogaridhënies, përmirësimin e cilësisë së vendimmarrjes dhe rritjes së integritetit dhe besimit të publikut në sistemin gjyqësor.</w:t>
      </w:r>
    </w:p>
    <w:p w14:paraId="6402C4D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5945A05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2</w:t>
      </w:r>
    </w:p>
    <w:p w14:paraId="5F25846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Fusha e zbatimit</w:t>
      </w:r>
    </w:p>
    <w:p w14:paraId="3D54FF8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0DB4938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Rregullorja zbatohet në të gjitha fushat e veprimtarisë së Këshillit që përfshihen në kompetencat e tij ligjore, përfshirë emërimet, ngritjet në detyrë, transferimet, vlerësimet, procedurat disiplinore, planifikimin strategjik, statistikat gjyqësore dhe raportimin institucional.</w:t>
      </w:r>
    </w:p>
    <w:p w14:paraId="779489C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1876D6D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3</w:t>
      </w:r>
    </w:p>
    <w:p w14:paraId="221BB31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Parimet</w:t>
      </w:r>
    </w:p>
    <w:p w14:paraId="1BB1744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1C6D796" w14:textId="259DB461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1. Veprimtaria e Këshillit udhëhiqet nga parimet e ligjshmërisë, transparencës, llogaridhënies, paanshmërisë, profesionalizmit, efi</w:t>
      </w:r>
      <w:r w:rsidR="004800F2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ci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encës dhe respektimit të pavarësisë gjyqësore.</w:t>
      </w:r>
    </w:p>
    <w:p w14:paraId="44493869" w14:textId="630EE484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2. Në përmbushje të detyrimit për transparencë, Këshilli merr masa të përshtatshme për të siguruar që publikimi i informacionit të mos cenojë dinjitetin personal, konfidencialitetin e procedurave</w:t>
      </w:r>
      <w:r w:rsidR="00A11E8D">
        <w:rPr>
          <w:rFonts w:ascii="Garamond" w:eastAsia="Times New Roman" w:hAnsi="Garamond" w:cs="Times New Roman"/>
          <w:bCs/>
          <w:color w:val="auto"/>
          <w:sz w:val="24"/>
          <w:szCs w:val="24"/>
        </w:rPr>
        <w:t>,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apo funksionimin efektiv të gjyqësorit, në përputhje me kuadrin ligjor në fuqi.</w:t>
      </w:r>
    </w:p>
    <w:p w14:paraId="4805E05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47C9CC3" w14:textId="77777777" w:rsidR="00B56AA4" w:rsidRPr="00FB45C4" w:rsidRDefault="00B56AA4" w:rsidP="00B56AA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KREU II</w:t>
      </w:r>
    </w:p>
    <w:p w14:paraId="5B96A3EE" w14:textId="2E1DB70B" w:rsidR="00B56AA4" w:rsidRPr="00FB45C4" w:rsidRDefault="004800F2" w:rsidP="00B56AA4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T</w:t>
      </w:r>
      <w:r w:rsidR="00B56AA4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RANSPARENCA NË EMËRIMET DHE NGRITJET NË DETYRË NË SISTEMIN GJYQËSOR</w:t>
      </w:r>
    </w:p>
    <w:p w14:paraId="3D1BB90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6B970E8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4</w:t>
      </w:r>
    </w:p>
    <w:p w14:paraId="1D150C9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Publikimi i vendeve vakante në sistemin gjyqësor</w:t>
      </w:r>
    </w:p>
    <w:p w14:paraId="4B91A618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D9DD65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Këshilli shpall dhe publikon vendet vakante në sistemin gjyqësor ose ato që priten të bëhen vakante, në përputhje me kompetencat e përcaktuara në ligj. </w:t>
      </w:r>
    </w:p>
    <w:p w14:paraId="1B3579F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2. Çdo shpallje duhet të përmbajë të paktën informacionin e mëposhtëm:</w:t>
      </w:r>
    </w:p>
    <w:p w14:paraId="6D95AE5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a) emrin dhe nivelin e gjykatës;</w:t>
      </w:r>
    </w:p>
    <w:p w14:paraId="224DE16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b) natyrën e procedurës (lëvizje paralele, ngritje në detyrë, apo emërim fillestar);</w:t>
      </w:r>
    </w:p>
    <w:p w14:paraId="20CCDCE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c) bazën ligjore të procedurës dhe afatet përkatëse; </w:t>
      </w:r>
    </w:p>
    <w:p w14:paraId="6E432B0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d) kriteret e pranueshmërisë, siç përcaktohen në nenet 43 deri në 49 të ligjit nr. 96/2016;</w:t>
      </w:r>
    </w:p>
    <w:p w14:paraId="21D6DD0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e) dokumentacionin e kërkuar dhe afatin për aplikim;</w:t>
      </w:r>
    </w:p>
    <w:p w14:paraId="4AEAFB0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f) mënyrën e dorëzimit dhe të dhënat për kontakt.</w:t>
      </w:r>
    </w:p>
    <w:p w14:paraId="33AD74C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3. Publikimi bëhet në faqen zyrtare të Këshillit. </w:t>
      </w:r>
    </w:p>
    <w:p w14:paraId="20655DA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6BC63FA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5</w:t>
      </w:r>
    </w:p>
    <w:p w14:paraId="2F8408A3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Kriteret e pranueshmërisë dhe listat e kandidatëve</w:t>
      </w:r>
    </w:p>
    <w:p w14:paraId="774C268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3F6E4C80" w14:textId="66BE97C1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Për çdo shpallje që lidhet me emërimin, ngritjen në detyrë ose transferimin e gjyqtarëve, Këshilli publikon kriteret e pranueshmërisë të përcaktuara në ligj dhe çdo kusht specifik të vendosur me vendim të Këshillit, në zbatim të kompetencave të tij sipas nenit 61 të </w:t>
      </w:r>
      <w:r w:rsidR="00A11E8D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nr. 115/2016 dhe neneve 42 deri në 49 të </w:t>
      </w:r>
      <w:r w:rsidR="00A11E8D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nr. 96/2016.</w:t>
      </w:r>
    </w:p>
    <w:p w14:paraId="0579AD5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2. Kriteret e publikuara përfshijnë:</w:t>
      </w:r>
    </w:p>
    <w:p w14:paraId="27FB5FC3" w14:textId="30E37F6F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a) përvojën profesionale të kërkuar, përfshirë vitet minimale të ushtrimit të funksionit gjyqësor, siç parashikohet në nenin 47 të </w:t>
      </w:r>
      <w:r w:rsidR="008317D6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nr. 96/2016 për ngritje në detyrë;</w:t>
      </w:r>
    </w:p>
    <w:p w14:paraId="7195730F" w14:textId="39698C4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lastRenderedPageBreak/>
        <w:t xml:space="preserve">b) mungesën e ndonjë mase disiplinore në fuqi dhe përmbushjen e kushteve të integritetit, në përputhje me nenin 43, pika 6, të </w:t>
      </w:r>
      <w:r w:rsidR="008317D6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nr. 96/2016;</w:t>
      </w:r>
    </w:p>
    <w:p w14:paraId="0D6C01A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c) përvojën përkatëse në fushën e së drejtës që lidhet me pozicionin vakant, sipas kërkesave të ligjit;</w:t>
      </w:r>
    </w:p>
    <w:p w14:paraId="03876F0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d) rezultatet e mëparshme të vlerësimit, në masën e kërkuar nga dispozitat përkatëse ligjore, pa bërë publike pikët e vlerësimit ose të dhënat e performancës individuale;</w:t>
      </w:r>
    </w:p>
    <w:p w14:paraId="7DBA5A51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e) çdo kusht shtesë ligjor apo procedural të përcaktuar me vendim të Këshillit.</w:t>
      </w:r>
    </w:p>
    <w:p w14:paraId="7127D746" w14:textId="53D4A5A1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3. Në procedurat e lëvizjes paralele, një magjistrat mund të kandidojë për jo më shumë se tr</w:t>
      </w:r>
      <w:r w:rsidR="008317D6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vende vakante të shpallura brenda </w:t>
      </w:r>
      <w:r w:rsidR="008317D6">
        <w:rPr>
          <w:rFonts w:ascii="Garamond" w:eastAsia="Times New Roman" w:hAnsi="Garamond" w:cs="Times New Roman"/>
          <w:bCs/>
          <w:color w:val="auto"/>
          <w:sz w:val="24"/>
          <w:szCs w:val="24"/>
        </w:rPr>
        <w:t>s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ë njëjtës procedurë, në përputhje me nenin 43, pika 5, të </w:t>
      </w:r>
      <w:r w:rsidR="008317D6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nr. 96/2016. Kur paraqet më shumë se një kandidim, magjistrati duhet të deklarojë me shkrim renditjen sipas preferencës për secilin pozicion. Nëse kandidon për më shumë se tr</w:t>
      </w:r>
      <w:r w:rsidR="008317D6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pozicione, do të konsiderohen të vlefshme vetëm tr</w:t>
      </w:r>
      <w:r w:rsidR="008317D6">
        <w:rPr>
          <w:rFonts w:ascii="Garamond" w:eastAsia="Times New Roman" w:hAnsi="Garamond" w:cs="Times New Roman"/>
          <w:bCs/>
          <w:color w:val="auto"/>
          <w:sz w:val="24"/>
          <w:szCs w:val="24"/>
        </w:rPr>
        <w:t>i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kandidimet e para të paraqitura në kohë ose, kur janë paraqitur njëkohësisht, ato që i korrespondojnë vendeve të shpallura më herët.</w:t>
      </w:r>
    </w:p>
    <w:p w14:paraId="207A906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4. Pas verifikimit të përmbushjes së kritereve formale dhe ligjore, Këshilli publikon listën e kandidatëve të pranuar në procedurë së bashku me preferencat për pozicionet e shpallura. </w:t>
      </w:r>
    </w:p>
    <w:p w14:paraId="19021ED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1655DF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6</w:t>
      </w:r>
    </w:p>
    <w:p w14:paraId="28D2BA5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Publikimi i vendimit</w:t>
      </w:r>
    </w:p>
    <w:p w14:paraId="3743DE9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41BE5E25" w14:textId="58871825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1. Këshilli publikon vendimin e plotë për emërimin, caktimin, ngritjen në detyrë, delegimin transferimin e gjyqtarëve etj</w:t>
      </w:r>
      <w:r w:rsidR="00FA03C8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.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, në përputhje me kompetencat e tij sipas ligjit.</w:t>
      </w:r>
    </w:p>
    <w:p w14:paraId="3F2E7E2B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2. Vendimi publikohet në faqen zyrtare të Këshillit brenda afatit ligjor.</w:t>
      </w:r>
    </w:p>
    <w:p w14:paraId="75AB117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3EC9AD8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KREU III</w:t>
      </w:r>
    </w:p>
    <w:p w14:paraId="5A1360AC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TRANSPARENCA NË VLERËSIMIN E GJYQTARËVE</w:t>
      </w:r>
    </w:p>
    <w:p w14:paraId="347082A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5B50DDD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7</w:t>
      </w:r>
    </w:p>
    <w:p w14:paraId="485A67A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Publikimi i programit vjetor të vlerësimit</w:t>
      </w:r>
    </w:p>
    <w:p w14:paraId="4F474B8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D288BE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Këshilli publikon programin vjetor të vlerësimit të miratuar. </w:t>
      </w:r>
    </w:p>
    <w:p w14:paraId="178BCFF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2. Informacioni publikohet në faqen zyrtare të Këshillit brenda afatit ligjor.</w:t>
      </w:r>
    </w:p>
    <w:p w14:paraId="69B5453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3. Çdo ndryshim në programin e vlerësimit i cili miratohet nga Këshilli publikohet në të njëjtën mënyrë.</w:t>
      </w:r>
    </w:p>
    <w:p w14:paraId="6A2D21B3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6072BE3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8</w:t>
      </w:r>
    </w:p>
    <w:p w14:paraId="2CF9582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Publikimi i vendimit</w:t>
      </w:r>
    </w:p>
    <w:p w14:paraId="74B7547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382F341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1. Këshilli publikon raportin për vlerësimin etik dhe profesional të gjyqtarit si dhe vendimin përkatës, në përputhje me legjislacionin për mbrojtjen e të dhënave personale. </w:t>
      </w:r>
    </w:p>
    <w:p w14:paraId="05EE235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Vendimi publikohet në faqen zyrtare të Këshillit brenda afatit ligjor. </w:t>
      </w:r>
    </w:p>
    <w:p w14:paraId="1BCD561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2F6C28F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KREU IV</w:t>
      </w:r>
    </w:p>
    <w:p w14:paraId="636B59B3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PUBLIKIMI DHE ZBATIMI</w:t>
      </w:r>
    </w:p>
    <w:p w14:paraId="285D120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158A576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9</w:t>
      </w:r>
    </w:p>
    <w:p w14:paraId="7747428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Baza e të dhënave të brendshme dhe aplikacioni publik për vendet e lira</w:t>
      </w:r>
    </w:p>
    <w:p w14:paraId="03D160BD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1278DEA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1. Këshilli i Lartë Gjyqësor krijon dhe përditëson një bazë të dhënash elektronike të brendshme, për anëtarët e cila përmban informacion të plotë mbi të gjitha vendet e lira, duke përfshirë:</w:t>
      </w:r>
    </w:p>
    <w:p w14:paraId="42022B5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lastRenderedPageBreak/>
        <w:t>a) shpalljen e thirrjes për aplikime dhe afatet përkatëse;</w:t>
      </w:r>
    </w:p>
    <w:p w14:paraId="6844B84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b) listën e aplikantëve dhe dokumentacionin mbështetës;</w:t>
      </w:r>
    </w:p>
    <w:p w14:paraId="2F5EBE0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c) pikët e vlerësimit për secilin kandidat;</w:t>
      </w:r>
    </w:p>
    <w:p w14:paraId="60AC255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d) çdo dorëheqje;</w:t>
      </w:r>
    </w:p>
    <w:p w14:paraId="472294C3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e) renditjen e kandidatëve dhe caktimet në pozicion;</w:t>
      </w:r>
    </w:p>
    <w:p w14:paraId="14B1E23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g) rezultatin përfundimtar, përfshirë emrin e kandidatit fitues;</w:t>
      </w:r>
    </w:p>
    <w:p w14:paraId="07404EF8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i) caktimet për gjykime të posaçme, komandimet dhe delegimet.</w:t>
      </w:r>
    </w:p>
    <w:p w14:paraId="492244A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Këshilli zhvillon dhe administron një aplikacion publik </w:t>
      </w:r>
      <w:r w:rsidRPr="008317D6">
        <w:rPr>
          <w:rFonts w:ascii="Garamond" w:eastAsia="Times New Roman" w:hAnsi="Garamond" w:cs="Times New Roman"/>
          <w:bCs/>
          <w:i/>
          <w:iCs/>
          <w:color w:val="auto"/>
          <w:sz w:val="24"/>
          <w:szCs w:val="24"/>
        </w:rPr>
        <w:t>online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, i cili pasqyron informacion të përditësuar mbi vendet e lira dhe procedurat përkatëse, duke përfshirë:</w:t>
      </w:r>
    </w:p>
    <w:p w14:paraId="42B09C3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a) thirrjet e shpallura dhe afatet;</w:t>
      </w:r>
    </w:p>
    <w:p w14:paraId="0C662395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b) emrat e aplikantëve të pranuar;</w:t>
      </w:r>
    </w:p>
    <w:p w14:paraId="456FBBA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c) fazat e procedurës;</w:t>
      </w:r>
    </w:p>
    <w:p w14:paraId="6A7FF70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d) renditjen e kandidatëve;</w:t>
      </w:r>
    </w:p>
    <w:p w14:paraId="4A3481D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e) emrin e kandidatit fitues.</w:t>
      </w:r>
    </w:p>
    <w:p w14:paraId="5B65D4B8" w14:textId="0883820D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Aplikacioni publikohet në faqen zyrtare të internetit të Këshillit dhe përditësohet rregullisht për të garantuar transparencën, duke respektuar njëkohësisht konfidencialitetin dhe dispozitat e </w:t>
      </w:r>
      <w:r w:rsidR="008317D6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ligjit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nr. 115/2016 mbi transparencën dhe mbrojtjen e të dhënave.</w:t>
      </w:r>
    </w:p>
    <w:p w14:paraId="6C9E78D9" w14:textId="7B70B945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Shërbimi mbështetës përkatës</w:t>
      </w:r>
      <w:r w:rsidR="00FB45C4"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</w:t>
      </w: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administron dhe përditëson të dyja sistemet dhe raporton çdo vit para Këshillit mbi funksionimin, përputhshmërinë ligjore dhe respektimin e standardeve të transparencës dhe sigurisë së të dhënave.</w:t>
      </w:r>
    </w:p>
    <w:p w14:paraId="168F0D2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8F84F70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10</w:t>
      </w:r>
    </w:p>
    <w:p w14:paraId="390C2CFE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Zbatimi i rregullores</w:t>
      </w:r>
    </w:p>
    <w:p w14:paraId="2326D3A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</w:p>
    <w:p w14:paraId="23939806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Sekretari i Përgjithshëm siguron që procedurat teknike dhe administrative të nevojshme për publikimin e informacionit në kuadër të kësaj Rregulloreje të jenë të përcaktuara dhe të funksionojnë në mënyrë të qëndrueshme dhe të standardizuar.</w:t>
      </w:r>
    </w:p>
    <w:p w14:paraId="703BE18A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44485049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KREU V</w:t>
      </w:r>
    </w:p>
    <w:p w14:paraId="253CE2C1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DISPOZITA PËRFUNDIMTARE</w:t>
      </w:r>
    </w:p>
    <w:p w14:paraId="2BD3BE9C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5443EDC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11</w:t>
      </w:r>
    </w:p>
    <w:p w14:paraId="562C761B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Dispozitat kalimtare</w:t>
      </w:r>
    </w:p>
    <w:p w14:paraId="02BBD124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A52F1B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1. Dispozitat e kësaj rregulloreje zbatohen për të gjitha masat e transparencës që përfshihen në kompetencat e Këshillit, përfshirë edhe ato në proces në momentin e hyrjes në fuqi, përveç rasteve kur zbatimi i dispozitave të veçanta kërkon përshtatje paraprake administrative ose teknike.</w:t>
      </w:r>
    </w:p>
    <w:p w14:paraId="5B0F2C88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2. Këshilli merr masa të garantojë zbatimin e rregullores për një periudhë prej 3 muajsh nga data e hyrjes në fuqi. </w:t>
      </w:r>
    </w:p>
    <w:p w14:paraId="702C3957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6BA0B9EF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>Neni 12</w:t>
      </w:r>
    </w:p>
    <w:p w14:paraId="100A056E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/>
          <w:bCs/>
          <w:color w:val="auto"/>
          <w:sz w:val="24"/>
          <w:szCs w:val="24"/>
        </w:rPr>
        <w:t>Hyrja në fuqi</w:t>
      </w:r>
    </w:p>
    <w:p w14:paraId="6B7F0D52" w14:textId="77777777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042F041F" w14:textId="1F623341" w:rsidR="00B56AA4" w:rsidRPr="00FB45C4" w:rsidRDefault="00B56AA4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  <w:r w:rsidRPr="00FB45C4">
        <w:rPr>
          <w:rFonts w:ascii="Garamond" w:eastAsia="Times New Roman" w:hAnsi="Garamond" w:cs="Times New Roman"/>
          <w:bCs/>
          <w:color w:val="auto"/>
          <w:sz w:val="24"/>
          <w:szCs w:val="24"/>
        </w:rPr>
        <w:t xml:space="preserve"> Kjo Rregullore hyn në fuqi në datën e botimit në Fletoren Zyrtare.</w:t>
      </w:r>
    </w:p>
    <w:p w14:paraId="1ABDBA28" w14:textId="77777777" w:rsidR="009470AD" w:rsidRPr="00FB45C4" w:rsidRDefault="009470AD" w:rsidP="00B56AA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auto"/>
          <w:sz w:val="24"/>
          <w:szCs w:val="24"/>
        </w:rPr>
      </w:pPr>
    </w:p>
    <w:p w14:paraId="7B9B6067" w14:textId="77777777" w:rsidR="004F6A45" w:rsidRPr="00FB45C4" w:rsidRDefault="004F6A45"/>
    <w:sectPr w:rsidR="004F6A45" w:rsidRPr="00FB45C4" w:rsidSect="00B851CB">
      <w:pgSz w:w="12240" w:h="15840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80503"/>
    <w:multiLevelType w:val="hybridMultilevel"/>
    <w:tmpl w:val="2A88F8CA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43953"/>
    <w:multiLevelType w:val="multilevel"/>
    <w:tmpl w:val="D3645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D"/>
    <w:rsid w:val="00043978"/>
    <w:rsid w:val="00184DCA"/>
    <w:rsid w:val="001872CA"/>
    <w:rsid w:val="001F4525"/>
    <w:rsid w:val="00262597"/>
    <w:rsid w:val="00320221"/>
    <w:rsid w:val="0032262D"/>
    <w:rsid w:val="00361F16"/>
    <w:rsid w:val="00462B7E"/>
    <w:rsid w:val="004800F2"/>
    <w:rsid w:val="004F6A45"/>
    <w:rsid w:val="00541E86"/>
    <w:rsid w:val="005461D7"/>
    <w:rsid w:val="00633B99"/>
    <w:rsid w:val="006C3953"/>
    <w:rsid w:val="00771003"/>
    <w:rsid w:val="007E171B"/>
    <w:rsid w:val="008317D6"/>
    <w:rsid w:val="009470AD"/>
    <w:rsid w:val="00973ABA"/>
    <w:rsid w:val="009F2307"/>
    <w:rsid w:val="00A11E8D"/>
    <w:rsid w:val="00A4008D"/>
    <w:rsid w:val="00A53279"/>
    <w:rsid w:val="00B56AA4"/>
    <w:rsid w:val="00B851CB"/>
    <w:rsid w:val="00B85D08"/>
    <w:rsid w:val="00BF4D4A"/>
    <w:rsid w:val="00C538A1"/>
    <w:rsid w:val="00CA0F99"/>
    <w:rsid w:val="00CE622F"/>
    <w:rsid w:val="00D8066E"/>
    <w:rsid w:val="00E60EEB"/>
    <w:rsid w:val="00E906F5"/>
    <w:rsid w:val="00E96B3F"/>
    <w:rsid w:val="00EF3272"/>
    <w:rsid w:val="00F33AEE"/>
    <w:rsid w:val="00FA03C8"/>
    <w:rsid w:val="00FB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FE4FE"/>
  <w15:chartTrackingRefBased/>
  <w15:docId w15:val="{A0302D71-AA09-4988-A084-2D51F8DBA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9470A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9470AD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uiPriority w:val="34"/>
    <w:rsid w:val="009470AD"/>
    <w:rPr>
      <w:rFonts w:ascii="Calibri" w:eastAsia="Arial Unicode MS" w:hAnsi="Calibri" w:cs="Arial Unicode MS"/>
      <w:color w:val="000000"/>
      <w:u w:color="000000"/>
      <w:bdr w:val="nil"/>
      <w:lang w:val="sq-AL" w:eastAsia="en-GB"/>
    </w:rPr>
  </w:style>
  <w:style w:type="character" w:customStyle="1" w:styleId="NoSpacingChar">
    <w:name w:val="No Spacing Char"/>
    <w:link w:val="NoSpacing"/>
    <w:uiPriority w:val="1"/>
    <w:locked/>
    <w:rsid w:val="00C538A1"/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link w:val="NoSpacingChar"/>
    <w:uiPriority w:val="1"/>
    <w:qFormat/>
    <w:rsid w:val="00C538A1"/>
    <w:pPr>
      <w:spacing w:after="0" w:line="240" w:lineRule="auto"/>
      <w:ind w:left="7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221"/>
    <w:rPr>
      <w:rFonts w:ascii="Segoe UI" w:eastAsia="Arial Unicode MS" w:hAnsi="Segoe UI" w:cs="Segoe UI"/>
      <w:color w:val="000000"/>
      <w:sz w:val="18"/>
      <w:szCs w:val="18"/>
      <w:u w:color="000000"/>
      <w:bdr w:val="nil"/>
      <w:lang w:val="sq-AL" w:eastAsia="en-GB"/>
    </w:rPr>
  </w:style>
  <w:style w:type="paragraph" w:styleId="NormalWeb">
    <w:name w:val="Normal (Web)"/>
    <w:basedOn w:val="Normal"/>
    <w:uiPriority w:val="99"/>
    <w:unhideWhenUsed/>
    <w:rsid w:val="003226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  <w:lang w:val="fr-CH"/>
    </w:rPr>
  </w:style>
  <w:style w:type="paragraph" w:styleId="Revision">
    <w:name w:val="Revision"/>
    <w:hidden/>
    <w:uiPriority w:val="99"/>
    <w:semiHidden/>
    <w:rsid w:val="00A53279"/>
    <w:pPr>
      <w:spacing w:after="0" w:line="240" w:lineRule="auto"/>
    </w:pPr>
    <w:rPr>
      <w:rFonts w:ascii="Calibri" w:eastAsia="Arial Unicode MS" w:hAnsi="Calibri" w:cs="Arial Unicode MS"/>
      <w:color w:val="000000"/>
      <w:u w:color="000000"/>
      <w:bdr w:val="nil"/>
      <w:lang w:val="sq-AL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4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770</Nr_x002e__x0020_akti>
    <Data_x0020_e_x0020_Krijimit xmlns="0e656187-b300-4fb0-8bf4-3a50f872073c">2025-10-27T11:24:52Z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2025-10-24T00:00:00Z</Date_x0020_protokolli>
    <Titulli xmlns="0e656187-b300-4fb0-8bf4-3a50f872073c">Për miratimin e rregullores " Për transparencën dhe përmirësimin e procesit vendimmarrës në Këshillin e Lartë  Gjyqësor"</Titulli>
    <Modifikuesi xmlns="0e656187-b300-4fb0-8bf4-3a50f872073c">Fjora.Cahani</Modifikuesi>
    <Nr_x002e__x0020_prot_x0020_QBZ xmlns="0e656187-b300-4fb0-8bf4-3a50f872073c">1766/2</Nr_x002e__x0020_prot_x0020_QBZ>
    <Data_x0020_e_x0020_Modifikimit xmlns="0e656187-b300-4fb0-8bf4-3a50f872073c">2025-10-28T12:37:53Z</Data_x0020_e_x0020_Modifikimit>
    <Dekretuar xmlns="0e656187-b300-4fb0-8bf4-3a50f872073c">false</Dekretuar>
    <Data xmlns="0e656187-b300-4fb0-8bf4-3a50f872073c">2025-10-22T00:00:00Z</Data>
    <Nr_x002e__x0020_protokolli_x0020_i_x0020_aktit xmlns="0e656187-b300-4fb0-8bf4-3a50f872073c">5615/1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F4A3ED60DF487BB355C4A7D675AF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CD5B8C-43A2-4414-ACAD-845FA45F52A3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5159A4A-028C-4F63-8BC1-D92B7B9443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E6762A-C563-4620-AA18-5652FDC18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 Për transparencën dhe përmirësimin e procesit vendimmarrës në Këshillin e Lartë Gjyqësor"</vt:lpstr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 Për transparencën dhe përmirësimin e procesit vendimmarrës në Këshillin e Lartë Gjyqësor"</dc:title>
  <dc:creator>user</dc:creator>
  <cp:lastModifiedBy>Fjora Cahani</cp:lastModifiedBy>
  <cp:revision>5</cp:revision>
  <cp:lastPrinted>2025-10-23T06:59:00Z</cp:lastPrinted>
  <dcterms:created xsi:type="dcterms:W3CDTF">2025-10-27T12:26:00Z</dcterms:created>
  <dcterms:modified xsi:type="dcterms:W3CDTF">2025-10-28T12:32:00Z</dcterms:modified>
</cp:coreProperties>
</file>