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14B49"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VENDIM</w:t>
      </w:r>
    </w:p>
    <w:p w14:paraId="61F1E59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sz w:val="24"/>
          <w:szCs w:val="24"/>
        </w:rPr>
      </w:pPr>
      <w:r w:rsidRPr="00DA35F9">
        <w:rPr>
          <w:rFonts w:ascii="Garamond" w:hAnsi="Garamond" w:cs="Garamond"/>
          <w:b/>
          <w:bCs/>
          <w:color w:val="000000"/>
          <w:sz w:val="24"/>
          <w:szCs w:val="24"/>
        </w:rPr>
        <w:t>Nr. 795, datë 18.11.2025</w:t>
      </w:r>
    </w:p>
    <w:p w14:paraId="1802BDC9"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sz w:val="24"/>
          <w:szCs w:val="24"/>
        </w:rPr>
      </w:pPr>
    </w:p>
    <w:p w14:paraId="3C378443" w14:textId="1A25A79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PËR USHTRIMIN E VEPRIMTARISË JASHTË FUNKSIONIT</w:t>
      </w:r>
    </w:p>
    <w:p w14:paraId="38D9D9AE"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1880ABCD" w14:textId="4565892D"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Këshilli i Lartë Gjyqësor, në bazë të neneve 147 dhe 147/a, pika 1 të Kushtetutës së Republikës së Shqipërisë, nenit 97, pika 1, shkronja “c”</w:t>
      </w:r>
      <w:r w:rsidR="00173861" w:rsidRPr="00DA35F9">
        <w:rPr>
          <w:rFonts w:ascii="Garamond" w:hAnsi="Garamond" w:cs="Garamond"/>
          <w:color w:val="000000"/>
          <w:sz w:val="24"/>
          <w:szCs w:val="24"/>
        </w:rPr>
        <w:t>,</w:t>
      </w:r>
      <w:r w:rsidRPr="00DA35F9">
        <w:rPr>
          <w:rFonts w:ascii="Garamond" w:hAnsi="Garamond" w:cs="Garamond"/>
          <w:color w:val="000000"/>
          <w:sz w:val="24"/>
          <w:szCs w:val="24"/>
        </w:rPr>
        <w:t xml:space="preserve"> të </w:t>
      </w:r>
      <w:r w:rsidR="00173861" w:rsidRPr="00DA35F9">
        <w:rPr>
          <w:rFonts w:ascii="Garamond" w:hAnsi="Garamond" w:cs="Garamond"/>
          <w:color w:val="000000"/>
          <w:sz w:val="24"/>
          <w:szCs w:val="24"/>
        </w:rPr>
        <w:t xml:space="preserve">ligjit </w:t>
      </w:r>
      <w:r w:rsidRPr="00DA35F9">
        <w:rPr>
          <w:rFonts w:ascii="Garamond" w:hAnsi="Garamond" w:cs="Garamond"/>
          <w:color w:val="000000"/>
          <w:sz w:val="24"/>
          <w:szCs w:val="24"/>
        </w:rPr>
        <w:t>nr.</w:t>
      </w:r>
      <w:r w:rsidR="00173861" w:rsidRPr="00DA35F9">
        <w:rPr>
          <w:rFonts w:ascii="Garamond" w:hAnsi="Garamond" w:cs="Garamond"/>
          <w:color w:val="000000"/>
          <w:sz w:val="24"/>
          <w:szCs w:val="24"/>
        </w:rPr>
        <w:t xml:space="preserve"> </w:t>
      </w:r>
      <w:r w:rsidRPr="00DA35F9">
        <w:rPr>
          <w:rFonts w:ascii="Garamond" w:hAnsi="Garamond" w:cs="Garamond"/>
          <w:color w:val="000000"/>
          <w:sz w:val="24"/>
          <w:szCs w:val="24"/>
        </w:rPr>
        <w:t>115/2016</w:t>
      </w:r>
      <w:r w:rsidR="00173861" w:rsidRPr="00DA35F9">
        <w:rPr>
          <w:rFonts w:ascii="Garamond" w:hAnsi="Garamond" w:cs="Garamond"/>
          <w:color w:val="000000"/>
          <w:sz w:val="24"/>
          <w:szCs w:val="24"/>
        </w:rPr>
        <w:t>,</w:t>
      </w:r>
      <w:r w:rsidRPr="00DA35F9">
        <w:rPr>
          <w:rFonts w:ascii="Garamond" w:hAnsi="Garamond" w:cs="Garamond"/>
          <w:color w:val="000000"/>
          <w:sz w:val="24"/>
          <w:szCs w:val="24"/>
        </w:rPr>
        <w:t xml:space="preserve"> “Për organet e qeverisjes së sistemit të drejtësisë”, </w:t>
      </w:r>
      <w:r w:rsidR="00173861" w:rsidRPr="00DA35F9">
        <w:rPr>
          <w:rFonts w:ascii="Garamond" w:hAnsi="Garamond" w:cs="Garamond"/>
          <w:color w:val="000000"/>
          <w:sz w:val="24"/>
          <w:szCs w:val="24"/>
        </w:rPr>
        <w:t>të</w:t>
      </w:r>
      <w:r w:rsidRPr="00DA35F9">
        <w:rPr>
          <w:rFonts w:ascii="Garamond" w:hAnsi="Garamond" w:cs="Garamond"/>
          <w:color w:val="000000"/>
          <w:sz w:val="24"/>
          <w:szCs w:val="24"/>
        </w:rPr>
        <w:t xml:space="preserve"> ndryshuar, si dhe neneve 9 dhe 174, pika 1, shkronja “a”</w:t>
      </w:r>
      <w:r w:rsidRPr="00DA35F9">
        <w:rPr>
          <w:rFonts w:ascii="Garamond" w:hAnsi="Garamond" w:cs="Garamond"/>
          <w:b/>
          <w:bCs/>
          <w:color w:val="000000"/>
          <w:sz w:val="24"/>
          <w:szCs w:val="24"/>
        </w:rPr>
        <w:t xml:space="preserve"> </w:t>
      </w:r>
      <w:r w:rsidRPr="00DA35F9">
        <w:rPr>
          <w:rFonts w:ascii="Garamond" w:hAnsi="Garamond" w:cs="Garamond"/>
          <w:color w:val="000000"/>
          <w:sz w:val="24"/>
          <w:szCs w:val="24"/>
        </w:rPr>
        <w:t>të ligjit nr.</w:t>
      </w:r>
      <w:r w:rsidR="00173861" w:rsidRPr="00DA35F9">
        <w:rPr>
          <w:rFonts w:ascii="Garamond" w:hAnsi="Garamond" w:cs="Garamond"/>
          <w:color w:val="000000"/>
          <w:sz w:val="24"/>
          <w:szCs w:val="24"/>
        </w:rPr>
        <w:t xml:space="preserve"> </w:t>
      </w:r>
      <w:r w:rsidRPr="00DA35F9">
        <w:rPr>
          <w:rFonts w:ascii="Garamond" w:hAnsi="Garamond" w:cs="Garamond"/>
          <w:color w:val="000000"/>
          <w:sz w:val="24"/>
          <w:szCs w:val="24"/>
        </w:rPr>
        <w:t>96/2016</w:t>
      </w:r>
      <w:r w:rsidR="00173861" w:rsidRPr="00DA35F9">
        <w:rPr>
          <w:rFonts w:ascii="Garamond" w:hAnsi="Garamond" w:cs="Garamond"/>
          <w:color w:val="000000"/>
          <w:sz w:val="24"/>
          <w:szCs w:val="24"/>
        </w:rPr>
        <w:t>,</w:t>
      </w:r>
      <w:r w:rsidRPr="00DA35F9">
        <w:rPr>
          <w:rFonts w:ascii="Garamond" w:hAnsi="Garamond" w:cs="Garamond"/>
          <w:color w:val="000000"/>
          <w:sz w:val="24"/>
          <w:szCs w:val="24"/>
        </w:rPr>
        <w:t xml:space="preserve"> “Për statusin e gjyqtarëve dhe prokurorëve në Republikën e Shqipërisë”</w:t>
      </w:r>
      <w:r w:rsidR="00173861" w:rsidRPr="00DA35F9">
        <w:rPr>
          <w:rFonts w:ascii="Garamond" w:hAnsi="Garamond" w:cs="Garamond"/>
          <w:color w:val="000000"/>
          <w:sz w:val="24"/>
          <w:szCs w:val="24"/>
        </w:rPr>
        <w:t>,</w:t>
      </w:r>
      <w:r w:rsidRPr="00DA35F9">
        <w:rPr>
          <w:rFonts w:ascii="Garamond" w:hAnsi="Garamond" w:cs="Garamond"/>
          <w:color w:val="000000"/>
          <w:sz w:val="24"/>
          <w:szCs w:val="24"/>
        </w:rPr>
        <w:t xml:space="preserve"> </w:t>
      </w:r>
      <w:r w:rsidR="00173861" w:rsidRPr="00DA35F9">
        <w:rPr>
          <w:rFonts w:ascii="Garamond" w:hAnsi="Garamond" w:cs="Garamond"/>
          <w:color w:val="000000"/>
          <w:sz w:val="24"/>
          <w:szCs w:val="24"/>
        </w:rPr>
        <w:t>të</w:t>
      </w:r>
      <w:r w:rsidRPr="00DA35F9">
        <w:rPr>
          <w:rFonts w:ascii="Garamond" w:hAnsi="Garamond" w:cs="Garamond"/>
          <w:color w:val="000000"/>
          <w:sz w:val="24"/>
          <w:szCs w:val="24"/>
        </w:rPr>
        <w:t xml:space="preserve"> ndryshuar,</w:t>
      </w:r>
      <w:r w:rsidR="00173861" w:rsidRPr="00DA35F9">
        <w:rPr>
          <w:rFonts w:ascii="Garamond" w:hAnsi="Garamond" w:cs="Garamond"/>
          <w:color w:val="000000"/>
          <w:sz w:val="24"/>
          <w:szCs w:val="24"/>
        </w:rPr>
        <w:t xml:space="preserve"> </w:t>
      </w:r>
    </w:p>
    <w:p w14:paraId="1B4B84CF"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3B32A88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Cs/>
          <w:color w:val="000000"/>
          <w:sz w:val="24"/>
          <w:szCs w:val="24"/>
        </w:rPr>
        <w:t>VENDOSI</w:t>
      </w:r>
      <w:r w:rsidRPr="00DA35F9">
        <w:rPr>
          <w:rFonts w:ascii="Garamond" w:hAnsi="Garamond" w:cs="Garamond"/>
          <w:b/>
          <w:bCs/>
          <w:color w:val="000000"/>
          <w:sz w:val="24"/>
          <w:szCs w:val="24"/>
        </w:rPr>
        <w:t>:</w:t>
      </w:r>
    </w:p>
    <w:p w14:paraId="217921A2" w14:textId="77777777" w:rsidR="000E3599" w:rsidRPr="00DA35F9" w:rsidRDefault="000E3599" w:rsidP="000E3599">
      <w:pPr>
        <w:autoSpaceDE w:val="0"/>
        <w:autoSpaceDN w:val="0"/>
        <w:adjustRightInd w:val="0"/>
        <w:spacing w:after="0" w:line="240" w:lineRule="auto"/>
        <w:ind w:firstLine="284"/>
        <w:rPr>
          <w:rFonts w:ascii="Garamond" w:hAnsi="Garamond" w:cs="Garamond"/>
          <w:b/>
          <w:bCs/>
          <w:color w:val="000000"/>
          <w:sz w:val="24"/>
          <w:szCs w:val="24"/>
        </w:rPr>
      </w:pPr>
    </w:p>
    <w:p w14:paraId="3F0C19B8"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KREU I</w:t>
      </w:r>
    </w:p>
    <w:p w14:paraId="4E4387D4"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DISPOZITA TË PËRGJITHSHME</w:t>
      </w:r>
    </w:p>
    <w:p w14:paraId="0FBE9DA5"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p>
    <w:p w14:paraId="1EB27D50"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w:t>
      </w:r>
    </w:p>
    <w:p w14:paraId="407E2CA5"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Papajtueshmëritë me funksionin e gjyqtarit</w:t>
      </w:r>
    </w:p>
    <w:p w14:paraId="438393D4"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29CAF659"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Funksioni i gjyqtarit është i papajtueshëm me çdo veprimtari tjetër politike ose shtetërore, si dhe me çdo veprimtari profesionale që ushtrohet kundrejt pagesës.</w:t>
      </w:r>
    </w:p>
    <w:p w14:paraId="6A596F00"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Përjashtimisht, gjyqtari mund të ushtrojë veprimtari mësimdhënëse, akademike ose shkencore, me kusht që këto veprimtari të mos cenojnë ushtrimin e funksioneve gjyqësore.</w:t>
      </w:r>
    </w:p>
    <w:p w14:paraId="04043576"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308396E8"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2</w:t>
      </w:r>
    </w:p>
    <w:p w14:paraId="43410E1C"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 xml:space="preserve">Objekti </w:t>
      </w:r>
    </w:p>
    <w:p w14:paraId="31C71B1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3E682AA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Ky vendim ka për objekt përcaktimin e rregullave dhe procedurave për ushtrimin e veprimtarive jashtë funksionit nga gjyqtari në detyrë, gjyqtari i komanduar pranë Këshillit të Lartë Gjyqësor, si dhe ndihmësi magjistrat në Gjykatën e Lartë.</w:t>
      </w:r>
    </w:p>
    <w:p w14:paraId="3D396A4A"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Nga zbatimi i këtij vendimi përjashtohet gjyqtari i komanduar pranë institucioneve të tjera, përveç atyre të përcaktuara në pikën 1 të këtij neni.</w:t>
      </w:r>
    </w:p>
    <w:p w14:paraId="5EAF6B01"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Dispozitat e këtij vendimi zbatohen edhe për gjyqtarin e pezulluar nga detyra, me përjashtim të rasteve kur pezullimi është i lidhur me ushtrimin e veprimtarisë jashtë funksionit.</w:t>
      </w:r>
    </w:p>
    <w:p w14:paraId="0AA8E234"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0BFA9A65" w14:textId="77777777" w:rsidR="000E3599" w:rsidRPr="00DA35F9" w:rsidRDefault="000E3599" w:rsidP="000E3599">
      <w:pPr>
        <w:tabs>
          <w:tab w:val="left" w:pos="720"/>
        </w:tabs>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color w:val="000000"/>
          <w:sz w:val="24"/>
          <w:szCs w:val="24"/>
        </w:rPr>
        <w:t>Neni 3</w:t>
      </w:r>
    </w:p>
    <w:p w14:paraId="2801BC55" w14:textId="77777777" w:rsidR="000E3599" w:rsidRPr="00DA35F9" w:rsidRDefault="000E3599" w:rsidP="000E3599">
      <w:pPr>
        <w:tabs>
          <w:tab w:val="left" w:pos="720"/>
        </w:tabs>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Përkufizime</w:t>
      </w:r>
    </w:p>
    <w:p w14:paraId="65A2BFB9" w14:textId="77777777" w:rsidR="000E3599" w:rsidRPr="00DA35F9" w:rsidRDefault="000E3599" w:rsidP="000E3599">
      <w:pPr>
        <w:tabs>
          <w:tab w:val="left" w:pos="720"/>
        </w:tabs>
        <w:autoSpaceDE w:val="0"/>
        <w:autoSpaceDN w:val="0"/>
        <w:adjustRightInd w:val="0"/>
        <w:spacing w:after="0" w:line="240" w:lineRule="auto"/>
        <w:ind w:firstLine="284"/>
        <w:jc w:val="center"/>
        <w:rPr>
          <w:rFonts w:ascii="Garamond" w:hAnsi="Garamond" w:cs="Garamond"/>
          <w:b/>
          <w:bCs/>
          <w:color w:val="000000"/>
          <w:sz w:val="24"/>
          <w:szCs w:val="24"/>
        </w:rPr>
      </w:pPr>
    </w:p>
    <w:p w14:paraId="2FA21AE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Në zbatim dhe për qëllim të këtij vendimi, termat e mëposhtëm kanë këto kuptime:</w:t>
      </w:r>
    </w:p>
    <w:p w14:paraId="78EF3C66" w14:textId="77777777" w:rsidR="000E3599" w:rsidRPr="00DA35F9" w:rsidRDefault="000E3599" w:rsidP="000E3599">
      <w:pPr>
        <w:tabs>
          <w:tab w:val="left" w:pos="5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a) “Veprimtari jashtë funksionit” nënkupton çdo veprimtari, të paguar ose të papaguar, që nuk përfshihet në veprimtarinë gjyqësore ose administrative të ushtrimit të funksioneve gjyqësore. Kjo përfshin aktivitetet mësimdhënëse, akademike dhe shkencore, të realizuara nëpërmjet shkrimeve, publikimeve, këshillimeve, mbajtjes së leksioneve për çështje ligjore, si dhe pjesëmarrjes në veprimtari që lidhen me çështje ligjore, sistemin ligjor ose administrimin e drejtësisë. </w:t>
      </w:r>
    </w:p>
    <w:p w14:paraId="0CED1A81" w14:textId="2CB61920" w:rsidR="000E3599" w:rsidRPr="00DA35F9" w:rsidRDefault="000E3599" w:rsidP="000E3599">
      <w:pPr>
        <w:tabs>
          <w:tab w:val="left" w:pos="5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b)</w:t>
      </w:r>
      <w:r w:rsidR="00173861" w:rsidRPr="00DA35F9">
        <w:rPr>
          <w:rFonts w:ascii="Garamond" w:hAnsi="Garamond" w:cs="Garamond"/>
          <w:color w:val="000000"/>
          <w:sz w:val="24"/>
          <w:szCs w:val="24"/>
        </w:rPr>
        <w:t xml:space="preserve"> </w:t>
      </w:r>
      <w:r w:rsidRPr="00DA35F9">
        <w:rPr>
          <w:rFonts w:ascii="Garamond" w:hAnsi="Garamond" w:cs="Garamond"/>
          <w:color w:val="000000"/>
          <w:sz w:val="24"/>
          <w:szCs w:val="24"/>
        </w:rPr>
        <w:t>“Aktivitet mësimdhënës”, nënkupton punën që kryen gjyqtari me qëllim krijimin, zhvillimin, përcjelljen dhe mbrojtjen e njohurive në institucionet e arsimit të lartë ose në institucionet që kontribuojnë në formimin profesional.</w:t>
      </w:r>
    </w:p>
    <w:p w14:paraId="7F1E8DAB" w14:textId="77777777" w:rsidR="000E3599" w:rsidRPr="00DA35F9" w:rsidRDefault="000E3599" w:rsidP="000E3599">
      <w:pPr>
        <w:tabs>
          <w:tab w:val="left" w:pos="5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lastRenderedPageBreak/>
        <w:t xml:space="preserve">c) “Aktivitet shkencor”, nënkupton çdo veprimtari kërkimore sistematike që synon zbulimin e njohurive të reja dhe zbatimin e tyre në praktikë. Ky aktivitet mund të ushtrohet në formën e kërkimit shkencor-bazë ose atij të zbatuar dhe ka për qëllim përdorimin nga publiku i gjerë. </w:t>
      </w:r>
    </w:p>
    <w:p w14:paraId="522DCBE9" w14:textId="77777777" w:rsidR="000E3599" w:rsidRPr="00DA35F9" w:rsidRDefault="000E3599" w:rsidP="000E3599">
      <w:pPr>
        <w:tabs>
          <w:tab w:val="left" w:pos="5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ç. “Aktivitet akademik” nënkupton çdo aktivitet mësimdhënës dhe kërkimor-shkencor që zhvillohet pranë institucioneve të arsimit të lartë.</w:t>
      </w:r>
    </w:p>
    <w:p w14:paraId="41F48DF9" w14:textId="77777777" w:rsidR="000E3599" w:rsidRPr="00DA35F9" w:rsidRDefault="000E3599" w:rsidP="000E3599">
      <w:pPr>
        <w:tabs>
          <w:tab w:val="left" w:pos="5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d) “Veprimtari e paguar jashtë funksionit”, nënkupton çdo veprimtari mësimdhënëse, akademike ose shkencore, për të cilën përftohet pagesë, shpërblim financiar ose çdo formë tjetër kompensimi.</w:t>
      </w:r>
    </w:p>
    <w:p w14:paraId="5DF76B9D" w14:textId="77777777" w:rsidR="000E3599" w:rsidRPr="00DA35F9" w:rsidRDefault="000E3599" w:rsidP="000E3599">
      <w:pPr>
        <w:tabs>
          <w:tab w:val="left" w:pos="720"/>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dh) Këshilli” nënkupton Këshillin e Lartë Gjyqësor.</w:t>
      </w:r>
    </w:p>
    <w:p w14:paraId="77E83DEC" w14:textId="77777777" w:rsidR="000E3599" w:rsidRPr="00DA35F9" w:rsidRDefault="000E3599" w:rsidP="000E3599">
      <w:pPr>
        <w:tabs>
          <w:tab w:val="left" w:pos="720"/>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e) “Mbledhje plenare” nënkupton mbledhjen plenare të Këshillit të Lartë Gjyqësor.</w:t>
      </w:r>
    </w:p>
    <w:p w14:paraId="239C8969" w14:textId="77777777" w:rsidR="000E3599" w:rsidRPr="00DA35F9" w:rsidRDefault="000E3599" w:rsidP="000E3599">
      <w:pPr>
        <w:tabs>
          <w:tab w:val="left" w:pos="720"/>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ë) “Komisioni” nënkupton Komisionin e Vlerësimit të Etikës dhe Veprimtarisë Profesionale pranë Këshillit të Lartë Gjyqësor.</w:t>
      </w:r>
    </w:p>
    <w:p w14:paraId="47505297" w14:textId="77777777" w:rsidR="000E3599" w:rsidRPr="00DA35F9" w:rsidRDefault="000E3599" w:rsidP="000E3599">
      <w:pPr>
        <w:tabs>
          <w:tab w:val="left" w:pos="720"/>
          <w:tab w:val="left" w:pos="1440"/>
        </w:tabs>
        <w:autoSpaceDE w:val="0"/>
        <w:autoSpaceDN w:val="0"/>
        <w:adjustRightInd w:val="0"/>
        <w:spacing w:after="0" w:line="240" w:lineRule="auto"/>
        <w:ind w:firstLine="284"/>
        <w:jc w:val="both"/>
        <w:rPr>
          <w:rFonts w:ascii="Garamond" w:hAnsi="Garamond" w:cs="Calibri"/>
          <w:color w:val="000000"/>
          <w:sz w:val="24"/>
          <w:szCs w:val="24"/>
        </w:rPr>
      </w:pPr>
    </w:p>
    <w:p w14:paraId="6F7D55B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4</w:t>
      </w:r>
    </w:p>
    <w:p w14:paraId="364DB4FB"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Kushtet për ushtrimin e veprimtarive jashtë funksionit</w:t>
      </w:r>
    </w:p>
    <w:p w14:paraId="5E24CBE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44AEA0FA"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Gjyqtari lejohet të ushtrojë veprimtari jashtë funksionit vetëm nëse kjo veprimtari plotëson njëkohësisht kushtet e mëposhtme:</w:t>
      </w:r>
    </w:p>
    <w:p w14:paraId="7A6264AB"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a) është në përputhje me dinjitetin e ushtrimit të funksionit të gjyqtarit, me reputacionin e organeve të sistemit të drejtësisë dhe me besimin e publikut në sistemin gjyqësor;</w:t>
      </w:r>
    </w:p>
    <w:p w14:paraId="2BBCE9C3"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b) është në përputhje me standardet e etikës dhe me rregullat e sjelljes së gjyqtarit;</w:t>
      </w:r>
    </w:p>
    <w:p w14:paraId="09609836"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c) nuk krijon perceptime të ndikimit, varësisë apo njëanshmërisë gjatë ushtrimit të funksionit;</w:t>
      </w:r>
    </w:p>
    <w:p w14:paraId="59BC1633"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ç) nuk bie ndesh me interesat thelbësorë të funksionit, duke mos cenuar afatet dhe ushtrimin në mënyrë efikase të funksioneve gjyqësore;</w:t>
      </w:r>
    </w:p>
    <w:p w14:paraId="1FAC806A"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d) nuk bie ndesh me qëllimin për të cilin është ulur ngarkesa e punës;</w:t>
      </w:r>
    </w:p>
    <w:p w14:paraId="37C72CD6"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dh) shpërblehet në përputhje me rregullat e zakonshme të tregut;</w:t>
      </w:r>
    </w:p>
    <w:p w14:paraId="6F0FEEC6" w14:textId="4EBED2CA"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e) nuk është e papajtueshme me ushtrimin e funksionit të gjyqtarit dhe nuk përbën veprimtari të ndaluar</w:t>
      </w:r>
      <w:r w:rsidR="005530D3">
        <w:rPr>
          <w:rFonts w:ascii="Garamond" w:hAnsi="Garamond" w:cs="Garamond"/>
          <w:color w:val="000000"/>
          <w:sz w:val="24"/>
          <w:szCs w:val="24"/>
        </w:rPr>
        <w:t>,</w:t>
      </w:r>
      <w:r w:rsidRPr="00DA35F9">
        <w:rPr>
          <w:rFonts w:ascii="Garamond" w:hAnsi="Garamond" w:cs="Garamond"/>
          <w:color w:val="000000"/>
          <w:sz w:val="24"/>
          <w:szCs w:val="24"/>
        </w:rPr>
        <w:t xml:space="preserve"> sipas neneve 6 dhe 7 të ligjit nr. 96/2016, “Për statusin e gjyqtarëve dhe prokurorëve në Republikën e Shqipërisë”, të ndryshuar.</w:t>
      </w:r>
    </w:p>
    <w:p w14:paraId="51480462"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52DD1784"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5</w:t>
      </w:r>
    </w:p>
    <w:p w14:paraId="06DBFCB9"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Mënyra dhe koha e ushtrimit të veprimtarive jashtë funksionit</w:t>
      </w:r>
    </w:p>
    <w:p w14:paraId="407AE98C"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465E7D5F"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Gjyqtari mund të ushtrojë veprimtari jashtë funksionit vetëm në masën që kjo veprimtari nuk cenon përmbushjen me efektivitet të detyrave gjyqësore dhe nuk ndërhyn në respektimin e orarit të punës.</w:t>
      </w:r>
    </w:p>
    <w:p w14:paraId="31FC735D"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Ushtrimi i veprimtarive jashtë funksionit lejohet vetëm në kufijtë kohorë të arsyeshëm, të tillë që të sigurojnë ruajtjen e balancës ndërmjet angazhimit profesional dhe zhvillimit akademik, pa ndikuar në cilësinë dhe përmbushjen e detyrimeve gjyqësore.</w:t>
      </w:r>
    </w:p>
    <w:p w14:paraId="3CE2860F"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Gjyqtari merr masa që ushtrimi i veprimtarive jashtë funksionit të shpërndahet në mënyrë të përshtatshme gjatë vitit kalendarik, pa e kryer në mënyrë të pandërprerë dhe pa ndikuar në funksionimin normal të gjykatës.</w:t>
      </w:r>
    </w:p>
    <w:p w14:paraId="593DCE08"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4. Koha e përdorur për ushtrimin e veprimtarive jashtë funksionit nuk përbën leje të paguar ose të papaguar në kuptim të neneve 23 dhe 24 të ligjit nr. 96/2016, “Për statusin e gjyqtarëve dhe prokurorëve në Republikën e Shqipërisë”, të ndryshuar.</w:t>
      </w:r>
    </w:p>
    <w:p w14:paraId="3315E7EB"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p>
    <w:p w14:paraId="43E8B95C" w14:textId="77777777" w:rsidR="005530D3" w:rsidRDefault="005530D3" w:rsidP="000E3599">
      <w:pPr>
        <w:autoSpaceDE w:val="0"/>
        <w:autoSpaceDN w:val="0"/>
        <w:adjustRightInd w:val="0"/>
        <w:spacing w:after="0" w:line="240" w:lineRule="auto"/>
        <w:ind w:firstLine="284"/>
        <w:jc w:val="center"/>
        <w:rPr>
          <w:rFonts w:ascii="Garamond" w:hAnsi="Garamond" w:cs="Garamond"/>
          <w:color w:val="000000"/>
          <w:sz w:val="24"/>
          <w:szCs w:val="24"/>
        </w:rPr>
      </w:pPr>
    </w:p>
    <w:p w14:paraId="13273E4A" w14:textId="77777777" w:rsidR="005530D3" w:rsidRDefault="005530D3" w:rsidP="000E3599">
      <w:pPr>
        <w:autoSpaceDE w:val="0"/>
        <w:autoSpaceDN w:val="0"/>
        <w:adjustRightInd w:val="0"/>
        <w:spacing w:after="0" w:line="240" w:lineRule="auto"/>
        <w:ind w:firstLine="284"/>
        <w:jc w:val="center"/>
        <w:rPr>
          <w:rFonts w:ascii="Garamond" w:hAnsi="Garamond" w:cs="Garamond"/>
          <w:color w:val="000000"/>
          <w:sz w:val="24"/>
          <w:szCs w:val="24"/>
        </w:rPr>
      </w:pPr>
    </w:p>
    <w:p w14:paraId="3EFA6EF9" w14:textId="77777777" w:rsidR="005530D3" w:rsidRDefault="005530D3" w:rsidP="000E3599">
      <w:pPr>
        <w:autoSpaceDE w:val="0"/>
        <w:autoSpaceDN w:val="0"/>
        <w:adjustRightInd w:val="0"/>
        <w:spacing w:after="0" w:line="240" w:lineRule="auto"/>
        <w:ind w:firstLine="284"/>
        <w:jc w:val="center"/>
        <w:rPr>
          <w:rFonts w:ascii="Garamond" w:hAnsi="Garamond" w:cs="Garamond"/>
          <w:color w:val="000000"/>
          <w:sz w:val="24"/>
          <w:szCs w:val="24"/>
        </w:rPr>
      </w:pPr>
    </w:p>
    <w:p w14:paraId="6A6EE222" w14:textId="638D4E1C"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lastRenderedPageBreak/>
        <w:t>KREU II</w:t>
      </w:r>
    </w:p>
    <w:p w14:paraId="3AE6224C"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VEPRIMTARIA E PAGUAR JASHTË FUNKSIONIT</w:t>
      </w:r>
    </w:p>
    <w:p w14:paraId="29BE7F5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p>
    <w:p w14:paraId="0C275218"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6</w:t>
      </w:r>
    </w:p>
    <w:p w14:paraId="5B852C5F"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Paraqitja e kërkesës</w:t>
      </w:r>
    </w:p>
    <w:p w14:paraId="1F04278F" w14:textId="77777777" w:rsidR="000E3599" w:rsidRPr="00DA35F9" w:rsidRDefault="000E3599" w:rsidP="005530D3">
      <w:pPr>
        <w:autoSpaceDE w:val="0"/>
        <w:autoSpaceDN w:val="0"/>
        <w:adjustRightInd w:val="0"/>
        <w:spacing w:after="0" w:line="240" w:lineRule="auto"/>
        <w:ind w:firstLine="284"/>
        <w:jc w:val="both"/>
        <w:rPr>
          <w:rFonts w:ascii="Garamond" w:hAnsi="Garamond" w:cs="Garamond"/>
          <w:b/>
          <w:bCs/>
          <w:color w:val="000000"/>
          <w:sz w:val="24"/>
          <w:szCs w:val="24"/>
        </w:rPr>
      </w:pPr>
    </w:p>
    <w:p w14:paraId="7D6E53C4" w14:textId="77777777" w:rsidR="000E3599" w:rsidRPr="00DA35F9" w:rsidRDefault="000E3599" w:rsidP="005530D3">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Gjyqtari mund të ushtrojë veprimtari të paguar jashtë funksionit vetëm pas miratimit të kërkesës së tij nga Këshilli.</w:t>
      </w:r>
    </w:p>
    <w:p w14:paraId="0C907699" w14:textId="77777777" w:rsidR="000E3599" w:rsidRPr="00DA35F9" w:rsidRDefault="000E3599" w:rsidP="005530D3">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Komisioni është përgjegjës për administrimin e procedurës, shqyrtimin e kërkesës dhe marrjen e vendimit për lejimin ose jo të ushtrimit të veprimtarisë së paguar jashtë funksionit.</w:t>
      </w:r>
    </w:p>
    <w:p w14:paraId="1D2290BE" w14:textId="4CBF12FC" w:rsidR="000E3599" w:rsidRPr="00DA35F9" w:rsidRDefault="000E3599" w:rsidP="005530D3">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3. Gjyqtari paraqet kërkesën për lejimin e ushtrimit të veprimtarisë së paguar jashtë funksionit, sipas modelit bashkëlidhur në </w:t>
      </w:r>
      <w:r w:rsidR="005530D3" w:rsidRPr="00DA35F9">
        <w:rPr>
          <w:rFonts w:ascii="Garamond" w:hAnsi="Garamond" w:cs="Garamond"/>
          <w:color w:val="000000"/>
          <w:sz w:val="24"/>
          <w:szCs w:val="24"/>
        </w:rPr>
        <w:t xml:space="preserve">aneksin </w:t>
      </w:r>
      <w:r w:rsidRPr="00DA35F9">
        <w:rPr>
          <w:rFonts w:ascii="Garamond" w:hAnsi="Garamond" w:cs="Garamond"/>
          <w:color w:val="000000"/>
          <w:sz w:val="24"/>
          <w:szCs w:val="24"/>
        </w:rPr>
        <w:t>nr. 1 të këtij vendimi.</w:t>
      </w:r>
    </w:p>
    <w:p w14:paraId="52179599" w14:textId="77777777" w:rsidR="000E3599" w:rsidRPr="00DA35F9" w:rsidRDefault="000E3599" w:rsidP="005530D3">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4. Kërkesa përmban këto të dhëna: </w:t>
      </w:r>
    </w:p>
    <w:p w14:paraId="6DD300D8" w14:textId="77777777" w:rsidR="000E3599" w:rsidRPr="00DA35F9" w:rsidRDefault="000E3599" w:rsidP="005530D3">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a) të dhënat e gjyqtarit;</w:t>
      </w:r>
    </w:p>
    <w:p w14:paraId="52D45EBF" w14:textId="77777777" w:rsidR="000E3599" w:rsidRPr="00DA35F9" w:rsidRDefault="000E3599" w:rsidP="005530D3">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b) gjykatën ku ushtron funksionin ose institucionin ku është i komanduar;</w:t>
      </w:r>
    </w:p>
    <w:p w14:paraId="38439E07"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c) përshkrim të detajuar të veprimtarisë jashtë funksionit që kërkohet të ushtrohet;</w:t>
      </w:r>
    </w:p>
    <w:p w14:paraId="151247D0"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ç) institucionin ose organizatën pranë së cilës do të zhvillohet veprimtaria.</w:t>
      </w:r>
    </w:p>
    <w:p w14:paraId="7959C52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03EDA47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7</w:t>
      </w:r>
    </w:p>
    <w:p w14:paraId="4ECC2D25"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Dokumentacioni shoqërues</w:t>
      </w:r>
    </w:p>
    <w:p w14:paraId="09ECC73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5BA2B270"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Kërkesës për lejimin e ushtrimit të veprimtarisë së paguar jashtë funksionit i bashkëlidhet dokumentacioni shoqërues që përmban:</w:t>
      </w:r>
    </w:p>
    <w:p w14:paraId="0BA45466"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a) numrin e çështjeve që gjyqtari ka në shqyrtim; </w:t>
      </w:r>
    </w:p>
    <w:p w14:paraId="3A467B23" w14:textId="77777777" w:rsidR="000E3599" w:rsidRPr="00DA35F9" w:rsidRDefault="000E3599" w:rsidP="000E3599">
      <w:pPr>
        <w:tabs>
          <w:tab w:val="left" w:pos="360"/>
        </w:tabs>
        <w:autoSpaceDE w:val="0"/>
        <w:autoSpaceDN w:val="0"/>
        <w:adjustRightInd w:val="0"/>
        <w:spacing w:after="0" w:line="240" w:lineRule="auto"/>
        <w:ind w:firstLine="284"/>
        <w:rPr>
          <w:rFonts w:ascii="Garamond" w:hAnsi="Garamond" w:cs="Garamond"/>
          <w:color w:val="000000"/>
          <w:sz w:val="24"/>
          <w:szCs w:val="24"/>
        </w:rPr>
      </w:pPr>
      <w:r w:rsidRPr="00DA35F9">
        <w:rPr>
          <w:rFonts w:ascii="Garamond" w:hAnsi="Garamond" w:cs="Garamond"/>
          <w:color w:val="000000"/>
          <w:sz w:val="24"/>
          <w:szCs w:val="24"/>
        </w:rPr>
        <w:t>b) numrin e çështjeve të gjykuara në vitin e mëparshëm kalendarik;</w:t>
      </w:r>
    </w:p>
    <w:p w14:paraId="3CEEBC64" w14:textId="77777777" w:rsidR="000E3599" w:rsidRPr="00DA35F9" w:rsidRDefault="000E3599" w:rsidP="000E3599">
      <w:pPr>
        <w:tabs>
          <w:tab w:val="left" w:pos="360"/>
        </w:tabs>
        <w:autoSpaceDE w:val="0"/>
        <w:autoSpaceDN w:val="0"/>
        <w:adjustRightInd w:val="0"/>
        <w:spacing w:after="0" w:line="240" w:lineRule="auto"/>
        <w:ind w:firstLine="284"/>
        <w:rPr>
          <w:rFonts w:ascii="Garamond" w:hAnsi="Garamond" w:cs="Garamond"/>
          <w:color w:val="000000"/>
          <w:sz w:val="24"/>
          <w:szCs w:val="24"/>
        </w:rPr>
      </w:pPr>
      <w:r w:rsidRPr="00DA35F9">
        <w:rPr>
          <w:rFonts w:ascii="Garamond" w:hAnsi="Garamond" w:cs="Garamond"/>
          <w:color w:val="000000"/>
          <w:sz w:val="24"/>
          <w:szCs w:val="24"/>
        </w:rPr>
        <w:t>c) numrin e çështjeve të mbartura në vitin gjatë të cilit paraqitet kërkesa;</w:t>
      </w:r>
    </w:p>
    <w:p w14:paraId="2DBE1787"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ç) numrin e çështjeve të gjykuara tej afatit të arsyeshëm, sipas nenit 399 të Kodit të Procedurës Civile; </w:t>
      </w:r>
    </w:p>
    <w:p w14:paraId="30D97D21" w14:textId="77777777" w:rsidR="00D03306"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d) të dhëna mbi uljen në ngarkesë, nëse gjyqtari ka përfituar, si dhe arsyet e përfitimit; </w:t>
      </w:r>
    </w:p>
    <w:p w14:paraId="70996FA8" w14:textId="377C2663"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dh) mesataren e ngarkesës në gjykatë; </w:t>
      </w:r>
    </w:p>
    <w:p w14:paraId="495D6329"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e) burimin e financimit dhe masën e shpërblimit; </w:t>
      </w:r>
    </w:p>
    <w:p w14:paraId="1EB201B9"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ë) periudhën dhe numrin e orëve të parashikuara për ushtrimin e veprimtarisë jashtë funksionit.</w:t>
      </w:r>
    </w:p>
    <w:p w14:paraId="2DF8EA47" w14:textId="77777777" w:rsidR="000E3599" w:rsidRPr="00DA35F9" w:rsidRDefault="000E3599" w:rsidP="000E3599">
      <w:pPr>
        <w:tabs>
          <w:tab w:val="left" w:pos="360"/>
        </w:tabs>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8</w:t>
      </w:r>
    </w:p>
    <w:p w14:paraId="414077FD" w14:textId="77777777" w:rsidR="000E3599" w:rsidRPr="00DA35F9" w:rsidRDefault="000E3599" w:rsidP="000E3599">
      <w:pPr>
        <w:tabs>
          <w:tab w:val="left" w:pos="360"/>
        </w:tabs>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Shqyrtimi i kërkesës</w:t>
      </w:r>
    </w:p>
    <w:p w14:paraId="614808B7" w14:textId="77777777" w:rsidR="000E3599" w:rsidRPr="00DA35F9" w:rsidRDefault="000E3599" w:rsidP="000E3599">
      <w:pPr>
        <w:tabs>
          <w:tab w:val="left" w:pos="360"/>
        </w:tabs>
        <w:autoSpaceDE w:val="0"/>
        <w:autoSpaceDN w:val="0"/>
        <w:adjustRightInd w:val="0"/>
        <w:spacing w:after="0" w:line="240" w:lineRule="auto"/>
        <w:ind w:firstLine="284"/>
        <w:jc w:val="center"/>
        <w:rPr>
          <w:rFonts w:ascii="Garamond" w:hAnsi="Garamond" w:cs="Garamond"/>
          <w:b/>
          <w:bCs/>
          <w:color w:val="000000"/>
          <w:sz w:val="24"/>
          <w:szCs w:val="24"/>
        </w:rPr>
      </w:pPr>
    </w:p>
    <w:p w14:paraId="23832C3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Pas paraqitjes së kërkesës për lejimin e ushtrimit të veprimtarisë së paguar jashtë funksionit, Komisioni cakton me short një relator për shqyrtimin e saj.</w:t>
      </w:r>
    </w:p>
    <w:p w14:paraId="7A445514"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Kur relatori konstaton se dokumentacioni i paraqitur nuk është i plotë ose nuk mundëson marrjen e një vendimi, ai njofton gjyqtarin për plotësimin e tij. Në këtë rast, afati për shqyrtimin e kërkesës fillon nga momenti i dorëzimit të dokumentacionit të plotësuar.</w:t>
      </w:r>
    </w:p>
    <w:p w14:paraId="2A80E052"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Relatori, kur e çmon të nevojshme, mund të kërkojë informacion shtesë nga institucione të tjera ose nga vetë gjyqtari kërkues.</w:t>
      </w:r>
    </w:p>
    <w:p w14:paraId="2D2A6D9A"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4. Pas shqyrtimit të kërkesës dhe dokumentacionit shoqërues, relatori përgatit projektaktin përkatës dhe ia paraqet Komisionit për vendimmarrje.</w:t>
      </w:r>
    </w:p>
    <w:p w14:paraId="4FBB6F2E"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44B1B09A" w14:textId="77777777" w:rsidR="00D03306" w:rsidRDefault="00D03306" w:rsidP="000E3599">
      <w:pPr>
        <w:tabs>
          <w:tab w:val="left" w:pos="360"/>
        </w:tabs>
        <w:autoSpaceDE w:val="0"/>
        <w:autoSpaceDN w:val="0"/>
        <w:adjustRightInd w:val="0"/>
        <w:spacing w:after="0" w:line="240" w:lineRule="auto"/>
        <w:ind w:firstLine="284"/>
        <w:jc w:val="center"/>
        <w:rPr>
          <w:rFonts w:ascii="Garamond" w:hAnsi="Garamond" w:cs="Garamond"/>
          <w:color w:val="000000"/>
          <w:sz w:val="24"/>
          <w:szCs w:val="24"/>
        </w:rPr>
      </w:pPr>
    </w:p>
    <w:p w14:paraId="389A538F" w14:textId="77777777" w:rsidR="00D03306" w:rsidRDefault="00D03306" w:rsidP="000E3599">
      <w:pPr>
        <w:tabs>
          <w:tab w:val="left" w:pos="360"/>
        </w:tabs>
        <w:autoSpaceDE w:val="0"/>
        <w:autoSpaceDN w:val="0"/>
        <w:adjustRightInd w:val="0"/>
        <w:spacing w:after="0" w:line="240" w:lineRule="auto"/>
        <w:ind w:firstLine="284"/>
        <w:jc w:val="center"/>
        <w:rPr>
          <w:rFonts w:ascii="Garamond" w:hAnsi="Garamond" w:cs="Garamond"/>
          <w:color w:val="000000"/>
          <w:sz w:val="24"/>
          <w:szCs w:val="24"/>
        </w:rPr>
      </w:pPr>
    </w:p>
    <w:p w14:paraId="5798AFB6" w14:textId="77777777" w:rsidR="00D03306" w:rsidRDefault="00D03306" w:rsidP="000E3599">
      <w:pPr>
        <w:tabs>
          <w:tab w:val="left" w:pos="360"/>
        </w:tabs>
        <w:autoSpaceDE w:val="0"/>
        <w:autoSpaceDN w:val="0"/>
        <w:adjustRightInd w:val="0"/>
        <w:spacing w:after="0" w:line="240" w:lineRule="auto"/>
        <w:ind w:firstLine="284"/>
        <w:jc w:val="center"/>
        <w:rPr>
          <w:rFonts w:ascii="Garamond" w:hAnsi="Garamond" w:cs="Garamond"/>
          <w:color w:val="000000"/>
          <w:sz w:val="24"/>
          <w:szCs w:val="24"/>
        </w:rPr>
      </w:pPr>
    </w:p>
    <w:p w14:paraId="64A5276D" w14:textId="13845AB6" w:rsidR="000E3599" w:rsidRPr="00DA35F9" w:rsidRDefault="000E3599" w:rsidP="000E3599">
      <w:pPr>
        <w:tabs>
          <w:tab w:val="left" w:pos="360"/>
        </w:tabs>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lastRenderedPageBreak/>
        <w:t>Neni 9</w:t>
      </w:r>
    </w:p>
    <w:p w14:paraId="2EE67A22"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Vendimmarrja e Komisionit</w:t>
      </w:r>
    </w:p>
    <w:p w14:paraId="5AE835A7"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195F3691"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Komisioni merr vendim brenda afatit trejavor nga paraqitja e kërkesës ose nga momenti i plotësimit të saj me të dhënat dhe dokumentacionin e kërkuar. Vendimi merret me shumicë të votave të anëtarëve të Komisionit.</w:t>
      </w:r>
    </w:p>
    <w:p w14:paraId="74BD058E" w14:textId="1799D0C8"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Vendimi i arsyetuar i Komisionit i komunikohet gjyqtarit kërkues, sipas parashikimeve të nenit 98, pika 1 të ligjit 115/2016</w:t>
      </w:r>
      <w:r w:rsidR="00D03306">
        <w:rPr>
          <w:rFonts w:ascii="Garamond" w:hAnsi="Garamond" w:cs="Garamond"/>
          <w:color w:val="000000"/>
          <w:sz w:val="24"/>
          <w:szCs w:val="24"/>
        </w:rPr>
        <w:t>,</w:t>
      </w:r>
      <w:r w:rsidRPr="00DA35F9">
        <w:rPr>
          <w:rFonts w:ascii="Garamond" w:hAnsi="Garamond" w:cs="Garamond"/>
          <w:color w:val="000000"/>
          <w:sz w:val="24"/>
          <w:szCs w:val="24"/>
        </w:rPr>
        <w:t xml:space="preserve"> “Për organet e qeverisjes së sistemit të drejtësisë”. Një kopje e vendimit të miratimit i dërgohet për dijeni kryetarit të gjykatës ku ushtron funksionin ose drejtuesit të institucionit ku gjyqtari është i komanduar.</w:t>
      </w:r>
    </w:p>
    <w:p w14:paraId="128B113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Nëse Komisioni brenda tre javëve nga paraqitja e kërkesës ose plotësimi i dokumentacionit, nuk merr vendim për miratimin ose refuzimin e kërkesës, kërkesa konsiderohet e miratuar.</w:t>
      </w:r>
    </w:p>
    <w:p w14:paraId="7C207C43"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4. Komisioni mund të shfuqizojë vendimin për miratimin e veprimtarisë jashtë funksionit në qoftë se provohet se gjyqtari është duke ushtruar veprimtarinë në tejkalim të kushteve për të cilat është dhënë miratimi, ose në kundërshtim me kushtet e ushtrimit të veprimtarisë. Për shfuqizimin e vendimit, ndiqet, për aq sa është e mundur, procedura e njëjtë si për shqyrtimin e kërkesës. </w:t>
      </w:r>
    </w:p>
    <w:p w14:paraId="054C1E44" w14:textId="02EB3F35"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5. Kundër vendimit të refuzimit ose të shfuqizimit, gjyqtari ka të drejtën e ankimit në Mbledhjen Plenare sipas nenit 99 të ligjit nr. 115/2016</w:t>
      </w:r>
      <w:r w:rsidR="00D03306">
        <w:rPr>
          <w:rFonts w:ascii="Garamond" w:hAnsi="Garamond" w:cs="Garamond"/>
          <w:color w:val="000000"/>
          <w:sz w:val="24"/>
          <w:szCs w:val="24"/>
        </w:rPr>
        <w:t>,</w:t>
      </w:r>
      <w:r w:rsidRPr="00DA35F9">
        <w:rPr>
          <w:rFonts w:ascii="Garamond" w:hAnsi="Garamond" w:cs="Garamond"/>
          <w:color w:val="000000"/>
          <w:sz w:val="24"/>
          <w:szCs w:val="24"/>
        </w:rPr>
        <w:t xml:space="preserve"> “Për organet e qeverisjes së sistemit të drejtësisë”, të ndryshuar.</w:t>
      </w:r>
    </w:p>
    <w:p w14:paraId="5431B6FF"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10</w:t>
      </w:r>
    </w:p>
    <w:p w14:paraId="1246397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Regjistrimi i veprimtarive jashtë funksionit</w:t>
      </w:r>
    </w:p>
    <w:p w14:paraId="2B185CFC"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60B3EA97"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Vendimi i Komisionit ose Këshillit për lejimin e ushtrimit të veprimtarisë jashtë funksionit, përfshihet në dosjen personale të gjyqtarit.</w:t>
      </w:r>
    </w:p>
    <w:p w14:paraId="713B81C9"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2. Pranë Këshillit krijohet një regjistër elektronik i veçantë që përmban të dhëna mbi ushtrimin e veprimtarisë jashtë funksionit. </w:t>
      </w:r>
    </w:p>
    <w:p w14:paraId="12EF018B"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761AFF58"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KREU III</w:t>
      </w:r>
    </w:p>
    <w:p w14:paraId="04C2C89C"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VEPRIMTARIA E PAPAGUAR JASHTË FUNKSIONIT</w:t>
      </w:r>
    </w:p>
    <w:p w14:paraId="3F96C30B"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15C54395"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11</w:t>
      </w:r>
    </w:p>
    <w:p w14:paraId="4BBE62A6"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Ushtrimi i veprimtarisë të papaguar jashtë funksionit</w:t>
      </w:r>
    </w:p>
    <w:p w14:paraId="61DB6AFF"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39A499AB" w14:textId="15E490B9"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Gjyqtari mund të ushtrojë veprimtari të papaguara jashtë funksionit pa miratimin paraprak të Këshillit</w:t>
      </w:r>
      <w:r w:rsidR="00D03306">
        <w:rPr>
          <w:rFonts w:ascii="Garamond" w:hAnsi="Garamond" w:cs="Garamond"/>
          <w:color w:val="000000"/>
          <w:sz w:val="24"/>
          <w:szCs w:val="24"/>
        </w:rPr>
        <w:t>,</w:t>
      </w:r>
      <w:r w:rsidRPr="00DA35F9">
        <w:rPr>
          <w:rFonts w:ascii="Garamond" w:hAnsi="Garamond" w:cs="Garamond"/>
          <w:color w:val="000000"/>
          <w:sz w:val="24"/>
          <w:szCs w:val="24"/>
        </w:rPr>
        <w:t xml:space="preserve"> vetëm kur: </w:t>
      </w:r>
    </w:p>
    <w:p w14:paraId="7AA81793"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a) vepron si përfaqësues i gjykatës ose gjyqësorit; </w:t>
      </w:r>
    </w:p>
    <w:p w14:paraId="1D9D562B"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b) merr pjesë në aktivitete që lidhen me sistemin gjyqësor ose administrimin e drejtësisë;</w:t>
      </w:r>
    </w:p>
    <w:p w14:paraId="37FF7B86"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c) merr pjesë në diskutime për çështje ligjore.</w:t>
      </w:r>
    </w:p>
    <w:p w14:paraId="5F329D98"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Para ushtrimit të veprimtarive të papaguara jashtë funksionit, gjyqtari mund të kërkojë mendimin e Këshilltarit të Etikës lidhur me përputhshmërinë e veprimtarisë me standardet e etikës dhe rregullat e sjelljes. Këshilltari i Etikës i kthen përgjigje brenda një afati treditor.</w:t>
      </w:r>
    </w:p>
    <w:p w14:paraId="33D4A8DC" w14:textId="77777777" w:rsidR="000E3599" w:rsidRPr="00DA35F9" w:rsidRDefault="000E3599" w:rsidP="000E3599">
      <w:pPr>
        <w:tabs>
          <w:tab w:val="left" w:pos="360"/>
        </w:tabs>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Gjyqtari, brenda gjashtëmujorit të parë të vitit pasardhës, duhet të dërgojë pranë Këshillit një raport me shkrim mbi veprimtaritë e papaguara të ushtruara gjatë vitit paraardhës. Raporti përmban llojin dhe natyrën e veprimtarisë së ushtruar pa pagesë, si dhe kohëzgjatjen e saj brenda orarit zyrtar.</w:t>
      </w:r>
    </w:p>
    <w:p w14:paraId="2A2F9FF6" w14:textId="77777777" w:rsidR="00072938" w:rsidRDefault="00072938" w:rsidP="000E3599">
      <w:pPr>
        <w:autoSpaceDE w:val="0"/>
        <w:autoSpaceDN w:val="0"/>
        <w:adjustRightInd w:val="0"/>
        <w:spacing w:after="0" w:line="240" w:lineRule="auto"/>
        <w:ind w:firstLine="284"/>
        <w:jc w:val="center"/>
        <w:rPr>
          <w:rFonts w:ascii="Garamond" w:hAnsi="Garamond" w:cs="Garamond"/>
          <w:color w:val="000000"/>
          <w:sz w:val="24"/>
          <w:szCs w:val="24"/>
        </w:rPr>
      </w:pPr>
    </w:p>
    <w:p w14:paraId="45CA584A" w14:textId="77777777" w:rsidR="00072938" w:rsidRDefault="00072938" w:rsidP="000E3599">
      <w:pPr>
        <w:autoSpaceDE w:val="0"/>
        <w:autoSpaceDN w:val="0"/>
        <w:adjustRightInd w:val="0"/>
        <w:spacing w:after="0" w:line="240" w:lineRule="auto"/>
        <w:ind w:firstLine="284"/>
        <w:jc w:val="center"/>
        <w:rPr>
          <w:rFonts w:ascii="Garamond" w:hAnsi="Garamond" w:cs="Garamond"/>
          <w:color w:val="000000"/>
          <w:sz w:val="24"/>
          <w:szCs w:val="24"/>
        </w:rPr>
      </w:pPr>
    </w:p>
    <w:p w14:paraId="560FEF00" w14:textId="77777777" w:rsidR="00072938" w:rsidRDefault="00072938" w:rsidP="000E3599">
      <w:pPr>
        <w:autoSpaceDE w:val="0"/>
        <w:autoSpaceDN w:val="0"/>
        <w:adjustRightInd w:val="0"/>
        <w:spacing w:after="0" w:line="240" w:lineRule="auto"/>
        <w:ind w:firstLine="284"/>
        <w:jc w:val="center"/>
        <w:rPr>
          <w:rFonts w:ascii="Garamond" w:hAnsi="Garamond" w:cs="Garamond"/>
          <w:color w:val="000000"/>
          <w:sz w:val="24"/>
          <w:szCs w:val="24"/>
        </w:rPr>
      </w:pPr>
    </w:p>
    <w:p w14:paraId="005ED532" w14:textId="7EA9E054"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lastRenderedPageBreak/>
        <w:t>KREU IV</w:t>
      </w:r>
    </w:p>
    <w:p w14:paraId="51258766"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MONITORIMI DHE RAPORTIMI</w:t>
      </w:r>
    </w:p>
    <w:p w14:paraId="27C842A7"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48B1C66D"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12</w:t>
      </w:r>
    </w:p>
    <w:p w14:paraId="6716218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Monitorimi dhe përgjegjësitë disiplinore</w:t>
      </w:r>
    </w:p>
    <w:p w14:paraId="57123C3F"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719E19CC"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1. Komisioni monitoron ushtrimin e veprimtarisë jashtë funksionit të gjyqtarit. </w:t>
      </w:r>
    </w:p>
    <w:p w14:paraId="595089F0" w14:textId="14E9D85C"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 xml:space="preserve">2. Ushtrimi i veprimtarisë jashtë funksionit me pagesë, pa miratim të Këshillit, përbën shkak për procedim disiplinor sipas nenit 103, shkronja </w:t>
      </w:r>
      <w:r w:rsidR="00072938">
        <w:rPr>
          <w:rFonts w:ascii="Garamond" w:hAnsi="Garamond" w:cs="Garamond"/>
          <w:color w:val="000000"/>
          <w:sz w:val="24"/>
          <w:szCs w:val="24"/>
        </w:rPr>
        <w:t>“</w:t>
      </w:r>
      <w:r w:rsidRPr="00DA35F9">
        <w:rPr>
          <w:rFonts w:ascii="Garamond" w:hAnsi="Garamond" w:cs="Garamond"/>
          <w:color w:val="000000"/>
          <w:sz w:val="24"/>
          <w:szCs w:val="24"/>
        </w:rPr>
        <w:t>c</w:t>
      </w:r>
      <w:r w:rsidR="00072938">
        <w:rPr>
          <w:rFonts w:ascii="Garamond" w:hAnsi="Garamond" w:cs="Garamond"/>
          <w:color w:val="000000"/>
          <w:sz w:val="24"/>
          <w:szCs w:val="24"/>
        </w:rPr>
        <w:t>”</w:t>
      </w:r>
      <w:r w:rsidR="00072938">
        <w:rPr>
          <w:rFonts w:ascii="Garamond" w:hAnsi="Garamond" w:cs="Garamond"/>
          <w:color w:val="000000"/>
          <w:sz w:val="24"/>
          <w:szCs w:val="24"/>
        </w:rPr>
        <w:t>,</w:t>
      </w:r>
      <w:r w:rsidRPr="00DA35F9">
        <w:rPr>
          <w:rFonts w:ascii="Garamond" w:hAnsi="Garamond" w:cs="Garamond"/>
          <w:color w:val="000000"/>
          <w:sz w:val="24"/>
          <w:szCs w:val="24"/>
        </w:rPr>
        <w:t xml:space="preserve"> të ligjit 96/2016</w:t>
      </w:r>
      <w:r w:rsidR="00072938">
        <w:rPr>
          <w:rFonts w:ascii="Garamond" w:hAnsi="Garamond" w:cs="Garamond"/>
          <w:color w:val="000000"/>
          <w:sz w:val="24"/>
          <w:szCs w:val="24"/>
        </w:rPr>
        <w:t>,</w:t>
      </w:r>
      <w:r w:rsidRPr="00DA35F9">
        <w:rPr>
          <w:rFonts w:ascii="Garamond" w:hAnsi="Garamond" w:cs="Garamond"/>
          <w:color w:val="000000"/>
          <w:sz w:val="24"/>
          <w:szCs w:val="24"/>
        </w:rPr>
        <w:t xml:space="preserve"> “Për statusin e gjyqtarëve dhe prokurorëve në Republikën e Shqipërisë”, </w:t>
      </w:r>
      <w:r w:rsidR="00072938">
        <w:rPr>
          <w:rFonts w:ascii="Garamond" w:hAnsi="Garamond" w:cs="Garamond"/>
          <w:color w:val="000000"/>
          <w:sz w:val="24"/>
          <w:szCs w:val="24"/>
        </w:rPr>
        <w:t>të</w:t>
      </w:r>
      <w:r w:rsidRPr="00DA35F9">
        <w:rPr>
          <w:rFonts w:ascii="Garamond" w:hAnsi="Garamond" w:cs="Garamond"/>
          <w:color w:val="000000"/>
          <w:sz w:val="24"/>
          <w:szCs w:val="24"/>
        </w:rPr>
        <w:t xml:space="preserve"> ndryshuar.</w:t>
      </w:r>
    </w:p>
    <w:p w14:paraId="01C8AC82"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3. Në raportimin vjetor që Komisioni përgatit për Mbledhjen Plenare, përfshihen edhe gjetjet dhe rekomandimet për veprimtaritë jashtë funksionit të gjyqtarëve.</w:t>
      </w:r>
    </w:p>
    <w:p w14:paraId="0A8EB56C"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1FD29A9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13</w:t>
      </w:r>
    </w:p>
    <w:p w14:paraId="6D80B58F"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Raportimi dhe publikimi i veprimtarive jashtë funksionit</w:t>
      </w:r>
    </w:p>
    <w:p w14:paraId="7DC21A6E"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1A7CF0B7"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Këshilli, brenda muajit janar të çdo viti, publikon në faqen zyrtare listën e gjyqtarëve të miratuar për veprimtari të paguara jashtë funksionit për vitin paraardhës. Lista përmban emrin e gjyqtarit, vendin ku ushtron funksionin dhe institucionin ose organizatën ku është ushtruar veprimtaria.</w:t>
      </w:r>
    </w:p>
    <w:p w14:paraId="462B4E9C"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2. Këshilli brenda muajit janar të çdo viti i përcjell Inspektoratit të Lartë të Deklarimit dhe Kontrollit të Pasurive dhe të Konfliktit të Interesave, si dhe organeve tatimore, një raport me shkrim mbi veprimtaritë e paguara jashtë funksionit të ushtruara nga gjyqtarët gjatë vitit paraardhës. Raporti përfshin pagesën ose shpërblimin e përfituar dhe vlerën normale të tregut për veprimtari të njëjtë.</w:t>
      </w:r>
    </w:p>
    <w:p w14:paraId="75B8B632" w14:textId="77777777" w:rsidR="00862B25" w:rsidRDefault="00862B25" w:rsidP="000E3599">
      <w:pPr>
        <w:autoSpaceDE w:val="0"/>
        <w:autoSpaceDN w:val="0"/>
        <w:adjustRightInd w:val="0"/>
        <w:spacing w:after="0" w:line="240" w:lineRule="auto"/>
        <w:ind w:firstLine="284"/>
        <w:jc w:val="center"/>
        <w:rPr>
          <w:rFonts w:ascii="Garamond" w:hAnsi="Garamond" w:cs="Garamond"/>
          <w:color w:val="000000"/>
          <w:sz w:val="24"/>
          <w:szCs w:val="24"/>
        </w:rPr>
      </w:pPr>
    </w:p>
    <w:p w14:paraId="06737E02" w14:textId="5FDE7EF0"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KREU V</w:t>
      </w:r>
    </w:p>
    <w:p w14:paraId="17B5C335"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 xml:space="preserve">DISPOZITA TË FUNDIT </w:t>
      </w:r>
    </w:p>
    <w:p w14:paraId="330E8FBD"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50AD0413"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14</w:t>
      </w:r>
    </w:p>
    <w:p w14:paraId="18823282"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Dispozitë kalimtare</w:t>
      </w:r>
    </w:p>
    <w:p w14:paraId="55D86464"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69902EE3" w14:textId="4A32836A"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r w:rsidRPr="00DA35F9">
        <w:rPr>
          <w:rFonts w:ascii="Garamond" w:hAnsi="Garamond" w:cs="Garamond"/>
          <w:color w:val="000000"/>
          <w:sz w:val="24"/>
          <w:szCs w:val="24"/>
        </w:rPr>
        <w:t>1. Vendimet për ushtrimin e veprimtarive të paguara jashtë funksionit, të miratuara në heshtje</w:t>
      </w:r>
      <w:r w:rsidR="00862B25">
        <w:rPr>
          <w:rFonts w:ascii="Garamond" w:hAnsi="Garamond" w:cs="Garamond"/>
          <w:color w:val="000000"/>
          <w:sz w:val="24"/>
          <w:szCs w:val="24"/>
        </w:rPr>
        <w:t>,</w:t>
      </w:r>
      <w:r w:rsidRPr="00DA35F9">
        <w:rPr>
          <w:rFonts w:ascii="Garamond" w:hAnsi="Garamond" w:cs="Garamond"/>
          <w:color w:val="000000"/>
          <w:sz w:val="24"/>
          <w:szCs w:val="24"/>
        </w:rPr>
        <w:t xml:space="preserve"> për shkak të kalimit të afatit trejavor para miratimit të këtij vendimi, mbeten në fuqi deri në përfundim të afatit ose të veprimtarisë për të cilën janë miratuar.</w:t>
      </w:r>
    </w:p>
    <w:p w14:paraId="5B639D25"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179076C0"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r w:rsidRPr="00DA35F9">
        <w:rPr>
          <w:rFonts w:ascii="Garamond" w:hAnsi="Garamond" w:cs="Garamond"/>
          <w:color w:val="000000"/>
          <w:sz w:val="24"/>
          <w:szCs w:val="24"/>
        </w:rPr>
        <w:t>Neni 15</w:t>
      </w:r>
    </w:p>
    <w:p w14:paraId="1C286337"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r w:rsidRPr="00DA35F9">
        <w:rPr>
          <w:rFonts w:ascii="Garamond" w:hAnsi="Garamond" w:cs="Garamond"/>
          <w:b/>
          <w:bCs/>
          <w:color w:val="000000"/>
          <w:sz w:val="24"/>
          <w:szCs w:val="24"/>
        </w:rPr>
        <w:t>Hyrja në fuqi</w:t>
      </w:r>
    </w:p>
    <w:p w14:paraId="5473090D"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b/>
          <w:bCs/>
          <w:color w:val="000000"/>
          <w:sz w:val="24"/>
          <w:szCs w:val="24"/>
        </w:rPr>
      </w:pPr>
    </w:p>
    <w:p w14:paraId="5C2F09EB"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sz w:val="24"/>
          <w:szCs w:val="24"/>
        </w:rPr>
      </w:pPr>
      <w:r w:rsidRPr="00DA35F9">
        <w:rPr>
          <w:rFonts w:ascii="Garamond" w:hAnsi="Garamond" w:cs="Garamond"/>
          <w:color w:val="000000"/>
          <w:sz w:val="24"/>
          <w:szCs w:val="24"/>
        </w:rPr>
        <w:t xml:space="preserve">1. </w:t>
      </w:r>
      <w:r w:rsidRPr="00DA35F9">
        <w:rPr>
          <w:rFonts w:ascii="Garamond" w:hAnsi="Garamond" w:cs="Garamond"/>
          <w:sz w:val="24"/>
          <w:szCs w:val="24"/>
        </w:rPr>
        <w:t>Ky vendim hyn në fuqi në datën e botimit në Fletoren Zyrtare.</w:t>
      </w:r>
    </w:p>
    <w:p w14:paraId="139C602E" w14:textId="77777777" w:rsidR="000E3599" w:rsidRPr="00DA35F9" w:rsidRDefault="000E3599" w:rsidP="000E3599">
      <w:pPr>
        <w:autoSpaceDE w:val="0"/>
        <w:autoSpaceDN w:val="0"/>
        <w:adjustRightInd w:val="0"/>
        <w:spacing w:after="0" w:line="240" w:lineRule="auto"/>
        <w:ind w:firstLine="284"/>
        <w:jc w:val="both"/>
        <w:rPr>
          <w:rFonts w:ascii="Garamond" w:hAnsi="Garamond" w:cs="Garamond"/>
          <w:color w:val="000000"/>
          <w:sz w:val="24"/>
          <w:szCs w:val="24"/>
        </w:rPr>
      </w:pPr>
    </w:p>
    <w:p w14:paraId="71227616" w14:textId="77777777" w:rsidR="000E3599" w:rsidRPr="00862B25" w:rsidRDefault="000E3599" w:rsidP="000E3599">
      <w:pPr>
        <w:autoSpaceDE w:val="0"/>
        <w:autoSpaceDN w:val="0"/>
        <w:adjustRightInd w:val="0"/>
        <w:spacing w:after="0" w:line="240" w:lineRule="auto"/>
        <w:ind w:firstLine="284"/>
        <w:jc w:val="right"/>
        <w:rPr>
          <w:rFonts w:ascii="Garamond" w:hAnsi="Garamond" w:cs="Garamond"/>
          <w:color w:val="000000"/>
          <w:sz w:val="24"/>
          <w:szCs w:val="24"/>
        </w:rPr>
      </w:pPr>
      <w:r w:rsidRPr="00862B25">
        <w:rPr>
          <w:rFonts w:ascii="Garamond" w:hAnsi="Garamond" w:cs="Garamond"/>
          <w:color w:val="000000"/>
          <w:sz w:val="24"/>
          <w:szCs w:val="24"/>
        </w:rPr>
        <w:t>PËR KËSHILLIN E LARTË GJYQËSOR</w:t>
      </w:r>
    </w:p>
    <w:p w14:paraId="28BCC5C6" w14:textId="77777777" w:rsidR="000E3599" w:rsidRPr="00862B25" w:rsidRDefault="000E3599" w:rsidP="000E3599">
      <w:pPr>
        <w:autoSpaceDE w:val="0"/>
        <w:autoSpaceDN w:val="0"/>
        <w:adjustRightInd w:val="0"/>
        <w:spacing w:after="0" w:line="240" w:lineRule="auto"/>
        <w:ind w:firstLine="284"/>
        <w:jc w:val="right"/>
        <w:rPr>
          <w:rFonts w:ascii="Garamond" w:hAnsi="Garamond" w:cs="Garamond"/>
          <w:color w:val="000000"/>
          <w:sz w:val="24"/>
          <w:szCs w:val="24"/>
        </w:rPr>
      </w:pPr>
      <w:r w:rsidRPr="00862B25">
        <w:rPr>
          <w:rFonts w:ascii="Garamond" w:hAnsi="Garamond" w:cs="Garamond"/>
          <w:color w:val="000000"/>
          <w:sz w:val="24"/>
          <w:szCs w:val="24"/>
        </w:rPr>
        <w:t>KRYETARI</w:t>
      </w:r>
    </w:p>
    <w:p w14:paraId="6CFC0E99" w14:textId="25753FCF" w:rsidR="000E3599" w:rsidRPr="00DA35F9" w:rsidRDefault="00862B25" w:rsidP="000E3599">
      <w:pPr>
        <w:autoSpaceDE w:val="0"/>
        <w:autoSpaceDN w:val="0"/>
        <w:adjustRightInd w:val="0"/>
        <w:spacing w:after="0" w:line="240" w:lineRule="auto"/>
        <w:ind w:firstLine="284"/>
        <w:jc w:val="right"/>
        <w:rPr>
          <w:rFonts w:ascii="Garamond" w:hAnsi="Garamond" w:cs="Garamond"/>
          <w:b/>
          <w:bCs/>
          <w:color w:val="000000"/>
          <w:sz w:val="24"/>
          <w:szCs w:val="24"/>
        </w:rPr>
      </w:pPr>
      <w:r w:rsidRPr="00DA35F9">
        <w:rPr>
          <w:rFonts w:ascii="Garamond" w:hAnsi="Garamond" w:cs="Garamond"/>
          <w:b/>
          <w:bCs/>
          <w:color w:val="000000"/>
          <w:sz w:val="24"/>
          <w:szCs w:val="24"/>
        </w:rPr>
        <w:t>Ilir Rusi</w:t>
      </w:r>
    </w:p>
    <w:p w14:paraId="1CC90356" w14:textId="77777777" w:rsidR="000E3599" w:rsidRPr="00DA35F9" w:rsidRDefault="000E3599" w:rsidP="000E3599">
      <w:pPr>
        <w:autoSpaceDE w:val="0"/>
        <w:autoSpaceDN w:val="0"/>
        <w:adjustRightInd w:val="0"/>
        <w:spacing w:after="0" w:line="240" w:lineRule="auto"/>
        <w:ind w:firstLine="284"/>
        <w:jc w:val="center"/>
        <w:rPr>
          <w:rFonts w:ascii="Garamond" w:hAnsi="Garamond" w:cs="Garamond"/>
          <w:color w:val="000000"/>
          <w:sz w:val="24"/>
          <w:szCs w:val="24"/>
        </w:rPr>
      </w:pPr>
    </w:p>
    <w:p w14:paraId="6691C88A" w14:textId="77777777" w:rsidR="000E3599" w:rsidRPr="00DA35F9" w:rsidRDefault="000E3599" w:rsidP="000E3599">
      <w:pPr>
        <w:spacing w:after="0" w:line="240" w:lineRule="auto"/>
        <w:ind w:firstLine="284"/>
        <w:jc w:val="both"/>
        <w:rPr>
          <w:rFonts w:ascii="Garamond" w:hAnsi="Garamond"/>
          <w:sz w:val="24"/>
          <w:szCs w:val="24"/>
        </w:rPr>
      </w:pPr>
    </w:p>
    <w:p w14:paraId="73375301" w14:textId="77777777" w:rsidR="00862B25" w:rsidRDefault="00862B25" w:rsidP="000E3599">
      <w:pPr>
        <w:spacing w:after="0" w:line="240" w:lineRule="auto"/>
        <w:ind w:firstLine="284"/>
        <w:jc w:val="both"/>
        <w:rPr>
          <w:rFonts w:ascii="Garamond" w:hAnsi="Garamond" w:cs="Times New Roman"/>
          <w:b/>
          <w:sz w:val="24"/>
          <w:szCs w:val="24"/>
        </w:rPr>
      </w:pPr>
    </w:p>
    <w:p w14:paraId="1E13A7B3" w14:textId="77777777" w:rsidR="00862B25" w:rsidRDefault="00862B25" w:rsidP="000E3599">
      <w:pPr>
        <w:spacing w:after="0" w:line="240" w:lineRule="auto"/>
        <w:ind w:firstLine="284"/>
        <w:jc w:val="both"/>
        <w:rPr>
          <w:rFonts w:ascii="Garamond" w:hAnsi="Garamond" w:cs="Times New Roman"/>
          <w:b/>
          <w:sz w:val="24"/>
          <w:szCs w:val="24"/>
        </w:rPr>
      </w:pPr>
    </w:p>
    <w:p w14:paraId="101E87C5" w14:textId="77777777" w:rsidR="00862B25" w:rsidRDefault="00862B25" w:rsidP="000E3599">
      <w:pPr>
        <w:spacing w:after="0" w:line="240" w:lineRule="auto"/>
        <w:ind w:firstLine="284"/>
        <w:jc w:val="both"/>
        <w:rPr>
          <w:rFonts w:ascii="Garamond" w:hAnsi="Garamond" w:cs="Times New Roman"/>
          <w:b/>
          <w:sz w:val="24"/>
          <w:szCs w:val="24"/>
        </w:rPr>
      </w:pPr>
    </w:p>
    <w:p w14:paraId="01C74F39" w14:textId="7E4B4C48" w:rsidR="000E3599" w:rsidRPr="00862B25" w:rsidRDefault="000E3599" w:rsidP="00862B25">
      <w:pPr>
        <w:spacing w:after="0" w:line="240" w:lineRule="auto"/>
        <w:jc w:val="center"/>
        <w:rPr>
          <w:rFonts w:ascii="Garamond" w:hAnsi="Garamond" w:cs="Times New Roman"/>
          <w:bCs/>
          <w:sz w:val="24"/>
          <w:szCs w:val="24"/>
        </w:rPr>
      </w:pPr>
      <w:r w:rsidRPr="00862B25">
        <w:rPr>
          <w:rFonts w:ascii="Garamond" w:hAnsi="Garamond" w:cs="Times New Roman"/>
          <w:bCs/>
          <w:sz w:val="24"/>
          <w:szCs w:val="24"/>
        </w:rPr>
        <w:lastRenderedPageBreak/>
        <w:t>ANEKSI 1</w:t>
      </w:r>
    </w:p>
    <w:p w14:paraId="6D9F987B" w14:textId="77777777" w:rsidR="00862B25" w:rsidRDefault="00862B25" w:rsidP="00862B25">
      <w:pPr>
        <w:spacing w:after="0" w:line="240" w:lineRule="auto"/>
        <w:jc w:val="center"/>
        <w:rPr>
          <w:rFonts w:ascii="Garamond" w:eastAsia="Times New Roman" w:hAnsi="Garamond" w:cs="Times New Roman"/>
          <w:bCs/>
          <w:sz w:val="24"/>
          <w:szCs w:val="24"/>
          <w:lang w:eastAsia="sq-AL"/>
        </w:rPr>
      </w:pPr>
    </w:p>
    <w:p w14:paraId="5636DF33" w14:textId="1EA99E1F" w:rsidR="000E3599" w:rsidRPr="00862B25" w:rsidRDefault="000E3599" w:rsidP="00862B25">
      <w:pPr>
        <w:spacing w:after="0" w:line="240" w:lineRule="auto"/>
        <w:jc w:val="center"/>
        <w:rPr>
          <w:rFonts w:ascii="Garamond" w:eastAsia="Times New Roman" w:hAnsi="Garamond" w:cs="Times New Roman"/>
          <w:bCs/>
          <w:sz w:val="24"/>
          <w:szCs w:val="24"/>
          <w:lang w:eastAsia="sq-AL"/>
        </w:rPr>
      </w:pPr>
      <w:r w:rsidRPr="00862B25">
        <w:rPr>
          <w:rFonts w:ascii="Garamond" w:eastAsia="Times New Roman" w:hAnsi="Garamond" w:cs="Times New Roman"/>
          <w:bCs/>
          <w:sz w:val="24"/>
          <w:szCs w:val="24"/>
          <w:lang w:eastAsia="sq-AL"/>
        </w:rPr>
        <w:t>KËRKESË</w:t>
      </w:r>
    </w:p>
    <w:p w14:paraId="121D88CA" w14:textId="77777777" w:rsidR="000E3599" w:rsidRPr="00862B25" w:rsidRDefault="000E3599" w:rsidP="00862B25">
      <w:pPr>
        <w:spacing w:after="0" w:line="240" w:lineRule="auto"/>
        <w:jc w:val="center"/>
        <w:rPr>
          <w:rFonts w:ascii="Garamond" w:eastAsia="Times New Roman" w:hAnsi="Garamond" w:cs="Times New Roman"/>
          <w:bCs/>
          <w:sz w:val="24"/>
          <w:szCs w:val="24"/>
          <w:lang w:eastAsia="sq-AL"/>
        </w:rPr>
      </w:pPr>
      <w:r w:rsidRPr="00862B25">
        <w:rPr>
          <w:rFonts w:ascii="Garamond" w:eastAsia="Times New Roman" w:hAnsi="Garamond" w:cs="Times New Roman"/>
          <w:bCs/>
          <w:sz w:val="24"/>
          <w:szCs w:val="24"/>
          <w:lang w:eastAsia="sq-AL"/>
        </w:rPr>
        <w:t>PËR LEJIMIN E USHTRIMIT TË VEPRIMTARISË SË PAGUAR JASHTË FUNKSIONIT</w:t>
      </w:r>
    </w:p>
    <w:p w14:paraId="12156F06" w14:textId="77777777" w:rsidR="000E3599" w:rsidRPr="00862B25" w:rsidRDefault="000E3599" w:rsidP="00862B25">
      <w:pPr>
        <w:spacing w:after="0" w:line="240" w:lineRule="auto"/>
        <w:ind w:firstLine="284"/>
        <w:jc w:val="center"/>
        <w:rPr>
          <w:rFonts w:ascii="Garamond" w:eastAsia="Times New Roman" w:hAnsi="Garamond" w:cs="Times New Roman"/>
          <w:bCs/>
          <w:sz w:val="24"/>
          <w:szCs w:val="24"/>
          <w:lang w:eastAsia="sq-AL"/>
        </w:rPr>
      </w:pPr>
    </w:p>
    <w:p w14:paraId="5B50F126" w14:textId="6C23D36A" w:rsidR="000E3599" w:rsidRPr="00DA35F9" w:rsidRDefault="000E3599" w:rsidP="000E3599">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 xml:space="preserve">Drejtuar: </w:t>
      </w:r>
      <w:r w:rsidR="00862B25">
        <w:rPr>
          <w:rFonts w:ascii="Garamond" w:eastAsia="Times New Roman" w:hAnsi="Garamond" w:cs="Times New Roman"/>
          <w:b/>
          <w:bCs/>
          <w:sz w:val="24"/>
          <w:szCs w:val="24"/>
          <w:lang w:eastAsia="sq-AL"/>
        </w:rPr>
        <w:tab/>
      </w:r>
      <w:r w:rsidRPr="00DA35F9">
        <w:rPr>
          <w:rFonts w:ascii="Garamond" w:eastAsia="Times New Roman" w:hAnsi="Garamond" w:cs="Times New Roman"/>
          <w:sz w:val="24"/>
          <w:szCs w:val="24"/>
          <w:lang w:eastAsia="sq-AL"/>
        </w:rPr>
        <w:t>Komisionit të Vlerësimit të Etikës dhe Veprimtarisë Profesionale</w:t>
      </w:r>
    </w:p>
    <w:p w14:paraId="4B4032F1" w14:textId="77777777" w:rsidR="000E3599" w:rsidRPr="00DA35F9" w:rsidRDefault="000E3599" w:rsidP="00862B25">
      <w:pPr>
        <w:spacing w:after="0" w:line="240" w:lineRule="auto"/>
        <w:ind w:left="720" w:firstLine="720"/>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pranë Këshillit të Lartë Gjyqësor</w:t>
      </w:r>
    </w:p>
    <w:p w14:paraId="78EF3637" w14:textId="05A4023F" w:rsidR="000E3599" w:rsidRPr="00DA35F9" w:rsidRDefault="000E3599" w:rsidP="00862B25">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_______________________________________________________________________</w:t>
      </w:r>
    </w:p>
    <w:p w14:paraId="0BFFE70D" w14:textId="77777777" w:rsidR="000E3599" w:rsidRPr="00DA35F9" w:rsidRDefault="000E3599" w:rsidP="000E3599">
      <w:pPr>
        <w:spacing w:after="0" w:line="240" w:lineRule="auto"/>
        <w:ind w:firstLine="284"/>
        <w:rPr>
          <w:rFonts w:ascii="Garamond" w:eastAsia="Times New Roman" w:hAnsi="Garamond" w:cs="Times New Roman"/>
          <w:b/>
          <w:bCs/>
          <w:sz w:val="24"/>
          <w:szCs w:val="24"/>
          <w:lang w:eastAsia="sq-AL"/>
        </w:rPr>
      </w:pPr>
    </w:p>
    <w:p w14:paraId="734F95FE" w14:textId="77777777" w:rsidR="000E3599" w:rsidRPr="00DA35F9" w:rsidRDefault="000E3599" w:rsidP="000E3599">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Të dhënat e gjyqtarit:</w:t>
      </w:r>
    </w:p>
    <w:p w14:paraId="4F3A1AEC" w14:textId="7BD788F9"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Emri dhe mbiemri: ________________________________</w:t>
      </w:r>
    </w:p>
    <w:p w14:paraId="0327AE13"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Atësia: _________________________________________</w:t>
      </w:r>
    </w:p>
    <w:p w14:paraId="244DB651" w14:textId="6459FE0C"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Datëlindja: _______________________________________</w:t>
      </w:r>
    </w:p>
    <w:p w14:paraId="545809BC" w14:textId="1D6BFB2B"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Adresa e kontaktit: _________________________________</w:t>
      </w:r>
    </w:p>
    <w:p w14:paraId="507A46A4"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E-mail: _________________________________________</w:t>
      </w:r>
    </w:p>
    <w:p w14:paraId="7DF4D725"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telefonit: _________________________________________</w:t>
      </w:r>
    </w:p>
    <w:p w14:paraId="34EE90EA" w14:textId="77777777" w:rsidR="000E3599" w:rsidRPr="00DA35F9" w:rsidRDefault="000E3599" w:rsidP="000E3599">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Të dhënat profesionale:</w:t>
      </w:r>
    </w:p>
    <w:p w14:paraId="4F6A5364" w14:textId="548E9343" w:rsidR="00862B25" w:rsidRDefault="000E3599" w:rsidP="00862B25">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Gjykata ku ushtron funksionin/institucioni ku është i komanduar: ____________________________________</w:t>
      </w:r>
      <w:r w:rsidR="00862B25">
        <w:rPr>
          <w:rFonts w:ascii="Garamond" w:eastAsia="Times New Roman" w:hAnsi="Garamond" w:cs="Times New Roman"/>
          <w:sz w:val="24"/>
          <w:szCs w:val="24"/>
          <w:lang w:eastAsia="sq-AL"/>
        </w:rPr>
        <w:t>______________________________</w:t>
      </w:r>
      <w:r w:rsidRPr="00DA35F9">
        <w:rPr>
          <w:rFonts w:ascii="Garamond" w:eastAsia="Times New Roman" w:hAnsi="Garamond" w:cs="Times New Roman"/>
          <w:sz w:val="24"/>
          <w:szCs w:val="24"/>
          <w:lang w:eastAsia="sq-AL"/>
        </w:rPr>
        <w:t>_____</w:t>
      </w:r>
    </w:p>
    <w:p w14:paraId="38972101" w14:textId="5AF8A056" w:rsidR="000E3599" w:rsidRPr="00DA35F9" w:rsidRDefault="000E3599" w:rsidP="00862B25">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_______________________________________________________________________</w:t>
      </w:r>
    </w:p>
    <w:p w14:paraId="18D9F3EA" w14:textId="77777777" w:rsidR="000E3599" w:rsidRPr="00DA35F9" w:rsidRDefault="000E3599" w:rsidP="000E3599">
      <w:pPr>
        <w:spacing w:after="0" w:line="240" w:lineRule="auto"/>
        <w:rPr>
          <w:rFonts w:ascii="Garamond" w:eastAsia="Times New Roman" w:hAnsi="Garamond" w:cs="Times New Roman"/>
          <w:sz w:val="24"/>
          <w:szCs w:val="24"/>
          <w:lang w:eastAsia="sq-AL"/>
        </w:rPr>
      </w:pPr>
    </w:p>
    <w:p w14:paraId="7C6F1598" w14:textId="77777777" w:rsidR="000E3599" w:rsidRPr="00DA35F9" w:rsidRDefault="000E3599" w:rsidP="00862B25">
      <w:pPr>
        <w:spacing w:after="0" w:line="240" w:lineRule="auto"/>
        <w:ind w:firstLine="288"/>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Përshkrimi i veprimtarisë jashtë funksionit që kërkohet të ushtrohet:</w:t>
      </w:r>
    </w:p>
    <w:p w14:paraId="4C9C7442"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Lloji i veprimtarisë (mësimdhënëse, akademike, shkencore): _________________________________________</w:t>
      </w:r>
    </w:p>
    <w:p w14:paraId="2924F48D"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Përshkrim i detajuar i veprimtarisë:</w:t>
      </w:r>
    </w:p>
    <w:p w14:paraId="09C68045"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_________________________________________</w:t>
      </w:r>
    </w:p>
    <w:p w14:paraId="1F338FA4" w14:textId="370179FC"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Institucioni/organizata pranë së cilës do të zhvillohet veprimtaria: _________________________________________</w:t>
      </w:r>
    </w:p>
    <w:p w14:paraId="181A3F60"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Periudha e zhvillimit të veprimtarisë (data fillimit dhe përfundimit): ____________________________</w:t>
      </w:r>
    </w:p>
    <w:p w14:paraId="41FE1393" w14:textId="0A27B5B9"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parashikuar i orëve në javë/muaj: ____________________________</w:t>
      </w:r>
    </w:p>
    <w:p w14:paraId="7C851557" w14:textId="77777777" w:rsidR="00C75A17" w:rsidRDefault="000E3599" w:rsidP="00C75A17">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Masa e shpërblimit: ____________________________</w:t>
      </w:r>
    </w:p>
    <w:p w14:paraId="4A751153" w14:textId="0190D1F7" w:rsidR="000E3599" w:rsidRPr="00DA35F9" w:rsidRDefault="000E3599" w:rsidP="00C75A17">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_______________________________________________________________________</w:t>
      </w:r>
    </w:p>
    <w:p w14:paraId="08268A54" w14:textId="77777777" w:rsidR="000E3599" w:rsidRPr="00DA35F9" w:rsidRDefault="000E3599" w:rsidP="00C75A17">
      <w:pPr>
        <w:spacing w:after="0" w:line="240" w:lineRule="auto"/>
        <w:rPr>
          <w:rFonts w:ascii="Garamond" w:eastAsia="Times New Roman" w:hAnsi="Garamond" w:cs="Times New Roman"/>
          <w:b/>
          <w:bCs/>
          <w:sz w:val="24"/>
          <w:szCs w:val="24"/>
          <w:lang w:eastAsia="sq-AL"/>
        </w:rPr>
      </w:pPr>
    </w:p>
    <w:p w14:paraId="49955E94" w14:textId="77777777" w:rsidR="000E3599" w:rsidRPr="00DA35F9" w:rsidRDefault="000E3599" w:rsidP="000E3599">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Të dhënat statistikore mbi ngarkesën e punës:</w:t>
      </w:r>
    </w:p>
    <w:p w14:paraId="025A3819"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çështjeve në shqyrtim: ____________________________</w:t>
      </w:r>
    </w:p>
    <w:p w14:paraId="5A26D2E0"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çështjeve të gjykuara në vitin e kaluar: ____________________________</w:t>
      </w:r>
    </w:p>
    <w:p w14:paraId="1E74B345"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çështjeve të mbartura: ____________________________</w:t>
      </w:r>
    </w:p>
    <w:p w14:paraId="7E0E2B04" w14:textId="52CF7754"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Numri i çështjeve të gjykuara tej afatit të arsyeshëm (sipas nenit 399 të K.</w:t>
      </w:r>
      <w:r w:rsidR="00C14E57">
        <w:rPr>
          <w:rFonts w:ascii="Garamond" w:eastAsia="Times New Roman" w:hAnsi="Garamond" w:cs="Times New Roman"/>
          <w:sz w:val="24"/>
          <w:szCs w:val="24"/>
          <w:lang w:eastAsia="sq-AL"/>
        </w:rPr>
        <w:t xml:space="preserve"> </w:t>
      </w:r>
      <w:r w:rsidRPr="00DA35F9">
        <w:rPr>
          <w:rFonts w:ascii="Garamond" w:eastAsia="Times New Roman" w:hAnsi="Garamond" w:cs="Times New Roman"/>
          <w:sz w:val="24"/>
          <w:szCs w:val="24"/>
          <w:lang w:eastAsia="sq-AL"/>
        </w:rPr>
        <w:t>Pr.</w:t>
      </w:r>
      <w:r w:rsidR="00C14E57">
        <w:rPr>
          <w:rFonts w:ascii="Garamond" w:eastAsia="Times New Roman" w:hAnsi="Garamond" w:cs="Times New Roman"/>
          <w:sz w:val="24"/>
          <w:szCs w:val="24"/>
          <w:lang w:eastAsia="sq-AL"/>
        </w:rPr>
        <w:t xml:space="preserve"> </w:t>
      </w:r>
      <w:r w:rsidRPr="00DA35F9">
        <w:rPr>
          <w:rFonts w:ascii="Garamond" w:eastAsia="Times New Roman" w:hAnsi="Garamond" w:cs="Times New Roman"/>
          <w:sz w:val="24"/>
          <w:szCs w:val="24"/>
          <w:lang w:eastAsia="sq-AL"/>
        </w:rPr>
        <w:t>Civile): ____________________________</w:t>
      </w:r>
    </w:p>
    <w:p w14:paraId="00952734"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Ulje në ngarkesë (po/jo). Nëse po, shënohet arsyeja: ____________________________</w:t>
      </w:r>
    </w:p>
    <w:p w14:paraId="750D94FC"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 Mesatarja e ngarkesës në gjykatë: ____________________________</w:t>
      </w:r>
    </w:p>
    <w:p w14:paraId="25197000" w14:textId="77777777" w:rsidR="000E3599" w:rsidRPr="00DA35F9" w:rsidRDefault="000E3599" w:rsidP="000E3599">
      <w:pPr>
        <w:spacing w:after="0" w:line="240" w:lineRule="auto"/>
        <w:ind w:left="284"/>
        <w:rPr>
          <w:rFonts w:ascii="Garamond" w:eastAsia="Times New Roman" w:hAnsi="Garamond" w:cs="Times New Roman"/>
          <w:sz w:val="24"/>
          <w:szCs w:val="24"/>
          <w:lang w:eastAsia="sq-AL"/>
        </w:rPr>
      </w:pPr>
    </w:p>
    <w:p w14:paraId="5BEA76F5" w14:textId="77777777" w:rsidR="000E3599" w:rsidRPr="00DA35F9" w:rsidRDefault="000E3599" w:rsidP="000E3599">
      <w:pPr>
        <w:spacing w:after="0" w:line="240" w:lineRule="auto"/>
        <w:rPr>
          <w:rFonts w:ascii="Garamond" w:eastAsia="Times New Roman" w:hAnsi="Garamond" w:cs="Times New Roman"/>
          <w:sz w:val="24"/>
          <w:szCs w:val="24"/>
          <w:lang w:eastAsia="sq-AL"/>
        </w:rPr>
      </w:pPr>
      <w:r w:rsidRPr="00DA35F9">
        <w:rPr>
          <w:rFonts w:ascii="Garamond" w:eastAsia="Times New Roman" w:hAnsi="Garamond" w:cs="Times New Roman"/>
          <w:sz w:val="24"/>
          <w:szCs w:val="24"/>
          <w:lang w:eastAsia="sq-AL"/>
        </w:rPr>
        <w:t>_________________________________________________________________________</w:t>
      </w:r>
    </w:p>
    <w:p w14:paraId="4CE26F5E" w14:textId="77777777" w:rsidR="000E3599" w:rsidRPr="00DA35F9" w:rsidRDefault="000E3599" w:rsidP="000E3599">
      <w:pPr>
        <w:spacing w:after="0" w:line="240" w:lineRule="auto"/>
        <w:ind w:firstLine="284"/>
        <w:rPr>
          <w:rFonts w:ascii="Garamond" w:eastAsia="Times New Roman" w:hAnsi="Garamond" w:cs="Times New Roman"/>
          <w:sz w:val="24"/>
          <w:szCs w:val="24"/>
          <w:lang w:eastAsia="sq-AL"/>
        </w:rPr>
      </w:pPr>
    </w:p>
    <w:p w14:paraId="25D7453D" w14:textId="33F9853F" w:rsidR="000E3599" w:rsidRPr="00DA35F9" w:rsidRDefault="000E3599" w:rsidP="000E3599">
      <w:pPr>
        <w:spacing w:after="0" w:line="240" w:lineRule="auto"/>
        <w:ind w:firstLine="284"/>
        <w:rPr>
          <w:rFonts w:ascii="Garamond" w:eastAsia="Times New Roman" w:hAnsi="Garamond" w:cs="Times New Roman"/>
          <w:b/>
          <w:bCs/>
          <w:sz w:val="24"/>
          <w:szCs w:val="24"/>
          <w:lang w:eastAsia="sq-AL"/>
        </w:rPr>
      </w:pPr>
      <w:r w:rsidRPr="00DA35F9">
        <w:rPr>
          <w:rFonts w:ascii="Garamond" w:eastAsia="Times New Roman" w:hAnsi="Garamond" w:cs="Times New Roman"/>
          <w:b/>
          <w:bCs/>
          <w:sz w:val="24"/>
          <w:szCs w:val="24"/>
          <w:lang w:eastAsia="sq-AL"/>
        </w:rPr>
        <w:t>Deklaratë e gjyqtarit</w:t>
      </w:r>
      <w:r w:rsidR="00C14E57">
        <w:rPr>
          <w:rFonts w:ascii="Garamond" w:eastAsia="Times New Roman" w:hAnsi="Garamond" w:cs="Times New Roman"/>
          <w:b/>
          <w:bCs/>
          <w:sz w:val="24"/>
          <w:szCs w:val="24"/>
          <w:lang w:eastAsia="sq-AL"/>
        </w:rPr>
        <w:t>:</w:t>
      </w:r>
    </w:p>
    <w:p w14:paraId="4E87F1B4" w14:textId="210FEDBF" w:rsidR="000E3599" w:rsidRPr="00DA35F9" w:rsidRDefault="000E3599" w:rsidP="000E3599">
      <w:pPr>
        <w:spacing w:after="0" w:line="240" w:lineRule="auto"/>
        <w:ind w:firstLine="284"/>
        <w:jc w:val="both"/>
        <w:rPr>
          <w:rFonts w:ascii="Garamond" w:hAnsi="Garamond" w:cs="Times New Roman"/>
          <w:sz w:val="24"/>
          <w:szCs w:val="24"/>
        </w:rPr>
      </w:pPr>
      <w:r w:rsidRPr="00DA35F9">
        <w:rPr>
          <w:rFonts w:ascii="Garamond" w:eastAsia="Times New Roman" w:hAnsi="Garamond" w:cs="Times New Roman"/>
          <w:sz w:val="24"/>
          <w:szCs w:val="24"/>
          <w:lang w:eastAsia="sq-AL"/>
        </w:rPr>
        <w:t>Në përputhje me nenin 4</w:t>
      </w:r>
      <w:r w:rsidR="00C14E57">
        <w:rPr>
          <w:rFonts w:ascii="Garamond" w:eastAsia="Times New Roman" w:hAnsi="Garamond" w:cs="Times New Roman"/>
          <w:sz w:val="24"/>
          <w:szCs w:val="24"/>
          <w:lang w:eastAsia="sq-AL"/>
        </w:rPr>
        <w:t>,</w:t>
      </w:r>
      <w:r w:rsidRPr="00DA35F9">
        <w:rPr>
          <w:rFonts w:ascii="Garamond" w:eastAsia="Times New Roman" w:hAnsi="Garamond" w:cs="Times New Roman"/>
          <w:sz w:val="24"/>
          <w:szCs w:val="24"/>
          <w:lang w:eastAsia="sq-AL"/>
        </w:rPr>
        <w:t xml:space="preserve"> të </w:t>
      </w:r>
      <w:r w:rsidR="00C14E57" w:rsidRPr="00DA35F9">
        <w:rPr>
          <w:rFonts w:ascii="Garamond" w:eastAsia="Times New Roman" w:hAnsi="Garamond" w:cs="Times New Roman"/>
          <w:sz w:val="24"/>
          <w:szCs w:val="24"/>
          <w:lang w:eastAsia="sq-AL"/>
        </w:rPr>
        <w:t xml:space="preserve">vendimit </w:t>
      </w:r>
      <w:r w:rsidRPr="00DA35F9">
        <w:rPr>
          <w:rFonts w:ascii="Garamond" w:eastAsia="Times New Roman" w:hAnsi="Garamond" w:cs="Times New Roman"/>
          <w:sz w:val="24"/>
          <w:szCs w:val="24"/>
          <w:lang w:eastAsia="sq-AL"/>
        </w:rPr>
        <w:t>të Këshillit të Lartë Gjyqësor</w:t>
      </w:r>
      <w:r w:rsidR="00C14E57">
        <w:rPr>
          <w:rFonts w:ascii="Garamond" w:eastAsia="Times New Roman" w:hAnsi="Garamond" w:cs="Times New Roman"/>
          <w:sz w:val="24"/>
          <w:szCs w:val="24"/>
          <w:lang w:eastAsia="sq-AL"/>
        </w:rPr>
        <w:t>,</w:t>
      </w:r>
      <w:r w:rsidRPr="00DA35F9">
        <w:rPr>
          <w:rFonts w:ascii="Garamond" w:eastAsia="Times New Roman" w:hAnsi="Garamond" w:cs="Times New Roman"/>
          <w:sz w:val="24"/>
          <w:szCs w:val="24"/>
          <w:lang w:eastAsia="sq-AL"/>
        </w:rPr>
        <w:t xml:space="preserve"> “Për ushtrimin e veprimtarisë jashtë funksionit”, deklaroj se veprimtaria e kërkuar </w:t>
      </w:r>
      <w:r w:rsidRPr="00DA35F9">
        <w:rPr>
          <w:rFonts w:ascii="Garamond" w:eastAsia="Times New Roman" w:hAnsi="Garamond" w:cs="Times New Roman"/>
          <w:bCs/>
          <w:sz w:val="24"/>
          <w:szCs w:val="24"/>
          <w:lang w:eastAsia="sq-AL"/>
        </w:rPr>
        <w:t xml:space="preserve">është në përputhje me dinjitetin </w:t>
      </w:r>
      <w:r w:rsidRPr="00DA35F9">
        <w:rPr>
          <w:rFonts w:ascii="Garamond" w:eastAsia="Times New Roman" w:hAnsi="Garamond" w:cs="Times New Roman"/>
          <w:bCs/>
          <w:sz w:val="24"/>
          <w:szCs w:val="24"/>
          <w:lang w:eastAsia="sq-AL"/>
        </w:rPr>
        <w:lastRenderedPageBreak/>
        <w:t xml:space="preserve">e ushtrimit të funksionit të gjyqtarit, me reputacionin e organeve të sistemit të drejtësisë, </w:t>
      </w:r>
      <w:r w:rsidRPr="00DA35F9">
        <w:rPr>
          <w:rFonts w:ascii="Garamond" w:hAnsi="Garamond" w:cs="Times New Roman"/>
          <w:sz w:val="24"/>
          <w:szCs w:val="24"/>
        </w:rPr>
        <w:t>si dhe me</w:t>
      </w:r>
      <w:r w:rsidRPr="00DA35F9">
        <w:rPr>
          <w:rFonts w:ascii="Garamond" w:hAnsi="Garamond" w:cs="Times New Roman"/>
          <w:b/>
          <w:sz w:val="24"/>
          <w:szCs w:val="24"/>
        </w:rPr>
        <w:t xml:space="preserve"> </w:t>
      </w:r>
      <w:r w:rsidRPr="00DA35F9">
        <w:rPr>
          <w:rStyle w:val="Strong"/>
          <w:rFonts w:ascii="Garamond" w:hAnsi="Garamond" w:cs="Times New Roman"/>
          <w:sz w:val="24"/>
          <w:szCs w:val="24"/>
        </w:rPr>
        <w:t xml:space="preserve">standardet e etikës dhe rregullat e sjelljes </w:t>
      </w:r>
      <w:r w:rsidRPr="00DA35F9">
        <w:rPr>
          <w:rFonts w:ascii="Garamond" w:eastAsia="Times New Roman" w:hAnsi="Garamond" w:cs="Times New Roman"/>
          <w:bCs/>
          <w:sz w:val="24"/>
          <w:szCs w:val="24"/>
          <w:lang w:eastAsia="sq-AL"/>
        </w:rPr>
        <w:t>së gjyqtarit</w:t>
      </w:r>
      <w:r w:rsidRPr="00DA35F9">
        <w:rPr>
          <w:rFonts w:ascii="Garamond" w:hAnsi="Garamond" w:cs="Times New Roman"/>
          <w:sz w:val="24"/>
          <w:szCs w:val="24"/>
        </w:rPr>
        <w:t>. Gjithashtu</w:t>
      </w:r>
      <w:r w:rsidRPr="00C14E57">
        <w:rPr>
          <w:rFonts w:ascii="Garamond" w:hAnsi="Garamond" w:cs="Times New Roman"/>
          <w:bCs/>
          <w:sz w:val="24"/>
          <w:szCs w:val="24"/>
        </w:rPr>
        <w:t>,</w:t>
      </w:r>
      <w:r w:rsidRPr="00DA35F9">
        <w:rPr>
          <w:rFonts w:ascii="Garamond" w:hAnsi="Garamond" w:cs="Times New Roman"/>
          <w:b/>
          <w:sz w:val="24"/>
          <w:szCs w:val="24"/>
        </w:rPr>
        <w:t xml:space="preserve"> </w:t>
      </w:r>
      <w:r w:rsidRPr="00DA35F9">
        <w:rPr>
          <w:rFonts w:ascii="Garamond" w:hAnsi="Garamond" w:cs="Times New Roman"/>
          <w:sz w:val="24"/>
          <w:szCs w:val="24"/>
        </w:rPr>
        <w:t>konfirmoj se kjo veprimtari</w:t>
      </w:r>
      <w:r w:rsidRPr="00DA35F9">
        <w:rPr>
          <w:rFonts w:ascii="Garamond" w:hAnsi="Garamond" w:cs="Times New Roman"/>
          <w:b/>
          <w:sz w:val="24"/>
          <w:szCs w:val="24"/>
        </w:rPr>
        <w:t xml:space="preserve"> </w:t>
      </w:r>
      <w:r w:rsidRPr="00DA35F9">
        <w:rPr>
          <w:rStyle w:val="Strong"/>
          <w:rFonts w:ascii="Garamond" w:hAnsi="Garamond" w:cs="Times New Roman"/>
          <w:sz w:val="24"/>
          <w:szCs w:val="24"/>
        </w:rPr>
        <w:t>nuk krijon perceptime të ndikimit, varësisë apo njëanshmërisë</w:t>
      </w:r>
      <w:r w:rsidRPr="00DA35F9">
        <w:rPr>
          <w:rFonts w:ascii="Garamond" w:hAnsi="Garamond" w:cs="Times New Roman"/>
          <w:b/>
          <w:sz w:val="24"/>
          <w:szCs w:val="24"/>
        </w:rPr>
        <w:t xml:space="preserve">, </w:t>
      </w:r>
      <w:r w:rsidRPr="00DA35F9">
        <w:rPr>
          <w:rStyle w:val="Strong"/>
          <w:rFonts w:ascii="Garamond" w:hAnsi="Garamond" w:cs="Times New Roman"/>
          <w:sz w:val="24"/>
          <w:szCs w:val="24"/>
        </w:rPr>
        <w:t>nuk bie ndesh me interesat thelbësor</w:t>
      </w:r>
      <w:r w:rsidR="00C14E57">
        <w:rPr>
          <w:rStyle w:val="Strong"/>
          <w:rFonts w:ascii="Garamond" w:hAnsi="Garamond" w:cs="Times New Roman"/>
          <w:sz w:val="24"/>
          <w:szCs w:val="24"/>
        </w:rPr>
        <w:t>ë</w:t>
      </w:r>
      <w:r w:rsidRPr="00DA35F9">
        <w:rPr>
          <w:rStyle w:val="Strong"/>
          <w:rFonts w:ascii="Garamond" w:hAnsi="Garamond" w:cs="Times New Roman"/>
          <w:sz w:val="24"/>
          <w:szCs w:val="24"/>
        </w:rPr>
        <w:t xml:space="preserve"> të funksionit</w:t>
      </w:r>
      <w:r w:rsidRPr="00DA35F9">
        <w:rPr>
          <w:rFonts w:ascii="Garamond" w:hAnsi="Garamond" w:cs="Times New Roman"/>
          <w:b/>
          <w:sz w:val="24"/>
          <w:szCs w:val="24"/>
        </w:rPr>
        <w:t xml:space="preserve"> </w:t>
      </w:r>
      <w:r w:rsidRPr="00DA35F9">
        <w:rPr>
          <w:rFonts w:ascii="Garamond" w:hAnsi="Garamond" w:cs="Times New Roman"/>
          <w:sz w:val="24"/>
          <w:szCs w:val="24"/>
        </w:rPr>
        <w:t>dhe</w:t>
      </w:r>
      <w:r w:rsidRPr="00DA35F9">
        <w:rPr>
          <w:rFonts w:ascii="Garamond" w:hAnsi="Garamond" w:cs="Times New Roman"/>
          <w:b/>
          <w:sz w:val="24"/>
          <w:szCs w:val="24"/>
        </w:rPr>
        <w:t xml:space="preserve"> </w:t>
      </w:r>
      <w:r w:rsidRPr="00DA35F9">
        <w:rPr>
          <w:rStyle w:val="Strong"/>
          <w:rFonts w:ascii="Garamond" w:hAnsi="Garamond" w:cs="Times New Roman"/>
          <w:sz w:val="24"/>
          <w:szCs w:val="24"/>
        </w:rPr>
        <w:t>nuk cenon përmbushjen me efektivitet të detyrave gjyqësore</w:t>
      </w:r>
      <w:r w:rsidRPr="00DA35F9">
        <w:rPr>
          <w:rFonts w:ascii="Garamond" w:hAnsi="Garamond" w:cs="Times New Roman"/>
          <w:sz w:val="24"/>
          <w:szCs w:val="24"/>
        </w:rPr>
        <w:t>.</w:t>
      </w:r>
    </w:p>
    <w:p w14:paraId="5050573D" w14:textId="77777777" w:rsidR="000E3599" w:rsidRPr="00DA35F9" w:rsidRDefault="000E3599" w:rsidP="000E3599">
      <w:pPr>
        <w:spacing w:after="0" w:line="240" w:lineRule="auto"/>
        <w:ind w:firstLine="284"/>
        <w:jc w:val="both"/>
        <w:rPr>
          <w:rFonts w:ascii="Garamond" w:eastAsia="Times New Roman" w:hAnsi="Garamond" w:cs="Times New Roman"/>
          <w:b/>
          <w:bCs/>
          <w:sz w:val="24"/>
          <w:szCs w:val="24"/>
          <w:lang w:eastAsia="sq-AL"/>
        </w:rPr>
      </w:pPr>
    </w:p>
    <w:p w14:paraId="352F98A0" w14:textId="3CB51D57" w:rsidR="000E3599" w:rsidRPr="00DA35F9" w:rsidRDefault="000E3599" w:rsidP="000E3599">
      <w:pPr>
        <w:spacing w:after="0" w:line="240" w:lineRule="auto"/>
        <w:ind w:firstLine="284"/>
        <w:rPr>
          <w:rFonts w:ascii="Garamond" w:eastAsia="Times New Roman" w:hAnsi="Garamond" w:cs="Times New Roman"/>
          <w:sz w:val="24"/>
          <w:szCs w:val="24"/>
          <w:lang w:eastAsia="sq-AL"/>
        </w:rPr>
      </w:pPr>
      <w:r w:rsidRPr="00DA35F9">
        <w:rPr>
          <w:rFonts w:ascii="Garamond" w:eastAsia="Times New Roman" w:hAnsi="Garamond" w:cs="Times New Roman"/>
          <w:b/>
          <w:bCs/>
          <w:sz w:val="24"/>
          <w:szCs w:val="24"/>
          <w:lang w:eastAsia="sq-AL"/>
        </w:rPr>
        <w:t>Data:</w:t>
      </w:r>
      <w:r w:rsidRPr="00DA35F9">
        <w:rPr>
          <w:rFonts w:ascii="Garamond" w:eastAsia="Times New Roman" w:hAnsi="Garamond" w:cs="Times New Roman"/>
          <w:sz w:val="24"/>
          <w:szCs w:val="24"/>
          <w:lang w:eastAsia="sq-AL"/>
        </w:rPr>
        <w:t xml:space="preserve"> ____</w:t>
      </w:r>
      <w:r w:rsidR="00C14E57">
        <w:rPr>
          <w:rFonts w:ascii="Garamond" w:eastAsia="Times New Roman" w:hAnsi="Garamond" w:cs="Times New Roman"/>
          <w:sz w:val="24"/>
          <w:szCs w:val="24"/>
          <w:lang w:eastAsia="sq-AL"/>
        </w:rPr>
        <w:t>.</w:t>
      </w:r>
      <w:r w:rsidRPr="00DA35F9">
        <w:rPr>
          <w:rFonts w:ascii="Garamond" w:eastAsia="Times New Roman" w:hAnsi="Garamond" w:cs="Times New Roman"/>
          <w:sz w:val="24"/>
          <w:szCs w:val="24"/>
          <w:lang w:eastAsia="sq-AL"/>
        </w:rPr>
        <w:t xml:space="preserve">____ </w:t>
      </w:r>
      <w:r w:rsidR="00C14E57">
        <w:rPr>
          <w:rFonts w:ascii="Garamond" w:eastAsia="Times New Roman" w:hAnsi="Garamond" w:cs="Times New Roman"/>
          <w:sz w:val="24"/>
          <w:szCs w:val="24"/>
          <w:lang w:eastAsia="sq-AL"/>
        </w:rPr>
        <w:t>.</w:t>
      </w:r>
      <w:r w:rsidRPr="00DA35F9">
        <w:rPr>
          <w:rFonts w:ascii="Garamond" w:eastAsia="Times New Roman" w:hAnsi="Garamond" w:cs="Times New Roman"/>
          <w:sz w:val="24"/>
          <w:szCs w:val="24"/>
          <w:lang w:eastAsia="sq-AL"/>
        </w:rPr>
        <w:t xml:space="preserve"> ________</w:t>
      </w:r>
      <w:bookmarkStart w:id="0" w:name="_GoBack"/>
      <w:bookmarkEnd w:id="0"/>
    </w:p>
    <w:p w14:paraId="7DFF0751" w14:textId="77777777" w:rsidR="000E3599" w:rsidRPr="00DA35F9" w:rsidRDefault="000E3599" w:rsidP="000E3599">
      <w:pPr>
        <w:spacing w:after="0" w:line="240" w:lineRule="auto"/>
        <w:ind w:firstLine="284"/>
        <w:rPr>
          <w:rFonts w:ascii="Garamond" w:hAnsi="Garamond" w:cs="Times New Roman"/>
          <w:color w:val="FF0000"/>
          <w:sz w:val="24"/>
          <w:szCs w:val="24"/>
        </w:rPr>
      </w:pPr>
      <w:r w:rsidRPr="00DA35F9">
        <w:rPr>
          <w:rFonts w:ascii="Garamond" w:eastAsia="Times New Roman" w:hAnsi="Garamond" w:cs="Times New Roman"/>
          <w:b/>
          <w:bCs/>
          <w:sz w:val="24"/>
          <w:szCs w:val="24"/>
          <w:lang w:eastAsia="sq-AL"/>
        </w:rPr>
        <w:t>Nënshkrimi:</w:t>
      </w:r>
      <w:r w:rsidRPr="00DA35F9">
        <w:rPr>
          <w:rFonts w:ascii="Garamond" w:eastAsia="Times New Roman" w:hAnsi="Garamond" w:cs="Times New Roman"/>
          <w:sz w:val="24"/>
          <w:szCs w:val="24"/>
          <w:lang w:eastAsia="sq-AL"/>
        </w:rPr>
        <w:t xml:space="preserve"> ________________________</w:t>
      </w:r>
    </w:p>
    <w:p w14:paraId="3BC89C6C" w14:textId="77777777" w:rsidR="000E3599" w:rsidRPr="00DA35F9" w:rsidRDefault="000E3599" w:rsidP="000E3599">
      <w:pPr>
        <w:spacing w:after="0" w:line="240" w:lineRule="auto"/>
        <w:ind w:firstLine="284"/>
        <w:rPr>
          <w:rFonts w:ascii="Garamond" w:hAnsi="Garamond"/>
          <w:sz w:val="24"/>
          <w:szCs w:val="24"/>
        </w:rPr>
      </w:pPr>
    </w:p>
    <w:p w14:paraId="3F85374C" w14:textId="77777777" w:rsidR="0000733A" w:rsidRPr="00DA35F9" w:rsidRDefault="0000733A" w:rsidP="000E3599"/>
    <w:sectPr w:rsidR="0000733A" w:rsidRPr="00DA35F9" w:rsidSect="003064B3">
      <w:headerReference w:type="default" r:id="rId12"/>
      <w:footerReference w:type="default" r:id="rId13"/>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91FBA" w14:textId="77777777" w:rsidR="00173861" w:rsidRDefault="00173861">
      <w:pPr>
        <w:spacing w:after="0" w:line="240" w:lineRule="auto"/>
      </w:pPr>
      <w:r>
        <w:separator/>
      </w:r>
    </w:p>
  </w:endnote>
  <w:endnote w:type="continuationSeparator" w:id="0">
    <w:p w14:paraId="15761BD5" w14:textId="77777777" w:rsidR="00173861" w:rsidRDefault="00173861">
      <w:pPr>
        <w:spacing w:after="0" w:line="240" w:lineRule="auto"/>
      </w:pPr>
      <w:r>
        <w:continuationSeparator/>
      </w:r>
    </w:p>
  </w:endnote>
  <w:endnote w:type="continuationNotice" w:id="1">
    <w:p w14:paraId="4BE2CC53" w14:textId="77777777" w:rsidR="00173861" w:rsidRDefault="001738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8014571"/>
      <w:docPartObj>
        <w:docPartGallery w:val="Page Numbers (Bottom of Page)"/>
        <w:docPartUnique/>
      </w:docPartObj>
    </w:sdtPr>
    <w:sdtEndPr>
      <w:rPr>
        <w:noProof/>
      </w:rPr>
    </w:sdtEndPr>
    <w:sdtContent>
      <w:p w14:paraId="2BB991C2" w14:textId="77777777" w:rsidR="00173861" w:rsidRDefault="001738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4756F0" w14:textId="2A3AC58E" w:rsidR="00173861" w:rsidRDefault="00173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75224" w14:textId="77777777" w:rsidR="00173861" w:rsidRDefault="00173861">
      <w:pPr>
        <w:spacing w:after="0" w:line="240" w:lineRule="auto"/>
      </w:pPr>
      <w:r>
        <w:separator/>
      </w:r>
    </w:p>
  </w:footnote>
  <w:footnote w:type="continuationSeparator" w:id="0">
    <w:p w14:paraId="22ACB7F9" w14:textId="77777777" w:rsidR="00173861" w:rsidRDefault="00173861">
      <w:pPr>
        <w:spacing w:after="0" w:line="240" w:lineRule="auto"/>
      </w:pPr>
      <w:r>
        <w:continuationSeparator/>
      </w:r>
    </w:p>
  </w:footnote>
  <w:footnote w:type="continuationNotice" w:id="1">
    <w:p w14:paraId="305EB329" w14:textId="77777777" w:rsidR="00173861" w:rsidRDefault="001738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9FE61" w14:textId="77777777" w:rsidR="00173861" w:rsidRDefault="00173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6CAE"/>
    <w:multiLevelType w:val="multilevel"/>
    <w:tmpl w:val="3570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A12DE"/>
    <w:multiLevelType w:val="hybridMultilevel"/>
    <w:tmpl w:val="C21431B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02918A9"/>
    <w:multiLevelType w:val="multilevel"/>
    <w:tmpl w:val="A832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57C68"/>
    <w:multiLevelType w:val="multilevel"/>
    <w:tmpl w:val="EF26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0054B"/>
    <w:multiLevelType w:val="multilevel"/>
    <w:tmpl w:val="8A7A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D4986"/>
    <w:multiLevelType w:val="hybridMultilevel"/>
    <w:tmpl w:val="842859F8"/>
    <w:lvl w:ilvl="0" w:tplc="C81201D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B435324"/>
    <w:multiLevelType w:val="hybridMultilevel"/>
    <w:tmpl w:val="ED4616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AF763B"/>
    <w:multiLevelType w:val="hybridMultilevel"/>
    <w:tmpl w:val="ECAAD85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49B4C96"/>
    <w:multiLevelType w:val="multilevel"/>
    <w:tmpl w:val="B9D2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63153"/>
    <w:multiLevelType w:val="multilevel"/>
    <w:tmpl w:val="ECBA3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9644E8"/>
    <w:multiLevelType w:val="hybridMultilevel"/>
    <w:tmpl w:val="716A82B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79E7950"/>
    <w:multiLevelType w:val="hybridMultilevel"/>
    <w:tmpl w:val="5C6C38D8"/>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BC075E1"/>
    <w:multiLevelType w:val="multilevel"/>
    <w:tmpl w:val="22BC1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CE591C"/>
    <w:multiLevelType w:val="multilevel"/>
    <w:tmpl w:val="B810E8F6"/>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Calibri"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23A6901"/>
    <w:multiLevelType w:val="hybridMultilevel"/>
    <w:tmpl w:val="34C83596"/>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68F1A7C"/>
    <w:multiLevelType w:val="hybridMultilevel"/>
    <w:tmpl w:val="7BACEF6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DFF7A7F"/>
    <w:multiLevelType w:val="hybridMultilevel"/>
    <w:tmpl w:val="4906F01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56D32819"/>
    <w:multiLevelType w:val="hybridMultilevel"/>
    <w:tmpl w:val="36B2C21A"/>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3F629D3"/>
    <w:multiLevelType w:val="multilevel"/>
    <w:tmpl w:val="9F18D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8F1ED5"/>
    <w:multiLevelType w:val="hybridMultilevel"/>
    <w:tmpl w:val="34C83596"/>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7"/>
  </w:num>
  <w:num w:numId="3">
    <w:abstractNumId w:val="16"/>
  </w:num>
  <w:num w:numId="4">
    <w:abstractNumId w:val="11"/>
  </w:num>
  <w:num w:numId="5">
    <w:abstractNumId w:val="0"/>
  </w:num>
  <w:num w:numId="6">
    <w:abstractNumId w:val="17"/>
  </w:num>
  <w:num w:numId="7">
    <w:abstractNumId w:val="18"/>
  </w:num>
  <w:num w:numId="8">
    <w:abstractNumId w:val="1"/>
  </w:num>
  <w:num w:numId="9">
    <w:abstractNumId w:val="9"/>
  </w:num>
  <w:num w:numId="10">
    <w:abstractNumId w:val="19"/>
  </w:num>
  <w:num w:numId="11">
    <w:abstractNumId w:val="14"/>
  </w:num>
  <w:num w:numId="12">
    <w:abstractNumId w:val="12"/>
  </w:num>
  <w:num w:numId="13">
    <w:abstractNumId w:val="5"/>
  </w:num>
  <w:num w:numId="14">
    <w:abstractNumId w:val="10"/>
  </w:num>
  <w:num w:numId="15">
    <w:abstractNumId w:val="15"/>
  </w:num>
  <w:num w:numId="16">
    <w:abstractNumId w:val="3"/>
  </w:num>
  <w:num w:numId="17">
    <w:abstractNumId w:val="4"/>
  </w:num>
  <w:num w:numId="18">
    <w:abstractNumId w:val="8"/>
  </w:num>
  <w:num w:numId="19">
    <w:abstractNumId w:val="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4D8"/>
    <w:rsid w:val="0000733A"/>
    <w:rsid w:val="00072938"/>
    <w:rsid w:val="000E3599"/>
    <w:rsid w:val="001536D8"/>
    <w:rsid w:val="00173861"/>
    <w:rsid w:val="00200EBD"/>
    <w:rsid w:val="003064B3"/>
    <w:rsid w:val="005530D3"/>
    <w:rsid w:val="005574D8"/>
    <w:rsid w:val="00705E37"/>
    <w:rsid w:val="00713872"/>
    <w:rsid w:val="007B2602"/>
    <w:rsid w:val="00862B25"/>
    <w:rsid w:val="00986EEE"/>
    <w:rsid w:val="009978A3"/>
    <w:rsid w:val="00A67BCD"/>
    <w:rsid w:val="00A72A62"/>
    <w:rsid w:val="00AE1BEA"/>
    <w:rsid w:val="00B04A38"/>
    <w:rsid w:val="00B81B7E"/>
    <w:rsid w:val="00BA5E87"/>
    <w:rsid w:val="00C14E57"/>
    <w:rsid w:val="00C30639"/>
    <w:rsid w:val="00C75A17"/>
    <w:rsid w:val="00CC40BE"/>
    <w:rsid w:val="00D03306"/>
    <w:rsid w:val="00DA35F9"/>
    <w:rsid w:val="00F46170"/>
    <w:rsid w:val="00FA6746"/>
    <w:rsid w:val="00FC29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3698"/>
  <w15:chartTrackingRefBased/>
  <w15:docId w15:val="{62A1AA33-10EB-4D73-8D87-DEF9B29B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74D8"/>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74D8"/>
    <w:pPr>
      <w:ind w:left="720"/>
      <w:contextualSpacing/>
    </w:pPr>
  </w:style>
  <w:style w:type="paragraph" w:styleId="Footer">
    <w:name w:val="footer"/>
    <w:basedOn w:val="Normal"/>
    <w:link w:val="FooterChar"/>
    <w:uiPriority w:val="99"/>
    <w:unhideWhenUsed/>
    <w:rsid w:val="00557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4D8"/>
  </w:style>
  <w:style w:type="character" w:customStyle="1" w:styleId="ListParagraphChar">
    <w:name w:val="List Paragraph Char"/>
    <w:link w:val="ListParagraph"/>
    <w:uiPriority w:val="34"/>
    <w:rsid w:val="005574D8"/>
  </w:style>
  <w:style w:type="paragraph" w:customStyle="1" w:styleId="BodyA">
    <w:name w:val="Body A"/>
    <w:rsid w:val="005574D8"/>
    <w:pPr>
      <w:pBdr>
        <w:top w:val="nil"/>
        <w:left w:val="nil"/>
        <w:bottom w:val="nil"/>
        <w:right w:val="nil"/>
        <w:between w:val="nil"/>
        <w:bar w:val="nil"/>
      </w:pBdr>
    </w:pPr>
    <w:rPr>
      <w:rFonts w:ascii="Calibri" w:eastAsia="Calibri" w:hAnsi="Calibri" w:cs="Calibri"/>
      <w:color w:val="000000"/>
      <w:u w:color="000000"/>
      <w:bdr w:val="nil"/>
      <w:lang w:val="sq-AL"/>
    </w:rPr>
  </w:style>
  <w:style w:type="paragraph" w:styleId="NormalWeb">
    <w:name w:val="Normal (Web)"/>
    <w:basedOn w:val="Normal"/>
    <w:uiPriority w:val="99"/>
    <w:unhideWhenUsed/>
    <w:rsid w:val="005574D8"/>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5574D8"/>
    <w:rPr>
      <w:b/>
      <w:bCs/>
    </w:rPr>
  </w:style>
  <w:style w:type="character" w:customStyle="1" w:styleId="NoSpacingChar">
    <w:name w:val="No Spacing Char"/>
    <w:link w:val="NoSpacing"/>
    <w:uiPriority w:val="1"/>
    <w:locked/>
    <w:rsid w:val="00986EEE"/>
    <w:rPr>
      <w:rFonts w:ascii="Times New Roman" w:eastAsia="Times New Roman" w:hAnsi="Times New Roman" w:cs="Times New Roman"/>
      <w:color w:val="000000"/>
      <w:sz w:val="24"/>
    </w:rPr>
  </w:style>
  <w:style w:type="paragraph" w:styleId="NoSpacing">
    <w:name w:val="No Spacing"/>
    <w:link w:val="NoSpacingChar"/>
    <w:uiPriority w:val="1"/>
    <w:qFormat/>
    <w:rsid w:val="00986EEE"/>
    <w:pPr>
      <w:spacing w:after="0" w:line="240" w:lineRule="auto"/>
      <w:ind w:left="715" w:hanging="10"/>
      <w:jc w:val="both"/>
    </w:pPr>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B81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B7E"/>
    <w:rPr>
      <w:rFonts w:ascii="Segoe UI" w:hAnsi="Segoe UI" w:cs="Segoe UI"/>
      <w:sz w:val="18"/>
      <w:szCs w:val="18"/>
      <w:lang w:val="sq-AL"/>
    </w:rPr>
  </w:style>
  <w:style w:type="paragraph" w:styleId="Header">
    <w:name w:val="header"/>
    <w:basedOn w:val="Normal"/>
    <w:link w:val="HeaderChar"/>
    <w:uiPriority w:val="99"/>
    <w:unhideWhenUsed/>
    <w:rsid w:val="007B2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602"/>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800542">
      <w:bodyDiv w:val="1"/>
      <w:marLeft w:val="0"/>
      <w:marRight w:val="0"/>
      <w:marTop w:val="0"/>
      <w:marBottom w:val="0"/>
      <w:divBdr>
        <w:top w:val="none" w:sz="0" w:space="0" w:color="auto"/>
        <w:left w:val="none" w:sz="0" w:space="0" w:color="auto"/>
        <w:bottom w:val="none" w:sz="0" w:space="0" w:color="auto"/>
        <w:right w:val="none" w:sz="0" w:space="0" w:color="auto"/>
      </w:divBdr>
    </w:div>
    <w:div w:id="198805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795</Nr_x002e__x0020_akti>
    <Data_x0020_e_x0020_Krijimit xmlns="0e656187-b300-4fb0-8bf4-3a50f872073c">2025-12-02T14:19:07Z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2025-12-02T00:00:00Z</Date_x0020_protokolli>
    <Titulli xmlns="0e656187-b300-4fb0-8bf4-3a50f872073c">Për ushtrimin e veprimtarisë jashtë funksionit</Titulli>
    <Modifikuesi xmlns="0e656187-b300-4fb0-8bf4-3a50f872073c">nevila.samarxhi</Modifikuesi>
    <Nr_x002e__x0020_prot_x0020_QBZ xmlns="0e656187-b300-4fb0-8bf4-3a50f872073c">2009/1</Nr_x002e__x0020_prot_x0020_QBZ>
    <Data_x0020_e_x0020_Modifikimit xmlns="0e656187-b300-4fb0-8bf4-3a50f872073c">2025-12-02T14:50:15Z</Data_x0020_e_x0020_Modifikimit>
    <Dekretuar xmlns="0e656187-b300-4fb0-8bf4-3a50f872073c">false</Dekretuar>
    <Data xmlns="0e656187-b300-4fb0-8bf4-3a50f872073c">2025-11-18T00:00:00Z</Data>
    <Nr_x002e__x0020_protokolli_x0020_i_x0020_aktit xmlns="0e656187-b300-4fb0-8bf4-3a50f872073c">6156/1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9AF576E0744326B36EC905E3217F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9AF576E0744326B36EC905E3217F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506A21-69F9-4B72-AB6F-C6FAC121EDEF}">
  <ds:schemaRefs>
    <ds:schemaRef ds:uri="http://purl.org/dc/dcmitype/"/>
    <ds:schemaRef ds:uri="http://schemas.microsoft.com/office/2006/documentManagement/types"/>
    <ds:schemaRef ds:uri="0e656187-b300-4fb0-8bf4-3a50f872073c"/>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E47FB19A-B7F2-4245-941D-65D3EF817E2E}">
  <ds:schemaRefs>
    <ds:schemaRef ds:uri="http://schemas.microsoft.com/sharepoint/v3/contenttype/forms"/>
  </ds:schemaRefs>
</ds:datastoreItem>
</file>

<file path=customXml/itemProps3.xml><?xml version="1.0" encoding="utf-8"?>
<ds:datastoreItem xmlns:ds="http://schemas.openxmlformats.org/officeDocument/2006/customXml" ds:itemID="{FE968741-11B1-426A-A29A-992DB0A93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5E48EB-B23C-43D6-A132-4610D3DDFF25}">
  <ds:schemaRefs>
    <ds:schemaRef ds:uri="http://schemas.microsoft.com/sharepoint/v3/contenttype/forms"/>
  </ds:schemaRefs>
</ds:datastoreItem>
</file>

<file path=customXml/itemProps5.xml><?xml version="1.0" encoding="utf-8"?>
<ds:datastoreItem xmlns:ds="http://schemas.openxmlformats.org/officeDocument/2006/customXml" ds:itemID="{29481642-72B7-4945-AF3C-025D4117B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2218</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ushtrimin e veprimtarisë jashtë funksionit</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ushtrimin e veprimtarisë jashtë funksionit</dc:title>
  <dc:creator>Rezarta Taushani</dc:creator>
  <cp:lastModifiedBy>Alma Lisaku</cp:lastModifiedBy>
  <cp:revision>14</cp:revision>
  <cp:lastPrinted>2025-11-18T11:28:00Z</cp:lastPrinted>
  <dcterms:created xsi:type="dcterms:W3CDTF">2025-12-02T13:21:00Z</dcterms:created>
  <dcterms:modified xsi:type="dcterms:W3CDTF">2025-12-03T10:46:00Z</dcterms:modified>
</cp:coreProperties>
</file>