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5FB31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125745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VENDIM</w:t>
      </w:r>
    </w:p>
    <w:p w14:paraId="39AAF56B" w14:textId="18192EE9" w:rsidR="0085046E" w:rsidRPr="00B7663A" w:rsidRDefault="00B7663A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Nr. 27</w:t>
      </w:r>
      <w:r w:rsidR="001241D9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Pr="00B7663A">
        <w:rPr>
          <w:rFonts w:ascii="Garamond" w:hAnsi="Garamond"/>
          <w:b/>
          <w:sz w:val="24"/>
          <w:szCs w:val="24"/>
        </w:rPr>
        <w:t xml:space="preserve"> datë 29.</w:t>
      </w:r>
      <w:r w:rsidR="0085046E" w:rsidRPr="00B7663A">
        <w:rPr>
          <w:rFonts w:ascii="Garamond" w:hAnsi="Garamond"/>
          <w:b/>
          <w:sz w:val="24"/>
          <w:szCs w:val="24"/>
        </w:rPr>
        <w:t>1.2026</w:t>
      </w:r>
    </w:p>
    <w:p w14:paraId="6E95CD61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F4F555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MBI MIRATIMIN E RREGULLORES “PËR KOORDINIMIN DHE BASHKËPUNIMIN NDËRINSTITUCIONAL NDËRMJET KËSHILLIT TË LARTË GJYQËSOR DHE KËSHILLIT TË LARTË TË PROKURORISË NË FUSHËN E FORMIMIT PROFESIONAL TË ADMINISTRATËS GJYQËSORE DHE TË PROKURORISË”</w:t>
      </w:r>
    </w:p>
    <w:p w14:paraId="75FA681E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74715A" w14:textId="04B645AB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Këshilli i Lartë Gjyqësor, në mbështetje të nen</w:t>
      </w:r>
      <w:r w:rsidR="00162566">
        <w:rPr>
          <w:rFonts w:ascii="Garamond" w:hAnsi="Garamond"/>
          <w:sz w:val="24"/>
          <w:szCs w:val="24"/>
        </w:rPr>
        <w:t>eve</w:t>
      </w:r>
      <w:r w:rsidRPr="00B7663A">
        <w:rPr>
          <w:rFonts w:ascii="Garamond" w:hAnsi="Garamond"/>
          <w:sz w:val="24"/>
          <w:szCs w:val="24"/>
        </w:rPr>
        <w:t xml:space="preserve"> 147 dhe 147/a të Kushtetutës së Republikës së Shqipërisë</w:t>
      </w:r>
      <w:r w:rsidR="00B7663A">
        <w:rPr>
          <w:rFonts w:ascii="Garamond" w:hAnsi="Garamond"/>
          <w:sz w:val="24"/>
          <w:szCs w:val="24"/>
        </w:rPr>
        <w:t>; të</w:t>
      </w:r>
      <w:r w:rsidRPr="00B7663A">
        <w:rPr>
          <w:rFonts w:ascii="Garamond" w:hAnsi="Garamond"/>
          <w:sz w:val="24"/>
          <w:szCs w:val="24"/>
        </w:rPr>
        <w:t xml:space="preserve"> nenit 61, pika 2, germa </w:t>
      </w:r>
      <w:r w:rsidR="00B7663A">
        <w:rPr>
          <w:rFonts w:ascii="Garamond" w:hAnsi="Garamond"/>
          <w:sz w:val="24"/>
          <w:szCs w:val="24"/>
        </w:rPr>
        <w:t>“</w:t>
      </w:r>
      <w:r w:rsidRPr="00B7663A">
        <w:rPr>
          <w:rFonts w:ascii="Garamond" w:hAnsi="Garamond"/>
          <w:sz w:val="24"/>
          <w:szCs w:val="24"/>
        </w:rPr>
        <w:t>ë</w:t>
      </w:r>
      <w:r w:rsidR="00B7663A">
        <w:rPr>
          <w:rFonts w:ascii="Garamond" w:hAnsi="Garamond"/>
          <w:sz w:val="24"/>
          <w:szCs w:val="24"/>
        </w:rPr>
        <w:t>”</w:t>
      </w:r>
      <w:r w:rsidRPr="00B7663A">
        <w:rPr>
          <w:rFonts w:ascii="Garamond" w:hAnsi="Garamond"/>
          <w:sz w:val="24"/>
          <w:szCs w:val="24"/>
        </w:rPr>
        <w:t xml:space="preserve"> dhe nenit 170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të ligjit nr. 115/2016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</w:t>
      </w:r>
      <w:r w:rsidR="00B7663A">
        <w:rPr>
          <w:rFonts w:ascii="Garamond" w:hAnsi="Garamond"/>
          <w:sz w:val="24"/>
          <w:szCs w:val="24"/>
        </w:rPr>
        <w:t>“</w:t>
      </w:r>
      <w:r w:rsidRPr="00B7663A">
        <w:rPr>
          <w:rFonts w:ascii="Garamond" w:hAnsi="Garamond"/>
          <w:sz w:val="24"/>
          <w:szCs w:val="24"/>
        </w:rPr>
        <w:t xml:space="preserve">Për </w:t>
      </w:r>
      <w:r w:rsidR="00B7663A" w:rsidRPr="00B7663A">
        <w:rPr>
          <w:rFonts w:ascii="Garamond" w:hAnsi="Garamond"/>
          <w:sz w:val="24"/>
          <w:szCs w:val="24"/>
        </w:rPr>
        <w:t>organet e qeverisjes së sistemit të drejtësisë</w:t>
      </w:r>
      <w:r w:rsidRPr="00B7663A">
        <w:rPr>
          <w:rFonts w:ascii="Garamond" w:hAnsi="Garamond"/>
          <w:sz w:val="24"/>
          <w:szCs w:val="24"/>
        </w:rPr>
        <w:t xml:space="preserve">”, </w:t>
      </w:r>
      <w:r w:rsidR="00B7663A">
        <w:rPr>
          <w:rFonts w:ascii="Garamond" w:hAnsi="Garamond"/>
          <w:sz w:val="24"/>
          <w:szCs w:val="24"/>
        </w:rPr>
        <w:t>të</w:t>
      </w:r>
      <w:r w:rsidRPr="00B7663A">
        <w:rPr>
          <w:rFonts w:ascii="Garamond" w:hAnsi="Garamond"/>
          <w:sz w:val="24"/>
          <w:szCs w:val="24"/>
        </w:rPr>
        <w:t xml:space="preserve"> ndryshuar, me propozim të mbledhjes së përbashkët të Këshillit të Lartë Gjyqësor dhe Kës</w:t>
      </w:r>
      <w:r w:rsidR="00162566">
        <w:rPr>
          <w:rFonts w:ascii="Garamond" w:hAnsi="Garamond"/>
          <w:sz w:val="24"/>
          <w:szCs w:val="24"/>
        </w:rPr>
        <w:t>hillit të Lartë të Prokurorisë,</w:t>
      </w:r>
    </w:p>
    <w:p w14:paraId="4A1662EC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2D81BA" w14:textId="1EB6137D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VENDOSI:</w:t>
      </w:r>
    </w:p>
    <w:p w14:paraId="2019F419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D6BC52" w14:textId="2AE511DD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 xml:space="preserve">1. Miratimin e </w:t>
      </w:r>
      <w:r w:rsidR="00B7663A" w:rsidRPr="00B7663A">
        <w:rPr>
          <w:rFonts w:ascii="Garamond" w:hAnsi="Garamond"/>
          <w:sz w:val="24"/>
          <w:szCs w:val="24"/>
        </w:rPr>
        <w:t xml:space="preserve">rregullores </w:t>
      </w:r>
      <w:r w:rsidRPr="00B7663A">
        <w:rPr>
          <w:rFonts w:ascii="Garamond" w:hAnsi="Garamond"/>
          <w:sz w:val="24"/>
          <w:szCs w:val="24"/>
        </w:rPr>
        <w:t>“Për koordinimin dhe bashkëpunimin ndërinstitucional ndërmjet Këshillit të Lartë Gjyqësor dhe Këshillit të Lartë të Prokurorisë në fushën e formimit profesional të administratës gjyqësore dhe të prokurorisë”, sipas tekstit bashkëlidhur këtij vendimi.</w:t>
      </w:r>
    </w:p>
    <w:p w14:paraId="06038A75" w14:textId="33AE8BC8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Ky vendim botohet në faqen zyrtare të internetit të Këshillit dhe hyn në fuqi në datën e botimit në Fletoren Zyrtar</w:t>
      </w:r>
      <w:r w:rsidR="00B7663A">
        <w:rPr>
          <w:rFonts w:ascii="Garamond" w:hAnsi="Garamond"/>
          <w:sz w:val="24"/>
          <w:szCs w:val="24"/>
        </w:rPr>
        <w:t>e.</w:t>
      </w:r>
    </w:p>
    <w:p w14:paraId="75FF8C14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356DC" w14:textId="57DDE0A2" w:rsidR="0085046E" w:rsidRPr="00B7663A" w:rsidRDefault="0085046E" w:rsidP="008504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PËR KËSHILLIN E LARTË GJYQËSOR</w:t>
      </w:r>
    </w:p>
    <w:p w14:paraId="3C882424" w14:textId="697AFADB" w:rsidR="0085046E" w:rsidRPr="00B7663A" w:rsidRDefault="00162566" w:rsidP="008504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C99663E" w14:textId="2A066F0E" w:rsidR="0085046E" w:rsidRPr="00B7663A" w:rsidRDefault="0085046E" w:rsidP="008504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Ilir Rusi</w:t>
      </w:r>
    </w:p>
    <w:p w14:paraId="73F4198F" w14:textId="77777777" w:rsidR="0085046E" w:rsidRPr="00B7663A" w:rsidRDefault="0085046E" w:rsidP="008504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916D728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RREGULLORE</w:t>
      </w:r>
    </w:p>
    <w:p w14:paraId="7C490C3E" w14:textId="7F938CAE" w:rsidR="0085046E" w:rsidRPr="00B7663A" w:rsidRDefault="00B7663A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PËR KOORDINIMIN DHE BASHKËPUNIMIN NDËRINSTITUCIONAL NDËRMJET KËSHILLIT TË LARTË GJYQËSOR DHE KËSHILLIT TË LARTË TË PROKURORISË NË FUSHËN E FORMIMIT PROFESIONAL TË ADMINISTRATËS GJYQËSORE DHE TË PROKURORISË</w:t>
      </w:r>
    </w:p>
    <w:p w14:paraId="1967AA53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FDF91C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Neni 1</w:t>
      </w:r>
    </w:p>
    <w:p w14:paraId="024A818A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Qëllimi dhe fusha e zbatimit</w:t>
      </w:r>
    </w:p>
    <w:p w14:paraId="34378D0D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5840DA" w14:textId="0431EDF9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1. Kjo rregullore përcakton parimet dhe procedurat e bashkëpunimit institucional ndërmjet Këshillit të Lartë Gjyqësor dhe Këshillit të Lartë të Prokurorisë për koordinimin e politikave, objektivave strategjik</w:t>
      </w:r>
      <w:r w:rsidR="00B7663A" w:rsidRPr="00B7663A">
        <w:rPr>
          <w:rFonts w:ascii="Garamond" w:hAnsi="Garamond"/>
          <w:sz w:val="24"/>
          <w:szCs w:val="24"/>
        </w:rPr>
        <w:t>ë</w:t>
      </w:r>
      <w:r w:rsidRPr="00B7663A">
        <w:rPr>
          <w:rFonts w:ascii="Garamond" w:hAnsi="Garamond"/>
          <w:sz w:val="24"/>
          <w:szCs w:val="24"/>
        </w:rPr>
        <w:t>, nevojave për trajnim, dhe aktiviteteve në fushën e formimit profesional të administratës gjyqësore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dhe të prokurorisë me synim orientimin drejt shërbimeve </w:t>
      </w:r>
      <w:proofErr w:type="spellStart"/>
      <w:r w:rsidRPr="00B7663A">
        <w:rPr>
          <w:rFonts w:ascii="Garamond" w:hAnsi="Garamond"/>
          <w:sz w:val="24"/>
          <w:szCs w:val="24"/>
        </w:rPr>
        <w:t>efi</w:t>
      </w:r>
      <w:r w:rsidR="00B7663A">
        <w:rPr>
          <w:rFonts w:ascii="Garamond" w:hAnsi="Garamond"/>
          <w:sz w:val="24"/>
          <w:szCs w:val="24"/>
        </w:rPr>
        <w:t>ci</w:t>
      </w:r>
      <w:r w:rsidRPr="00B7663A">
        <w:rPr>
          <w:rFonts w:ascii="Garamond" w:hAnsi="Garamond"/>
          <w:sz w:val="24"/>
          <w:szCs w:val="24"/>
        </w:rPr>
        <w:t>ente</w:t>
      </w:r>
      <w:proofErr w:type="spellEnd"/>
      <w:r w:rsidRPr="00B7663A">
        <w:rPr>
          <w:rFonts w:ascii="Garamond" w:hAnsi="Garamond"/>
          <w:sz w:val="24"/>
          <w:szCs w:val="24"/>
        </w:rPr>
        <w:t xml:space="preserve"> dhe të </w:t>
      </w:r>
      <w:proofErr w:type="spellStart"/>
      <w:r w:rsidRPr="00B7663A">
        <w:rPr>
          <w:rFonts w:ascii="Garamond" w:hAnsi="Garamond"/>
          <w:sz w:val="24"/>
          <w:szCs w:val="24"/>
        </w:rPr>
        <w:t>aksesueshme</w:t>
      </w:r>
      <w:proofErr w:type="spellEnd"/>
      <w:r w:rsidRPr="00B7663A">
        <w:rPr>
          <w:rFonts w:ascii="Garamond" w:hAnsi="Garamond"/>
          <w:sz w:val="24"/>
          <w:szCs w:val="24"/>
        </w:rPr>
        <w:t xml:space="preserve"> për çdo person.</w:t>
      </w:r>
    </w:p>
    <w:p w14:paraId="77BCF477" w14:textId="654FD3A3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2. Qëllimi kryesor është krijimi i një qasjeje të unifikuar dhe efektive për formimin dhe zhvillimin profesional të administratës gjyqësore dhe asaj të prokurorisë, duke rritur cilësinë, shkëmbimin e përvojave dhe ekspertizës, orientimin e politikave dhe kuadrit strategjik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dhe shfrytëzimin e maksimizimin e burimeve njerëzore, </w:t>
      </w:r>
      <w:r w:rsidR="00B7663A">
        <w:rPr>
          <w:rFonts w:ascii="Garamond" w:hAnsi="Garamond"/>
          <w:sz w:val="24"/>
          <w:szCs w:val="24"/>
        </w:rPr>
        <w:t>financiare dhe infrastrukturës.</w:t>
      </w:r>
    </w:p>
    <w:p w14:paraId="26FB6128" w14:textId="79342A49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3. Kjo rregullore përforcon koordinimin ndërinstitucional dhe bashkërendimin në fushën me interes të përbashkët të formimit profesional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duke u mbështetur në rregulloren e përbashkët “Për mbledhjet e përbashkëta dhe bashkëpunimin ndërinstitucional ndërmjet Këshillit të Lartë Gjyqësor dhe Kësh</w:t>
      </w:r>
      <w:r w:rsidR="00B7663A">
        <w:rPr>
          <w:rFonts w:ascii="Garamond" w:hAnsi="Garamond"/>
          <w:sz w:val="24"/>
          <w:szCs w:val="24"/>
        </w:rPr>
        <w:t>illit të Lartë të Prokurorisë”.</w:t>
      </w:r>
    </w:p>
    <w:p w14:paraId="56450536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CB12FA" w14:textId="522AFD52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lastRenderedPageBreak/>
        <w:t>Neni 2</w:t>
      </w:r>
    </w:p>
    <w:p w14:paraId="4DA3B352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Parimet e bashkëpunimit</w:t>
      </w:r>
    </w:p>
    <w:p w14:paraId="7842611B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233AF7" w14:textId="7F581C80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Koordinimi ndërmjet Këshillit të Lartë Gjyqësor dhe Këshillit të Lartë të Prokurorisë bazohet në parimet e pavarësisë kushtetuese, transparencës, efikasitetit, vendosjes së standardeve të unifikuara për përmirësimin e vazhdueshëm të kapaciteteve profesionale, barazisë së mundësive, uljes së kostove dhe shmangien e barrës financiare shtesë, si dhe bashkërendimit me institucione të tjera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si</w:t>
      </w:r>
      <w:r w:rsidR="00B7663A">
        <w:rPr>
          <w:rFonts w:ascii="Garamond" w:hAnsi="Garamond"/>
          <w:sz w:val="24"/>
          <w:szCs w:val="24"/>
        </w:rPr>
        <w:t>:</w:t>
      </w:r>
      <w:r w:rsidRPr="00B7663A">
        <w:rPr>
          <w:rFonts w:ascii="Garamond" w:hAnsi="Garamond"/>
          <w:sz w:val="24"/>
          <w:szCs w:val="24"/>
        </w:rPr>
        <w:t xml:space="preserve"> Shkolla e Magjistraturës, Ministria e Drejtësisë dhe Inspektori i Lartë i Drejtësisë. </w:t>
      </w:r>
    </w:p>
    <w:p w14:paraId="43351BAF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99D7F8" w14:textId="25943EAC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Neni 3</w:t>
      </w:r>
    </w:p>
    <w:p w14:paraId="3EFF0E73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Fushat e bashkëpunimit dhe koordinimit</w:t>
      </w:r>
    </w:p>
    <w:p w14:paraId="63B92E91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9DA24F2" w14:textId="31A31695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Këshilli i Lartë Gjyqësor dhe Këshilli i Lartë i Prokurorisë bashkëpunojnë për formimin profesional të administratës gjyqësore dhe të prokurorisë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në fushat e mëposhtme:</w:t>
      </w:r>
    </w:p>
    <w:p w14:paraId="20C84995" w14:textId="32CDE9CB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a) Vlerësimi i nevojave për programin e formimit fillestar dhe vazhdues, nëpërmjet analizave dhe konsultimeve të përbashkëta;</w:t>
      </w:r>
    </w:p>
    <w:p w14:paraId="3EBBA1A9" w14:textId="2617E59A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b) Identifikimi i objektivave strategjikë të përbashkët dhe koordinimi i politikave kryesore ndërvepruese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me qëllim garantimin e një shërbimi cilësor;</w:t>
      </w:r>
    </w:p>
    <w:p w14:paraId="3F35A3A4" w14:textId="1CB5F765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c) Hartimi i programeve të formimit fillestar e vazhdues, si dhe moduleve të trajnimit me tematika të përbashkëta për administratën gjyqësore dhe të prokurorisë;</w:t>
      </w:r>
    </w:p>
    <w:p w14:paraId="07D39CDA" w14:textId="3085205A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d) Zhvillimi i trajnimeve të përbashkëta mbi tematika të njëjta</w:t>
      </w:r>
      <w:r w:rsidR="007B4462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si</w:t>
      </w:r>
      <w:r w:rsidR="007B4462">
        <w:rPr>
          <w:rFonts w:ascii="Garamond" w:hAnsi="Garamond"/>
          <w:sz w:val="24"/>
          <w:szCs w:val="24"/>
        </w:rPr>
        <w:t>:</w:t>
      </w:r>
      <w:r w:rsidRPr="00B7663A">
        <w:rPr>
          <w:rFonts w:ascii="Garamond" w:hAnsi="Garamond"/>
          <w:sz w:val="24"/>
          <w:szCs w:val="24"/>
        </w:rPr>
        <w:t xml:space="preserve"> menaxhimi i burimeve njerëzore, menaxhimi financier, rregullat e etikës dhe shmangies </w:t>
      </w:r>
      <w:r w:rsidR="00B7663A">
        <w:rPr>
          <w:rFonts w:ascii="Garamond" w:hAnsi="Garamond"/>
          <w:sz w:val="24"/>
          <w:szCs w:val="24"/>
        </w:rPr>
        <w:t>s</w:t>
      </w:r>
      <w:r w:rsidRPr="00B7663A">
        <w:rPr>
          <w:rFonts w:ascii="Garamond" w:hAnsi="Garamond"/>
          <w:sz w:val="24"/>
          <w:szCs w:val="24"/>
        </w:rPr>
        <w:t>ë konfliktit të interesit, mbrojtjes së të dhënave personale, komunikimit me publikun apo fusha të tjera me interes të përbashkët;</w:t>
      </w:r>
    </w:p>
    <w:p w14:paraId="5C351B9A" w14:textId="73EDAD83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e) Monitorimi dhe vlerësimi i rezultateve të trajnimeve përmes metodave të harmonizuara;</w:t>
      </w:r>
    </w:p>
    <w:p w14:paraId="7C70DCED" w14:textId="5CA3CDB3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f) Shkëmbimi i praktikave të mira dhe i raporteve vjetore të progresit;</w:t>
      </w:r>
    </w:p>
    <w:p w14:paraId="10D86537" w14:textId="6383E503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g) Bashkërendimi me Shkollën e Magjistraturës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me qëllim përfitimin e ekspertizës më të mirë dhe identifikimin e objektivave strategjikë të përbashkët për një sistem drejtësie efikas, transparent e gjithëpërfshirës;</w:t>
      </w:r>
    </w:p>
    <w:p w14:paraId="58AF9EDC" w14:textId="7AEDB2D0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h) Bashkërendimi me Shkollën e Administratës Publike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me qëllim shkëmbimin e ekspertizës dhe identifikimin e objektivave strategjikë të përbashkët;</w:t>
      </w:r>
    </w:p>
    <w:p w14:paraId="646E3A62" w14:textId="118037BF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i) Bashkërendimi me institucione të tjera vendore apo ndërkombëtare, organizata</w:t>
      </w:r>
      <w:r w:rsidR="00B7663A">
        <w:rPr>
          <w:rFonts w:ascii="Garamond" w:hAnsi="Garamond"/>
          <w:sz w:val="24"/>
          <w:szCs w:val="24"/>
        </w:rPr>
        <w:t>t</w:t>
      </w:r>
      <w:r w:rsidRPr="00B7663A">
        <w:rPr>
          <w:rFonts w:ascii="Garamond" w:hAnsi="Garamond"/>
          <w:sz w:val="24"/>
          <w:szCs w:val="24"/>
        </w:rPr>
        <w:t xml:space="preserve"> e projekteve partnere, me fokus formimin profesional të administratës gjyqësore, të sistemit të prokurorisë apo administratës publike në përgjithësi;</w:t>
      </w:r>
    </w:p>
    <w:p w14:paraId="73C2A0FC" w14:textId="67EB2D9D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j) Përdorimi i përbashkët i infrastrukturës së nevojshme për trajnim, burimeve për trajnim, përfshirë infrastrukturën fizike, platformat digjitale, eks</w:t>
      </w:r>
      <w:r w:rsidR="00B7663A">
        <w:rPr>
          <w:rFonts w:ascii="Garamond" w:hAnsi="Garamond"/>
          <w:sz w:val="24"/>
          <w:szCs w:val="24"/>
        </w:rPr>
        <w:t>pertët dhe materialet mësimore.</w:t>
      </w:r>
    </w:p>
    <w:p w14:paraId="6FCC870F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A6C628" w14:textId="523C566D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Neni 4</w:t>
      </w:r>
    </w:p>
    <w:p w14:paraId="750CA181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Struktura koordinuese e përbashkët</w:t>
      </w:r>
    </w:p>
    <w:p w14:paraId="32C3A06B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9CBBD1" w14:textId="10EB02CA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 xml:space="preserve">1. Procedurat dhe format e bashkëpunimit ndërmjet </w:t>
      </w:r>
      <w:r w:rsidR="007B4462" w:rsidRPr="00B7663A">
        <w:rPr>
          <w:rFonts w:ascii="Garamond" w:hAnsi="Garamond"/>
          <w:sz w:val="24"/>
          <w:szCs w:val="24"/>
        </w:rPr>
        <w:t>këshillave</w:t>
      </w:r>
      <w:r w:rsidR="007B4462">
        <w:rPr>
          <w:rFonts w:ascii="Garamond" w:hAnsi="Garamond"/>
          <w:sz w:val="24"/>
          <w:szCs w:val="24"/>
        </w:rPr>
        <w:t>,</w:t>
      </w:r>
      <w:r w:rsidR="007B4462" w:rsidRPr="00B7663A">
        <w:rPr>
          <w:rFonts w:ascii="Garamond" w:hAnsi="Garamond"/>
          <w:sz w:val="24"/>
          <w:szCs w:val="24"/>
        </w:rPr>
        <w:t xml:space="preserve"> </w:t>
      </w:r>
      <w:r w:rsidRPr="00B7663A">
        <w:rPr>
          <w:rFonts w:ascii="Garamond" w:hAnsi="Garamond"/>
          <w:sz w:val="24"/>
          <w:szCs w:val="24"/>
        </w:rPr>
        <w:t>të parashikuara në rregulloren e përbashkët</w:t>
      </w:r>
      <w:r w:rsidR="007B4462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“Për mbledhjet e përbashkëta dhe bashkëpunimin ndërinstitucional ndërmjet Këshillit të Lartë Gjyqësor dhe Këshillit të Lartë të Prokurorisë”</w:t>
      </w:r>
      <w:r w:rsidR="007B4462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zbatohen për aq sa është e mundur edhe në fushën e formimit profesional të administratës gjyqësore dhe të prokurorisë.</w:t>
      </w:r>
    </w:p>
    <w:p w14:paraId="17DDEE69" w14:textId="36CB3474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 xml:space="preserve">2. Komisionet e </w:t>
      </w:r>
      <w:r w:rsidR="007B4462" w:rsidRPr="00B7663A">
        <w:rPr>
          <w:rFonts w:ascii="Garamond" w:hAnsi="Garamond"/>
          <w:sz w:val="24"/>
          <w:szCs w:val="24"/>
        </w:rPr>
        <w:t xml:space="preserve">planifikimit strategjik, administrimit dhe buxhetit </w:t>
      </w:r>
      <w:r w:rsidRPr="00B7663A">
        <w:rPr>
          <w:rFonts w:ascii="Garamond" w:hAnsi="Garamond"/>
          <w:sz w:val="24"/>
          <w:szCs w:val="24"/>
        </w:rPr>
        <w:t>shqyrtojnë zhvillimet në fushën e formimit profesional të administratës gjyqësore dhe të prokurorisë në mbledhjet e përbashkëta që zhvillojnë të paktën një herë në gjashtë muaj përgjatë një viti.</w:t>
      </w:r>
    </w:p>
    <w:p w14:paraId="380FEF70" w14:textId="1ADC5EFC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3. Departamentet dhe strukturat përkatëse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përgjegjëse për formimin profesional të administratës gjyqësore dhe të prokurorisë, shqyrtojnë zhvillimet për të bashkërenduar punën </w:t>
      </w:r>
      <w:r w:rsidRPr="00B7663A">
        <w:rPr>
          <w:rFonts w:ascii="Garamond" w:hAnsi="Garamond"/>
          <w:sz w:val="24"/>
          <w:szCs w:val="24"/>
        </w:rPr>
        <w:lastRenderedPageBreak/>
        <w:t>sipas parimeve dhe fushave të bashkëpunimit në këtë rregullore, koordinojnë përdorimin e përbashkët të infrastrukturës së nevojshme për trajnim, burimeve për trajnim, përfshirë infrastrukturën fizike, platformat digjitale, ekspertët dhe materialet mësimore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dhe ndjekin zbatimin e vendimeve në mbledhjet e tyre të përbashkëta që zhvillohen </w:t>
      </w:r>
      <w:r w:rsidR="00B7663A">
        <w:rPr>
          <w:rFonts w:ascii="Garamond" w:hAnsi="Garamond"/>
          <w:sz w:val="24"/>
          <w:szCs w:val="24"/>
        </w:rPr>
        <w:t>të paktën një herë në tre muaj.</w:t>
      </w:r>
    </w:p>
    <w:p w14:paraId="566170FE" w14:textId="3544015F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4. Strukturat përkatëse</w:t>
      </w:r>
      <w:r w:rsidR="007B4462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përgjegjëse për formimin profesional të administratës gjyqësore dhe të prokurorisë</w:t>
      </w:r>
      <w:r w:rsidR="007B4462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shërbejnë si pika kontakti për komunikim dhe bashkërendim midis Këshillit të Lartë Gjyqësor dhe Këshillit të Lartë të Prokurorisë. Ato ndihmojnë në koordinimin dhe bashkëpunimin, përgatitjen, rishikimin dhe shpërndarjen e dokumentacionit përkatës dhe konkluzionev</w:t>
      </w:r>
      <w:r w:rsidR="00B7663A">
        <w:rPr>
          <w:rFonts w:ascii="Garamond" w:hAnsi="Garamond"/>
          <w:sz w:val="24"/>
          <w:szCs w:val="24"/>
        </w:rPr>
        <w:t>e të mbledhjeve të përbashkëta.</w:t>
      </w:r>
    </w:p>
    <w:p w14:paraId="7338A593" w14:textId="37DAB713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5. Strukturat përkatëse</w:t>
      </w:r>
      <w:r w:rsidR="007B4462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përgjegjëse për formimin profesional të administratës gjyqësore dhe të prokurorisë</w:t>
      </w:r>
      <w:r w:rsidR="007B4462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monitorojnë dhe mbështesin zbatimin e vendimeve të përbashkëta dhe përgatisin një raport tremujor të zbatimit </w:t>
      </w:r>
      <w:r w:rsidR="00B7663A">
        <w:rPr>
          <w:rFonts w:ascii="Garamond" w:hAnsi="Garamond"/>
          <w:sz w:val="24"/>
          <w:szCs w:val="24"/>
        </w:rPr>
        <w:t>t</w:t>
      </w:r>
      <w:r w:rsidR="00B7663A" w:rsidRPr="00B7663A">
        <w:rPr>
          <w:rFonts w:ascii="Garamond" w:hAnsi="Garamond"/>
          <w:sz w:val="24"/>
          <w:szCs w:val="24"/>
        </w:rPr>
        <w:t>ë</w:t>
      </w:r>
      <w:r w:rsidR="00B7663A">
        <w:rPr>
          <w:rFonts w:ascii="Garamond" w:hAnsi="Garamond"/>
          <w:sz w:val="24"/>
          <w:szCs w:val="24"/>
        </w:rPr>
        <w:t xml:space="preserve"> </w:t>
      </w:r>
      <w:r w:rsidRPr="00B7663A">
        <w:rPr>
          <w:rFonts w:ascii="Garamond" w:hAnsi="Garamond"/>
          <w:sz w:val="24"/>
          <w:szCs w:val="24"/>
        </w:rPr>
        <w:t>fushave të bashkëpunimit sipas kësaj rregulloreje, i cili i përcillet mbledhjeve të përbashkëta të departamen</w:t>
      </w:r>
      <w:r w:rsidR="00B7663A">
        <w:rPr>
          <w:rFonts w:ascii="Garamond" w:hAnsi="Garamond"/>
          <w:sz w:val="24"/>
          <w:szCs w:val="24"/>
        </w:rPr>
        <w:t>teve apo komisioneve përkatëse.</w:t>
      </w:r>
    </w:p>
    <w:p w14:paraId="5F34E86B" w14:textId="479504C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 xml:space="preserve">6. Mbledhja e përbashkët e departamenteve harton dhe propozon për miratimin nga </w:t>
      </w:r>
      <w:r w:rsidR="00B7663A" w:rsidRPr="00B7663A">
        <w:rPr>
          <w:rFonts w:ascii="Garamond" w:hAnsi="Garamond"/>
          <w:sz w:val="24"/>
          <w:szCs w:val="24"/>
        </w:rPr>
        <w:t>komisionet e planifikimit strategjik, administrimit dhe buxhetit</w:t>
      </w:r>
      <w:r w:rsidRPr="00B7663A">
        <w:rPr>
          <w:rFonts w:ascii="Garamond" w:hAnsi="Garamond"/>
          <w:sz w:val="24"/>
          <w:szCs w:val="24"/>
        </w:rPr>
        <w:t>, planet v</w:t>
      </w:r>
      <w:r w:rsidR="007B4462">
        <w:rPr>
          <w:rFonts w:ascii="Garamond" w:hAnsi="Garamond"/>
          <w:sz w:val="24"/>
          <w:szCs w:val="24"/>
        </w:rPr>
        <w:t>jetore të formimit profesional.</w:t>
      </w:r>
    </w:p>
    <w:p w14:paraId="0BC53FFE" w14:textId="5500529F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 xml:space="preserve">7. Komisionet e </w:t>
      </w:r>
      <w:r w:rsidR="00B7663A" w:rsidRPr="00B7663A">
        <w:rPr>
          <w:rFonts w:ascii="Garamond" w:hAnsi="Garamond"/>
          <w:sz w:val="24"/>
          <w:szCs w:val="24"/>
        </w:rPr>
        <w:t>planifikimit strategjik, administrimit dhe buxhetit</w:t>
      </w:r>
      <w:r w:rsidR="00B7663A">
        <w:rPr>
          <w:rFonts w:ascii="Garamond" w:hAnsi="Garamond"/>
          <w:sz w:val="24"/>
          <w:szCs w:val="24"/>
        </w:rPr>
        <w:t xml:space="preserve"> </w:t>
      </w:r>
      <w:r w:rsidRPr="00B7663A">
        <w:rPr>
          <w:rFonts w:ascii="Garamond" w:hAnsi="Garamond"/>
          <w:sz w:val="24"/>
          <w:szCs w:val="24"/>
        </w:rPr>
        <w:t xml:space="preserve">përfshijnë temat e trajnimit profesional të përbashkët në programet e trajnimit fillestar dhe vazhdues për t’u miratuar nga </w:t>
      </w:r>
      <w:r w:rsidR="007B4462" w:rsidRPr="00B7663A">
        <w:rPr>
          <w:rFonts w:ascii="Garamond" w:hAnsi="Garamond"/>
          <w:sz w:val="24"/>
          <w:szCs w:val="24"/>
        </w:rPr>
        <w:t>këshilla</w:t>
      </w:r>
      <w:r w:rsidR="007B4462">
        <w:rPr>
          <w:rFonts w:ascii="Garamond" w:hAnsi="Garamond"/>
          <w:sz w:val="24"/>
          <w:szCs w:val="24"/>
        </w:rPr>
        <w:t xml:space="preserve">t </w:t>
      </w:r>
      <w:r w:rsidR="00B7663A">
        <w:rPr>
          <w:rFonts w:ascii="Garamond" w:hAnsi="Garamond"/>
          <w:sz w:val="24"/>
          <w:szCs w:val="24"/>
        </w:rPr>
        <w:t>sipas rregulloreve përkatëse.</w:t>
      </w:r>
    </w:p>
    <w:p w14:paraId="2934B510" w14:textId="58D0B976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8. Këshilli i Lartë Gjyqësor dhe Këshilli i Lartë i Prokurorisë përfshijnë në raportet e tyre vjetore edhe të dhëna për formimin profesional të administratës gjyqësore dhe të prokurorisë, fushat e bashkëpunimit dhe koordinimit mes tyre, tematikat e përbashkëta të trajtuara, treguesit e pjesëmarrjes dhe vlerësimet e pjesëmarrësve</w:t>
      </w:r>
      <w:r w:rsidR="00B7663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si dhe identifikimin e problematikave apo boshllëqeve në zbatim dhe rekomandime për përmirësim.</w:t>
      </w:r>
    </w:p>
    <w:p w14:paraId="67216F54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12ECB8" w14:textId="15EE0423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Neni 5</w:t>
      </w:r>
    </w:p>
    <w:p w14:paraId="7F103ABD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Marrëdhënia me institucione të tjera dhe partnerë ndërkombëtarë</w:t>
      </w:r>
    </w:p>
    <w:p w14:paraId="389D6D02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AA5414" w14:textId="300CA7A4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1. Këshilli i Lartë Gjyqësor dhe Këshilli i Lartë i Proku</w:t>
      </w:r>
      <w:r w:rsidR="00B7663A">
        <w:rPr>
          <w:rFonts w:ascii="Garamond" w:hAnsi="Garamond"/>
          <w:sz w:val="24"/>
          <w:szCs w:val="24"/>
        </w:rPr>
        <w:t>rorisë bashkëpunojnë me qëllim</w:t>
      </w:r>
      <w:r w:rsidRPr="00B7663A">
        <w:rPr>
          <w:rFonts w:ascii="Garamond" w:hAnsi="Garamond"/>
          <w:sz w:val="24"/>
          <w:szCs w:val="24"/>
        </w:rPr>
        <w:t xml:space="preserve"> koordinimin me:</w:t>
      </w:r>
    </w:p>
    <w:p w14:paraId="1D686101" w14:textId="1CA35CFB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 xml:space="preserve">a) Shkollën e Magjistraturës, për zhvillimin e politikave e </w:t>
      </w:r>
      <w:r w:rsidR="007675DA">
        <w:rPr>
          <w:rFonts w:ascii="Garamond" w:hAnsi="Garamond"/>
          <w:sz w:val="24"/>
          <w:szCs w:val="24"/>
        </w:rPr>
        <w:t>t</w:t>
      </w:r>
      <w:r w:rsidR="007675DA" w:rsidRPr="00B7663A">
        <w:rPr>
          <w:rFonts w:ascii="Garamond" w:hAnsi="Garamond"/>
          <w:sz w:val="24"/>
          <w:szCs w:val="24"/>
        </w:rPr>
        <w:t>ë</w:t>
      </w:r>
      <w:r w:rsidR="007675DA">
        <w:rPr>
          <w:rFonts w:ascii="Garamond" w:hAnsi="Garamond"/>
          <w:sz w:val="24"/>
          <w:szCs w:val="24"/>
        </w:rPr>
        <w:t xml:space="preserve"> </w:t>
      </w:r>
      <w:r w:rsidRPr="00B7663A">
        <w:rPr>
          <w:rFonts w:ascii="Garamond" w:hAnsi="Garamond"/>
          <w:sz w:val="24"/>
          <w:szCs w:val="24"/>
        </w:rPr>
        <w:t>programeve të përbashkëta; përfitimin e ekspertizës më të mirë dhe identifikimin e objektivave strategjikë të përbashkët p</w:t>
      </w:r>
      <w:r w:rsidR="007675DA">
        <w:rPr>
          <w:rFonts w:ascii="Garamond" w:hAnsi="Garamond"/>
          <w:sz w:val="24"/>
          <w:szCs w:val="24"/>
        </w:rPr>
        <w:t>ër një sistem drejtësie efikas;</w:t>
      </w:r>
    </w:p>
    <w:p w14:paraId="485E1FC1" w14:textId="69901AF0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b) Shkollën e Administratës Publike</w:t>
      </w:r>
      <w:r w:rsidR="007675D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me qëllim shkëmbimin e ekspertizës dhe identifikimin e objektivave strategjikë të përbashkët;</w:t>
      </w:r>
    </w:p>
    <w:p w14:paraId="5DF51863" w14:textId="42210359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c) Ministrinë e Drejtësisë, Inspektorin e Lartë të Drejtësisë, Prokurorin e Përgjithshëm dhe institucionet e tjera publike, për shkëmbim informacioni dhe harmonizim politikash;</w:t>
      </w:r>
    </w:p>
    <w:p w14:paraId="1EB56FAC" w14:textId="413253E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d) Partnerët ndërkombëtarë dhe organizata partnere, për mbështetje teknike dhe financiare në ndërtimin e kapaciteteve t</w:t>
      </w:r>
      <w:r w:rsidR="00573E6B" w:rsidRPr="00B7663A">
        <w:rPr>
          <w:rFonts w:ascii="Garamond" w:hAnsi="Garamond"/>
          <w:sz w:val="24"/>
          <w:szCs w:val="24"/>
        </w:rPr>
        <w:t>ë</w:t>
      </w:r>
      <w:r w:rsidRPr="00B7663A">
        <w:rPr>
          <w:rFonts w:ascii="Garamond" w:hAnsi="Garamond"/>
          <w:sz w:val="24"/>
          <w:szCs w:val="24"/>
        </w:rPr>
        <w:t xml:space="preserve"> hartimit dhe zhvillimit të programeve të formimit profesional.</w:t>
      </w:r>
    </w:p>
    <w:p w14:paraId="3189EDEE" w14:textId="7C03F53D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 xml:space="preserve">2. Në hartimin e marrëveshjeve të bashkëpunimit me institucione apo organizata partnere në fushën e formimit profesional të administratës gjyqësore dhe të prokurorisë, </w:t>
      </w:r>
      <w:r w:rsidR="007B4462" w:rsidRPr="00B7663A">
        <w:rPr>
          <w:rFonts w:ascii="Garamond" w:hAnsi="Garamond"/>
          <w:sz w:val="24"/>
          <w:szCs w:val="24"/>
        </w:rPr>
        <w:t xml:space="preserve">këshillat </w:t>
      </w:r>
      <w:r w:rsidRPr="00B7663A">
        <w:rPr>
          <w:rFonts w:ascii="Garamond" w:hAnsi="Garamond"/>
          <w:sz w:val="24"/>
          <w:szCs w:val="24"/>
        </w:rPr>
        <w:t>synojnë të përfshijnë</w:t>
      </w:r>
      <w:r w:rsidR="007675D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ndër të tjera</w:t>
      </w:r>
      <w:r w:rsidR="007675DA">
        <w:rPr>
          <w:rFonts w:ascii="Garamond" w:hAnsi="Garamond"/>
          <w:sz w:val="24"/>
          <w:szCs w:val="24"/>
        </w:rPr>
        <w:t>,</w:t>
      </w:r>
      <w:r w:rsidRPr="00B7663A">
        <w:rPr>
          <w:rFonts w:ascii="Garamond" w:hAnsi="Garamond"/>
          <w:sz w:val="24"/>
          <w:szCs w:val="24"/>
        </w:rPr>
        <w:t xml:space="preserve"> parimet dhe fushat e bashkëpunimit të p</w:t>
      </w:r>
      <w:r w:rsidR="007675DA">
        <w:rPr>
          <w:rFonts w:ascii="Garamond" w:hAnsi="Garamond"/>
          <w:sz w:val="24"/>
          <w:szCs w:val="24"/>
        </w:rPr>
        <w:t>arashikuara në këtë rregullore.</w:t>
      </w:r>
    </w:p>
    <w:p w14:paraId="61FD16B8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799224" w14:textId="0A6BBB4C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Neni 6</w:t>
      </w:r>
    </w:p>
    <w:p w14:paraId="39E817EA" w14:textId="77777777" w:rsidR="0085046E" w:rsidRPr="00B7663A" w:rsidRDefault="0085046E" w:rsidP="008504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663A">
        <w:rPr>
          <w:rFonts w:ascii="Garamond" w:hAnsi="Garamond"/>
          <w:b/>
          <w:sz w:val="24"/>
          <w:szCs w:val="24"/>
        </w:rPr>
        <w:t>Hyrja në fuqi</w:t>
      </w:r>
    </w:p>
    <w:p w14:paraId="2C7665E0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7EA45A0" w14:textId="455D6EF4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t>1. Kjo rregullore miratohet nga Këshilli i Lartë Gjyqësor dhe Këshilli i Lartë i Prokurorisë dhe hyn në fuqi në datën e botimit në Fletoren Zyrtare.</w:t>
      </w:r>
    </w:p>
    <w:p w14:paraId="117DC7E5" w14:textId="38DA2339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663A">
        <w:rPr>
          <w:rFonts w:ascii="Garamond" w:hAnsi="Garamond"/>
          <w:sz w:val="24"/>
          <w:szCs w:val="24"/>
        </w:rPr>
        <w:lastRenderedPageBreak/>
        <w:t xml:space="preserve">2. Ndryshimet dhe shtesat e kësaj rregulloreje bëhen vetëm me </w:t>
      </w:r>
      <w:proofErr w:type="spellStart"/>
      <w:r w:rsidRPr="00B7663A">
        <w:rPr>
          <w:rFonts w:ascii="Garamond" w:hAnsi="Garamond"/>
          <w:sz w:val="24"/>
          <w:szCs w:val="24"/>
        </w:rPr>
        <w:t>dakordësi</w:t>
      </w:r>
      <w:proofErr w:type="spellEnd"/>
      <w:r w:rsidRPr="00B7663A">
        <w:rPr>
          <w:rFonts w:ascii="Garamond" w:hAnsi="Garamond"/>
          <w:sz w:val="24"/>
          <w:szCs w:val="24"/>
        </w:rPr>
        <w:t xml:space="preserve"> të përbashkët dhe miratohen nga Këshilli i Lartë Gjyqësor dhe </w:t>
      </w:r>
      <w:r w:rsidR="007675DA">
        <w:rPr>
          <w:rFonts w:ascii="Garamond" w:hAnsi="Garamond"/>
          <w:sz w:val="24"/>
          <w:szCs w:val="24"/>
        </w:rPr>
        <w:t>Këshilli i Lartë i Prokurorisë.</w:t>
      </w:r>
    </w:p>
    <w:p w14:paraId="216A5B95" w14:textId="77777777" w:rsidR="0085046E" w:rsidRPr="00B7663A" w:rsidRDefault="0085046E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43A03A" w14:textId="77777777" w:rsidR="00771956" w:rsidRPr="00B7663A" w:rsidRDefault="00771956" w:rsidP="008504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71956" w:rsidRPr="00B7663A" w:rsidSect="00233B35">
      <w:headerReference w:type="default" r:id="rId12"/>
      <w:footerReference w:type="default" r:id="rId13"/>
      <w:pgSz w:w="11906" w:h="16838"/>
      <w:pgMar w:top="1134" w:right="1701" w:bottom="1134" w:left="170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4E03A" w14:textId="77777777" w:rsidR="001241D9" w:rsidRDefault="001241D9">
      <w:pPr>
        <w:spacing w:after="0" w:line="240" w:lineRule="auto"/>
      </w:pPr>
      <w:r>
        <w:separator/>
      </w:r>
    </w:p>
  </w:endnote>
  <w:endnote w:type="continuationSeparator" w:id="0">
    <w:p w14:paraId="1B8955C9" w14:textId="77777777" w:rsidR="001241D9" w:rsidRDefault="001241D9">
      <w:pPr>
        <w:spacing w:after="0" w:line="240" w:lineRule="auto"/>
      </w:pPr>
      <w:r>
        <w:continuationSeparator/>
      </w:r>
    </w:p>
  </w:endnote>
  <w:endnote w:type="continuationNotice" w:id="1">
    <w:p w14:paraId="44F5A3B6" w14:textId="77777777" w:rsidR="001241D9" w:rsidRDefault="001241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38180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43A041" w14:textId="11AE4B66" w:rsidR="001241D9" w:rsidRDefault="001241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B43A042" w14:textId="77777777" w:rsidR="001241D9" w:rsidRDefault="001241D9">
    <w:pPr>
      <w:pStyle w:val="Footer"/>
    </w:pPr>
  </w:p>
  <w:p w14:paraId="6B43A043" w14:textId="77777777" w:rsidR="001241D9" w:rsidRDefault="001241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FF698" w14:textId="77777777" w:rsidR="001241D9" w:rsidRDefault="001241D9">
      <w:pPr>
        <w:spacing w:after="0" w:line="240" w:lineRule="auto"/>
      </w:pPr>
      <w:r>
        <w:separator/>
      </w:r>
    </w:p>
  </w:footnote>
  <w:footnote w:type="continuationSeparator" w:id="0">
    <w:p w14:paraId="5BB94D78" w14:textId="77777777" w:rsidR="001241D9" w:rsidRDefault="001241D9">
      <w:pPr>
        <w:spacing w:after="0" w:line="240" w:lineRule="auto"/>
      </w:pPr>
      <w:r>
        <w:continuationSeparator/>
      </w:r>
    </w:p>
  </w:footnote>
  <w:footnote w:type="continuationNotice" w:id="1">
    <w:p w14:paraId="4E848726" w14:textId="77777777" w:rsidR="001241D9" w:rsidRDefault="001241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FE0A6" w14:textId="77777777" w:rsidR="001241D9" w:rsidRDefault="00124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5332D"/>
    <w:multiLevelType w:val="hybridMultilevel"/>
    <w:tmpl w:val="ACF6F0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C5EBE"/>
    <w:multiLevelType w:val="hybridMultilevel"/>
    <w:tmpl w:val="07F0E5A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503D"/>
    <w:multiLevelType w:val="hybridMultilevel"/>
    <w:tmpl w:val="ACF6F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E4E70"/>
    <w:multiLevelType w:val="hybridMultilevel"/>
    <w:tmpl w:val="822C56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E0AEB"/>
    <w:multiLevelType w:val="hybridMultilevel"/>
    <w:tmpl w:val="822C56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76F9A"/>
    <w:multiLevelType w:val="hybridMultilevel"/>
    <w:tmpl w:val="8144A2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F1ABF"/>
    <w:multiLevelType w:val="hybridMultilevel"/>
    <w:tmpl w:val="770ED8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C16"/>
    <w:rsid w:val="000C5CA3"/>
    <w:rsid w:val="001241D9"/>
    <w:rsid w:val="00162566"/>
    <w:rsid w:val="001D6DC6"/>
    <w:rsid w:val="00233B35"/>
    <w:rsid w:val="00284D8C"/>
    <w:rsid w:val="002D2AC1"/>
    <w:rsid w:val="00327B23"/>
    <w:rsid w:val="004A1CEB"/>
    <w:rsid w:val="004D3A86"/>
    <w:rsid w:val="00573E6B"/>
    <w:rsid w:val="0075758A"/>
    <w:rsid w:val="007675DA"/>
    <w:rsid w:val="00771956"/>
    <w:rsid w:val="007B4462"/>
    <w:rsid w:val="0085046E"/>
    <w:rsid w:val="008A1844"/>
    <w:rsid w:val="00A20D68"/>
    <w:rsid w:val="00AB4C16"/>
    <w:rsid w:val="00B01AC2"/>
    <w:rsid w:val="00B7663A"/>
    <w:rsid w:val="00BD134B"/>
    <w:rsid w:val="00C954DD"/>
    <w:rsid w:val="00D6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9FF2"/>
  <w15:chartTrackingRefBased/>
  <w15:docId w15:val="{1B65A0A4-B6B2-4366-B493-028188CD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4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B4C1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B4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C16"/>
  </w:style>
  <w:style w:type="paragraph" w:styleId="NoSpacing">
    <w:name w:val="No Spacing"/>
    <w:link w:val="NoSpacingChar"/>
    <w:uiPriority w:val="1"/>
    <w:qFormat/>
    <w:rsid w:val="00AB4C16"/>
    <w:pPr>
      <w:spacing w:after="0" w:line="240" w:lineRule="auto"/>
      <w:ind w:left="715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customStyle="1" w:styleId="NoSpacingChar">
    <w:name w:val="No Spacing Char"/>
    <w:link w:val="NoSpacing"/>
    <w:uiPriority w:val="1"/>
    <w:locked/>
    <w:rsid w:val="00327B23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2E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1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2026-02-03T14:56:56Z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2026-02-03T00:00:00Z</Date_x0020_protokolli>
    <Titulli xmlns="0e656187-b300-4fb0-8bf4-3a50f872073c">Për miratimin e rregullores "Për koordinimin dhe bashkëpunimin ndërinstitucional ndërmjet Këshillit të Lartë Gjyqësor dhe Këshillit të Lartë të Prokurorisë në fushën e formimit profesional të administratës gjyqësore dhe të prokurorisë"</Titulli>
    <Modifikuesi xmlns="0e656187-b300-4fb0-8bf4-3a50f872073c">Fjora.Cahani</Modifikuesi>
    <Nr_x002e__x0020_prot_x0020_QBZ xmlns="0e656187-b300-4fb0-8bf4-3a50f872073c">225/1</Nr_x002e__x0020_prot_x0020_QBZ>
    <Data_x0020_e_x0020_Modifikimit xmlns="0e656187-b300-4fb0-8bf4-3a50f872073c">2026-02-04T10:18:30Z</Data_x0020_e_x0020_Modifikimit>
    <Dekretuar xmlns="0e656187-b300-4fb0-8bf4-3a50f872073c">false</Dekretuar>
    <Data xmlns="0e656187-b300-4fb0-8bf4-3a50f872073c">2026-01-29T00:00:00Z</Data>
    <Nr_x002e__x0020_protokolli_x0020_i_x0020_aktit xmlns="0e656187-b300-4fb0-8bf4-3a50f872073c">432/1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EE89A0922D44EFA707835B2EBEF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EE89A0922D44EFA707835B2EBEF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481B87-F2AB-47F5-BA22-38CDDAAD9CD0}">
  <ds:schemaRefs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D192CD-BE70-424F-AFF6-A9A448A121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F40DE7-A7D2-4A4A-AABB-07DE5B8D1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9E6FEB-C011-44C4-9044-640301EF1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2BCCAC-99B6-4B94-8928-8D51F0BB64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koordinimin dhe bashkëpunimin ndërinstitucional ndërmjet Këshillit të Lartë Gjyqësor dhe Këshillit të Lartë të Prokurorisë në fushën e formimit profesional të administratës gjyqësore dhe të prokurorisë"</vt:lpstr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koordinimin dhe bashkëpunimin ndërinstitucional ndërmjet Këshillit të Lartë Gjyqësor dhe Këshillit të Lartë të Prokurorisë në fushën e formimit profesional të administratës gjyqësore dhe të prokurorisë"</dc:title>
  <dc:creator>Rezarta Taushani</dc:creator>
  <cp:lastModifiedBy>Valeta Kaftalli</cp:lastModifiedBy>
  <cp:revision>9</cp:revision>
  <dcterms:created xsi:type="dcterms:W3CDTF">2026-02-03T13:51:00Z</dcterms:created>
  <dcterms:modified xsi:type="dcterms:W3CDTF">2026-02-04T10:18:00Z</dcterms:modified>
</cp:coreProperties>
</file>