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A0E87" w14:textId="77777777" w:rsidR="00F052F6" w:rsidRPr="003D5CE4" w:rsidRDefault="00F052F6" w:rsidP="00F052F6">
      <w:pPr>
        <w:spacing w:after="0" w:line="240" w:lineRule="auto"/>
        <w:ind w:firstLine="284"/>
        <w:jc w:val="center"/>
        <w:rPr>
          <w:rFonts w:ascii="Garamond" w:hAnsi="Garamond"/>
          <w:b/>
          <w:sz w:val="24"/>
          <w:szCs w:val="24"/>
        </w:rPr>
      </w:pPr>
      <w:r w:rsidRPr="003D5CE4">
        <w:rPr>
          <w:rFonts w:ascii="Garamond" w:hAnsi="Garamond"/>
          <w:b/>
          <w:sz w:val="24"/>
          <w:szCs w:val="24"/>
        </w:rPr>
        <w:t>VENDIM</w:t>
      </w:r>
    </w:p>
    <w:p w14:paraId="6E8C015F" w14:textId="77777777" w:rsidR="00F052F6" w:rsidRPr="003D5CE4" w:rsidRDefault="00F052F6" w:rsidP="00F052F6">
      <w:pPr>
        <w:spacing w:after="0" w:line="240" w:lineRule="auto"/>
        <w:ind w:firstLine="284"/>
        <w:jc w:val="center"/>
        <w:rPr>
          <w:rFonts w:ascii="Garamond" w:hAnsi="Garamond"/>
          <w:b/>
          <w:sz w:val="24"/>
          <w:szCs w:val="24"/>
        </w:rPr>
      </w:pPr>
      <w:r w:rsidRPr="003D5CE4">
        <w:rPr>
          <w:rFonts w:ascii="Garamond" w:hAnsi="Garamond"/>
          <w:b/>
          <w:sz w:val="24"/>
          <w:szCs w:val="24"/>
        </w:rPr>
        <w:t>Nr. 95, datë 9.5.2022</w:t>
      </w:r>
    </w:p>
    <w:p w14:paraId="0C1D796C" w14:textId="77777777" w:rsidR="00F052F6" w:rsidRPr="003D5CE4" w:rsidRDefault="00F052F6" w:rsidP="00F052F6">
      <w:pPr>
        <w:spacing w:after="0" w:line="240" w:lineRule="auto"/>
        <w:ind w:firstLine="284"/>
        <w:jc w:val="center"/>
        <w:rPr>
          <w:rFonts w:ascii="Garamond" w:hAnsi="Garamond"/>
          <w:b/>
          <w:sz w:val="24"/>
          <w:szCs w:val="24"/>
        </w:rPr>
      </w:pPr>
    </w:p>
    <w:p w14:paraId="61C7EAE4" w14:textId="77777777" w:rsidR="00F052F6" w:rsidRPr="003D5CE4" w:rsidRDefault="00F052F6" w:rsidP="00F052F6">
      <w:pPr>
        <w:spacing w:after="0" w:line="240" w:lineRule="auto"/>
        <w:jc w:val="center"/>
        <w:rPr>
          <w:rFonts w:ascii="Garamond" w:hAnsi="Garamond"/>
          <w:b/>
          <w:sz w:val="24"/>
          <w:szCs w:val="24"/>
        </w:rPr>
      </w:pPr>
      <w:r w:rsidRPr="003D5CE4">
        <w:rPr>
          <w:rFonts w:ascii="Garamond" w:hAnsi="Garamond"/>
          <w:b/>
          <w:sz w:val="24"/>
          <w:szCs w:val="24"/>
        </w:rPr>
        <w:t>PËR MIRATIMIN E RREGULLORES PËR VLERËSIMIN ETIK DHE PROFESIONAL TË PROKURORËVE</w:t>
      </w:r>
    </w:p>
    <w:p w14:paraId="4D8B11AE" w14:textId="77777777" w:rsidR="00F052F6" w:rsidRPr="003D5CE4" w:rsidRDefault="00F052F6" w:rsidP="00F052F6">
      <w:pPr>
        <w:spacing w:after="0" w:line="240" w:lineRule="auto"/>
        <w:ind w:firstLine="284"/>
        <w:jc w:val="center"/>
        <w:rPr>
          <w:rFonts w:ascii="Garamond" w:hAnsi="Garamond"/>
          <w:b/>
          <w:sz w:val="24"/>
          <w:szCs w:val="24"/>
        </w:rPr>
      </w:pPr>
    </w:p>
    <w:p w14:paraId="6B322CC8"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Bazuar në nenin 149, pika 1, germa “a”, të Kushtetutës, në nenet: 159, pika 2, germat “a” dhe “e”; 164, pika 8; 184, germa “dh”; 189, pika 1, germa “c”, të ligjit nr. 115/2016, “Për organet e qeverisjes së sistemit të drejtësisë”, i ndryshuar, si dhe nenet 25, 68–71, 73–78, 84–95, 97 dhe 171, të ligjit nr. 96/2016, “Për statusin e gjyqtarëve dhe të prokurorëve në Republikën e Shqipërisë”, i ndryshuar, me propozimin e grupit të punës, ngritur me urdhrin e kryetarit të Këshillit të Lartë të Prokurorisë nr. 51, datë 19.2.2021, Këshilli i Lartë i Prokurorisë</w:t>
      </w:r>
    </w:p>
    <w:p w14:paraId="7EECD60F" w14:textId="77777777" w:rsidR="00F052F6" w:rsidRPr="003D5CE4" w:rsidRDefault="00F052F6" w:rsidP="00F052F6">
      <w:pPr>
        <w:spacing w:after="0" w:line="240" w:lineRule="auto"/>
        <w:ind w:firstLine="284"/>
        <w:jc w:val="center"/>
        <w:rPr>
          <w:rFonts w:ascii="Garamond" w:hAnsi="Garamond"/>
          <w:sz w:val="24"/>
          <w:szCs w:val="24"/>
        </w:rPr>
      </w:pPr>
    </w:p>
    <w:p w14:paraId="5EDD02BF" w14:textId="77777777" w:rsidR="00F052F6" w:rsidRPr="003D5CE4" w:rsidRDefault="00F052F6" w:rsidP="00F052F6">
      <w:pPr>
        <w:spacing w:after="0" w:line="240" w:lineRule="auto"/>
        <w:ind w:firstLine="284"/>
        <w:jc w:val="center"/>
        <w:rPr>
          <w:rFonts w:ascii="Garamond" w:hAnsi="Garamond"/>
          <w:sz w:val="24"/>
          <w:szCs w:val="24"/>
        </w:rPr>
      </w:pPr>
      <w:r w:rsidRPr="003D5CE4">
        <w:rPr>
          <w:rFonts w:ascii="Garamond" w:hAnsi="Garamond"/>
          <w:sz w:val="24"/>
          <w:szCs w:val="24"/>
        </w:rPr>
        <w:t>VENDOSI:</w:t>
      </w:r>
    </w:p>
    <w:p w14:paraId="5FBF389E" w14:textId="77777777" w:rsidR="00F052F6" w:rsidRPr="003D5CE4" w:rsidRDefault="00F052F6" w:rsidP="00F052F6">
      <w:pPr>
        <w:spacing w:after="0" w:line="240" w:lineRule="auto"/>
        <w:ind w:firstLine="284"/>
        <w:jc w:val="both"/>
        <w:rPr>
          <w:rFonts w:ascii="Garamond" w:hAnsi="Garamond"/>
          <w:sz w:val="24"/>
          <w:szCs w:val="24"/>
        </w:rPr>
      </w:pPr>
    </w:p>
    <w:p w14:paraId="45EC006E"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1. Miratimin e rregullores, “Për vlerësimin etik dhe profesional të prokurorëve”, sipas tekstit bashkëlidhur këtij vendimi.</w:t>
      </w:r>
    </w:p>
    <w:p w14:paraId="09D95F8B"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2. Ky vendim hyn në fuqi në datën e botimit në Fletoren Zyrtare dhe publikohet në faqen zyrtare të Këshillit.</w:t>
      </w:r>
    </w:p>
    <w:p w14:paraId="73331A54"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3. U shpall në Tiranë, sot, më 9.5.2022.</w:t>
      </w:r>
    </w:p>
    <w:p w14:paraId="0A86099F" w14:textId="77777777" w:rsidR="00F052F6" w:rsidRPr="003D5CE4" w:rsidRDefault="00F052F6" w:rsidP="00F052F6">
      <w:pPr>
        <w:spacing w:after="0" w:line="240" w:lineRule="auto"/>
        <w:ind w:firstLine="284"/>
        <w:jc w:val="both"/>
        <w:rPr>
          <w:rFonts w:ascii="Garamond" w:hAnsi="Garamond"/>
          <w:sz w:val="24"/>
          <w:szCs w:val="24"/>
        </w:rPr>
      </w:pPr>
    </w:p>
    <w:p w14:paraId="532BCB0A" w14:textId="77777777" w:rsidR="00F052F6" w:rsidRPr="003D5CE4" w:rsidRDefault="00F052F6" w:rsidP="00F052F6">
      <w:pPr>
        <w:spacing w:after="0" w:line="240" w:lineRule="auto"/>
        <w:ind w:firstLine="284"/>
        <w:jc w:val="right"/>
        <w:rPr>
          <w:rFonts w:ascii="Garamond" w:hAnsi="Garamond"/>
          <w:sz w:val="24"/>
          <w:szCs w:val="24"/>
        </w:rPr>
      </w:pPr>
      <w:r w:rsidRPr="003D5CE4">
        <w:rPr>
          <w:rFonts w:ascii="Garamond" w:hAnsi="Garamond"/>
          <w:sz w:val="24"/>
          <w:szCs w:val="24"/>
        </w:rPr>
        <w:t xml:space="preserve">KRYETAR I KËSHILLIT </w:t>
      </w:r>
    </w:p>
    <w:p w14:paraId="521913E7" w14:textId="77777777" w:rsidR="00F052F6" w:rsidRPr="003D5CE4" w:rsidRDefault="00F052F6" w:rsidP="00F052F6">
      <w:pPr>
        <w:spacing w:after="0" w:line="240" w:lineRule="auto"/>
        <w:ind w:firstLine="284"/>
        <w:jc w:val="right"/>
        <w:rPr>
          <w:rFonts w:ascii="Garamond" w:hAnsi="Garamond"/>
          <w:sz w:val="24"/>
          <w:szCs w:val="24"/>
        </w:rPr>
      </w:pPr>
      <w:r w:rsidRPr="003D5CE4">
        <w:rPr>
          <w:rFonts w:ascii="Garamond" w:hAnsi="Garamond"/>
          <w:sz w:val="24"/>
          <w:szCs w:val="24"/>
        </w:rPr>
        <w:t xml:space="preserve">TË LARTË TË PROKURORISË </w:t>
      </w:r>
    </w:p>
    <w:p w14:paraId="271D5385" w14:textId="77777777" w:rsidR="00F052F6" w:rsidRPr="003D5CE4" w:rsidRDefault="00F052F6" w:rsidP="00F052F6">
      <w:pPr>
        <w:spacing w:after="0" w:line="240" w:lineRule="auto"/>
        <w:ind w:firstLine="284"/>
        <w:jc w:val="right"/>
        <w:rPr>
          <w:rFonts w:ascii="Garamond" w:hAnsi="Garamond"/>
          <w:b/>
          <w:sz w:val="24"/>
          <w:szCs w:val="24"/>
        </w:rPr>
      </w:pPr>
      <w:r w:rsidRPr="003D5CE4">
        <w:rPr>
          <w:rFonts w:ascii="Garamond" w:hAnsi="Garamond"/>
          <w:b/>
          <w:sz w:val="24"/>
          <w:szCs w:val="24"/>
        </w:rPr>
        <w:t xml:space="preserve">Alfred Balla </w:t>
      </w:r>
    </w:p>
    <w:p w14:paraId="2B19DD8D"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1A55219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RREGULLORE</w:t>
      </w:r>
    </w:p>
    <w:p w14:paraId="4EF6A6F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PËR VLERËSIMIN ETIK DHE PROFESIONAL TË PROKURORËVE</w:t>
      </w:r>
    </w:p>
    <w:p w14:paraId="677087BB"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sz w:val="24"/>
          <w:szCs w:val="24"/>
        </w:rPr>
      </w:pPr>
    </w:p>
    <w:p w14:paraId="6313F2A3"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KREU I</w:t>
      </w:r>
    </w:p>
    <w:p w14:paraId="0F505207"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DISPOZITA TË PËRGJITHSHME</w:t>
      </w:r>
    </w:p>
    <w:p w14:paraId="17677EDB" w14:textId="77777777" w:rsidR="00F052F6" w:rsidRPr="003D5CE4" w:rsidRDefault="00F052F6" w:rsidP="00F052F6">
      <w:pPr>
        <w:autoSpaceDE w:val="0"/>
        <w:autoSpaceDN w:val="0"/>
        <w:adjustRightInd w:val="0"/>
        <w:spacing w:after="0" w:line="240" w:lineRule="auto"/>
        <w:ind w:firstLine="284"/>
        <w:rPr>
          <w:rFonts w:ascii="Garamond" w:hAnsi="Garamond" w:cs="Times New Roman"/>
          <w:bCs/>
          <w:sz w:val="24"/>
          <w:szCs w:val="24"/>
        </w:rPr>
      </w:pPr>
    </w:p>
    <w:p w14:paraId="787A66C1"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1</w:t>
      </w:r>
    </w:p>
    <w:p w14:paraId="0AC4FA1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Qëllimi i rregullores</w:t>
      </w:r>
    </w:p>
    <w:p w14:paraId="41BB277C"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sz w:val="24"/>
          <w:szCs w:val="24"/>
        </w:rPr>
      </w:pPr>
    </w:p>
    <w:p w14:paraId="43E6A5C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Qëllimi i kësaj rregulloreje, është:</w:t>
      </w:r>
    </w:p>
    <w:p w14:paraId="0273769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Vlerësimi etik dhe profesional i prokurorëve, si elementi bazë i zhvillimit të karrierës dhe përmirësimit të vazhdueshëm të etikës dhe aftësive profesionale të prokurorëve.</w:t>
      </w:r>
    </w:p>
    <w:p w14:paraId="2298BBB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Vendosja e standardeve të qëndrueshme për cilësinë dhe sasinë e punës së prokurorëve.</w:t>
      </w:r>
    </w:p>
    <w:p w14:paraId="5866654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3. Rritja e efektivitetit dhe e cilësisë së punës së prokurorëve, forcimi i pavarësisë dhe integritetit të tyre, si dhe identifikimi i prokurorëve që kanë aftësi të veçanta profesionale për sistemin.</w:t>
      </w:r>
    </w:p>
    <w:p w14:paraId="6B4820B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4. Përcaktimi i mënyrës së kryerjes së vlerësimit të prokurorëve.</w:t>
      </w:r>
    </w:p>
    <w:p w14:paraId="491B269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sz w:val="24"/>
          <w:szCs w:val="24"/>
        </w:rPr>
      </w:pPr>
    </w:p>
    <w:p w14:paraId="31A3D46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2</w:t>
      </w:r>
    </w:p>
    <w:p w14:paraId="75186F0C"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Objekti</w:t>
      </w:r>
    </w:p>
    <w:p w14:paraId="45691453"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6B3D7C7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trike/>
          <w:sz w:val="24"/>
          <w:szCs w:val="24"/>
        </w:rPr>
      </w:pPr>
      <w:r w:rsidRPr="003D5CE4">
        <w:rPr>
          <w:rFonts w:ascii="Garamond" w:hAnsi="Garamond" w:cs="Times New Roman"/>
          <w:sz w:val="24"/>
          <w:szCs w:val="24"/>
        </w:rPr>
        <w:t>Objekti i kësaj rregulloreje është përcaktimi i rregullave që plotësojnë skemën e vlerësimit etik dhe profesional të prokurorëve, në bazë dhe për zbatim të ligjit nr. 96/2016, “Për statusin e gjyqtarëve dhe të prokurorëve në Republikën e Shqipërisë”, i ndryshuar.</w:t>
      </w:r>
    </w:p>
    <w:p w14:paraId="30DC793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1522C4E4"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3</w:t>
      </w:r>
    </w:p>
    <w:p w14:paraId="71E8221C"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Fusha e zbatimit</w:t>
      </w:r>
    </w:p>
    <w:p w14:paraId="717190B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2CC9C91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Kjo rregullore zbatohet për vlerësimin etik dhe profesional të</w:t>
      </w:r>
      <w:r w:rsidRPr="003D5CE4">
        <w:rPr>
          <w:rFonts w:ascii="Garamond" w:hAnsi="Garamond" w:cs="Times New Roman"/>
          <w:b/>
          <w:bCs/>
          <w:sz w:val="24"/>
          <w:szCs w:val="24"/>
        </w:rPr>
        <w:t xml:space="preserve"> </w:t>
      </w:r>
      <w:r w:rsidRPr="003D5CE4">
        <w:rPr>
          <w:rFonts w:ascii="Garamond" w:hAnsi="Garamond" w:cs="Times New Roman"/>
          <w:sz w:val="24"/>
          <w:szCs w:val="24"/>
        </w:rPr>
        <w:t xml:space="preserve">prokurorëve, të caktuar në një pozicion në prokurori, të cilët kanë ushtruar detyrën e prokurorit gjatë periudhës së vlerësimit. </w:t>
      </w:r>
    </w:p>
    <w:p w14:paraId="543581D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Këto rregulla nuk zbatohen për vlerësimin etik dhe profesional, të:</w:t>
      </w:r>
    </w:p>
    <w:p w14:paraId="23C36F0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a) drejtuesit të prokurorisë, për veprimtarinë si drejtues;</w:t>
      </w:r>
    </w:p>
    <w:p w14:paraId="1B860E9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b) anëtarit prokuror të Këshillit të Lartë të Prokurorisë, për kohën që ai ushtron këtë funksion;</w:t>
      </w:r>
    </w:p>
    <w:p w14:paraId="00E9BA0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c) prokurorit në skemën e delegimit ose të komanduar në Këshillin e Lartë të Prokurorisë ose Prokurorinë e Përgjithshme.</w:t>
      </w:r>
    </w:p>
    <w:p w14:paraId="219260D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Rregullat që plotësojnë skemën e vlerësimit etik dhe profesional të këtyre subjekteve miratohen me rregullore të veçantë të Këshillit të Lartë Prokurorisë. </w:t>
      </w:r>
    </w:p>
    <w:p w14:paraId="079A81E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3. Këto rregulla nuk zbatohen për prokurorin e komanduar në struktura të tjera nga ato të përcaktuara në pikën 2, i cili ruan statusin e magjistratit. Veprimtaria e tij vlerësohet nga vetë institucioni, sipas sistemit të vlerësimit të strukturës përkatëse, ku është komanduar.</w:t>
      </w:r>
    </w:p>
    <w:p w14:paraId="4D7595A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32FB01FF"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4</w:t>
      </w:r>
    </w:p>
    <w:p w14:paraId="62885905"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Përkufizime</w:t>
      </w:r>
    </w:p>
    <w:p w14:paraId="23CBF64D"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62B4A78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Për qëllime të kësaj rregulloreje, termat e mëposhtëm kanë këto kuptime:</w:t>
      </w:r>
    </w:p>
    <w:p w14:paraId="478B27A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a) “Dosja e vlerësimit” është dosja e hapur për secilin prokuror që përmban dokumentet e cituara në nenin 90, të ligjit nr. 96/2016, “Për statusin e gjyqtarëve dhe të prokurorëve në Republikën e Shqipërisë”, i ndryshuar;</w:t>
      </w:r>
    </w:p>
    <w:p w14:paraId="407C199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b) “Drejtuesi” është drejtuesi i prokurorisë, ku prokurori ka ushtruar detyrën gjatë periudhës së vlerësimit; </w:t>
      </w:r>
    </w:p>
    <w:p w14:paraId="73ED8D7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c) “Këshilli” është Këshilli i Lartë i Prokurorisë;</w:t>
      </w:r>
    </w:p>
    <w:p w14:paraId="7B59EEF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ç) “Komisioni” është Komisioni i Vlerësimit të Veprimtarisë Etike dhe Profesionale në Këshill; </w:t>
      </w:r>
    </w:p>
    <w:p w14:paraId="4432666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d) “Këshilltari për vlerësimin” është prokurori i komanduar pranë Këshillit, pjesë e njësisë mbështetëse të komisioneve, i ngarkuar me përgatitjen e akteve në dobi të procesit të vlerësimit; </w:t>
      </w:r>
    </w:p>
    <w:p w14:paraId="5C8F7F6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dh) “Ligji për statusin” është ligji nr. 96/2016, “Për statusin e gjyqtarëve dhe të prokurorëve në Republikën e Shqipërisë”, i ndryshuar;</w:t>
      </w:r>
    </w:p>
    <w:p w14:paraId="08180B5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e) “Raporti analitik” është akti që hartohet nga këshilltari për vlerësimin, nën mbikëqyrjen e relatorit;</w:t>
      </w:r>
    </w:p>
    <w:p w14:paraId="1D777F1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ë) “Relatori” është anëtari i Komisionit të Vlerësimit të Veprimtarisë Etike dhe Profesionale në Këshill dhe/ose anëtari zëvendësues, i caktuar me short për çdo vlerësim;</w:t>
      </w:r>
    </w:p>
    <w:p w14:paraId="0C536C9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f) “Projektraporti i vlerësimit” është akti i hartuar nga relatori që përmban, për secilin prokuror, të dhënat dhe informacionet sipas nenit 93, të ligjit për statusin, analizën e tyre dhe propozimin për nivelin e vlerësimit.</w:t>
      </w:r>
    </w:p>
    <w:p w14:paraId="7779075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g) “Vlerësim i përshpejtuar me kërkesë” është vlerësimi që kryhet në zbatim të nenit 97, të ligjit për statusin. </w:t>
      </w:r>
    </w:p>
    <w:p w14:paraId="791C4AF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gj) “Vlerësim i përshpejtuar i detyruar” është vlerësimi që kryen Këshilli në periudhën kalimtare, sipas nenit 25, të ligjit nr. 48/2019, “Për disa shtesa dhe ndryshime në ligjin nr. 96/2016, “Për statusin e gjyqtarëve dhe prokurorëve në Republikën e Shqipërisë”.</w:t>
      </w:r>
    </w:p>
    <w:p w14:paraId="4D7480A1" w14:textId="77777777" w:rsidR="00F052F6"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0F4A67DC" w14:textId="77777777" w:rsidR="003464CC" w:rsidRDefault="003464CC" w:rsidP="00F052F6">
      <w:pPr>
        <w:autoSpaceDE w:val="0"/>
        <w:autoSpaceDN w:val="0"/>
        <w:adjustRightInd w:val="0"/>
        <w:spacing w:after="0" w:line="240" w:lineRule="auto"/>
        <w:ind w:firstLine="284"/>
        <w:jc w:val="both"/>
        <w:rPr>
          <w:rFonts w:ascii="Garamond" w:hAnsi="Garamond" w:cs="Times New Roman"/>
          <w:sz w:val="24"/>
          <w:szCs w:val="24"/>
        </w:rPr>
      </w:pPr>
    </w:p>
    <w:p w14:paraId="347F2203" w14:textId="77777777" w:rsidR="003464CC" w:rsidRDefault="003464CC" w:rsidP="00F052F6">
      <w:pPr>
        <w:autoSpaceDE w:val="0"/>
        <w:autoSpaceDN w:val="0"/>
        <w:adjustRightInd w:val="0"/>
        <w:spacing w:after="0" w:line="240" w:lineRule="auto"/>
        <w:ind w:firstLine="284"/>
        <w:jc w:val="both"/>
        <w:rPr>
          <w:rFonts w:ascii="Garamond" w:hAnsi="Garamond" w:cs="Times New Roman"/>
          <w:sz w:val="24"/>
          <w:szCs w:val="24"/>
        </w:rPr>
      </w:pPr>
    </w:p>
    <w:p w14:paraId="0C48A4AF" w14:textId="77777777" w:rsidR="003464CC" w:rsidRPr="003D5CE4" w:rsidRDefault="003464CC" w:rsidP="00F052F6">
      <w:pPr>
        <w:autoSpaceDE w:val="0"/>
        <w:autoSpaceDN w:val="0"/>
        <w:adjustRightInd w:val="0"/>
        <w:spacing w:after="0" w:line="240" w:lineRule="auto"/>
        <w:ind w:firstLine="284"/>
        <w:jc w:val="both"/>
        <w:rPr>
          <w:rFonts w:ascii="Garamond" w:hAnsi="Garamond" w:cs="Times New Roman"/>
          <w:sz w:val="24"/>
          <w:szCs w:val="24"/>
        </w:rPr>
      </w:pPr>
    </w:p>
    <w:p w14:paraId="0977826C"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5</w:t>
      </w:r>
    </w:p>
    <w:p w14:paraId="48D32C3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Parimet e vlerësimit</w:t>
      </w:r>
    </w:p>
    <w:p w14:paraId="68544904"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0482152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lastRenderedPageBreak/>
        <w:t xml:space="preserve">Vlerësimi i prokurorëve bazohet dhe kryhet në përputhje me parimet e pavarësisë, meritokracisë dhe zhvillimit të karrierës, efikasitetit, procesit të rregullt ligjor dhe konfidencialitetit. </w:t>
      </w:r>
    </w:p>
    <w:p w14:paraId="0D71D52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630A1EAA"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6</w:t>
      </w:r>
    </w:p>
    <w:p w14:paraId="16474B22"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Periudha e vlerësimit</w:t>
      </w:r>
    </w:p>
    <w:p w14:paraId="481A15FE"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2BCA856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Për çdo prokuror përcaktohet periudha e vlerësimit në bazë të viteve të përvojës profesionale, sipas parashikimeve të nenit 84, pikat 1 dhe 2, të ligjit për statusin.</w:t>
      </w:r>
    </w:p>
    <w:p w14:paraId="136D330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Periudha e lejes së papaguar nuk llogaritet si përvojë profesionale për efekt të përcaktimit të periudhës së vlerësimit. </w:t>
      </w:r>
    </w:p>
    <w:p w14:paraId="5F4BBFF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3. Periudha e vlerësimit përbëhet nga vite kalendarike dhe fillon në datën 1 janar të vitit të parë të periudhës së vlerësimit. </w:t>
      </w:r>
    </w:p>
    <w:p w14:paraId="780FCBC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4. Gjatë periudhës së vlerësimit, tre</w:t>
      </w:r>
      <w:r>
        <w:rPr>
          <w:rFonts w:ascii="Garamond" w:hAnsi="Garamond" w:cs="Times New Roman"/>
          <w:sz w:val="24"/>
          <w:szCs w:val="24"/>
        </w:rPr>
        <w:t>-</w:t>
      </w:r>
      <w:r w:rsidRPr="003D5CE4">
        <w:rPr>
          <w:rFonts w:ascii="Garamond" w:hAnsi="Garamond" w:cs="Times New Roman"/>
          <w:sz w:val="24"/>
          <w:szCs w:val="24"/>
        </w:rPr>
        <w:t xml:space="preserve"> ose pesëvjeçar, Këshilli vlerëson prokurorin, pavarësisht nga koha e ushtrimit prej tij të detyrës, e cila gjithsesi nuk mund të jetë më pak se një vit. </w:t>
      </w:r>
    </w:p>
    <w:p w14:paraId="11089C55"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12622E0A"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7</w:t>
      </w:r>
    </w:p>
    <w:p w14:paraId="5B8D0235"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Kriteret  e vlerësimit</w:t>
      </w:r>
    </w:p>
    <w:p w14:paraId="4B9A9D85"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sz w:val="24"/>
          <w:szCs w:val="24"/>
        </w:rPr>
      </w:pPr>
    </w:p>
    <w:p w14:paraId="0599D13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Vlerësimi etik dhe profesional i prokurorëve kryhet sipas kritereve të  mëposhtme:</w:t>
      </w:r>
    </w:p>
    <w:p w14:paraId="78FC9D1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a) aftësitë profesionale të prokurorit; </w:t>
      </w:r>
    </w:p>
    <w:p w14:paraId="0E22B72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b) aftësitë organizative; </w:t>
      </w:r>
    </w:p>
    <w:p w14:paraId="64D9E1B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c) etika dhe angazhimi ndaj vlerave profesionale të prokurorit; </w:t>
      </w:r>
    </w:p>
    <w:p w14:paraId="15B5BF7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d) aftësitë personale dhe angazhimi profesional. </w:t>
      </w:r>
    </w:p>
    <w:p w14:paraId="787F0DB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Vlerësimi etik dhe profesional i prokurorit kryhet sipas kritereve të vlerësimit, të matura nga treguesit përbërës për secilin kriter, sipas metodologjisë së pikëzimit, me qëllim përcaktimin e nivelit të vlerësimit të prokurorit.</w:t>
      </w:r>
    </w:p>
    <w:p w14:paraId="3D3E55B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3. Standardet e nevojshme për matjen e treguesve përcaktohen në aneksin nr. 1, bashkëlidhur kësaj rregulloreje. Standardet matëse zbatohen, duke individualizuar pozicionin e prokurorit në prokurori, lidhur me shkallën, juridiksionin dhe përkatësinë në seksion të posaçëm.</w:t>
      </w:r>
    </w:p>
    <w:p w14:paraId="1B6B095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4. Nëse prokurori ka ushtruar detyrën në pozicione të ndryshme brenda një viti kalendarik, aplikohen standardet matëse të vlerësimit të lidhura me pozicionin ku prokurori ka ushtruar më gjatë detyrën.</w:t>
      </w:r>
    </w:p>
    <w:p w14:paraId="74527A3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5. Vlerësimi etik dhe profesional ndjek me rigorozitet rregullin e formalizmit, duke dokumentuar me shkrim çdo veprim që kryhet, i cili më pas përfshihet në dosjen e vlerësimit. </w:t>
      </w:r>
    </w:p>
    <w:p w14:paraId="1B2681F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sz w:val="24"/>
          <w:szCs w:val="24"/>
        </w:rPr>
      </w:pPr>
    </w:p>
    <w:p w14:paraId="2F55BF2C"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8</w:t>
      </w:r>
    </w:p>
    <w:p w14:paraId="0793C2EB"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Përfundimi i procedurës pa vendim përfundimtar</w:t>
      </w:r>
    </w:p>
    <w:p w14:paraId="4AA9733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61B691A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Kur Këshilli vendos mbarimin e statusit të një prokurori, për veprimtarinë e të cilit ka filluar vlerësimi etik dhe profesional, deklarohet përfundimi i procedurës së vlerësimit pa vendim përfundimtar.</w:t>
      </w:r>
    </w:p>
    <w:p w14:paraId="33FF5B4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59E28E03" w14:textId="77777777" w:rsidR="003464CC" w:rsidRDefault="003464CC" w:rsidP="00F052F6">
      <w:pPr>
        <w:autoSpaceDE w:val="0"/>
        <w:autoSpaceDN w:val="0"/>
        <w:adjustRightInd w:val="0"/>
        <w:spacing w:after="0" w:line="240" w:lineRule="auto"/>
        <w:ind w:firstLine="284"/>
        <w:jc w:val="center"/>
        <w:rPr>
          <w:rFonts w:ascii="Garamond" w:hAnsi="Garamond" w:cs="Times New Roman"/>
          <w:bCs/>
          <w:sz w:val="24"/>
          <w:szCs w:val="24"/>
        </w:rPr>
      </w:pPr>
    </w:p>
    <w:p w14:paraId="636EEB05" w14:textId="77777777" w:rsidR="003464CC" w:rsidRDefault="003464CC" w:rsidP="00F052F6">
      <w:pPr>
        <w:autoSpaceDE w:val="0"/>
        <w:autoSpaceDN w:val="0"/>
        <w:adjustRightInd w:val="0"/>
        <w:spacing w:after="0" w:line="240" w:lineRule="auto"/>
        <w:ind w:firstLine="284"/>
        <w:jc w:val="center"/>
        <w:rPr>
          <w:rFonts w:ascii="Garamond" w:hAnsi="Garamond" w:cs="Times New Roman"/>
          <w:bCs/>
          <w:sz w:val="24"/>
          <w:szCs w:val="24"/>
        </w:rPr>
      </w:pPr>
    </w:p>
    <w:p w14:paraId="313B082B" w14:textId="77777777" w:rsidR="003464CC" w:rsidRDefault="003464CC" w:rsidP="00F052F6">
      <w:pPr>
        <w:autoSpaceDE w:val="0"/>
        <w:autoSpaceDN w:val="0"/>
        <w:adjustRightInd w:val="0"/>
        <w:spacing w:after="0" w:line="240" w:lineRule="auto"/>
        <w:ind w:firstLine="284"/>
        <w:jc w:val="center"/>
        <w:rPr>
          <w:rFonts w:ascii="Garamond" w:hAnsi="Garamond" w:cs="Times New Roman"/>
          <w:bCs/>
          <w:sz w:val="24"/>
          <w:szCs w:val="24"/>
        </w:rPr>
      </w:pPr>
    </w:p>
    <w:p w14:paraId="665CE2C4"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9</w:t>
      </w:r>
    </w:p>
    <w:p w14:paraId="147479B5"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Prokurori që vlerësohet</w:t>
      </w:r>
    </w:p>
    <w:p w14:paraId="536DDBEF"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389B4F1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Prokurori që vlerësohet është prokurori që është përcaktuar në listën  e miratuar nga Këshilli për vlerësimin etik dhe profesional, për vlerësimin 3- ose 5-vjeçar, si dhe prokurori, i cili ka kërkuar vlerësim të përshpejtuar ose për të cilin duhet të kryhet vlerësimi i përshpejtuar.</w:t>
      </w:r>
    </w:p>
    <w:p w14:paraId="39361B7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lastRenderedPageBreak/>
        <w:t>2. Prokurori që vlerësohet është i detyruar, që:</w:t>
      </w:r>
    </w:p>
    <w:p w14:paraId="6BC7A21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a) të komunikojë dhe t’u përgjigjet kërkesave që lidhen me vlerësimin etik dhe profesional të tij; </w:t>
      </w:r>
    </w:p>
    <w:p w14:paraId="64A1C5E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b) të dorëzojë pranë drejtuesit të prokurorisë, ku ushtron funksionin, brenda tri javëve nga data  e marrjes së njoftimit,  vlerësimin e kryer prej tij, si dhe vendimet gjyqësore ose aktet e hartuara dhe të përzgjedhura prej tij, të cilat  nuk duhet të jenë më shumë se dy në vit. </w:t>
      </w:r>
    </w:p>
    <w:p w14:paraId="2D32642C"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0139AE60"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10</w:t>
      </w:r>
    </w:p>
    <w:p w14:paraId="1CE349CE"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Drejtuesi i prokurorisë</w:t>
      </w:r>
    </w:p>
    <w:p w14:paraId="56932EC4"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6775ECC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1. Drejtuesi i prokurorisë është ai drejtues, ku prokurori që vlerësohet ka ushtruar aktivitetin  gjatë periudhës së vlerësimit. </w:t>
      </w:r>
    </w:p>
    <w:p w14:paraId="32089EA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Drejtuesi i prokurorisë është përgjegjës, për:</w:t>
      </w:r>
    </w:p>
    <w:p w14:paraId="0FBB2DC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a) të dhënat statistikore dhe çdo të dhënë tjetër të përcaktuar në këtë rregullore, që administrohen nga prokuroria ku ai është drejtues dhe janë në kompetencën e tij dhe që i kërkohen nga relatori;</w:t>
      </w:r>
    </w:p>
    <w:p w14:paraId="1AD8259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b) marrjen e masave për hedhjen e shortit në ambientet e prokurorisë, për përzgjedhjen e çështjeve dhe akteve për vlerësimin e prokurorit;</w:t>
      </w:r>
    </w:p>
    <w:p w14:paraId="7126630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c) paraqitjen e mendimit për veprimtarinë e prokurorit, në përputhje me standardet e përcaktuara në aneksin 3 “Formulari i integruar i vlerësimit”, që  i bashkëngjitet kësaj rregulloreje. </w:t>
      </w:r>
    </w:p>
    <w:p w14:paraId="68B1C93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 </w:t>
      </w:r>
    </w:p>
    <w:p w14:paraId="07818D37"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11</w:t>
      </w:r>
    </w:p>
    <w:p w14:paraId="101333FA"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 xml:space="preserve"> Këshilltari për vlerësimin</w:t>
      </w:r>
    </w:p>
    <w:p w14:paraId="4BBDABC0"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4672CBD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Këshilltari për vlerësimin është prokurori i komanduar pranë Këshillit, pjesë e njësisë mbështetëse të komisioneve.</w:t>
      </w:r>
    </w:p>
    <w:p w14:paraId="3D0341A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Këshilltari për vlerësimin, nën mbikëqyrjen e relatorit, është përgjegjës, për:</w:t>
      </w:r>
    </w:p>
    <w:p w14:paraId="40F9E31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a) mbledhjen e dokumentacionit dhe krijimin e dosjes së vlerësimit;</w:t>
      </w:r>
    </w:p>
    <w:p w14:paraId="4D89607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b) hartimin e raportit analitik;</w:t>
      </w:r>
    </w:p>
    <w:p w14:paraId="2A45914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c) çdo detyrë tjetër të caktuar në ligj dhe në këtë rregullore.</w:t>
      </w:r>
    </w:p>
    <w:p w14:paraId="49E38D3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39AE3055"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12</w:t>
      </w:r>
    </w:p>
    <w:p w14:paraId="6A80F82E"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Roli i relatorit</w:t>
      </w:r>
    </w:p>
    <w:p w14:paraId="70BDEB9A"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41046C8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Relator është anëtari i Komisionit dhe/ose anëtari zëvendësues, i caktuar me short për çdo vlerësim.</w:t>
      </w:r>
    </w:p>
    <w:p w14:paraId="61C555E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Përveç rasteve të konfliktit të interesit apo pamundësisë në ushtrimin e funksionit, bazuar në arsye që lidhen me ngarkesën dhe efektivitetin e punës, me kërkesë të motivuar të kryetarit të Komisionit ose të çdo anëtari të Komisionit, Këshilli mund të vendosë: </w:t>
      </w:r>
    </w:p>
    <w:p w14:paraId="6A7E7D3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a) përjashtimin e një anëtari të Komisionit nga shorti; </w:t>
      </w:r>
    </w:p>
    <w:p w14:paraId="1196036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b) përfshirjen në procedurat e shortit për caktimin e relatorit, të anëtarëve zëvendësues. Në këtë rast, anëtari zëvendësues që përfshihet në short, zgjidhet sipas përkatësisë, prokuror ose joprokuror, të anëtarit që zëvendëson;</w:t>
      </w:r>
    </w:p>
    <w:p w14:paraId="430CE27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c) rregulla të tjera për mënyrën e hedhjes së shortit, në varësi të rrethanave dhe në funksion të rritjes së efektivitetit dhe transparencës.</w:t>
      </w:r>
      <w:r w:rsidRPr="003D5CE4">
        <w:rPr>
          <w:rFonts w:ascii="Garamond" w:hAnsi="Garamond" w:cs="Times New Roman"/>
          <w:b/>
          <w:bCs/>
          <w:sz w:val="24"/>
          <w:szCs w:val="24"/>
        </w:rPr>
        <w:t xml:space="preserve"> </w:t>
      </w:r>
    </w:p>
    <w:p w14:paraId="60584EC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3. Relatori është përgjegjës për zhvillimin e procedurës së vlerësimit etik dhe profesional të prokurorit dhe merr masat e mëposhtme, për:</w:t>
      </w:r>
    </w:p>
    <w:p w14:paraId="36D35C4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a) përcaktimin e prokurorisë/ve, ku prokurori ka ushtruar funksionin në periudhën për të cilën bëhet vlerësimi;</w:t>
      </w:r>
    </w:p>
    <w:p w14:paraId="6587A87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lastRenderedPageBreak/>
        <w:t>b) njoftimin e prokurorit dhe drejtuesit për fillimin e procedurës së vlerësimit. Prokurori njoftohet me shkrim për relatorin dhe këshilltarin, të caktuar për vlerësimin e tij.</w:t>
      </w:r>
    </w:p>
    <w:p w14:paraId="2055EE0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c) mbledhjen e dokumentacionit të vlerësimit, duke bashkëpunuar dhe komunikuar me prokurorin, drejtuesin e prokurorisë dhe çdo institucion tjetër;</w:t>
      </w:r>
    </w:p>
    <w:p w14:paraId="1B99BA3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d) mbikëqyrjen e krijimit të dosjes së vlerësimit dhe të përgatitjes së raportit analitik;</w:t>
      </w:r>
    </w:p>
    <w:p w14:paraId="7388CB5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e) njoftimin e drejtuesit të Komisionit për krijimin e dosjes së vlerësimit dhe përgatitjen e raportit analitik; </w:t>
      </w:r>
    </w:p>
    <w:p w14:paraId="61EE4EE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4. Brenda një muaji nga marrja e akteve të vlerësimit nga drejtuesi i prokurorisë, relatori harton projektraportin e vlerësimit të prokurorit, në të cilin propozon vlerësimin e prokurorit sipas niveleve: Shkëlqyeshëm; Shumë mirë; Mirë; Mjaftueshëm, si dhe Pamjaftueshëm.</w:t>
      </w:r>
    </w:p>
    <w:p w14:paraId="0E56D77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5. Në kryerjen e funksioneve të tij, relatori mbështetet nga struktura administrative e Këshillit, e cila kryen të gjitha detyrat që kërkohen për vlerësimin nën drejtimin e tij.</w:t>
      </w:r>
    </w:p>
    <w:p w14:paraId="3494528F"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sz w:val="24"/>
          <w:szCs w:val="24"/>
        </w:rPr>
      </w:pPr>
    </w:p>
    <w:p w14:paraId="3930147D"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13</w:t>
      </w:r>
    </w:p>
    <w:p w14:paraId="048EBF67"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Roli i Komisionit</w:t>
      </w:r>
    </w:p>
    <w:p w14:paraId="73518A89"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sz w:val="24"/>
          <w:szCs w:val="24"/>
        </w:rPr>
      </w:pPr>
    </w:p>
    <w:p w14:paraId="1A3CABD9"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sz w:val="24"/>
          <w:szCs w:val="24"/>
        </w:rPr>
      </w:pPr>
      <w:r w:rsidRPr="003D5CE4">
        <w:rPr>
          <w:rFonts w:ascii="Garamond" w:hAnsi="Garamond" w:cs="Times New Roman"/>
          <w:sz w:val="24"/>
          <w:szCs w:val="24"/>
        </w:rPr>
        <w:t xml:space="preserve">Komisioni është përgjegjës, për: </w:t>
      </w:r>
    </w:p>
    <w:p w14:paraId="249963E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Përgatitjen dhe propozimin drejtuar Këshillit, brenda muajit nëntor, të programit vjetor të vlerësimit etik dhe profesional të prokurorëve për vitin pasardhës.</w:t>
      </w:r>
    </w:p>
    <w:p w14:paraId="2B9A2DA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Kujdeset dhe ndjek procedurën e vlerësimit për çdo prokuror të përcaktuar në listën e vlerësimit. </w:t>
      </w:r>
    </w:p>
    <w:p w14:paraId="54D5EA8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3. Pas krijimit të dosjes së vlerësimit dhe përgatitjes së raportit analitik, Komisioni vlerëson nëse dokumentacioni i dosjes së vlerësimit është i plotë e mund të vijohet me hartimin e projektraportit të vlerësimit, ose i kërkon relatorit marrjen e të dhënave të tjera nga burimet e vlerësimit, duke i përcaktuar ato.</w:t>
      </w:r>
    </w:p>
    <w:p w14:paraId="2D934A3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0692B530"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14</w:t>
      </w:r>
    </w:p>
    <w:p w14:paraId="453DB56C"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Roli i Këshillit</w:t>
      </w:r>
    </w:p>
    <w:p w14:paraId="6B65D8E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3D3F32F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Këshilli është përgjegjës për:</w:t>
      </w:r>
    </w:p>
    <w:p w14:paraId="3C93232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1. Miratimin brenda muajit nëntor të çdo viti, të programit vjetor të vlerësimit që do të realizohet në vitin pasardhës, me listën e prokurorëve, për të cilët përfundon ose ka përfunduar periudha e vlerësimit në vitin përkatës, si dhe periudhën e vlerësimit. Vendimi publikohet në faqen zyrtare të Këshillit. </w:t>
      </w:r>
    </w:p>
    <w:p w14:paraId="73B80E1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Miratimin, me ose pa ndryshime, të raportit përfundimtar të vlerësimit ose të kërkojë hartimin e një raporti të ri të vlerësimit nga relatori, pas shqyrtimit të projektraportit të vlerësimit dhe seancës dëgjimore, nëse ajo zhvillohet. </w:t>
      </w:r>
    </w:p>
    <w:p w14:paraId="7702804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3. Publikimin e ekstrakteve të raportit të vlerësimit dhe vendimit, të cilat pasqyrojnë të dhënat statistikore, analizën e të dhënave, nivelin e vlerësimit dhe arsyetimin për caktimin e këtij niveli, duke respektuar të drejtën e konfidencialitetit dhe mbrojtjes së të dhënave. </w:t>
      </w:r>
    </w:p>
    <w:p w14:paraId="35FFBC2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4. Hartimin e raportit të vlerësimit për veprimtarinë e vlerësimit të kryer në vitin paraardhës, raport i cili publikohet deri në fund të muajit mars të vitit pasardhës. </w:t>
      </w:r>
    </w:p>
    <w:p w14:paraId="2EE1B2A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5. Publikimin, çdo 3 vjet, të një raporti periodik për sistemin e vlerësimit, në të cilin pasqyrohet të paktën ky informacion:</w:t>
      </w:r>
    </w:p>
    <w:p w14:paraId="238EA68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a) përshkrimi i përgjithshëm i vlerësimeve të kryera gjatë periudhës që mbulon ky raport; </w:t>
      </w:r>
    </w:p>
    <w:p w14:paraId="3296587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b) analiza e përfundimeve të vlerësimit, duke identifikuar dobësitë dhe përparësitë e trupës së magjistratëve dhe të sistemit të prokurorisë; </w:t>
      </w:r>
    </w:p>
    <w:p w14:paraId="4CCB95A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c) analiza e efikasitetit të rekomandimeve të miratuara në periudhën raportuese pararendëse; </w:t>
      </w:r>
    </w:p>
    <w:p w14:paraId="3939271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ç) rekomandimet për masat që duhen marrë për të kapërcyer dobësitë e identifikuara.</w:t>
      </w:r>
    </w:p>
    <w:p w14:paraId="609EA8F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6. Raporti periodik publikohet deri në fund të muajit mars të vitit që vjen</w:t>
      </w:r>
      <w:r w:rsidRPr="003D5CE4">
        <w:rPr>
          <w:rFonts w:ascii="Garamond" w:hAnsi="Garamond" w:cs="Calibri"/>
          <w:sz w:val="24"/>
          <w:szCs w:val="24"/>
        </w:rPr>
        <w:t>,</w:t>
      </w:r>
      <w:r w:rsidRPr="003D5CE4">
        <w:rPr>
          <w:rFonts w:ascii="Garamond" w:hAnsi="Garamond" w:cs="Times New Roman"/>
          <w:sz w:val="24"/>
          <w:szCs w:val="24"/>
        </w:rPr>
        <w:t xml:space="preserve"> pas periudhës që mbulohet nga ky raport. </w:t>
      </w:r>
    </w:p>
    <w:p w14:paraId="41C55B0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4B4318ED"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KREU II</w:t>
      </w:r>
    </w:p>
    <w:p w14:paraId="68202B10"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PROCEDURA E VLERËSIMIT ETIK DHE PROFESIONAL</w:t>
      </w:r>
    </w:p>
    <w:p w14:paraId="35210564"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p>
    <w:p w14:paraId="4ED89B7A"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15</w:t>
      </w:r>
    </w:p>
    <w:p w14:paraId="66D18277"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Fazat e vlerësimit</w:t>
      </w:r>
    </w:p>
    <w:p w14:paraId="0E8705B2"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6CF237C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Vlerësimi etik dhe profesional zhvillohet sipas fazave të mëposhtme:</w:t>
      </w:r>
    </w:p>
    <w:p w14:paraId="2353D83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a) veprimet paraprake, të cilat përfshijnë hartimin, miratimin dhe publikimin e programit vjetor të vlerësimeve, caktimin e relatorit dhe të këshilltarit përgjegjës për çdo vlerësim; </w:t>
      </w:r>
    </w:p>
    <w:p w14:paraId="629B867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b) mbledhja e dokumentacionit dhe krijimi i dosjes së vlerësimit nga këshilltari përgjegjës për vlerësimin, nën mbikëqyrjen e relatorit;</w:t>
      </w:r>
    </w:p>
    <w:p w14:paraId="0383133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c) hartimi i raportit analitik nga këshilltari përgjegjës për vlerësimin;</w:t>
      </w:r>
    </w:p>
    <w:p w14:paraId="568532D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d) shqyrtimi i plotësimit të procedurave të vlerësimit nga Komisioni;</w:t>
      </w:r>
    </w:p>
    <w:p w14:paraId="4EFB763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e) hartimi i projektraportit të vlerësimit nga relatori;</w:t>
      </w:r>
    </w:p>
    <w:p w14:paraId="1FF2B9E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sz w:val="24"/>
          <w:szCs w:val="24"/>
        </w:rPr>
      </w:pPr>
      <w:r w:rsidRPr="003D5CE4">
        <w:rPr>
          <w:rFonts w:ascii="Garamond" w:hAnsi="Garamond" w:cs="Times New Roman"/>
          <w:sz w:val="24"/>
          <w:szCs w:val="24"/>
        </w:rPr>
        <w:t>f) miratimi i projektraportit të vlerësimit nga Këshilli dhe publikimi i ekstrakteve të raportit të vlerësimit dhe të vendimit të vlerësimit.</w:t>
      </w:r>
    </w:p>
    <w:p w14:paraId="3DD1B26C" w14:textId="77777777" w:rsidR="00F052F6" w:rsidRPr="003D5CE4" w:rsidRDefault="00F052F6" w:rsidP="00F052F6">
      <w:pPr>
        <w:autoSpaceDE w:val="0"/>
        <w:autoSpaceDN w:val="0"/>
        <w:adjustRightInd w:val="0"/>
        <w:spacing w:after="0" w:line="240" w:lineRule="auto"/>
        <w:ind w:firstLine="284"/>
        <w:rPr>
          <w:rFonts w:ascii="Garamond" w:hAnsi="Garamond" w:cs="Times New Roman"/>
          <w:sz w:val="24"/>
          <w:szCs w:val="24"/>
        </w:rPr>
      </w:pPr>
    </w:p>
    <w:p w14:paraId="30B6B03A"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16</w:t>
      </w:r>
    </w:p>
    <w:p w14:paraId="6B93767C"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Programi i vlerësimit</w:t>
      </w:r>
    </w:p>
    <w:p w14:paraId="133575F3"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04FAAB5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Me propozim të Komisionit, Këshilli miraton brenda muajit nëntor të çdo viti, programin vjetor të vlerësimit etik dhe profesional të prokurorëve. Programi vjetor përmban listën e prokurorëve për të cilët do të kryhet vlerësimi përgjatë vitit në vazhdim, periudhën e vlerësimit</w:t>
      </w:r>
      <w:r w:rsidRPr="003D5CE4">
        <w:rPr>
          <w:rFonts w:ascii="Garamond" w:hAnsi="Garamond" w:cs="Times New Roman"/>
          <w:b/>
          <w:bCs/>
          <w:sz w:val="24"/>
          <w:szCs w:val="24"/>
        </w:rPr>
        <w:t xml:space="preserve"> </w:t>
      </w:r>
      <w:r w:rsidRPr="003D5CE4">
        <w:rPr>
          <w:rFonts w:ascii="Garamond" w:hAnsi="Garamond" w:cs="Times New Roman"/>
          <w:sz w:val="24"/>
          <w:szCs w:val="24"/>
        </w:rPr>
        <w:t xml:space="preserve">dhe, për aq sa është e mundur, planifikimin tremujor të vlerësimeve individuale, duke garantuar një organizim efikas të procedurave të vlerësimit, si dhe lehtësimin e zhvillimit të shortit. </w:t>
      </w:r>
    </w:p>
    <w:p w14:paraId="1F8C0E1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Në përgatitjen e projektprogramit, Komisioni mbështetet nga njësia e burimeve njerëzore. Kjo njësi, brenda muajit shtator, i paraqet Komisionit listën emërore të prokurorëve, të përditësuar me të dhënat e mëposhtme:</w:t>
      </w:r>
    </w:p>
    <w:p w14:paraId="5B042D0A" w14:textId="77777777" w:rsidR="00F052F6" w:rsidRPr="003D5CE4" w:rsidRDefault="00F052F6" w:rsidP="00F052F6">
      <w:pPr>
        <w:autoSpaceDE w:val="0"/>
        <w:autoSpaceDN w:val="0"/>
        <w:adjustRightInd w:val="0"/>
        <w:spacing w:after="0" w:line="240" w:lineRule="auto"/>
        <w:ind w:firstLine="284"/>
        <w:rPr>
          <w:rFonts w:ascii="Garamond" w:hAnsi="Garamond" w:cs="Times New Roman"/>
          <w:sz w:val="24"/>
          <w:szCs w:val="24"/>
        </w:rPr>
      </w:pPr>
      <w:r w:rsidRPr="003D5CE4">
        <w:rPr>
          <w:rFonts w:ascii="Garamond" w:hAnsi="Garamond" w:cs="Times New Roman"/>
          <w:sz w:val="24"/>
          <w:szCs w:val="24"/>
        </w:rPr>
        <w:t>a) vjetërsia në punë e secilit prokuror;</w:t>
      </w:r>
    </w:p>
    <w:p w14:paraId="4A40BF6F" w14:textId="77777777" w:rsidR="00F052F6" w:rsidRPr="003D5CE4" w:rsidRDefault="00F052F6" w:rsidP="00F052F6">
      <w:pPr>
        <w:autoSpaceDE w:val="0"/>
        <w:autoSpaceDN w:val="0"/>
        <w:adjustRightInd w:val="0"/>
        <w:spacing w:after="0" w:line="240" w:lineRule="auto"/>
        <w:ind w:firstLine="284"/>
        <w:rPr>
          <w:rFonts w:ascii="Garamond" w:hAnsi="Garamond" w:cs="Times New Roman"/>
          <w:sz w:val="24"/>
          <w:szCs w:val="24"/>
        </w:rPr>
      </w:pPr>
      <w:r w:rsidRPr="003D5CE4">
        <w:rPr>
          <w:rFonts w:ascii="Garamond" w:hAnsi="Garamond" w:cs="Times New Roman"/>
          <w:sz w:val="24"/>
          <w:szCs w:val="24"/>
        </w:rPr>
        <w:t>b) pozicioni i prokurorit;</w:t>
      </w:r>
    </w:p>
    <w:p w14:paraId="30FCE742" w14:textId="77777777" w:rsidR="00F052F6" w:rsidRPr="003D5CE4" w:rsidRDefault="00F052F6" w:rsidP="00F052F6">
      <w:pPr>
        <w:autoSpaceDE w:val="0"/>
        <w:autoSpaceDN w:val="0"/>
        <w:adjustRightInd w:val="0"/>
        <w:spacing w:after="0" w:line="240" w:lineRule="auto"/>
        <w:ind w:firstLine="284"/>
        <w:rPr>
          <w:rFonts w:ascii="Garamond" w:hAnsi="Garamond" w:cs="Times New Roman"/>
          <w:sz w:val="24"/>
          <w:szCs w:val="24"/>
        </w:rPr>
      </w:pPr>
      <w:r w:rsidRPr="003D5CE4">
        <w:rPr>
          <w:rFonts w:ascii="Garamond" w:hAnsi="Garamond" w:cs="Times New Roman"/>
          <w:sz w:val="24"/>
          <w:szCs w:val="24"/>
        </w:rPr>
        <w:t xml:space="preserve">c) periudha për të cilën prokurorit i është bërë vlerësimi i fundit; </w:t>
      </w:r>
    </w:p>
    <w:p w14:paraId="714091F6" w14:textId="77777777" w:rsidR="00F052F6" w:rsidRPr="003D5CE4" w:rsidRDefault="00F052F6" w:rsidP="00F052F6">
      <w:pPr>
        <w:autoSpaceDE w:val="0"/>
        <w:autoSpaceDN w:val="0"/>
        <w:adjustRightInd w:val="0"/>
        <w:spacing w:after="0" w:line="240" w:lineRule="auto"/>
        <w:ind w:firstLine="284"/>
        <w:rPr>
          <w:rFonts w:ascii="Garamond" w:hAnsi="Garamond" w:cs="Times New Roman"/>
          <w:sz w:val="24"/>
          <w:szCs w:val="24"/>
        </w:rPr>
      </w:pPr>
      <w:r w:rsidRPr="003D5CE4">
        <w:rPr>
          <w:rFonts w:ascii="Garamond" w:hAnsi="Garamond" w:cs="Times New Roman"/>
          <w:sz w:val="24"/>
          <w:szCs w:val="24"/>
        </w:rPr>
        <w:t>ç)  çdo të dhënë tjetër që Komisioni e vlerëson të nevojshme për qëllim të hartimit të programit.</w:t>
      </w:r>
    </w:p>
    <w:p w14:paraId="552C730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3. Projektprogrami hartohet, bazuar në parimin e kryerjes së vlerësimit etik dhe profesional të prokurorëve në kohën e duhur. Lista e prokurorëve përfshin detyrimisht të gjithë prokurorët, të cilëve u ka përfunduar ose u përfundon periudha e vlerësimit në vitin përkatës.</w:t>
      </w:r>
    </w:p>
    <w:p w14:paraId="25463D6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4. Vendimi që miraton programin vjetor të vlerësimit publikohet në faqen zyrtare të Këshillit. </w:t>
      </w:r>
    </w:p>
    <w:p w14:paraId="12AE21B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5. Brenda muajit janar, drejtuesit e prokurorive dërgojnë në Këshill të dhënat statistikore sipas formës standarde të parashikuar në aneksin nr. 2, bashkëlidhur kësaj rregulloreje, për të gjithë prokurorët e përfshirë në programin e vlerësimit. Bashkë me të dhënat statistikore, drejtuesi dërgon në Këshill informacionin lidhur me prokurorinë dhe seksionin ku prokurori ka ushtruar funksionin gjatë periudhës së vlerësimit. </w:t>
      </w:r>
    </w:p>
    <w:p w14:paraId="3D500AA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6. Një kopje e të dhënave statistikore individuale të përcjella në Këshill i dorëzohet njëkohësisht edhe prokurorit, subjekt vlerësimi. </w:t>
      </w:r>
    </w:p>
    <w:p w14:paraId="42B6543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67CA3CEA"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17</w:t>
      </w:r>
    </w:p>
    <w:p w14:paraId="548FC2E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Caktimi i relatorit dhe këshilltarit për vlerësimin</w:t>
      </w:r>
    </w:p>
    <w:p w14:paraId="2A353FAF"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57D8EAA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1. Para fillimit të çdo tremujori, Këshilli, me propozim të Komisionit, përcakton listën e prokurorëve që i nënshtrohen vlerësimit  për tremujorin në vazhdim, sipas programit të miratuar. </w:t>
      </w:r>
    </w:p>
    <w:p w14:paraId="37AEC67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Bazuar në listën e mësipërme, në mbledhje plenare, Këshilli cakton me short relatorin dhe këshilltarin përgjegjës për çdo vlerësim, duke mbajtur parasysh, për aq sa është e mundur, barazinë e shpërndarjes së punës. Për shkak të ngarkesës së punës dhe kur Komisioni e çmon të nevojshme, në shortin për zgjedhjen e relatorit përfshihen edhe anëtarët zëvendësues.</w:t>
      </w:r>
    </w:p>
    <w:p w14:paraId="4701574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3. Relatori, brenda tr</w:t>
      </w:r>
      <w:r>
        <w:rPr>
          <w:rFonts w:ascii="Garamond" w:hAnsi="Garamond" w:cs="Times New Roman"/>
          <w:sz w:val="24"/>
          <w:szCs w:val="24"/>
        </w:rPr>
        <w:t>i</w:t>
      </w:r>
      <w:r w:rsidRPr="003D5CE4">
        <w:rPr>
          <w:rFonts w:ascii="Garamond" w:hAnsi="Garamond" w:cs="Times New Roman"/>
          <w:sz w:val="24"/>
          <w:szCs w:val="24"/>
        </w:rPr>
        <w:t xml:space="preserve"> ditëve nga caktimi i tij, i njofton prokurorit fillimin e procedurës së vlerësimit sipas nenit 85, pika 2, të ligjit për statusin, emrin e këshilltarit përgjegjës për vlerësimin, si dhe të drejtën për të kërkuar përjashtimin e tyre. </w:t>
      </w:r>
    </w:p>
    <w:p w14:paraId="197DABD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4. Prokurori subjekt vlerësimi ka të drejtë të kërkojë përjashtimin e relatorit apo të këshilltarit përgjegjës për vlerësimin, jo më vonë se 3 ditë nga marrja dijeni e shkakut të përjashtimit, duke shoqëruar kërkesën, kur është rasti, me aktet provuese të shkakut të përjashtimit. Këtë të drejtë, prokurori e ka edhe ndaj çdo anëtari tjetër të Këshillit. </w:t>
      </w:r>
    </w:p>
    <w:p w14:paraId="05360C4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5. Këshilli vendos lidhur me kërkesën e prokurorit për përjashtimin e relatorit të çështjes dhe/ose të çdo anëtari tjetër të Këshillit apo të këshilltarit përgjegjës për vlerësimin, jo më vonë së 7 ditë nga paraqitja e saj. Nëse relatori i çështjes ose këshilltari përgjegjës për vlerësimin përjashtohet, Këshilli zhvillon menjëherë procedurat e shortit për ricaktimin e relatorit ose këshilltarit përgjegjës për vlerësimin.</w:t>
      </w:r>
    </w:p>
    <w:p w14:paraId="0582E4D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6. Njoftimi për fillimin e procedurës së vlerësimit i dërgohet drejtuesit dhe kancelarit të prokurorisë, ku prokurori ka ushtruar detyrën gjatë periudhës së vlerësimit. </w:t>
      </w:r>
    </w:p>
    <w:p w14:paraId="0991605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292A0D2D"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KREU III</w:t>
      </w:r>
    </w:p>
    <w:p w14:paraId="4D483ED4"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FORMULARI I INTEGRUAR I VLERËSIMIT DHE HAPAT</w:t>
      </w:r>
    </w:p>
    <w:p w14:paraId="679F2FCB"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PËR PLOTËSIMIN E TIJ</w:t>
      </w:r>
    </w:p>
    <w:p w14:paraId="60F9645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p>
    <w:p w14:paraId="5A8B8FDC"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18</w:t>
      </w:r>
    </w:p>
    <w:p w14:paraId="371AC97B"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Përmbajtja e formularit të integruar të vlerësimit të prokurorit</w:t>
      </w:r>
    </w:p>
    <w:p w14:paraId="19B0565E"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1CEE101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Formulari i integruar i vlerësimit të prokurorit përmban vetëvlerësimin e prokurorit dhe mendimin e</w:t>
      </w:r>
      <w:r w:rsidRPr="003D5CE4">
        <w:rPr>
          <w:rFonts w:ascii="Garamond" w:hAnsi="Garamond" w:cs="Times New Roman"/>
          <w:b/>
          <w:bCs/>
          <w:sz w:val="24"/>
          <w:szCs w:val="24"/>
        </w:rPr>
        <w:t xml:space="preserve"> </w:t>
      </w:r>
      <w:r w:rsidRPr="003D5CE4">
        <w:rPr>
          <w:rFonts w:ascii="Garamond" w:hAnsi="Garamond" w:cs="Times New Roman"/>
          <w:sz w:val="24"/>
          <w:szCs w:val="24"/>
        </w:rPr>
        <w:t xml:space="preserve">drejtuesit të prokurorisë. Formati standard i “Formularit të integruar të vlerësimit” të prokurorit  përcaktohet në aneksin nr. 3, bashkëlidhur kësaj rregulloreje. </w:t>
      </w:r>
    </w:p>
    <w:p w14:paraId="73EC282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Formulari i integruar i vlerësimit plotësohet në rubrikat përkatëse nga prokurori dhe drejtuesi i prokurorisë, në zbatim të neneve 86–87, të ligjit për statusin.</w:t>
      </w:r>
    </w:p>
    <w:p w14:paraId="45CE672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3. Formulari i integruar i vlerësimit të prokurorit përmban, veç mendimit të drejtuesit të prokurorisë (paraprak dhe përfundimtar), edhe kundërshtimet e mundshme të prokurorit për secilin nga kriteret, aspektet dhe treguesit e vlerësimit.</w:t>
      </w:r>
    </w:p>
    <w:p w14:paraId="1A57C8C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4. Formulari i integruar i vlerësimit është pjesë e akteve të vlerësimit dhe përbën burim vlerësimi, në kuptim të nenit 77, shkronjat “ç” dhe “d”, të ligjit për statusin.</w:t>
      </w:r>
    </w:p>
    <w:p w14:paraId="34BEB8C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13C2E057"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19</w:t>
      </w:r>
    </w:p>
    <w:p w14:paraId="362538BB"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Hapat për plotësimin e formularit të integruar të vlerësimit të prokurorit</w:t>
      </w:r>
    </w:p>
    <w:p w14:paraId="4CFE3094"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4E9A850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Brenda 3 javëve nga marrja e njoftimit të vendimit të Këshillit për fillimin e procesit të vlerësimit etik dhe profesional, prokurori plotëson formularin e integruar të vlerësimit, në rubrikat përkatëse të caktuara për të, dhe ia dorëzon drejtuesit të prokurorisë, ku prokurori ka ushtruar funksionin gjatë periudhës së vlerësimit.</w:t>
      </w:r>
    </w:p>
    <w:p w14:paraId="18EDCFD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Drejtuesi i prokurorisë ku prokurori ka ushtruar detyrën gjatë periudhës së vlerësimit, jep mendimin e tij, duke plotësuar rubrikën e këtij formulari, të emërtuar “Mendimi paraprak i drejtuesit të prokurorisë” dhe ia njofton atë prokurorit, jo më vonë se katër javë nga data e marrjes së njoftimit për fillimin e procesit të vlerësimit etiko-profesional.</w:t>
      </w:r>
    </w:p>
    <w:p w14:paraId="764AEF0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3. Brenda tr</w:t>
      </w:r>
      <w:r>
        <w:rPr>
          <w:rFonts w:ascii="Garamond" w:hAnsi="Garamond" w:cs="Times New Roman"/>
          <w:sz w:val="24"/>
          <w:szCs w:val="24"/>
        </w:rPr>
        <w:t>i</w:t>
      </w:r>
      <w:r w:rsidRPr="003D5CE4">
        <w:rPr>
          <w:rFonts w:ascii="Garamond" w:hAnsi="Garamond" w:cs="Times New Roman"/>
          <w:sz w:val="24"/>
          <w:szCs w:val="24"/>
        </w:rPr>
        <w:t xml:space="preserve"> ditëve nga njoftimi i mendimit paraprak, prokurori mund të ushtrojë të drejtën për t’u dëgjuar dhe paraqet kërkesë për zhvillimin e një takimi me drejtuesin e prokurorisë.</w:t>
      </w:r>
    </w:p>
    <w:p w14:paraId="33BFBDE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4. Pas realizimit të dëgjesës me prokurorin, sipas procedurës së parashikuar në nenin 87, të ligjit për statusin, drejtuesi i prokurorisë jep mendimin përfundimtar në lidhje me veprimtarinë e prokurorit, duke plotësuar rubrikën e këtij formulari, të emërtuar “Mendimi përfundimtar i drejtuesit të prokurorisë”.</w:t>
      </w:r>
    </w:p>
    <w:p w14:paraId="5DE5E85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5. Në rast se, në momentin e fillimit të procesit të vlerësimit etik dhe profesional, kompetencat e drejtuesit të prokurorisë ushtrohen nga zëvendësdrejtuesi i prokurorisë, formulari i mendimit përfundimtar të drejtuesit të prokurorisë plotësohet nga zëvendësdrejtuesi i prokurorisë.</w:t>
      </w:r>
    </w:p>
    <w:p w14:paraId="58102BA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6. Në rast se, gjatë periudhës së vlerësimit, prokurori që vlerësohet ka ushtruar detyrën në më shumë se një prokurori, formulari i integruar i vlerësimit plotësohet nga prokurori dhe drejtuesi i prokurorisë i secilës prokurori, për periudhën përkatëse.</w:t>
      </w:r>
    </w:p>
    <w:p w14:paraId="7F666BE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7. Në rastin kur prokurori që vlerësohet ushtron funksionet e drejtuesit të prokurorisë, formulari i integruar i vlerësimit plotësohet nga prokurori, vetëm për rubrikat e vetëvlerësimit, ndërsa rubrikat e “Mendimit të drejtuesit të prokurorisë” (paraprak dhe përfundimtar) mbeten të paplotësuara. </w:t>
      </w:r>
    </w:p>
    <w:p w14:paraId="17470B9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8. Formulari plotësohet në mënyrë elektronike dhe, pasi printohet, nënshkruhet nga prokurori dhe drejtuesi i prokurorisë.</w:t>
      </w:r>
    </w:p>
    <w:p w14:paraId="1B934A1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9. Pas realizimit të procedurës për plotësimin e formularit të integruar të vlerësimit, të parashikuar nga neni 87, i ligjit për statusin, por jo më vonë se 2 muaj nga marrja e njoftimit të vendimit të Këshillit për fillimin e procesit të vlerësimit etik dhe profesional të prokurorit, drejtuesi i prokurorisë dërgon pranë Këshillit, në format elektronik dhe shkresor, formularin e integruar të vlerësimit të prokurorit bashkë me aktet e vlerësimit, të përcaktuara në nenin 88, pika 2, të ligjit për statusin dhe në këtë rregullore.</w:t>
      </w:r>
    </w:p>
    <w:p w14:paraId="7C8DFF5C"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sz w:val="24"/>
          <w:szCs w:val="24"/>
        </w:rPr>
      </w:pPr>
    </w:p>
    <w:p w14:paraId="6E8A76A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20</w:t>
      </w:r>
    </w:p>
    <w:p w14:paraId="50F7368B"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Dokumentacioni shoqërues</w:t>
      </w:r>
    </w:p>
    <w:p w14:paraId="36F443CB"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53D99FA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Formularit të integruar të vlerësimit i bashkëngjiten dy vendime ose akte të hartuara prej prokurorit, të përzgjedhura prej prokurorit, për secilin vit vlerësimi, dokumente që tregojnë angazhimin në veprimtaritë profesionale ndërinstitucionale gjatë periudhës së vlerësimit, trajnimet jashtë programit të Shkollës së Magjistraturës, dokumente që evidentojnë veprimtarinë profesionale dhe çdo e dhënë tjetër e paraqitur nga prokurori.</w:t>
      </w:r>
    </w:p>
    <w:p w14:paraId="5ECED2D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Dokumentet për trajnimet jashtë programit të Shkollës së Magjistraturës duhet të evidentojnë përmbajtjen dhe kohëzgjatjen e trajnimit, si dhe të dhëna për institucionin që ka organizuar aktivitetin.</w:t>
      </w:r>
    </w:p>
    <w:p w14:paraId="3F7C322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28B4771B" w14:textId="77777777" w:rsidR="0084633F" w:rsidRDefault="0084633F" w:rsidP="00F052F6">
      <w:pPr>
        <w:autoSpaceDE w:val="0"/>
        <w:autoSpaceDN w:val="0"/>
        <w:adjustRightInd w:val="0"/>
        <w:spacing w:after="0" w:line="240" w:lineRule="auto"/>
        <w:ind w:firstLine="284"/>
        <w:jc w:val="center"/>
        <w:rPr>
          <w:rFonts w:ascii="Garamond" w:hAnsi="Garamond" w:cs="Times New Roman"/>
          <w:bCs/>
          <w:sz w:val="24"/>
          <w:szCs w:val="24"/>
        </w:rPr>
      </w:pPr>
    </w:p>
    <w:p w14:paraId="1A9D52D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21</w:t>
      </w:r>
    </w:p>
    <w:p w14:paraId="207FFD4A"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Vetëvlerësimi i prokurorit</w:t>
      </w:r>
    </w:p>
    <w:p w14:paraId="6924CB0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438DF93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1. Prokurori vetëvlerësohet sipas katër grup-kritereve të vlerësimit: aftësitë profesionale; aftësitë organizative; etika dhe angazhimi ndaj vlerave profesionale të prokurorit; aftësitë personale dhe angazhimi profesional, të parashikuara në ligjin për statusin, duke përzgjedhur vetëm njërën nga shkallët e aftësisë për çdo tregues vlerësimi, të përcaktuara në formularin e integruar të vlerësimit. </w:t>
      </w:r>
    </w:p>
    <w:p w14:paraId="389F018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Prokurori, në vetëvlerësimin e tij:  </w:t>
      </w:r>
    </w:p>
    <w:p w14:paraId="470B9C7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a) vlerëson aktivitetin përkundrejt kritereve vlerësuese; </w:t>
      </w:r>
    </w:p>
    <w:p w14:paraId="237E996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b) paraqet një analizë të të dhënave statistikore që lidhen me veprimtarinë e tij si prokuror gjatë periudhës së vlerësimit; </w:t>
      </w:r>
    </w:p>
    <w:p w14:paraId="4AD0279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c) përshkruan masat që ka ndërmarrë për përmbushjen e objektivave të përcaktuar në vlerësimin e mëparshëm; </w:t>
      </w:r>
    </w:p>
    <w:p w14:paraId="2E8C7D0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d) përshkruan shkallën në të cilën janë përmbushur këta objektiva, duke dhënë edhe shpjegimin përkatës; </w:t>
      </w:r>
    </w:p>
    <w:p w14:paraId="5EA5BBA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e) përshkruan objektivat për zhvillimin e tij profesional, për vlerësimin e ardhshëm të tij; </w:t>
      </w:r>
    </w:p>
    <w:p w14:paraId="171CD96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f) përshkruan nevojat për trajnim dhe rrethanat, të cilat përbëjnë pengesë për zhvillimin e tij profesional, dhe propozon zgjidhje konkrete për periudhën e ardhshme të vlerësimit;</w:t>
      </w:r>
    </w:p>
    <w:p w14:paraId="48CCEED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g) si dhe çdo tregues tjetër që ai mendon se ndikon në vlerësimin e tij etik dhe profesional.</w:t>
      </w:r>
    </w:p>
    <w:p w14:paraId="78F30D8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3. Prokurori bën vetëvlerësimin e aftësive organizative, duke përzgjedhur shkallën e aftësisë për çdo tregues vlerësimi, mbi bazën e një analize të pavarur të të dhënave të tij statistikore, referuar tabelave statistikore që i janë vënë në dispozicion para fillimit të procesi të vlerësimit. </w:t>
      </w:r>
    </w:p>
    <w:p w14:paraId="1F5A33E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4. Prokurori ka të drejtë të japë shpjegime dhe të argumentojë vetëvlerësimin e tij. Në pjesët e formularit dedikuar shpjegimeve, prokurori parashtron të dhënat, kushtet faktike dhe arsyet që, sipas tij/saj, justifikojnë një shkallë më të lartë aftësie se ajo që rezulton nga të dhënat statistikore. </w:t>
      </w:r>
    </w:p>
    <w:p w14:paraId="62861289"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sz w:val="24"/>
          <w:szCs w:val="24"/>
        </w:rPr>
      </w:pPr>
    </w:p>
    <w:p w14:paraId="4C820802"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22</w:t>
      </w:r>
    </w:p>
    <w:p w14:paraId="337A0055"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Përmbajtja e mendimit të drejtuesit të prokurorisë</w:t>
      </w:r>
    </w:p>
    <w:p w14:paraId="6A6B7AEB"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3857727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Në mendimin e drejtuesit të prokurorisë, në zbatim të nenit 87, pika 1, të ligjit për statusin, përshkruhet dhe vlerësohet veprimtaria e prokurorit sipas katër grup kritereve të vlerësimit, të parashikuara në ligjin për statusin, vetëm për ato tregues ku është parashikuar dhënia e mendimit nga drejtuesi, sipas Formularit të integruar të vlerësimit.</w:t>
      </w:r>
    </w:p>
    <w:p w14:paraId="0DD045E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Mendimi përfundimtar i drejtuesit të prokurorisë jepet, duke u bazuar në nivelet e vlerësimit, të parashikuara në nenin 78, të ligjit për statusin, duke përzgjedhur vetëm njërën nga shkallët e aftësisë për çdo tregues vlerësimi, sipas përcaktimit të bërë në formularin e integruar të vlerësimit:</w:t>
      </w:r>
    </w:p>
    <w:p w14:paraId="0A16B1F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3. Drejtuesi i prokurorisë duhet të japë shpjegime dhe të argumentojë mendimin e tij, veçanërisht për ato kritere, për të cilat mendimi i tij përfundimtar ndryshon nga vetëvlerësimi i kryer nga prokurori. </w:t>
      </w:r>
    </w:p>
    <w:p w14:paraId="23B6450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4. Drejtuesi i prokurorisë çmon aftësitë profesionale të prokurorit, pa analizuar mbi korrektësinë dhe themelin e çështjes, si dhe pa zëvendësuar interpretimin ose logjikën e prokurorit që vlerësohet.</w:t>
      </w:r>
    </w:p>
    <w:p w14:paraId="2282A71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5. Drejtuesi i prokurorisë vlerëson aftësitë organizative të prokurorit</w:t>
      </w:r>
      <w:r w:rsidRPr="003D5CE4">
        <w:rPr>
          <w:rFonts w:ascii="Garamond" w:hAnsi="Garamond" w:cs="Calibri"/>
          <w:sz w:val="24"/>
          <w:szCs w:val="24"/>
        </w:rPr>
        <w:t>,</w:t>
      </w:r>
      <w:r w:rsidRPr="003D5CE4">
        <w:rPr>
          <w:rFonts w:ascii="Garamond" w:hAnsi="Garamond" w:cs="Times New Roman"/>
          <w:sz w:val="24"/>
          <w:szCs w:val="24"/>
        </w:rPr>
        <w:t xml:space="preserve"> duke përzgjedhur shkallën e aftësisë për çdo tregues vlerësimi, mbi bazën e analizës së të dhënave statistikore të veprimtarisë së prokurorit, duke i krahasuar ato me treguesit mesatarë statistikorë të prokurorisë, për të njëjtën kategori çështjesh, brenda të njëjtit seksion (nëse prokuroria ka pasur të tillë), në të njëjtën periudhë kohore, duke shmangur rrethanat, të cilat nuk varen nga prokurori dhe që kanë efekt negativ në rezultatet e vlerësimit. </w:t>
      </w:r>
    </w:p>
    <w:p w14:paraId="094FC6E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6. Drejtuesi i prokurorisë jep mendim për treguesin “rendimenti i përfundimit të çështjeve hetimore”, duke bërë krahasimin e rendimentit të prokurorit, me treguesin mesatar statistikor të prokurorisë për këtë tregues</w:t>
      </w:r>
      <w:r w:rsidRPr="003D5CE4">
        <w:rPr>
          <w:rFonts w:ascii="Garamond" w:hAnsi="Garamond" w:cs="Calibri"/>
          <w:sz w:val="24"/>
          <w:szCs w:val="24"/>
        </w:rPr>
        <w:t>,</w:t>
      </w:r>
      <w:r w:rsidRPr="003D5CE4">
        <w:rPr>
          <w:rFonts w:ascii="Garamond" w:hAnsi="Garamond" w:cs="Times New Roman"/>
          <w:sz w:val="24"/>
          <w:szCs w:val="24"/>
        </w:rPr>
        <w:t xml:space="preserve"> gjatë periudhës së vlerësimit (rendimentin e përfundimit të çështjeve në prokurori), si dhe krahasimin e numrit total të çështjeve që ka hetuar ky prokuror</w:t>
      </w:r>
      <w:r w:rsidRPr="003D5CE4">
        <w:rPr>
          <w:rFonts w:ascii="Garamond" w:hAnsi="Garamond" w:cs="Calibri"/>
          <w:sz w:val="24"/>
          <w:szCs w:val="24"/>
        </w:rPr>
        <w:t>,</w:t>
      </w:r>
      <w:r w:rsidRPr="003D5CE4">
        <w:rPr>
          <w:rFonts w:ascii="Garamond" w:hAnsi="Garamond" w:cs="Times New Roman"/>
          <w:sz w:val="24"/>
          <w:szCs w:val="24"/>
        </w:rPr>
        <w:t xml:space="preserve"> me numrin e përgjithshëm të çështjeve të hetuara në atë prokurori.</w:t>
      </w:r>
    </w:p>
    <w:p w14:paraId="548EB80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7. Treguesit mesatarë të parashikuar në pikat 5 dhe 6, të këtij neni, do shërbejnë si bazë krahasimore deri në miratimin e treguesve mesatarë standard nga ana e Këshillit dhe zyra e Prokurorit të Përgjithshëm.</w:t>
      </w:r>
    </w:p>
    <w:p w14:paraId="0236C72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8. Drejtuesi i prokurorisë jep mendim për shkallën e njohurive ligjore dhe aftësive organizative të prokurorit, bazuar në të dhëna objektivisht të konstatuara prej tij, pa qenë i nevojshëm hulumtimi mbi çdo dosje hetimore apo praktikë të prokurorit.</w:t>
      </w:r>
    </w:p>
    <w:p w14:paraId="0A82D82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9. Drejtuesi i prokurorisë jep mendim për etikën, integritetin dhe paanësinë e prokurorit, bazuar mbi prezumimin se prokurori i ka këto cilësi. Drejtuesi i prokurorisë parashtron dhe jep mendim për problematika të shfaqura nga prokurori, të tilla që duhet të merren parasysh në vlerësim. </w:t>
      </w:r>
    </w:p>
    <w:p w14:paraId="58AAC70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sz w:val="24"/>
          <w:szCs w:val="24"/>
        </w:rPr>
      </w:pPr>
      <w:r w:rsidRPr="003D5CE4">
        <w:rPr>
          <w:rFonts w:ascii="Garamond" w:hAnsi="Garamond" w:cs="Times New Roman"/>
          <w:sz w:val="24"/>
          <w:szCs w:val="24"/>
        </w:rPr>
        <w:t xml:space="preserve">10. Drejtuesi i prokurorisë jep mendim, nëse numri i kërkesave të pranuara të palëve, “Për përjashtim prokurori” është “tejet i lartë” ose “i pakonsiderueshëm”, jo vetëm në aspektin sasior, apo krahasuar me numrin total të çështjeve të hetuara apo trajtuara nga prokurori. Drejtuesi i prokurorisë duhet të marrë në konsideratë numrin e “kërkesave për heqje dorë”, të paraqitura nga prokurori, si dhe raportin midis “kërkesave për heqje dorë”, të miratuara, me ato të refuzuara. Drejtuesi i prokurorisë jep mendim për këtë tregues, pa analizuar ligjshmërinë ose besueshmërinë e vendimit për zëvendësimin e prokurorit. </w:t>
      </w:r>
    </w:p>
    <w:p w14:paraId="2AA2423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11. Drejtuesi i prokurorisë jep mendim për treguesin e gatishmërisë së prokurorit për t’u angazhuar në veprimtari të tjera, në rastet kur ai është në dijeni të angazhimit të prokurorit, apo kur ky angazhim ka qenë i iniciuar nga vetë drejtuesi i prokurorisë.</w:t>
      </w:r>
    </w:p>
    <w:p w14:paraId="2DD3B52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2DD9DD0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KREU IV</w:t>
      </w:r>
    </w:p>
    <w:p w14:paraId="1A014E6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RREGULLA PËR PËRZGJEDHJEN ME SHORT TË ÇËSHTJEVE NË PROCESIN E VLERËSIMIT ETIK DHE PROFESIONAL TË PROKURORIT</w:t>
      </w:r>
    </w:p>
    <w:p w14:paraId="3F299EBC"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sz w:val="24"/>
          <w:szCs w:val="24"/>
        </w:rPr>
      </w:pPr>
    </w:p>
    <w:p w14:paraId="3ABB598E"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sz w:val="24"/>
          <w:szCs w:val="24"/>
        </w:rPr>
      </w:pPr>
      <w:r w:rsidRPr="003D5CE4">
        <w:rPr>
          <w:rFonts w:ascii="Garamond" w:hAnsi="Garamond" w:cs="Times New Roman"/>
          <w:bCs/>
          <w:sz w:val="24"/>
          <w:szCs w:val="24"/>
        </w:rPr>
        <w:t>Neni 23</w:t>
      </w:r>
    </w:p>
    <w:p w14:paraId="40676C76"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Parime të përgjithshme të përzgjedhjes me short të dosjeve</w:t>
      </w:r>
    </w:p>
    <w:p w14:paraId="5AB8B67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7B3CFDF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1. Përzgjedhja e çështjeve me short realizohet pas fillimit të procedurës së vlerësimit dhe është pjesë përbërëse e kësaj procedure. </w:t>
      </w:r>
    </w:p>
    <w:p w14:paraId="6DE908C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Përzgjedhja e çështjeve me short realizohet në mënyre elektronike nga administrata e prokurorisë. Kur kjo nuk është e mundur, shorti zhvillohet në mënyrë manuale. </w:t>
      </w:r>
    </w:p>
    <w:p w14:paraId="2001F4B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3. Shorti zhvillohet në ambientet e prokurorisë, ku prokurori subjekt vlerësimi ka ushtruar më gjatë detyrën, gjatë periudhës së vlerësimit.  </w:t>
      </w:r>
    </w:p>
    <w:p w14:paraId="0614C14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4. Shorti konsiston në një përzgjedhje rastësore të çështjeve dhe realizohet në mënyrë transparente, në praninë e detyrueshme të këshilltarit përgjegjës për vlerësimin, kancelarit në prokurori, një sekretareje dhe të nëpunësit të prokurorisë që punon në fushën IT. Prokurori subjekt vlerësimi ose një person tjetër i autorizuar prej tij, punonjësi i IT pranë Këshillit, si dhe çdo anëtar i Komisionit, kanë të drejtë të marrin pjesë gjatë hedhjes së shortit. </w:t>
      </w:r>
    </w:p>
    <w:p w14:paraId="65489E1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5. Data, ora dhe vendi i zhvillimit të shortit përcaktohen me vendim të relatorit, i cili i njoftohet prokurorit subjekt vlerësimi, kancelarit dhe drejtuesit të prokurorisë, jo më vonë se 5 ditë para ditës së organizimit të shortit. </w:t>
      </w:r>
    </w:p>
    <w:p w14:paraId="2DE66AA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6. Drejtuesi dhe kancelari i prokurorisë marrin masa për t’i krijuar këshilltarit përgjegjës për vlerësimin, të gjitha kushtet e nevojshme për ushtrimin e detyrës. Në prokuroritë ku mungon kancelari, në organizimin e procedurave të shortit, përfaqësuesi i Këshillit ndihmohet nga nëpunësi i administratës</w:t>
      </w:r>
      <w:r w:rsidRPr="003D5CE4">
        <w:rPr>
          <w:rFonts w:ascii="Garamond" w:hAnsi="Garamond" w:cs="Calibri"/>
          <w:sz w:val="24"/>
          <w:szCs w:val="24"/>
        </w:rPr>
        <w:t>,</w:t>
      </w:r>
      <w:r w:rsidRPr="003D5CE4">
        <w:rPr>
          <w:rFonts w:ascii="Garamond" w:hAnsi="Garamond" w:cs="Times New Roman"/>
          <w:sz w:val="24"/>
          <w:szCs w:val="24"/>
        </w:rPr>
        <w:t xml:space="preserve"> i cili ushtron funksionet e kancelarit.</w:t>
      </w:r>
    </w:p>
    <w:p w14:paraId="7B96FB6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7. Mbi bazën e të dhënave statistikore, relatori përcakton me vendim, numrin dhe kategoritë e çështjeve që do të përzgjidhen me short, për secilin vit vlerësimi. Përzgjedhja duhet të jetë e tillë, që të përfaqësojë të gjithë punën profesionale të prokurorit, gjatë periudhës së vlerësimit.  </w:t>
      </w:r>
    </w:p>
    <w:p w14:paraId="6A38BEF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8. Nëse, gjatë periudhës së vlerësimit, prokurori subjekt vlerësimi ka munguar në detyrë për më shumë se 6 muaj, numri i çështjeve që përzgjidhen për vlerësimin etik dhe profesional, përkatësisht 15 ose 6 çështje për vlerësim të përgjithshëm dhe jo më shumë se 6 ose 3 çështje për ato të vendosura tej afateve standarde, në varësi të periudhës së vlerësimit, do të ulet në mënyrë proporcionale me kohën. </w:t>
      </w:r>
    </w:p>
    <w:p w14:paraId="1E0219D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9. Në short përfshihen të gjitha çështjet, në të cilat prokurori ka qenë përfaqësues në fazën e hetimit, gjykimit apo ekzekutimit, duke përfshirë edhe ato të përfunduara prej tij, si i transferuar/caktuar përkohësisht apo i caktuar për çështje të veçanta, në një prokurori tjetër nga ajo ku ai ushtron funksionin.</w:t>
      </w:r>
    </w:p>
    <w:p w14:paraId="51A705D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10. Për efekt të kësaj rregulloreje do të konsiderohet si dosje/praktika të përfunduara (mbyllura) nga prokurori, dhe për pasojë si dosje/praktika të shortueshme, të gjitha ato dosje/praktika, për të cilat prokurori ka përpiluar një akt përfundimtar, qoftë ky vendim, kërkesë, konkluzione ose apel, brenda periudhës së vlerësimit, pavarësisht vendimit të gjykatës në lidhje me këtë akt. </w:t>
      </w:r>
    </w:p>
    <w:p w14:paraId="0F9882D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68E05B9A"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sz w:val="24"/>
          <w:szCs w:val="24"/>
        </w:rPr>
      </w:pPr>
      <w:r w:rsidRPr="003D5CE4">
        <w:rPr>
          <w:rFonts w:ascii="Garamond" w:hAnsi="Garamond" w:cs="Times New Roman"/>
          <w:bCs/>
          <w:sz w:val="24"/>
          <w:szCs w:val="24"/>
        </w:rPr>
        <w:t>Neni 24</w:t>
      </w:r>
    </w:p>
    <w:p w14:paraId="02271990"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Kriteret e përcaktimit të numrit të çështjeve të përzgjedhura me short</w:t>
      </w:r>
    </w:p>
    <w:p w14:paraId="310C4B08" w14:textId="77777777" w:rsidR="00F052F6" w:rsidRPr="003D5CE4" w:rsidRDefault="00F052F6" w:rsidP="00F052F6">
      <w:pPr>
        <w:autoSpaceDE w:val="0"/>
        <w:autoSpaceDN w:val="0"/>
        <w:adjustRightInd w:val="0"/>
        <w:spacing w:after="0" w:line="240" w:lineRule="auto"/>
        <w:ind w:firstLine="284"/>
        <w:rPr>
          <w:rFonts w:ascii="Garamond" w:hAnsi="Garamond" w:cs="Times New Roman"/>
          <w:sz w:val="24"/>
          <w:szCs w:val="24"/>
        </w:rPr>
      </w:pPr>
    </w:p>
    <w:p w14:paraId="3FA741B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Numri total i çështjeve që përzgjidhen me short përcaktohet nga relatori në zbatim të nenit 91, të ligjit për statusin, në varësi të periudhës së vlerësimit, bazuar në kriteret e mëposhtme:  </w:t>
      </w:r>
    </w:p>
    <w:p w14:paraId="0E90986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a) kriteri vjetor për vlerësimin e përgjithshëm, kriter, nëpërmjet të cilit relatori përcakton numrin e çështjeve që do të përzgjidhen për procesin e vlerësimit, referuar periudhës së vlerësimit, si më poshtë:  </w:t>
      </w:r>
    </w:p>
    <w:p w14:paraId="5C3313C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i. nëse vlerësimi është pesëvjeçar, do të përzgjidhen 3 çështje për çdo vit kalendarik;</w:t>
      </w:r>
    </w:p>
    <w:p w14:paraId="2E8AEF9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ii. nëse vlerësimi është trevjeçar, do të përzgjidhen 5 çështje për çdo vit kalendarik;</w:t>
      </w:r>
    </w:p>
    <w:p w14:paraId="2316717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iii. nëse vlerësimi është njëvjeçar (i përshpejtuar), do të përzgjidhen 6 çështje;</w:t>
      </w:r>
    </w:p>
    <w:p w14:paraId="2F0A99A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b) kriteri i vonesës në afate (i afateve ligjore), nëpërmjet të cilit relatori përcakton numrin e çështjeve që do të përzgjidhen sipas vonesës në afate, referuar tabelës së hartuar nga këshilltari përgjegjës për vlerësimin, menjëherë pas fillimit të procesit të vlerësimit, sipas formatit standard (aneksit nr. 2). Nëse prokurori ka çështje të hetuara/verifikuara përtej afateve standarde (afateve ligjore), atëherë prej tyre përzgjidhen 5%, por jo më shumë se 6 çështje. Në rastin e vlerësimit 1-vjeçar, numri i çështjeve që përzgjidhen është sërish 5%, por jo më shumë se 3 çështje.</w:t>
      </w:r>
    </w:p>
    <w:p w14:paraId="44B5457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793740CB"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25</w:t>
      </w:r>
    </w:p>
    <w:p w14:paraId="57BDA607"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Kriteret e përcaktimit e kategorisë së çështjeve për vlerësimin e përgjithshëm</w:t>
      </w:r>
    </w:p>
    <w:p w14:paraId="2197452B"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4345484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Numri i çështjeve që do të përzgjidhen me short, për vlerësimin e përgjithshëm, sipas kategorive, përcaktohet nga relatori, në zbatim të nenit 91, të ligjit për statusin, në varësi të periudhës së vlerësimit, bazuar në kriteret e mëposhtme: </w:t>
      </w:r>
    </w:p>
    <w:p w14:paraId="53F3AF5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a) kriteri gjithëpërfshirës i përzgjedhjes; </w:t>
      </w:r>
    </w:p>
    <w:p w14:paraId="4699FEE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b) kriteri i barazisë në përzgjedhjen e çështjeve;</w:t>
      </w:r>
    </w:p>
    <w:p w14:paraId="1CD5F35D" w14:textId="77777777" w:rsidR="00F052F6" w:rsidRPr="003D5CE4" w:rsidRDefault="00F052F6" w:rsidP="00F052F6">
      <w:pPr>
        <w:autoSpaceDE w:val="0"/>
        <w:autoSpaceDN w:val="0"/>
        <w:adjustRightInd w:val="0"/>
        <w:spacing w:after="0" w:line="240" w:lineRule="auto"/>
        <w:ind w:firstLine="284"/>
        <w:rPr>
          <w:rFonts w:ascii="Garamond" w:hAnsi="Garamond" w:cs="Times New Roman"/>
          <w:sz w:val="24"/>
          <w:szCs w:val="24"/>
        </w:rPr>
      </w:pPr>
      <w:r w:rsidRPr="003D5CE4">
        <w:rPr>
          <w:rFonts w:ascii="Garamond" w:hAnsi="Garamond" w:cs="Times New Roman"/>
          <w:sz w:val="24"/>
          <w:szCs w:val="24"/>
        </w:rPr>
        <w:t>c) kriteri i natyrës së vendimit;</w:t>
      </w:r>
    </w:p>
    <w:p w14:paraId="56E5F6C6" w14:textId="77777777" w:rsidR="00F052F6" w:rsidRPr="003D5CE4" w:rsidRDefault="00F052F6" w:rsidP="00F052F6">
      <w:pPr>
        <w:autoSpaceDE w:val="0"/>
        <w:autoSpaceDN w:val="0"/>
        <w:adjustRightInd w:val="0"/>
        <w:spacing w:after="0" w:line="240" w:lineRule="auto"/>
        <w:ind w:firstLine="284"/>
        <w:rPr>
          <w:rFonts w:ascii="Garamond" w:hAnsi="Garamond" w:cs="Times New Roman"/>
          <w:sz w:val="24"/>
          <w:szCs w:val="24"/>
        </w:rPr>
      </w:pPr>
      <w:r w:rsidRPr="003D5CE4">
        <w:rPr>
          <w:rFonts w:ascii="Garamond" w:hAnsi="Garamond" w:cs="Times New Roman"/>
          <w:sz w:val="24"/>
          <w:szCs w:val="24"/>
        </w:rPr>
        <w:t>d) kritere të tjera.</w:t>
      </w:r>
    </w:p>
    <w:p w14:paraId="4F38E86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5539063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26</w:t>
      </w:r>
    </w:p>
    <w:p w14:paraId="07B078C6"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Kriteri gjithëpërfshirës i përzgjedhjes</w:t>
      </w:r>
    </w:p>
    <w:p w14:paraId="1816030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1F7EAE6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1. Sipas këtij kriteri, relatori duhet të kujdeset që përzgjedhja të mbulojë plotësisht të gjitha llojet e çështjeve të hetuara apo përfaqësuara në gjykim, nga prokurori subjekt vlerësimi. </w:t>
      </w:r>
    </w:p>
    <w:p w14:paraId="59F5B29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Relatori përcakton numrin e çështjeve që përzgjidhen, mbi bazën e tabelave statistikore, ku përfshihen edhe çështjet e përfunduara nga prokurori subjekt vlerësimi në një prokurori tjetër nga ajo ku ai ka ushtruar funksionin, si i transferuar/caktuar përkohësisht apo i caktuar për çështje të veçanta. </w:t>
      </w:r>
    </w:p>
    <w:p w14:paraId="41D0E00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3. Për lehtësimin e punës dhe zhvillimin e shortit, menjëherë pas fillimit të procesit të vlerësimit, mbi bazën e tabelave statistikore të dërguara, këshilltari përgjegjës për vlerësimin, nën mbikëqyrjen e relatorit, përfshin në një tabelë të vetme statistikore, sipas natyrës së çështjes, ato të përfunduara në të njëjtin vit kalendarik, në prokurori të tjera, ku prokurori subjekt vlerësimi ka qenë i transferuar/caktuar përkohësisht apo i caktuar për hetimin/përfaqësimin në gjykim të çështjeve të veçanta. </w:t>
      </w:r>
    </w:p>
    <w:p w14:paraId="053088C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31FCE2C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27</w:t>
      </w:r>
    </w:p>
    <w:p w14:paraId="4D95095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Kriteri i barazisë në përzgjedhjen e çështjeve</w:t>
      </w:r>
    </w:p>
    <w:p w14:paraId="69944404"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78023F7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Sipas këtij kriteri, relatori përcakton numrin e çështjeve që përzgjidhen, në varësi të numrit të çështjeve të përfunduara, me qëllim përzgjedhjen në mënyrë të barabartë të çështjeve për secilën kategori, në varësi të raportit që zë numri i çështjeve të përfunduara për secilën kategori/tabelë, në numrin total të çështjeve.</w:t>
      </w:r>
    </w:p>
    <w:p w14:paraId="094AB02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Për prokurorët e sektorit të ekzekutimit të vendimeve, numri i praktikave që do të përzgjidhet do të jetë e barabartë për secilën kategori çështjesh, në varësi të numrit të praktikave të përfunduara. </w:t>
      </w:r>
    </w:p>
    <w:p w14:paraId="1154608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6D07A96D"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28</w:t>
      </w:r>
    </w:p>
    <w:p w14:paraId="59FBB601"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Kriteri i natyrës së vendimit</w:t>
      </w:r>
    </w:p>
    <w:p w14:paraId="2882247F"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23BEF7B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1. Sipas këtij kriteri, relatori, pas përcaktimit të numrit total të çështjeve që duhet të përzgjidhen (vlerësim i përgjithshëm + çështjet e vonesës në afate), përcakton numrin e çështjeve të përzgjedhura, të cilat duhet të përfaqësojnë në mënyrë të barabartë, vendimet për pushimin e çështjes dhe vendimet e lirimit, pas arrestit në burg. </w:t>
      </w:r>
    </w:p>
    <w:p w14:paraId="7031668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Numri i çështjeve të përzgjedhura, të cilat janë përfunduar nga prokurori, me vendim jopërfundimtar (vendim pezullimi), nuk duhet të kalojë 10% të numrit të përgjithshëm. Çështjet e përzgjedhura përtej këtij kriteri nuk vlerësohen. </w:t>
      </w:r>
    </w:p>
    <w:p w14:paraId="3236C3A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3. Numri i çështjeve të përfunduara me “vendim pushimi” apo me “kërkesë për pushimin e çështjes” duhet të jetë i barabartë me numrin e çështjeve, për të cilat, pas caktimit të masës së sigurimit “arrest në burg”, parashikuar nga neni 238, i Kodit të Procedurës Penale, është kërkuar zëvendësimi me një masë më të butë apo revokimi/shuarja e masës së sigurimit. </w:t>
      </w:r>
    </w:p>
    <w:p w14:paraId="79FC8E25"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sz w:val="24"/>
          <w:szCs w:val="24"/>
        </w:rPr>
      </w:pPr>
    </w:p>
    <w:p w14:paraId="68E60F4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29</w:t>
      </w:r>
    </w:p>
    <w:p w14:paraId="5CE54872"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Kritere të tjera</w:t>
      </w:r>
    </w:p>
    <w:p w14:paraId="631930F4"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5877DDE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Të paktën një nga dosjet e përzgjedhura duhet të lidhet me vepra penale të parashikuara në kreun X të Kodit Penal, për të cilat parashikohet dënimi në minimum jo më pak se një vit burgim, nëse prokurori ka hetuar apo përfaqësuar në gjykim, çështje të kësaj natyre, gjatë periudhës së vlerësimit.</w:t>
      </w:r>
    </w:p>
    <w:p w14:paraId="0989AC6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Të paktën një nga dosjet e përzgjedhura me short duhet të jetë çështje e gjykuar me gjykim të zakonshëm, proces, gjatë të cilit është proceduar me pyetjen e dëshmitarëve. </w:t>
      </w:r>
    </w:p>
    <w:p w14:paraId="01A7ED6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3. Të paktën një nga dosjet e përzgjedhura me short duhet të jetë çështje, për të cilën ka të paktën një vendim gjykate, vendim ndaj të cilit është ushtruar ankim.</w:t>
      </w:r>
    </w:p>
    <w:p w14:paraId="224C015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4. Të paktën gjysma e dosjeve të përzgjedhura me short duhet të jenë çështje që përfshijnë paraburgimin, nëse është e mundur.</w:t>
      </w:r>
    </w:p>
    <w:p w14:paraId="58DBDD1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05BD9E14"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30</w:t>
      </w:r>
    </w:p>
    <w:p w14:paraId="5666117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Rregullat e zhvillimit të shortit në prokurori</w:t>
      </w:r>
    </w:p>
    <w:p w14:paraId="24B92F3E"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sz w:val="24"/>
          <w:szCs w:val="24"/>
        </w:rPr>
      </w:pPr>
    </w:p>
    <w:p w14:paraId="6F5620A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Shorti zhvillohet mbi bazën e listës së plotë të çështjeve të hetuara apo gjykuara  nga prokurori.</w:t>
      </w:r>
    </w:p>
    <w:p w14:paraId="562FC3A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Procedura e shortit ndjek disa hapa përzgjedhjeje të çështjeve, sipas vendimit të relatorit dhe rregullave të përcaktuara në këtë nen.  </w:t>
      </w:r>
    </w:p>
    <w:p w14:paraId="0171591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3. Çdo hap përzgjedhjeje bazohet në të dhëna statistikore, pjesë e një tabele të caktuar për kategori çështjesh. </w:t>
      </w:r>
    </w:p>
    <w:p w14:paraId="7473EAD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4. Procedura e shortit fillon me përzgjedhjen në mënyrë rastësore të çështjeve, për të cilat është vendosur përtej afateve standarde, bazuar në formatin tabelor të hartuar nga këshilltari përgjegjës për vlerësimin. </w:t>
      </w:r>
    </w:p>
    <w:p w14:paraId="1E056DB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5. Më pas vazhdohet me përzgjedhjen e çështjeve për vlerësimin e përgjithshëm, sipas kategorive të çështjeve e tabelave statistikore të përcaktuara në vendimin e relatorit. Në përzgjedhjen e çështjeve për vlerësim të përgjithshëm, përjashtohen ato që janë përzgjedhur sipas pikës 4, të këtij neni.  </w:t>
      </w:r>
    </w:p>
    <w:p w14:paraId="514EAD4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6. Për të kontrolluar, nëse çështja e përzgjedhur me short përmbush kriteret e nenit 91, të ligjit për statusin dhe të kësaj rregulloreje, procedohet aty për aty, me verifikimin fizik të fashikullit të procedimit penal. Nëse çështja nuk përmbush kriteret, procedohet me përzgjedhjen e një çështjeje tjetër. Çështje e “përzgjedhur me short” nuk konsiderohet as ajo, e cila është përzgjedhur nga prokurori për vlerësim, sipas nenit 86, të ligjit për statusin.  </w:t>
      </w:r>
    </w:p>
    <w:p w14:paraId="5259F4D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7. Zyrat e prokurorisë duhet të bashkëpunojnë, duke dërguar në kohë reale, në vendin ku zhvillohet shorti, kopje të vendimeve, nëse ato përzgjidhen nga shorti. Për të verifikuar që çështjet e përzgjedhura përmbushin kriteret e shortit, dërgimi duhet të bëhet menjëherë, me faks ose me postë elektronike, duke u dokumentuar në procesverbalin e shortit.  </w:t>
      </w:r>
    </w:p>
    <w:p w14:paraId="60131F4B"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58A460C1"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sz w:val="24"/>
          <w:szCs w:val="24"/>
        </w:rPr>
      </w:pPr>
      <w:r w:rsidRPr="003D5CE4">
        <w:rPr>
          <w:rFonts w:ascii="Garamond" w:hAnsi="Garamond" w:cs="Times New Roman"/>
          <w:bCs/>
          <w:sz w:val="24"/>
          <w:szCs w:val="24"/>
        </w:rPr>
        <w:t>Neni 31</w:t>
      </w:r>
    </w:p>
    <w:p w14:paraId="3520A42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Dokumentimi i shortit dhe vëzhgimi i dosjeve</w:t>
      </w:r>
    </w:p>
    <w:p w14:paraId="4046566B"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656E101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Çdo veprim i kryer gjatë procedurës së shortit dokumentohet në një procesverbal, sipas formës standarde të përcaktuar në aneksin nr. 4, bashkëlidhur rregullores.  Procesverbali mbahet në 3 kopje.</w:t>
      </w:r>
    </w:p>
    <w:p w14:paraId="4A6B948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Ky procesverbal mbahet nga një sekretare dhe nënshkruhet nga të gjithë të pranishmit. Nëse ka vërejtje për procedurën e zhvillimit të shortit, ato shënohen në një rubrikë të veçantë të procesverbalit.  </w:t>
      </w:r>
    </w:p>
    <w:p w14:paraId="1C2CC60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3. Një kopje e procesverbalit i dorëzohet kancelarit ose drejtuesit të prokurorisë, për përgatitjen e dosjeve të përzgjedhura. Një kopje i dorëzohet prokurorit subjekt vlerësimi, ndërsa kopja origjinale bëhet pjesë e dosjes së vlerësimit. </w:t>
      </w:r>
    </w:p>
    <w:p w14:paraId="7CB6822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4. Pas dokumentimit të shortit bëhet vëzhgimi i dosjeve për të parë, nëse ato ndodhen në arkivin e prokurorisë ku është zhvilluar shorti. Kancelari ose drejtuesi i prokurorisë merr masa për fotokopjimin e të gjitha akteve të dosjeve të përzgjedhura dhe ia përcjell ato Këshillit, jo më vonë se 7 ditë nga e nesërmja e zhvillimit të shortit. </w:t>
      </w:r>
    </w:p>
    <w:p w14:paraId="00AB795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5. Aktet e dosjeve të përzgjedhura duhet të jenë të inventarizuara dhe të njehsuara me vulën e prokurorisë. </w:t>
      </w:r>
    </w:p>
    <w:p w14:paraId="4D5BE05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6. Nëse, pas vëzhgimit të dosjeve, rezulton se ato ndodhen në arkivin e një prokurorie tjetër, këshilltari përgjegjës për vlerësimin njofton relatorin dhe, me miratimin e tij, i kërkon prokurorisë tjetër, kopje të akteve të dosjes së përzgjedhur sipas procedurës dhe afateve të mësipërme.  </w:t>
      </w:r>
    </w:p>
    <w:p w14:paraId="58BA579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7FBF86C2"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KREU V</w:t>
      </w:r>
    </w:p>
    <w:p w14:paraId="71A1BC2E"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PROCEDURA E VLERËSIMIT NË KËSHILL</w:t>
      </w:r>
    </w:p>
    <w:p w14:paraId="64BD2CB7"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p>
    <w:p w14:paraId="486959FF"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32</w:t>
      </w:r>
    </w:p>
    <w:p w14:paraId="0CAE6C9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Dosja e vlerësimit</w:t>
      </w:r>
    </w:p>
    <w:p w14:paraId="1A88DEB5"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0FD4974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Relatori, brenda dy javëve nga paraqitja e akteve të vlerësimit prej drejtuesit</w:t>
      </w:r>
      <w:r w:rsidRPr="003D5CE4">
        <w:rPr>
          <w:rFonts w:ascii="Garamond" w:hAnsi="Garamond" w:cs="Calibri"/>
          <w:sz w:val="24"/>
          <w:szCs w:val="24"/>
        </w:rPr>
        <w:t>,</w:t>
      </w:r>
      <w:r w:rsidRPr="003D5CE4">
        <w:rPr>
          <w:rFonts w:ascii="Garamond" w:hAnsi="Garamond" w:cs="Times New Roman"/>
          <w:sz w:val="24"/>
          <w:szCs w:val="24"/>
        </w:rPr>
        <w:t xml:space="preserve"> sipas nenit 88, të ligjit për statusin, merr masat për krijimin e dosjes së vlerësimit. Prokurori ka të drejtë</w:t>
      </w:r>
      <w:r w:rsidRPr="003D5CE4">
        <w:rPr>
          <w:rFonts w:ascii="Garamond" w:hAnsi="Garamond" w:cs="Calibri"/>
          <w:sz w:val="24"/>
          <w:szCs w:val="24"/>
        </w:rPr>
        <w:t>,</w:t>
      </w:r>
      <w:r w:rsidRPr="003D5CE4">
        <w:rPr>
          <w:rFonts w:ascii="Garamond" w:hAnsi="Garamond" w:cs="Times New Roman"/>
          <w:sz w:val="24"/>
          <w:szCs w:val="24"/>
        </w:rPr>
        <w:t xml:space="preserve"> në çdo kohë</w:t>
      </w:r>
      <w:r w:rsidRPr="003D5CE4">
        <w:rPr>
          <w:rFonts w:ascii="Garamond" w:hAnsi="Garamond" w:cs="Calibri"/>
          <w:sz w:val="24"/>
          <w:szCs w:val="24"/>
        </w:rPr>
        <w:t>,</w:t>
      </w:r>
      <w:r w:rsidRPr="003D5CE4">
        <w:rPr>
          <w:rFonts w:ascii="Garamond" w:hAnsi="Garamond" w:cs="Times New Roman"/>
          <w:sz w:val="24"/>
          <w:szCs w:val="24"/>
        </w:rPr>
        <w:t xml:space="preserve"> të marrë kopje apo ekstrakte të akteve të përditësuara. </w:t>
      </w:r>
    </w:p>
    <w:p w14:paraId="69BC4A3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Në dosjen e vlerësimit, veç akteve dhe informacioneve të parashikuara në nenin 90, të ligjit për statusin dhe informacioneve nga Shkolla e Magjistraturës, Inspektori i Lartë i Drejtësisë dhe Inspektorati i Lartë i Deklarimit dhe Kontrollit të Pasurisë dhe Konfliktit të Interesave</w:t>
      </w:r>
      <w:r w:rsidRPr="003D5CE4">
        <w:rPr>
          <w:rFonts w:ascii="Garamond" w:hAnsi="Garamond" w:cs="Calibri"/>
          <w:sz w:val="24"/>
          <w:szCs w:val="24"/>
        </w:rPr>
        <w:t>,</w:t>
      </w:r>
      <w:r w:rsidRPr="003D5CE4">
        <w:rPr>
          <w:rFonts w:ascii="Garamond" w:hAnsi="Garamond" w:cs="Times New Roman"/>
          <w:sz w:val="24"/>
          <w:szCs w:val="24"/>
        </w:rPr>
        <w:t xml:space="preserve"> përfshihen dhe informacione nga institucione të tjera audituese ose kontrolluese, të cilat kërkohen kur çmohet e nevojshme.</w:t>
      </w:r>
    </w:p>
    <w:p w14:paraId="7779295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3. Brenda dy javëve nga krijimi i dosjes së vlerësimit, këshilltari përgjegjës për vlerësimin, nën mbikëqyrjen e relatorit, harton raportin analitik sipas formatit standard të përcaktuar në aneksin nr. 5, bashkëlidhur rregullores. Raporti analitik përmban listën e akteve të mbledhura në procesin e vlerësimit, si dhe analizon në mënyrë të detajuar dhe të strukturuar të dhënat nga aktet e dosjes së vlerësimit.</w:t>
      </w:r>
    </w:p>
    <w:p w14:paraId="7E34530F" w14:textId="77777777" w:rsidR="00F052F6" w:rsidRPr="003D5CE4" w:rsidRDefault="00F052F6" w:rsidP="00F052F6">
      <w:pPr>
        <w:autoSpaceDE w:val="0"/>
        <w:autoSpaceDN w:val="0"/>
        <w:adjustRightInd w:val="0"/>
        <w:spacing w:after="0" w:line="240" w:lineRule="auto"/>
        <w:ind w:firstLine="284"/>
        <w:rPr>
          <w:rFonts w:ascii="Garamond" w:hAnsi="Garamond" w:cs="Times New Roman"/>
          <w:bCs/>
          <w:sz w:val="24"/>
          <w:szCs w:val="24"/>
        </w:rPr>
      </w:pPr>
    </w:p>
    <w:p w14:paraId="38635FE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33</w:t>
      </w:r>
    </w:p>
    <w:p w14:paraId="5763320E"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Hartimi i projekt raportit të vlerësimit</w:t>
      </w:r>
    </w:p>
    <w:p w14:paraId="138416B5"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4D67EC8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1. Brenda një muaji nga paraqitja e akteve prej drejtuesit të prokurorisë dhe pasi Komisioni i ka vlerësuar të plota procedurat, relatori harton projekt raportin e vlerësimit etik dhe profesional, sipas formatit standard, të përcaktuar në aneksin nr. 6, bashkëlidhur rregullores. </w:t>
      </w:r>
    </w:p>
    <w:p w14:paraId="26E8E70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Në hartimin e projekt raportit, relatori analizon të gjitha të dhënat statistikore, sipas situatës, me qëllim për të shmangur përfundimet për çështje, që nuk janë në përgjegjësi të prokurorit. Analiza e të dhënave statistikore për rendimentin e përfundimit të çështjeve, kohëzgjatjen e gjykimeve dhe kohën mesatare të arsyetimit të vendimeve ose në përfundimin e një çështjeje, bazohet në kompleksitetin e çështjeve, volumin e çështjeve, rritjen e papritur të volumit të çështjeve dhe aspekte të tjera që lidhen me kushtet e punës. </w:t>
      </w:r>
    </w:p>
    <w:p w14:paraId="4FF3F36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3. Vlerësimi i kryer nga prokurori dhe mendimi i drejtuesit verifikohen në raport me informacionin e marrë nga burime të tjera të vlerësimit. </w:t>
      </w:r>
    </w:p>
    <w:p w14:paraId="5CCD738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4. Në çdo rast dhe, në mënyrë të veçantë, për vlerësimin e aftësive profesionale të prokurorit, sipas nenit 73, të ligjit për statusin, duhet të shmanget gjithmonë ndërhyrja në pavarësinë e prokurorit </w:t>
      </w:r>
    </w:p>
    <w:p w14:paraId="50D7172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5. Projekt raporti i vlerësimit përmban: </w:t>
      </w:r>
    </w:p>
    <w:p w14:paraId="66A11E9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a) të dhënat personale të prokurorit, si: arsimimi, vjetërsia, nivelet e mëparshme të vlerësimit, si dhe informacion i përgjithshëm për periudhën në të cilën bëhet vlerësimi, dhomën ose seksionin, pranë së cilës ka ushtruar funksionin, dhe për masat disiplinore që janë dhënë ndaj prokurorit, në periudhën në të cilën bëhet vlerësimi; </w:t>
      </w:r>
    </w:p>
    <w:p w14:paraId="4E1E9F3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b) të dhënat e marra nga burimet e vlerësimit dhe analiza e tyre, për vlerësimin e veprimtarisë së prokurorit, sipas kritereve të vlerësimit; </w:t>
      </w:r>
    </w:p>
    <w:p w14:paraId="07CF6C4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c) propozimin për nivelin e vlerësimit për çdo kriter vlerësimi dhe nivelin e përgjithshëm të vlerësimit; </w:t>
      </w:r>
    </w:p>
    <w:p w14:paraId="3B78E0F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d) propozimin për trajnime ose rekomandime për hapat që duhen ndërmarrë, për të përmirësuar veprimtarinë e prokurorit.  </w:t>
      </w:r>
    </w:p>
    <w:p w14:paraId="275A438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6. Projekt raporti i vlerësimit shoqërohet me raportin që përshkruan dhe analizon në mënyrë të detajuar të dhënat e mbledhura.  </w:t>
      </w:r>
    </w:p>
    <w:p w14:paraId="4CDDAB4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7. Projekt raporti i hartuar nga relatori i njoftohet prokurorit, i cili informohet për të drejtën për të aksesuar dosjen e vlerësimit dhe për ta kundërshtuar atë me shkrim brenda 2 javëve nga data e marrjes së njoftimit, sipas nenit 94, të ligjit për statusin. </w:t>
      </w:r>
    </w:p>
    <w:p w14:paraId="6F00615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8. Prokurori ka të drejtë të dëgjohet nga Këshilli në mbledhjen plenare, në të cilën do të shqyrtohet projekt raporti i vlerësimit. </w:t>
      </w:r>
    </w:p>
    <w:p w14:paraId="7CA40AD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9. Projekt raporti i vlerësimit është pjesë përbërëse e dosjes së vlerësimit.</w:t>
      </w:r>
    </w:p>
    <w:p w14:paraId="3C3FF2A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7C4BEA51"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34</w:t>
      </w:r>
    </w:p>
    <w:p w14:paraId="076931D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Projekt raporti i vlerësimit dhe vendimi i Këshillit</w:t>
      </w:r>
    </w:p>
    <w:p w14:paraId="69A9EE3A"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3725213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Projekt raporti i vlerësimit i përcillet për shqyrtim mbledhjes plenare të Këshillit, nga relatori. Si rregull, çështja përfshihet në rendin e ditës së mbledhjes së radhës së Këshillit.</w:t>
      </w:r>
    </w:p>
    <w:p w14:paraId="2677A49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Çdo anëtar i Këshillit ka akses në dosjen e vlerësimit. Në rast se ndonjë nga anëtarët e Këshillit ka mendim ndryshe nga relatori, paraqet mendimin e tij të arsyetuar, duke bërë edhe propozimet konkrete, para vendimmarrjes së Këshillit.</w:t>
      </w:r>
    </w:p>
    <w:p w14:paraId="56F18FB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3. Këshilli zhvillon seancën dëgjimore në prani të prokurorit subjekt vlerësimi, si dhe personave të tjerë, nëse kjo kërkohet nga prokurori ose nëse kjo është e nevojshme për të sqaruar faktet. </w:t>
      </w:r>
    </w:p>
    <w:p w14:paraId="0C224F8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4. Nëse prokurori nuk ka kërkuar të dëgjohet nga Këshilli, çështja shqyrtohet bazuar në relatimin e çështjes nga relatori, i cili u përgjigjet edhe pyetjeve eventuale nga anëtarët e Këshillit. </w:t>
      </w:r>
    </w:p>
    <w:p w14:paraId="1B5263F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5. Nëse prokurori subjekt vlerësimi ka kërkuar të dëgjohet, çështja shqyrtohet bazuar në relatimin e çështjes nga relatori dhe në shpjegimet e prokurorit, i cili, gjatë dëgjesës, nuk duhet të përsërisë përmbajtjen e paraqitur në kundërshtimin me shkrim. </w:t>
      </w:r>
    </w:p>
    <w:p w14:paraId="42D18D6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6. Çdo anëtar i Këshillit mund të bëjë pyetje për relatorin dhe prokurorin, subjekt vlerësimi. </w:t>
      </w:r>
    </w:p>
    <w:p w14:paraId="7C29F19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7. Këshilli urdhëron shtyrjen e seancës për jo më shumë se 30 ditë, nëse gjatë shqyrtimit të projekt raportit të vlerësimit konstatohen gabime procedurale ose materiale, ose nëse nevojiten prova të tjera që mund të ndikojnë në nivelin e vlerësimit, dhe korrigjimi i këtyre gabimeve nuk mund të bëhet menjëherë, për shkak të nevojës për të marrë dokumente të tjera. </w:t>
      </w:r>
    </w:p>
    <w:p w14:paraId="7025496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8. Këshilli, pasi shqyrton projekt raportin e vlerësimit dhe duke u bazuar në përfundimet e seancës dëgjimore, pasi dëgjon mendimet ndryshe të anëtarëve të Këshillit, nëse ka, vendos të miratojë, ose të miratojë me ndryshime ose të kërkojë hartimin e një projekt raportit të ri të vlerësimit, nga anëtari relator. </w:t>
      </w:r>
    </w:p>
    <w:p w14:paraId="617CD1E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9. Në rastet, kur Këshilli e vlerëson prokurorin me një nivel të ndryshëm ose bën një arsyetim të ndryshëm nga ai i propozuar në projekt raportin e vlerësimit, në vendim pasqyrohen arsyet përkatëse. Raporti i vlerësimit që miratohet nga Këshilli është pjesë përbërëse e vendimit. </w:t>
      </w:r>
    </w:p>
    <w:p w14:paraId="0C8D3F4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10. Në rastin, kur prokurori vlerësohet “i pamjaftueshëm”, prokurorit i ulet paga me dy për qind, gjatë dy viteve kalendarike pas këtij vlerësimi.</w:t>
      </w:r>
    </w:p>
    <w:p w14:paraId="21C1F8D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11. Kur prokurori vlerësohet “i pamjaftueshëm”, Këshilli i dërgon raportin e vlerësimit Inspektorit të Lartë të Drejtësisë. </w:t>
      </w:r>
    </w:p>
    <w:p w14:paraId="297311D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12. Projekt raporti i vlerësimit, çdo vendim i Këshillit dhe, sipas rastit, vendimet e mundshme gjyqësore, duhet të përfshihen si pjesë e dosjeve individuale të prokurorit. </w:t>
      </w:r>
    </w:p>
    <w:p w14:paraId="3E811E0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sz w:val="24"/>
          <w:szCs w:val="24"/>
        </w:rPr>
      </w:pPr>
      <w:r w:rsidRPr="003D5CE4">
        <w:rPr>
          <w:rFonts w:ascii="Garamond" w:hAnsi="Garamond" w:cs="Times New Roman"/>
          <w:sz w:val="24"/>
          <w:szCs w:val="24"/>
        </w:rPr>
        <w:t>13. Këshilli publikon ekstrakte të raportit të vlerësimit dhe vendimit, të cilat pasqyrojnë të dhënat statistikore, analizën e të dhënave, nivelin e vlerësimit dhe arsyetimin për caktimin e këtij niveli. Ekstrakti publikohet, duke respektuar të drejtën e konfidencialitetit dhe mbrojtjen e të dhënave. Në çdo rast, nga ekstrakti duhet të hiqet çdo informacion që mund të zbulojë identitetin e prokurorit.</w:t>
      </w:r>
    </w:p>
    <w:p w14:paraId="7A68FA94"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sz w:val="24"/>
          <w:szCs w:val="24"/>
        </w:rPr>
      </w:pPr>
    </w:p>
    <w:p w14:paraId="28620763"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KREU VI</w:t>
      </w:r>
    </w:p>
    <w:p w14:paraId="53C2321C"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VLERËSIMI I PËRSHPEJTUAR</w:t>
      </w:r>
    </w:p>
    <w:p w14:paraId="5C095182"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p>
    <w:p w14:paraId="6C88D34C"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35</w:t>
      </w:r>
    </w:p>
    <w:p w14:paraId="581EFA1A"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Rastet e vlerësimit të përshpejtuar me kërkesë</w:t>
      </w:r>
    </w:p>
    <w:p w14:paraId="376D9C13"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03095C9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Vlerësimi i përshpejtuar bëhet vetëm me kërkesë me shkrim të prokurorit, kur ai kërkon:</w:t>
      </w:r>
    </w:p>
    <w:p w14:paraId="1931147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a) të transferohet; </w:t>
      </w:r>
    </w:p>
    <w:p w14:paraId="0AEA373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b) të ngrihet në detyrë.</w:t>
      </w:r>
    </w:p>
    <w:p w14:paraId="5655866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Këshilli vendos fillimin e procedurës së vlerësimit të përshpejtuar, për periudhën që përfshin vitin e fundit kalendarik, vetëm nëse veprimtaria profesionale dhe etike e prokurorit nuk është vlerësuar për dy vitet e fundit kalendarike. </w:t>
      </w:r>
    </w:p>
    <w:p w14:paraId="2A132C6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3. Përveçse kur parashikohet shprehimisht ndryshe, vlerësimi i përshpejtuar realizohet, për aq sa është e mundur, sipas rregullave të vlerësimit etik dhe profesional, të caktuara nga ligji për statusin dhe nga kjo rregullore. </w:t>
      </w:r>
    </w:p>
    <w:p w14:paraId="3C9B9B0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38981292"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36</w:t>
      </w:r>
    </w:p>
    <w:p w14:paraId="3D0D4481"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Rregulla të veçanta</w:t>
      </w:r>
    </w:p>
    <w:p w14:paraId="4109DE0F"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sz w:val="24"/>
          <w:szCs w:val="24"/>
        </w:rPr>
      </w:pPr>
    </w:p>
    <w:p w14:paraId="3298AD1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1. Këshilli miraton program të veçantë për prokurorët që vlerësohen me procedurë të përshpejtuar. Bashkë me miratimin e programit, Këshilli zgjedh relatorin dhe këshilltarin përgjegjës dhe njofton prokurorin, drejtuesin dhe kancelarin e prokurorisë, për fillimin e procedurës. Jo më vonë se 5 ditë nga miratimi i programit, relatori njofton drejtuesin për dërgimin e të dhënave statistikore për vitin e vlerësimit. </w:t>
      </w:r>
    </w:p>
    <w:p w14:paraId="2634CAF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Brenda dy javëve nga marrja e njoftimit të relatorit, prokurori përgatit aktin e vetëvlerësimit sipas formës standarde.</w:t>
      </w:r>
    </w:p>
    <w:p w14:paraId="525BDC8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3. Brenda një muaji nga marrja e njoftimit të relatorit, drejtuesi zhvillon procedurën sipas nenit 87, të ligjit për statusin, jep mendimin sipas rubrikave të formularit të integruar të vlerësimit, si dhe i dërgon aktet e vlerësimit, Këshillit. Aktet e vlerësimit, që dërgohen nga drejtuesi, përcaktohen në nenet 88, pika 2 dhe 97, pika 3, të ligjit për statusin. </w:t>
      </w:r>
    </w:p>
    <w:p w14:paraId="2928A6C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4. Relatori dhe këshilltari përgjegjës për vlerësimin marrin masa për mbledhjen e akteve, krijimin e dosjes së vlerësimit, si dhe për hartimin e raportit analitik dhe të projekt raportit të vlerësimit, në një kohë sa më të shpejtë dhe, në çdo rast, jo më vonë se dy muaj nga paraqitja e akteve të vlerësimit prej drejtuesit të prokurorisë. </w:t>
      </w:r>
    </w:p>
    <w:p w14:paraId="1792D17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5. Projekt raporti i vlerësimit i njoftohet prokurorit dhe përfshihet në rendin e ditës së mbledhjes së radhës së Këshillit.</w:t>
      </w:r>
    </w:p>
    <w:p w14:paraId="7679E23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6. Viti kalendarik, për të cilin prokurori është vlerësuar në mënyrë të përshpejtuar, përjashtohet nga periudha e vlerësimit periodik. </w:t>
      </w:r>
    </w:p>
    <w:p w14:paraId="3CE970F1" w14:textId="77777777" w:rsidR="00F052F6" w:rsidRPr="003D5CE4" w:rsidRDefault="00F052F6" w:rsidP="00F052F6">
      <w:pPr>
        <w:autoSpaceDE w:val="0"/>
        <w:autoSpaceDN w:val="0"/>
        <w:adjustRightInd w:val="0"/>
        <w:spacing w:after="0" w:line="240" w:lineRule="auto"/>
        <w:ind w:firstLine="284"/>
        <w:rPr>
          <w:rFonts w:ascii="Garamond" w:hAnsi="Garamond" w:cs="Times New Roman"/>
          <w:bCs/>
          <w:sz w:val="24"/>
          <w:szCs w:val="24"/>
        </w:rPr>
      </w:pPr>
    </w:p>
    <w:p w14:paraId="023048D7" w14:textId="77777777" w:rsidR="009D447F" w:rsidRDefault="009D447F" w:rsidP="00F052F6">
      <w:pPr>
        <w:autoSpaceDE w:val="0"/>
        <w:autoSpaceDN w:val="0"/>
        <w:adjustRightInd w:val="0"/>
        <w:spacing w:after="0" w:line="240" w:lineRule="auto"/>
        <w:ind w:firstLine="284"/>
        <w:jc w:val="center"/>
        <w:rPr>
          <w:rFonts w:ascii="Garamond" w:hAnsi="Garamond" w:cs="Times New Roman"/>
          <w:bCs/>
          <w:sz w:val="24"/>
          <w:szCs w:val="24"/>
        </w:rPr>
      </w:pPr>
    </w:p>
    <w:p w14:paraId="11671D8D" w14:textId="77777777" w:rsidR="009D447F" w:rsidRDefault="009D447F" w:rsidP="00F052F6">
      <w:pPr>
        <w:autoSpaceDE w:val="0"/>
        <w:autoSpaceDN w:val="0"/>
        <w:adjustRightInd w:val="0"/>
        <w:spacing w:after="0" w:line="240" w:lineRule="auto"/>
        <w:ind w:firstLine="284"/>
        <w:jc w:val="center"/>
        <w:rPr>
          <w:rFonts w:ascii="Garamond" w:hAnsi="Garamond" w:cs="Times New Roman"/>
          <w:bCs/>
          <w:sz w:val="24"/>
          <w:szCs w:val="24"/>
        </w:rPr>
      </w:pPr>
    </w:p>
    <w:p w14:paraId="3BE55B9A" w14:textId="77777777" w:rsidR="009D447F" w:rsidRDefault="009D447F" w:rsidP="00F052F6">
      <w:pPr>
        <w:autoSpaceDE w:val="0"/>
        <w:autoSpaceDN w:val="0"/>
        <w:adjustRightInd w:val="0"/>
        <w:spacing w:after="0" w:line="240" w:lineRule="auto"/>
        <w:ind w:firstLine="284"/>
        <w:jc w:val="center"/>
        <w:rPr>
          <w:rFonts w:ascii="Garamond" w:hAnsi="Garamond" w:cs="Times New Roman"/>
          <w:bCs/>
          <w:sz w:val="24"/>
          <w:szCs w:val="24"/>
        </w:rPr>
      </w:pPr>
    </w:p>
    <w:p w14:paraId="68F80852" w14:textId="77777777" w:rsidR="009D447F" w:rsidRDefault="009D447F" w:rsidP="00F052F6">
      <w:pPr>
        <w:autoSpaceDE w:val="0"/>
        <w:autoSpaceDN w:val="0"/>
        <w:adjustRightInd w:val="0"/>
        <w:spacing w:after="0" w:line="240" w:lineRule="auto"/>
        <w:ind w:firstLine="284"/>
        <w:jc w:val="center"/>
        <w:rPr>
          <w:rFonts w:ascii="Garamond" w:hAnsi="Garamond" w:cs="Times New Roman"/>
          <w:bCs/>
          <w:sz w:val="24"/>
          <w:szCs w:val="24"/>
        </w:rPr>
      </w:pPr>
    </w:p>
    <w:p w14:paraId="629E904F"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KREU VII</w:t>
      </w:r>
    </w:p>
    <w:p w14:paraId="781320D4"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PËRFUNDIMI I VLERËSIMIT</w:t>
      </w:r>
    </w:p>
    <w:p w14:paraId="10DF6812"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p>
    <w:p w14:paraId="65A8222D"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37</w:t>
      </w:r>
    </w:p>
    <w:p w14:paraId="7E33F58E"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Ankimi i prokurorit</w:t>
      </w:r>
    </w:p>
    <w:p w14:paraId="2A60474B"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4A9BC1B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1. Kundër vendimit të Këshillit, prokurori ka të drejtën e ankimit vetëm për shkelje të rënda procedurale. </w:t>
      </w:r>
    </w:p>
    <w:p w14:paraId="54636F8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Ankimi paraqitet brenda 15 ditëve nga data e njoftimit të vendimit të arsyetuar të Këshillit, në Gjykatën Administrative të Apelit.</w:t>
      </w:r>
    </w:p>
    <w:p w14:paraId="05BA9D6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p>
    <w:p w14:paraId="63347E6F"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38</w:t>
      </w:r>
    </w:p>
    <w:p w14:paraId="6FE34D40"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Arkivimi i dosjes së vlerësimit</w:t>
      </w:r>
    </w:p>
    <w:p w14:paraId="7E1783C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6727B9D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Kur vlerësimi i prokurorit bëhet përfundimtar, rezultati i vlerësimit përfshihet në dosjen personale të prokurorit.</w:t>
      </w:r>
    </w:p>
    <w:p w14:paraId="7A10743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Dosja e vlerësimit arkivohet sipas rregullave të përgjithshme për arkivimin e akteve të Këshillit. </w:t>
      </w:r>
    </w:p>
    <w:p w14:paraId="64486F40"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sz w:val="24"/>
          <w:szCs w:val="24"/>
        </w:rPr>
      </w:pPr>
    </w:p>
    <w:p w14:paraId="49E0C67D"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KREU VIII</w:t>
      </w:r>
    </w:p>
    <w:p w14:paraId="4F2B73E3"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DISPOZITA KALIMTARE</w:t>
      </w:r>
    </w:p>
    <w:p w14:paraId="5109BA6F"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p>
    <w:p w14:paraId="7D420E8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39</w:t>
      </w:r>
    </w:p>
    <w:p w14:paraId="6A34924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Rregulla të posaçme për vlerësimin etik dhe profesional gjatë periudhës kalimtare</w:t>
      </w:r>
    </w:p>
    <w:p w14:paraId="7DDCBF60"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18A6C34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1. Gjatë periudhës kalimtare, sipas nenit 25, të ligjit nr. 48/2019, “Për disa shtesa dhe ndryshime në ligjin nr. 96/2016, ‘Për statusin e gjyqtarëve dhe prokurorëve në Republikën e Shqipërisë’”, sa herë që kërkohet ngritja në detyrë ose lëvizja paralele, Këshilli bën vlerësim të përshpejtuar të detyruar të prokurorit. </w:t>
      </w:r>
    </w:p>
    <w:p w14:paraId="509F63D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Për këtë vlerësim zbatohen rregullat e përcaktuara, “Për vlerësimin e përshpejtuar me kërkesë”, me afate të përgjysmuara nga ato të parashikuara në nenin 36, të kësaj rregulloreje. </w:t>
      </w:r>
    </w:p>
    <w:p w14:paraId="0DC7485E"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sz w:val="24"/>
          <w:szCs w:val="24"/>
        </w:rPr>
      </w:pPr>
    </w:p>
    <w:p w14:paraId="312FF645"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Cs/>
          <w:sz w:val="24"/>
          <w:szCs w:val="24"/>
        </w:rPr>
      </w:pPr>
      <w:r w:rsidRPr="003D5CE4">
        <w:rPr>
          <w:rFonts w:ascii="Garamond" w:hAnsi="Garamond" w:cs="Times New Roman"/>
          <w:bCs/>
          <w:sz w:val="24"/>
          <w:szCs w:val="24"/>
        </w:rPr>
        <w:t>Neni 40</w:t>
      </w:r>
    </w:p>
    <w:p w14:paraId="180790C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Hartimi i programit të vlerësimit në periudhën kalimtare</w:t>
      </w:r>
    </w:p>
    <w:p w14:paraId="754A08B8"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p>
    <w:p w14:paraId="343D604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1. Nga data 1 janar 2017, Këshilli llogarit periudhën e vlerësimit të individualizuar për çdo prokuror, sipas nenit 84, të ligjit për statusin.</w:t>
      </w:r>
    </w:p>
    <w:p w14:paraId="31A41B5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2. Deri sa të sigurohet zbatimi në kohën e duhur i vlerësimit etik dhe profesional, paralelisht me vlerësimin e rregullt të prokurorëve, sipas nenit 84, të ligjit për statusin, Këshilli, në programin vjetor të vlerësimit, u jep përparësi rasteve të përfundimit të vlerësimeve të përshpejtuara, të detyruara, sipas nenit 35, të këtij vendimi.</w:t>
      </w:r>
    </w:p>
    <w:p w14:paraId="7FBA1A11" w14:textId="77777777" w:rsidR="00F052F6" w:rsidRPr="003D5CE4" w:rsidRDefault="00F052F6" w:rsidP="00F052F6">
      <w:pPr>
        <w:autoSpaceDE w:val="0"/>
        <w:autoSpaceDN w:val="0"/>
        <w:adjustRightInd w:val="0"/>
        <w:spacing w:after="0" w:line="240" w:lineRule="auto"/>
        <w:ind w:firstLine="284"/>
        <w:rPr>
          <w:rFonts w:ascii="Garamond" w:hAnsi="Garamond" w:cs="Times New Roman"/>
          <w:sz w:val="24"/>
          <w:szCs w:val="24"/>
        </w:rPr>
      </w:pPr>
      <w:r w:rsidRPr="003D5CE4">
        <w:rPr>
          <w:rFonts w:ascii="Garamond" w:hAnsi="Garamond" w:cs="Times New Roman"/>
          <w:sz w:val="24"/>
          <w:szCs w:val="24"/>
        </w:rPr>
        <w:t xml:space="preserve">  </w:t>
      </w:r>
    </w:p>
    <w:p w14:paraId="2186FE3B" w14:textId="77777777" w:rsidR="00F052F6" w:rsidRPr="002149B8" w:rsidRDefault="00F052F6" w:rsidP="00F052F6">
      <w:pPr>
        <w:autoSpaceDE w:val="0"/>
        <w:autoSpaceDN w:val="0"/>
        <w:adjustRightInd w:val="0"/>
        <w:spacing w:after="0" w:line="240" w:lineRule="auto"/>
        <w:ind w:firstLine="284"/>
        <w:jc w:val="center"/>
        <w:rPr>
          <w:rFonts w:ascii="Garamond" w:hAnsi="Garamond" w:cs="Calibri"/>
          <w:bCs/>
          <w:sz w:val="24"/>
          <w:szCs w:val="24"/>
        </w:rPr>
      </w:pPr>
      <w:r w:rsidRPr="002149B8">
        <w:rPr>
          <w:rFonts w:ascii="Garamond" w:hAnsi="Garamond" w:cs="Times New Roman"/>
          <w:bCs/>
          <w:sz w:val="24"/>
          <w:szCs w:val="24"/>
        </w:rPr>
        <w:t>Neni 41</w:t>
      </w:r>
    </w:p>
    <w:p w14:paraId="52D3E13E" w14:textId="77777777" w:rsidR="00F052F6" w:rsidRPr="002149B8"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2149B8">
        <w:rPr>
          <w:rFonts w:ascii="Garamond" w:hAnsi="Garamond" w:cs="Times New Roman"/>
          <w:b/>
          <w:bCs/>
          <w:sz w:val="24"/>
          <w:szCs w:val="24"/>
        </w:rPr>
        <w:t>Dispozitë tranzitore</w:t>
      </w:r>
    </w:p>
    <w:p w14:paraId="2574F020" w14:textId="77777777" w:rsidR="00F052F6" w:rsidRPr="003D5CE4" w:rsidRDefault="00F052F6" w:rsidP="00F052F6">
      <w:pPr>
        <w:autoSpaceDE w:val="0"/>
        <w:autoSpaceDN w:val="0"/>
        <w:adjustRightInd w:val="0"/>
        <w:spacing w:after="0" w:line="240" w:lineRule="auto"/>
        <w:ind w:firstLine="284"/>
        <w:jc w:val="center"/>
        <w:rPr>
          <w:rFonts w:ascii="Garamond" w:hAnsi="Garamond" w:cs="Calibri"/>
          <w:b/>
          <w:bCs/>
          <w:sz w:val="24"/>
          <w:szCs w:val="24"/>
          <w:highlight w:val="yellow"/>
        </w:rPr>
      </w:pPr>
    </w:p>
    <w:p w14:paraId="122CC4F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676B71">
        <w:rPr>
          <w:rFonts w:ascii="Garamond" w:hAnsi="Garamond" w:cs="Times New Roman"/>
          <w:sz w:val="24"/>
          <w:szCs w:val="24"/>
        </w:rPr>
        <w:t>1. Anekset nr. 1, nr. 2, nr. 3, nr. 4, nr. 5 dhe nr. 6, bashkëlidhur kësaj rregulloreje</w:t>
      </w:r>
      <w:r w:rsidRPr="00676B71">
        <w:rPr>
          <w:rFonts w:ascii="Garamond" w:hAnsi="Garamond" w:cs="Calibri"/>
          <w:sz w:val="24"/>
          <w:szCs w:val="24"/>
        </w:rPr>
        <w:t>,</w:t>
      </w:r>
      <w:r w:rsidRPr="00676B71">
        <w:rPr>
          <w:rFonts w:ascii="Garamond" w:hAnsi="Garamond" w:cs="Times New Roman"/>
          <w:sz w:val="24"/>
          <w:szCs w:val="24"/>
        </w:rPr>
        <w:t xml:space="preserve"> janë të vlefshme vetëm për prokurorët</w:t>
      </w:r>
      <w:r w:rsidRPr="00676B71">
        <w:rPr>
          <w:rFonts w:ascii="Garamond" w:hAnsi="Garamond" w:cs="Calibri"/>
          <w:sz w:val="24"/>
          <w:szCs w:val="24"/>
        </w:rPr>
        <w:t>,</w:t>
      </w:r>
      <w:r w:rsidRPr="00676B71">
        <w:rPr>
          <w:rFonts w:ascii="Garamond" w:hAnsi="Garamond" w:cs="Times New Roman"/>
          <w:sz w:val="24"/>
          <w:szCs w:val="24"/>
        </w:rPr>
        <w:t xml:space="preserve"> të cilët, gjatë periudhës së vlerësimit</w:t>
      </w:r>
      <w:r w:rsidRPr="00676B71">
        <w:rPr>
          <w:rFonts w:ascii="Garamond" w:hAnsi="Garamond" w:cs="Calibri"/>
          <w:sz w:val="24"/>
          <w:szCs w:val="24"/>
        </w:rPr>
        <w:t>,</w:t>
      </w:r>
      <w:r w:rsidRPr="00676B71">
        <w:rPr>
          <w:rFonts w:ascii="Garamond" w:hAnsi="Garamond" w:cs="Times New Roman"/>
          <w:sz w:val="24"/>
          <w:szCs w:val="24"/>
        </w:rPr>
        <w:t xml:space="preserve"> kanë ushtruar funksionet në zyrat e Prokurorisë pranë Gjykatave të Shkallës së Parë. Për prokurorët që ushtrojnë funksionet pranë Gjykatave të Apelit dhe në Prokurorinë e Përgjithshme, përmbajtja e anekseve do të rregullohet nga Këshilli</w:t>
      </w:r>
      <w:r w:rsidRPr="00676B71">
        <w:rPr>
          <w:rFonts w:ascii="Garamond" w:hAnsi="Garamond" w:cs="Calibri"/>
          <w:sz w:val="24"/>
          <w:szCs w:val="24"/>
        </w:rPr>
        <w:t>,</w:t>
      </w:r>
      <w:r w:rsidRPr="00676B71">
        <w:rPr>
          <w:rFonts w:ascii="Garamond" w:hAnsi="Garamond" w:cs="Times New Roman"/>
          <w:sz w:val="24"/>
          <w:szCs w:val="24"/>
        </w:rPr>
        <w:t xml:space="preserve"> me një akt të veçantë.</w:t>
      </w:r>
    </w:p>
    <w:p w14:paraId="5A8DA45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2. “Standardet minimale kohore për përfundimin e procedurave hetimore apo procedurave të tjera të sistemit të prokurorisë”, të cituara në </w:t>
      </w:r>
      <w:r>
        <w:rPr>
          <w:rFonts w:ascii="Garamond" w:hAnsi="Garamond" w:cs="Times New Roman"/>
          <w:sz w:val="24"/>
          <w:szCs w:val="24"/>
        </w:rPr>
        <w:t>a</w:t>
      </w:r>
      <w:r w:rsidRPr="003D5CE4">
        <w:rPr>
          <w:rFonts w:ascii="Garamond" w:hAnsi="Garamond" w:cs="Times New Roman"/>
          <w:sz w:val="24"/>
          <w:szCs w:val="24"/>
        </w:rPr>
        <w:t xml:space="preserve">neksin nr. 1, “Metodologjia e pikëzimit me qëllim përcaktimin e nivelit të vlerësimit të prokurorit”, parashikuar në nenin 74, pika 2, të </w:t>
      </w:r>
      <w:r>
        <w:rPr>
          <w:rFonts w:ascii="Garamond" w:hAnsi="Garamond" w:cs="Times New Roman"/>
          <w:sz w:val="24"/>
          <w:szCs w:val="24"/>
        </w:rPr>
        <w:t>l</w:t>
      </w:r>
      <w:r w:rsidRPr="003D5CE4">
        <w:rPr>
          <w:rFonts w:ascii="Garamond" w:hAnsi="Garamond" w:cs="Times New Roman"/>
          <w:sz w:val="24"/>
          <w:szCs w:val="24"/>
        </w:rPr>
        <w:t xml:space="preserve">igjit për </w:t>
      </w:r>
      <w:r>
        <w:rPr>
          <w:rFonts w:ascii="Garamond" w:hAnsi="Garamond" w:cs="Times New Roman"/>
          <w:sz w:val="24"/>
          <w:szCs w:val="24"/>
        </w:rPr>
        <w:t>s</w:t>
      </w:r>
      <w:r w:rsidRPr="003D5CE4">
        <w:rPr>
          <w:rFonts w:ascii="Garamond" w:hAnsi="Garamond" w:cs="Times New Roman"/>
          <w:sz w:val="24"/>
          <w:szCs w:val="24"/>
        </w:rPr>
        <w:t>tatusin, si një nga treguesit që shërben për vlerësimin e shkallës së aftësive organizative të prokurorit, do të bëhen të vlerësueshme, pasi të jenë përcaktuar se, cilat kanë qenë, ndër vite, afatet minimale kohore të nevojshme për t’u dhënë zgjidhje çështjeve me natyrë të njëjtë, referuar veprimtarisë së prokurorive të ndryshme, me udhëzim të veçantë të Këshillit.</w:t>
      </w:r>
    </w:p>
    <w:p w14:paraId="06E7025E" w14:textId="77777777" w:rsidR="00F052F6" w:rsidRPr="003D5CE4" w:rsidRDefault="00F052F6" w:rsidP="00F052F6">
      <w:pPr>
        <w:autoSpaceDE w:val="0"/>
        <w:autoSpaceDN w:val="0"/>
        <w:adjustRightInd w:val="0"/>
        <w:spacing w:after="0" w:line="240" w:lineRule="auto"/>
        <w:ind w:firstLine="284"/>
        <w:jc w:val="both"/>
        <w:rPr>
          <w:rFonts w:ascii="Garamond" w:hAnsi="Garamond" w:cs="Calibri"/>
          <w:sz w:val="24"/>
          <w:szCs w:val="24"/>
        </w:rPr>
      </w:pPr>
    </w:p>
    <w:p w14:paraId="67527250" w14:textId="77777777" w:rsidR="00F052F6" w:rsidRPr="003D5CE4" w:rsidRDefault="00F052F6" w:rsidP="00F052F6">
      <w:pPr>
        <w:autoSpaceDE w:val="0"/>
        <w:autoSpaceDN w:val="0"/>
        <w:adjustRightInd w:val="0"/>
        <w:spacing w:after="0" w:line="240" w:lineRule="auto"/>
        <w:ind w:firstLine="284"/>
        <w:jc w:val="center"/>
        <w:rPr>
          <w:rFonts w:ascii="Garamond" w:hAnsi="Garamond" w:cs="Calibri"/>
          <w:bCs/>
          <w:sz w:val="24"/>
          <w:szCs w:val="24"/>
        </w:rPr>
      </w:pPr>
      <w:r w:rsidRPr="003D5CE4">
        <w:rPr>
          <w:rFonts w:ascii="Garamond" w:hAnsi="Garamond" w:cs="Times New Roman"/>
          <w:bCs/>
          <w:sz w:val="24"/>
          <w:szCs w:val="24"/>
        </w:rPr>
        <w:t>Neni 42</w:t>
      </w:r>
    </w:p>
    <w:p w14:paraId="60F860AB"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sz w:val="24"/>
          <w:szCs w:val="24"/>
        </w:rPr>
      </w:pPr>
      <w:r w:rsidRPr="003D5CE4">
        <w:rPr>
          <w:rFonts w:ascii="Garamond" w:hAnsi="Garamond" w:cs="Times New Roman"/>
          <w:b/>
          <w:bCs/>
          <w:sz w:val="24"/>
          <w:szCs w:val="24"/>
        </w:rPr>
        <w:t>Hyrja në fuqi</w:t>
      </w:r>
    </w:p>
    <w:p w14:paraId="33A178C2" w14:textId="77777777" w:rsidR="00F052F6" w:rsidRPr="003D5CE4" w:rsidRDefault="00F052F6" w:rsidP="00F052F6">
      <w:pPr>
        <w:autoSpaceDE w:val="0"/>
        <w:autoSpaceDN w:val="0"/>
        <w:adjustRightInd w:val="0"/>
        <w:spacing w:after="0" w:line="240" w:lineRule="auto"/>
        <w:ind w:firstLine="284"/>
        <w:rPr>
          <w:rFonts w:ascii="Garamond" w:hAnsi="Garamond" w:cs="Calibri"/>
          <w:sz w:val="24"/>
          <w:szCs w:val="24"/>
        </w:rPr>
      </w:pPr>
    </w:p>
    <w:p w14:paraId="54A26EE3" w14:textId="77777777" w:rsidR="00F052F6" w:rsidRPr="003D5CE4" w:rsidRDefault="00F052F6" w:rsidP="00F052F6">
      <w:pPr>
        <w:autoSpaceDE w:val="0"/>
        <w:autoSpaceDN w:val="0"/>
        <w:adjustRightInd w:val="0"/>
        <w:spacing w:after="0" w:line="240" w:lineRule="auto"/>
        <w:ind w:firstLine="284"/>
        <w:rPr>
          <w:rFonts w:ascii="Garamond" w:hAnsi="Garamond" w:cs="Times New Roman"/>
          <w:sz w:val="24"/>
          <w:szCs w:val="24"/>
        </w:rPr>
      </w:pPr>
      <w:r w:rsidRPr="003D5CE4">
        <w:rPr>
          <w:rFonts w:ascii="Garamond" w:hAnsi="Garamond" w:cs="Times New Roman"/>
          <w:sz w:val="24"/>
          <w:szCs w:val="24"/>
        </w:rPr>
        <w:t xml:space="preserve">Kjo rregullore hyn në fuqi në ditën e botimit në Fletoren Zyrtare. </w:t>
      </w:r>
    </w:p>
    <w:p w14:paraId="7684CE15" w14:textId="77777777" w:rsidR="00F052F6" w:rsidRPr="003D5CE4" w:rsidRDefault="00F052F6" w:rsidP="00F052F6">
      <w:pPr>
        <w:autoSpaceDE w:val="0"/>
        <w:autoSpaceDN w:val="0"/>
        <w:adjustRightInd w:val="0"/>
        <w:spacing w:after="0" w:line="240" w:lineRule="auto"/>
        <w:ind w:firstLine="284"/>
        <w:rPr>
          <w:rFonts w:ascii="Garamond" w:hAnsi="Garamond" w:cs="Times New Roman"/>
          <w:sz w:val="24"/>
          <w:szCs w:val="24"/>
        </w:rPr>
      </w:pPr>
    </w:p>
    <w:p w14:paraId="5FE2F0BD" w14:textId="77777777" w:rsidR="00F052F6" w:rsidRPr="00146BDF" w:rsidRDefault="00F052F6" w:rsidP="00F052F6">
      <w:pPr>
        <w:spacing w:after="0" w:line="240" w:lineRule="auto"/>
        <w:ind w:firstLine="284"/>
        <w:jc w:val="center"/>
        <w:rPr>
          <w:rFonts w:ascii="Garamond" w:hAnsi="Garamond"/>
          <w:sz w:val="24"/>
          <w:szCs w:val="24"/>
        </w:rPr>
      </w:pPr>
      <w:r w:rsidRPr="00146BDF">
        <w:rPr>
          <w:rFonts w:ascii="Garamond" w:hAnsi="Garamond"/>
          <w:sz w:val="24"/>
          <w:szCs w:val="24"/>
        </w:rPr>
        <w:t>ANEKSI NR. 1</w:t>
      </w:r>
    </w:p>
    <w:p w14:paraId="203A7F45" w14:textId="77777777" w:rsidR="00F052F6" w:rsidRPr="003D5CE4" w:rsidRDefault="00F052F6" w:rsidP="00F052F6">
      <w:pPr>
        <w:spacing w:after="0" w:line="240" w:lineRule="auto"/>
        <w:ind w:firstLine="284"/>
        <w:jc w:val="center"/>
        <w:rPr>
          <w:rFonts w:ascii="Garamond" w:hAnsi="Garamond"/>
          <w:sz w:val="24"/>
          <w:szCs w:val="24"/>
        </w:rPr>
      </w:pPr>
      <w:r w:rsidRPr="00146BDF">
        <w:rPr>
          <w:rFonts w:ascii="Garamond" w:hAnsi="Garamond"/>
          <w:sz w:val="24"/>
          <w:szCs w:val="24"/>
        </w:rPr>
        <w:t>METODOLOGJIA E PIKËZIMIT ME QËLLIM PËRCAKTIMIN E NIVELIT TË VLERËSIMIT TË PROKURORIT</w:t>
      </w:r>
    </w:p>
    <w:p w14:paraId="7F313029" w14:textId="77777777" w:rsidR="00F052F6" w:rsidRPr="00BA33EB" w:rsidRDefault="00F052F6" w:rsidP="00F052F6">
      <w:pPr>
        <w:spacing w:after="0" w:line="240" w:lineRule="auto"/>
        <w:ind w:firstLine="284"/>
        <w:jc w:val="both"/>
        <w:rPr>
          <w:rFonts w:ascii="Garamond" w:hAnsi="Garamond"/>
          <w:sz w:val="14"/>
          <w:szCs w:val="24"/>
        </w:rPr>
      </w:pPr>
      <w:r w:rsidRPr="003D5CE4">
        <w:rPr>
          <w:rFonts w:ascii="Garamond" w:hAnsi="Garamond"/>
          <w:sz w:val="24"/>
          <w:szCs w:val="24"/>
        </w:rPr>
        <w:t xml:space="preserve"> </w:t>
      </w:r>
    </w:p>
    <w:p w14:paraId="1D119AA5"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1. Metodologjia e pikëzimit ka për qëllim përcaktimin e nivelit të vlerësimit të prokurorit, për secilin kriter, dhe treguesit përkatës ligjorë, mbi bazën e një sistemi pikësh, të përcaktuar mbi meritat e prokurorit, kualifikimin, integritetin, aftësinë dhe efikasitetin e tij, duke respektuar parimin e pavarësisë së prokurorit.</w:t>
      </w:r>
    </w:p>
    <w:p w14:paraId="47666842"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2. Metodologjia e pikëzimit është pjesë përbërëse e “Skemës së </w:t>
      </w:r>
      <w:r>
        <w:rPr>
          <w:rFonts w:ascii="Garamond" w:hAnsi="Garamond"/>
          <w:sz w:val="24"/>
          <w:szCs w:val="24"/>
        </w:rPr>
        <w:t>v</w:t>
      </w:r>
      <w:r w:rsidRPr="003D5CE4">
        <w:rPr>
          <w:rFonts w:ascii="Garamond" w:hAnsi="Garamond"/>
          <w:sz w:val="24"/>
          <w:szCs w:val="24"/>
        </w:rPr>
        <w:t>lerësimit”, sipas përcaktimeve të nenit 2, shkronja “ll”</w:t>
      </w:r>
      <w:r>
        <w:rPr>
          <w:rFonts w:ascii="Garamond" w:hAnsi="Garamond"/>
          <w:sz w:val="24"/>
          <w:szCs w:val="24"/>
        </w:rPr>
        <w:t>,</w:t>
      </w:r>
      <w:r w:rsidRPr="003D5CE4">
        <w:rPr>
          <w:rFonts w:ascii="Garamond" w:hAnsi="Garamond"/>
          <w:sz w:val="24"/>
          <w:szCs w:val="24"/>
        </w:rPr>
        <w:t xml:space="preserve"> të </w:t>
      </w:r>
      <w:r>
        <w:rPr>
          <w:rFonts w:ascii="Garamond" w:hAnsi="Garamond"/>
          <w:sz w:val="24"/>
          <w:szCs w:val="24"/>
        </w:rPr>
        <w:t>l</w:t>
      </w:r>
      <w:r w:rsidRPr="003D5CE4">
        <w:rPr>
          <w:rFonts w:ascii="Garamond" w:hAnsi="Garamond"/>
          <w:sz w:val="24"/>
          <w:szCs w:val="24"/>
        </w:rPr>
        <w:t xml:space="preserve">igjit për </w:t>
      </w:r>
      <w:r>
        <w:rPr>
          <w:rFonts w:ascii="Garamond" w:hAnsi="Garamond"/>
          <w:sz w:val="24"/>
          <w:szCs w:val="24"/>
        </w:rPr>
        <w:t>s</w:t>
      </w:r>
      <w:r w:rsidRPr="003D5CE4">
        <w:rPr>
          <w:rFonts w:ascii="Garamond" w:hAnsi="Garamond"/>
          <w:sz w:val="24"/>
          <w:szCs w:val="24"/>
        </w:rPr>
        <w:t xml:space="preserve">tatusin, i ndryshuar. </w:t>
      </w:r>
    </w:p>
    <w:p w14:paraId="3EBA8E48"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3. Me qëllim përcaktimin e nivelit të vlerësimit të prokurorit, pikëzimi bëhet duke u bazuar në kriteret e posaçme të parashikuar në nenet 68</w:t>
      </w:r>
      <w:r>
        <w:rPr>
          <w:rFonts w:ascii="Garamond" w:hAnsi="Garamond"/>
          <w:sz w:val="24"/>
          <w:szCs w:val="24"/>
        </w:rPr>
        <w:t>–</w:t>
      </w:r>
      <w:r w:rsidRPr="003D5CE4">
        <w:rPr>
          <w:rFonts w:ascii="Garamond" w:hAnsi="Garamond"/>
          <w:sz w:val="24"/>
          <w:szCs w:val="24"/>
        </w:rPr>
        <w:t>71, 73</w:t>
      </w:r>
      <w:r>
        <w:rPr>
          <w:rFonts w:ascii="Garamond" w:hAnsi="Garamond"/>
          <w:sz w:val="24"/>
          <w:szCs w:val="24"/>
        </w:rPr>
        <w:t>–</w:t>
      </w:r>
      <w:r w:rsidRPr="003D5CE4">
        <w:rPr>
          <w:rFonts w:ascii="Garamond" w:hAnsi="Garamond"/>
          <w:sz w:val="24"/>
          <w:szCs w:val="24"/>
        </w:rPr>
        <w:t>78, 84</w:t>
      </w:r>
      <w:r>
        <w:rPr>
          <w:rFonts w:ascii="Garamond" w:hAnsi="Garamond"/>
          <w:sz w:val="24"/>
          <w:szCs w:val="24"/>
        </w:rPr>
        <w:t>–</w:t>
      </w:r>
      <w:r w:rsidRPr="003D5CE4">
        <w:rPr>
          <w:rFonts w:ascii="Garamond" w:hAnsi="Garamond"/>
          <w:sz w:val="24"/>
          <w:szCs w:val="24"/>
        </w:rPr>
        <w:t>95 dhe 97</w:t>
      </w:r>
      <w:r>
        <w:rPr>
          <w:rFonts w:ascii="Garamond" w:hAnsi="Garamond"/>
          <w:sz w:val="24"/>
          <w:szCs w:val="24"/>
        </w:rPr>
        <w:t>,</w:t>
      </w:r>
      <w:r w:rsidRPr="003D5CE4">
        <w:rPr>
          <w:rFonts w:ascii="Garamond" w:hAnsi="Garamond"/>
          <w:sz w:val="24"/>
          <w:szCs w:val="24"/>
        </w:rPr>
        <w:t xml:space="preserve"> të </w:t>
      </w:r>
      <w:r>
        <w:rPr>
          <w:rFonts w:ascii="Garamond" w:hAnsi="Garamond"/>
          <w:sz w:val="24"/>
          <w:szCs w:val="24"/>
        </w:rPr>
        <w:t>l</w:t>
      </w:r>
      <w:r w:rsidRPr="003D5CE4">
        <w:rPr>
          <w:rFonts w:ascii="Garamond" w:hAnsi="Garamond"/>
          <w:sz w:val="24"/>
          <w:szCs w:val="24"/>
        </w:rPr>
        <w:t xml:space="preserve">igjit për </w:t>
      </w:r>
      <w:r>
        <w:rPr>
          <w:rFonts w:ascii="Garamond" w:hAnsi="Garamond"/>
          <w:sz w:val="24"/>
          <w:szCs w:val="24"/>
        </w:rPr>
        <w:t>s</w:t>
      </w:r>
      <w:r w:rsidRPr="003D5CE4">
        <w:rPr>
          <w:rFonts w:ascii="Garamond" w:hAnsi="Garamond"/>
          <w:sz w:val="24"/>
          <w:szCs w:val="24"/>
        </w:rPr>
        <w:t xml:space="preserve">tatusin. </w:t>
      </w:r>
    </w:p>
    <w:p w14:paraId="15F145FD"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4. Për aq sa ligji e lejon, përcaktimi i treguesve shtesë të çdo kriteri vlerësues dhe pesha specifike e tyre bëhet në tabelën e pikëzimit, pjesë e kësaj metodologjie.  </w:t>
      </w:r>
    </w:p>
    <w:p w14:paraId="6416A89D"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5. Vlerësimi i prokurorit kryhet sipas kritereve të mëposhtme: </w:t>
      </w:r>
    </w:p>
    <w:p w14:paraId="544F8798"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a) aftësitë profesionale;  </w:t>
      </w:r>
    </w:p>
    <w:p w14:paraId="0A11B607"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b) aftësitë organizative;  </w:t>
      </w:r>
    </w:p>
    <w:p w14:paraId="6480DBEB"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c) etika dhe angazhimi ndaj vlerave profesionale;  </w:t>
      </w:r>
    </w:p>
    <w:p w14:paraId="3E81BB1C"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ç) aftësitë personale dhe angazhimi profesional.</w:t>
      </w:r>
    </w:p>
    <w:p w14:paraId="11F3FADD"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6. Vlerësimi i prokurorit kryhet sipas këtyre niveleve: </w:t>
      </w:r>
    </w:p>
    <w:p w14:paraId="57EBB405"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a) </w:t>
      </w:r>
      <w:r>
        <w:rPr>
          <w:rFonts w:ascii="Garamond" w:hAnsi="Garamond"/>
          <w:sz w:val="24"/>
          <w:szCs w:val="24"/>
        </w:rPr>
        <w:t>v</w:t>
      </w:r>
      <w:r w:rsidRPr="003D5CE4">
        <w:rPr>
          <w:rFonts w:ascii="Garamond" w:hAnsi="Garamond"/>
          <w:sz w:val="24"/>
          <w:szCs w:val="24"/>
        </w:rPr>
        <w:t>lerësimi i përgjithshëm “Shkëlqyeshëm” jepet në ato raste kur prokurori është vlerësuar “Shkëlqyeshëm” për të katërta kriteret</w:t>
      </w:r>
      <w:r>
        <w:rPr>
          <w:rFonts w:ascii="Garamond" w:hAnsi="Garamond"/>
          <w:sz w:val="24"/>
          <w:szCs w:val="24"/>
        </w:rPr>
        <w:t>;</w:t>
      </w:r>
      <w:r w:rsidRPr="003D5CE4">
        <w:rPr>
          <w:rFonts w:ascii="Garamond" w:hAnsi="Garamond"/>
          <w:sz w:val="24"/>
          <w:szCs w:val="24"/>
        </w:rPr>
        <w:t xml:space="preserve"> </w:t>
      </w:r>
    </w:p>
    <w:p w14:paraId="08660574"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b) </w:t>
      </w:r>
      <w:r>
        <w:rPr>
          <w:rFonts w:ascii="Garamond" w:hAnsi="Garamond"/>
          <w:sz w:val="24"/>
          <w:szCs w:val="24"/>
        </w:rPr>
        <w:t>v</w:t>
      </w:r>
      <w:r w:rsidRPr="003D5CE4">
        <w:rPr>
          <w:rFonts w:ascii="Garamond" w:hAnsi="Garamond"/>
          <w:sz w:val="24"/>
          <w:szCs w:val="24"/>
        </w:rPr>
        <w:t>lerësimi i përgjithshëm “Shumë mirë” jepet vetëm në ato raste kur prokurori vlerësohet “Shumë mirë” për tr</w:t>
      </w:r>
      <w:r>
        <w:rPr>
          <w:rFonts w:ascii="Garamond" w:hAnsi="Garamond"/>
          <w:sz w:val="24"/>
          <w:szCs w:val="24"/>
        </w:rPr>
        <w:t>i</w:t>
      </w:r>
      <w:r w:rsidRPr="003D5CE4">
        <w:rPr>
          <w:rFonts w:ascii="Garamond" w:hAnsi="Garamond"/>
          <w:sz w:val="24"/>
          <w:szCs w:val="24"/>
        </w:rPr>
        <w:t xml:space="preserve"> kritere dhe “Mirë” për njërin prej tyre. Në çdo rast, kriteret “aftësitë profesionale” dhe “etika dhe angazhimi ndaj vlerave profesionale” duhet të jenë vlerësuar “Shumë mirë”</w:t>
      </w:r>
      <w:r>
        <w:rPr>
          <w:rFonts w:ascii="Garamond" w:hAnsi="Garamond"/>
          <w:sz w:val="24"/>
          <w:szCs w:val="24"/>
        </w:rPr>
        <w:t>;</w:t>
      </w:r>
      <w:r w:rsidRPr="003D5CE4">
        <w:rPr>
          <w:rFonts w:ascii="Garamond" w:hAnsi="Garamond"/>
          <w:sz w:val="24"/>
          <w:szCs w:val="24"/>
        </w:rPr>
        <w:t xml:space="preserve">  </w:t>
      </w:r>
    </w:p>
    <w:p w14:paraId="0F20C26A" w14:textId="50ECC2BE"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c) Vlerësimi i përgjithshëm “Mirë” jepet në rastin kur aftësitë e prokurorit vlerësohen “Mirë” për dy kritere dhe “Mjaftueshëm” për dy kriteret e tjera. I njëjti rregull zbatohet edhe në rastin kur ka barazi në vlerësimin e kritereve në </w:t>
      </w:r>
      <w:r w:rsidRPr="00EC0715">
        <w:rPr>
          <w:rFonts w:ascii="Garamond" w:hAnsi="Garamond"/>
          <w:sz w:val="24"/>
          <w:szCs w:val="24"/>
        </w:rPr>
        <w:t>nivelet “Mjaftueshëm”</w:t>
      </w:r>
      <w:r w:rsidRPr="003D5CE4">
        <w:rPr>
          <w:rFonts w:ascii="Garamond" w:hAnsi="Garamond"/>
          <w:sz w:val="24"/>
          <w:szCs w:val="24"/>
        </w:rPr>
        <w:t xml:space="preserve"> dhe “</w:t>
      </w:r>
      <w:r>
        <w:rPr>
          <w:rFonts w:ascii="Garamond" w:hAnsi="Garamond"/>
          <w:sz w:val="24"/>
          <w:szCs w:val="24"/>
        </w:rPr>
        <w:t>i</w:t>
      </w:r>
      <w:r w:rsidRPr="003D5CE4">
        <w:rPr>
          <w:rFonts w:ascii="Garamond" w:hAnsi="Garamond"/>
          <w:sz w:val="24"/>
          <w:szCs w:val="24"/>
        </w:rPr>
        <w:t xml:space="preserve"> </w:t>
      </w:r>
      <w:r>
        <w:rPr>
          <w:rFonts w:ascii="Garamond" w:hAnsi="Garamond"/>
          <w:sz w:val="24"/>
          <w:szCs w:val="24"/>
        </w:rPr>
        <w:t>P</w:t>
      </w:r>
      <w:r w:rsidRPr="003D5CE4">
        <w:rPr>
          <w:rFonts w:ascii="Garamond" w:hAnsi="Garamond"/>
          <w:sz w:val="24"/>
          <w:szCs w:val="24"/>
        </w:rPr>
        <w:t xml:space="preserve">amjaftueshëm”. Në çdo rast, kriteret “aftësitë profesionale” dhe “etika dhe përkushtimi ndaj vlerave profesionale” duhet të vlerësohen të paktën “Mirë”.  </w:t>
      </w:r>
    </w:p>
    <w:p w14:paraId="76CF04F7"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ç) Vlerësimi i përgjithshëm “</w:t>
      </w:r>
      <w:r>
        <w:rPr>
          <w:rFonts w:ascii="Garamond" w:hAnsi="Garamond"/>
          <w:sz w:val="24"/>
          <w:szCs w:val="24"/>
        </w:rPr>
        <w:t>i</w:t>
      </w:r>
      <w:r w:rsidRPr="003D5CE4">
        <w:rPr>
          <w:rFonts w:ascii="Garamond" w:hAnsi="Garamond"/>
          <w:sz w:val="24"/>
          <w:szCs w:val="24"/>
        </w:rPr>
        <w:t xml:space="preserve"> </w:t>
      </w:r>
      <w:r>
        <w:rPr>
          <w:rFonts w:ascii="Garamond" w:hAnsi="Garamond"/>
          <w:sz w:val="24"/>
          <w:szCs w:val="24"/>
        </w:rPr>
        <w:t>P</w:t>
      </w:r>
      <w:r w:rsidRPr="003D5CE4">
        <w:rPr>
          <w:rFonts w:ascii="Garamond" w:hAnsi="Garamond"/>
          <w:sz w:val="24"/>
          <w:szCs w:val="24"/>
        </w:rPr>
        <w:t>amjaftueshëm” jepet në rastet kur prokurori</w:t>
      </w:r>
      <w:r>
        <w:rPr>
          <w:rFonts w:ascii="Garamond" w:hAnsi="Garamond"/>
          <w:sz w:val="24"/>
          <w:szCs w:val="24"/>
        </w:rPr>
        <w:t>;</w:t>
      </w:r>
      <w:r w:rsidRPr="003D5CE4">
        <w:rPr>
          <w:rFonts w:ascii="Garamond" w:hAnsi="Garamond"/>
          <w:sz w:val="24"/>
          <w:szCs w:val="24"/>
        </w:rPr>
        <w:t xml:space="preserve">      </w:t>
      </w:r>
    </w:p>
    <w:p w14:paraId="7EFE7B3A" w14:textId="77777777" w:rsidR="00F052F6" w:rsidRPr="003D5CE4" w:rsidRDefault="00F052F6" w:rsidP="00F052F6">
      <w:pPr>
        <w:spacing w:after="0" w:line="240" w:lineRule="auto"/>
        <w:ind w:firstLine="284"/>
        <w:jc w:val="both"/>
        <w:rPr>
          <w:rFonts w:ascii="Garamond" w:hAnsi="Garamond"/>
          <w:sz w:val="24"/>
          <w:szCs w:val="24"/>
        </w:rPr>
      </w:pPr>
      <w:r w:rsidRPr="00EC0715">
        <w:rPr>
          <w:rFonts w:ascii="Garamond" w:hAnsi="Garamond"/>
          <w:sz w:val="24"/>
          <w:szCs w:val="24"/>
        </w:rPr>
        <w:t xml:space="preserve">vlerësohet </w:t>
      </w:r>
      <w:r w:rsidRPr="003D5CE4">
        <w:rPr>
          <w:rFonts w:ascii="Garamond" w:hAnsi="Garamond"/>
          <w:sz w:val="24"/>
          <w:szCs w:val="24"/>
        </w:rPr>
        <w:t>“</w:t>
      </w:r>
      <w:r>
        <w:rPr>
          <w:rFonts w:ascii="Garamond" w:hAnsi="Garamond"/>
          <w:sz w:val="24"/>
          <w:szCs w:val="24"/>
        </w:rPr>
        <w:t>i</w:t>
      </w:r>
      <w:r w:rsidRPr="003D5CE4">
        <w:rPr>
          <w:rFonts w:ascii="Garamond" w:hAnsi="Garamond"/>
          <w:sz w:val="24"/>
          <w:szCs w:val="24"/>
        </w:rPr>
        <w:t xml:space="preserve"> </w:t>
      </w:r>
      <w:r>
        <w:rPr>
          <w:rFonts w:ascii="Garamond" w:hAnsi="Garamond"/>
          <w:sz w:val="24"/>
          <w:szCs w:val="24"/>
        </w:rPr>
        <w:t>P</w:t>
      </w:r>
      <w:r w:rsidRPr="003D5CE4">
        <w:rPr>
          <w:rFonts w:ascii="Garamond" w:hAnsi="Garamond"/>
          <w:sz w:val="24"/>
          <w:szCs w:val="24"/>
        </w:rPr>
        <w:t>amjaftueshëm” për të paktën në 3 kritere ose kur prokurori</w:t>
      </w:r>
      <w:r>
        <w:rPr>
          <w:rFonts w:ascii="Garamond" w:hAnsi="Garamond"/>
          <w:sz w:val="24"/>
          <w:szCs w:val="24"/>
        </w:rPr>
        <w:t>;</w:t>
      </w:r>
      <w:r w:rsidRPr="003D5CE4">
        <w:rPr>
          <w:rFonts w:ascii="Garamond" w:hAnsi="Garamond"/>
          <w:sz w:val="24"/>
          <w:szCs w:val="24"/>
        </w:rPr>
        <w:t xml:space="preserve"> </w:t>
      </w:r>
    </w:p>
    <w:p w14:paraId="03CA57E2" w14:textId="77777777" w:rsidR="00F052F6" w:rsidRPr="003D5CE4" w:rsidRDefault="00F052F6" w:rsidP="00F052F6">
      <w:pPr>
        <w:spacing w:after="0" w:line="240" w:lineRule="auto"/>
        <w:ind w:firstLine="284"/>
        <w:jc w:val="both"/>
        <w:rPr>
          <w:rFonts w:ascii="Garamond" w:hAnsi="Garamond"/>
          <w:sz w:val="24"/>
          <w:szCs w:val="24"/>
        </w:rPr>
      </w:pPr>
      <w:r w:rsidRPr="00EC0715">
        <w:rPr>
          <w:rFonts w:ascii="Garamond" w:hAnsi="Garamond"/>
          <w:sz w:val="24"/>
          <w:szCs w:val="24"/>
        </w:rPr>
        <w:t>vlerësohet “</w:t>
      </w:r>
      <w:r>
        <w:rPr>
          <w:rFonts w:ascii="Garamond" w:hAnsi="Garamond"/>
          <w:sz w:val="24"/>
          <w:szCs w:val="24"/>
        </w:rPr>
        <w:t>i</w:t>
      </w:r>
      <w:r w:rsidRPr="003D5CE4">
        <w:rPr>
          <w:rFonts w:ascii="Garamond" w:hAnsi="Garamond"/>
          <w:sz w:val="24"/>
          <w:szCs w:val="24"/>
        </w:rPr>
        <w:t xml:space="preserve"> </w:t>
      </w:r>
      <w:r>
        <w:rPr>
          <w:rFonts w:ascii="Garamond" w:hAnsi="Garamond"/>
          <w:sz w:val="24"/>
          <w:szCs w:val="24"/>
        </w:rPr>
        <w:t>P</w:t>
      </w:r>
      <w:r w:rsidRPr="003D5CE4">
        <w:rPr>
          <w:rFonts w:ascii="Garamond" w:hAnsi="Garamond"/>
          <w:sz w:val="24"/>
          <w:szCs w:val="24"/>
        </w:rPr>
        <w:t>amjaftueshëm” për kriteret “aftësitë profesionale” dhe “etika</w:t>
      </w:r>
      <w:r>
        <w:rPr>
          <w:rFonts w:ascii="Garamond" w:hAnsi="Garamond"/>
          <w:sz w:val="24"/>
          <w:szCs w:val="24"/>
        </w:rPr>
        <w:t>;</w:t>
      </w:r>
      <w:r w:rsidRPr="003D5CE4">
        <w:rPr>
          <w:rFonts w:ascii="Garamond" w:hAnsi="Garamond"/>
          <w:sz w:val="24"/>
          <w:szCs w:val="24"/>
        </w:rPr>
        <w:t xml:space="preserve"> dhe </w:t>
      </w:r>
    </w:p>
    <w:p w14:paraId="049A3DAA" w14:textId="77777777" w:rsidR="00F052F6" w:rsidRPr="003D5CE4" w:rsidRDefault="00F052F6" w:rsidP="00F052F6">
      <w:pPr>
        <w:spacing w:after="0" w:line="240" w:lineRule="auto"/>
        <w:ind w:firstLine="284"/>
        <w:jc w:val="both"/>
        <w:rPr>
          <w:rFonts w:ascii="Garamond" w:hAnsi="Garamond"/>
          <w:sz w:val="24"/>
          <w:szCs w:val="24"/>
        </w:rPr>
      </w:pPr>
      <w:r w:rsidRPr="00EC0715">
        <w:rPr>
          <w:rFonts w:ascii="Garamond" w:hAnsi="Garamond"/>
          <w:sz w:val="24"/>
          <w:szCs w:val="24"/>
        </w:rPr>
        <w:t>angazhimi n</w:t>
      </w:r>
      <w:r w:rsidRPr="003D5CE4">
        <w:rPr>
          <w:rFonts w:ascii="Garamond" w:hAnsi="Garamond"/>
          <w:sz w:val="24"/>
          <w:szCs w:val="24"/>
        </w:rPr>
        <w:t xml:space="preserve">daj vlerave profesionale” dhe jo më shumë se “Mirë” për dy kriteret e tjera. </w:t>
      </w:r>
    </w:p>
    <w:p w14:paraId="2C3C5DF4"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Për çdo kombinim tjetër të ndryshëm nga ato të parashikuar më lart, niveli i përgjithshëm i vlerësimit do të përcaktohet në varësi të mesatares së pikëve të katër kritereve, sipas shkallës së pikëzimit të përcaktuar në pikën 9 të kësaj metodologjie. Në çdo rast, niveli i përgjithshëm i vlerësimit nuk mund të jetë më i lartë se niveli i vlerësimit për kriteret “aftësitë profesionale” dhe “etika dhe angazhimi ndaj vlerave profesionale”. </w:t>
      </w:r>
    </w:p>
    <w:p w14:paraId="22ED2026"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7. Niveli i vlerësimit të prokurorit përcaktohet për çdonjërin nga katër kriteret e vlerësimit. </w:t>
      </w:r>
    </w:p>
    <w:p w14:paraId="7DF728B8"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8. Niveli i vlerësimit për çdonjërin nga kriteret e vlerësimit, përcaktohet mbi bazën e një shkalle pikëzimi nga 1 deri në 100 pikë. </w:t>
      </w:r>
    </w:p>
    <w:p w14:paraId="0DE20FA9"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9. Shkalla e pikëzimit që përcakton nivelet e vlerësimit është:  </w:t>
      </w:r>
    </w:p>
    <w:p w14:paraId="347F80C4"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a) 90 deri 100 pikë “Shkëlqyeshëm”;  </w:t>
      </w:r>
    </w:p>
    <w:p w14:paraId="1A7BA5CA"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b) 70 deri 89 pikë “Shumë mirë”; </w:t>
      </w:r>
    </w:p>
    <w:p w14:paraId="1493EDE8"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c) 50 deri në 69 pikë “Mirë”; </w:t>
      </w:r>
    </w:p>
    <w:p w14:paraId="0A1AA79D"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ç) 30 deri në 49 pikë “Mjaftueshëm” dhe; </w:t>
      </w:r>
    </w:p>
    <w:p w14:paraId="3B9CECB4"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d) 1 deri në 29 pikë “Pamjaftueshëm”. </w:t>
      </w:r>
    </w:p>
    <w:p w14:paraId="0E3197DA"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10. Brenda çdo kriteri vlerësimi bëhet ndarja e pikëve sipas rëndësisë së çdo treguesi vlerësimi, duke shmangur përfundime që nuk janë përgjegjësi e prokurorit.  </w:t>
      </w:r>
    </w:p>
    <w:p w14:paraId="1F9B2D3C" w14:textId="77777777" w:rsidR="00F052F6" w:rsidRPr="003D5CE4" w:rsidRDefault="00F052F6" w:rsidP="00F052F6">
      <w:pPr>
        <w:pStyle w:val="AAAAAAAAAAAAAAAAAATEEEEEXXX"/>
        <w:rPr>
          <w:szCs w:val="24"/>
        </w:rPr>
      </w:pPr>
      <w:r w:rsidRPr="003D5CE4">
        <w:rPr>
          <w:szCs w:val="24"/>
        </w:rPr>
        <w:t xml:space="preserve">11. Në tabelën e pikëzimit përcaktohet ndarja e kritereve të vlerësimit, lista e aspekteve të çdo kriteri, treguesit e vlerësimit dhe pikëzimi i tyre sipas nivelit, në funksion të pikëzimit dhe të vlerësimit final të prokurorit. </w:t>
      </w:r>
    </w:p>
    <w:p w14:paraId="1F2322A0" w14:textId="77777777" w:rsidR="00F052F6" w:rsidRPr="00B8503C" w:rsidRDefault="00F052F6" w:rsidP="00F052F6">
      <w:pPr>
        <w:spacing w:after="0" w:line="240" w:lineRule="auto"/>
        <w:ind w:firstLine="284"/>
        <w:jc w:val="both"/>
        <w:rPr>
          <w:rFonts w:ascii="Garamond" w:hAnsi="Garamond"/>
          <w:sz w:val="14"/>
          <w:szCs w:val="24"/>
        </w:rPr>
      </w:pPr>
    </w:p>
    <w:p w14:paraId="21F42713" w14:textId="77777777" w:rsidR="00F052F6" w:rsidRPr="003A3AF5" w:rsidRDefault="00F052F6" w:rsidP="00F052F6">
      <w:pPr>
        <w:spacing w:after="0" w:line="240" w:lineRule="auto"/>
        <w:ind w:firstLine="284"/>
        <w:jc w:val="both"/>
        <w:rPr>
          <w:rFonts w:ascii="Garamond" w:hAnsi="Garamond"/>
          <w:sz w:val="24"/>
          <w:szCs w:val="24"/>
        </w:rPr>
      </w:pPr>
      <w:r w:rsidRPr="003A3AF5">
        <w:rPr>
          <w:rFonts w:ascii="Garamond" w:hAnsi="Garamond"/>
          <w:sz w:val="24"/>
          <w:szCs w:val="24"/>
        </w:rPr>
        <w:t xml:space="preserve">1. AFTËSITË PROFESIONALE (100 pikë) </w:t>
      </w:r>
      <w:r w:rsidRPr="003A3AF5">
        <w:rPr>
          <w:rFonts w:ascii="Garamond" w:hAnsi="Garamond"/>
          <w:sz w:val="24"/>
          <w:szCs w:val="24"/>
        </w:rPr>
        <w:tab/>
      </w:r>
    </w:p>
    <w:p w14:paraId="2E8BBA4D" w14:textId="77777777" w:rsidR="00F052F6" w:rsidRPr="003D5CE4" w:rsidRDefault="00F052F6" w:rsidP="00F052F6">
      <w:pPr>
        <w:spacing w:after="0" w:line="240" w:lineRule="auto"/>
        <w:ind w:firstLine="284"/>
        <w:jc w:val="both"/>
        <w:rPr>
          <w:rFonts w:ascii="Garamond" w:hAnsi="Garamond"/>
          <w:b/>
          <w:sz w:val="24"/>
          <w:szCs w:val="24"/>
        </w:rPr>
      </w:pPr>
      <w:r w:rsidRPr="003D5CE4">
        <w:rPr>
          <w:rFonts w:ascii="Garamond" w:hAnsi="Garamond"/>
          <w:b/>
          <w:sz w:val="24"/>
          <w:szCs w:val="24"/>
        </w:rPr>
        <w:t>A.</w:t>
      </w:r>
      <w:r w:rsidRPr="003D5CE4">
        <w:rPr>
          <w:rFonts w:ascii="Garamond" w:eastAsia="Arial" w:hAnsi="Garamond"/>
          <w:b/>
          <w:sz w:val="24"/>
          <w:szCs w:val="24"/>
        </w:rPr>
        <w:t xml:space="preserve"> </w:t>
      </w:r>
      <w:r w:rsidRPr="003D5CE4">
        <w:rPr>
          <w:rFonts w:ascii="Garamond" w:hAnsi="Garamond"/>
          <w:b/>
          <w:sz w:val="24"/>
          <w:szCs w:val="24"/>
        </w:rPr>
        <w:t xml:space="preserve">Njohuritë ligjore (50 pikë) </w:t>
      </w:r>
    </w:p>
    <w:p w14:paraId="4176F0DE"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a) Aftësia për të ndërmarrë logjikisht hetimin apo procedura të tjera të sistemit të prokurorisë, sipas kërkesave ligjore (15 pikë)</w:t>
      </w:r>
      <w:r>
        <w:rPr>
          <w:rFonts w:ascii="Garamond" w:hAnsi="Garamond"/>
          <w:sz w:val="24"/>
          <w:szCs w:val="24"/>
        </w:rPr>
        <w:t>.</w:t>
      </w:r>
      <w:r w:rsidRPr="003D5CE4">
        <w:rPr>
          <w:rFonts w:ascii="Garamond" w:hAnsi="Garamond"/>
          <w:sz w:val="24"/>
          <w:szCs w:val="24"/>
        </w:rPr>
        <w:t xml:space="preserve"> </w:t>
      </w:r>
    </w:p>
    <w:p w14:paraId="0B0346C6"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b) Aftësia për të mbledhur provat e kërkuara me ligj (15 pikë)</w:t>
      </w:r>
      <w:r>
        <w:rPr>
          <w:rFonts w:ascii="Garamond" w:hAnsi="Garamond"/>
          <w:sz w:val="24"/>
          <w:szCs w:val="24"/>
        </w:rPr>
        <w:t>.</w:t>
      </w:r>
    </w:p>
    <w:p w14:paraId="17BED068"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c) Aftësia për të interpretuar ligjin dhe për të analizuar jurisprudencën në zgjidhjen e çështjes (20 pikë)</w:t>
      </w:r>
      <w:r>
        <w:rPr>
          <w:rFonts w:ascii="Garamond" w:hAnsi="Garamond"/>
          <w:sz w:val="24"/>
          <w:szCs w:val="24"/>
        </w:rPr>
        <w:t>.</w:t>
      </w:r>
    </w:p>
    <w:p w14:paraId="0E4DDB49" w14:textId="77777777" w:rsidR="00F052F6" w:rsidRPr="003D5CE4" w:rsidRDefault="00F052F6" w:rsidP="00F052F6">
      <w:pPr>
        <w:spacing w:after="0" w:line="240" w:lineRule="auto"/>
        <w:ind w:firstLine="284"/>
        <w:jc w:val="both"/>
        <w:rPr>
          <w:rFonts w:ascii="Garamond" w:hAnsi="Garamond"/>
          <w:b/>
          <w:sz w:val="24"/>
          <w:szCs w:val="24"/>
        </w:rPr>
      </w:pPr>
      <w:r w:rsidRPr="003D5CE4">
        <w:rPr>
          <w:rFonts w:ascii="Garamond" w:hAnsi="Garamond"/>
          <w:b/>
          <w:sz w:val="24"/>
          <w:szCs w:val="24"/>
        </w:rPr>
        <w:t xml:space="preserve">B. Arsyetimi ligjor (50 pikë) </w:t>
      </w:r>
    </w:p>
    <w:p w14:paraId="5BE22728"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a) Qartësia, saktësia dhe kuptueshmëria e akteve (10 pikë)</w:t>
      </w:r>
      <w:r>
        <w:rPr>
          <w:rFonts w:ascii="Garamond" w:hAnsi="Garamond"/>
          <w:sz w:val="24"/>
          <w:szCs w:val="24"/>
        </w:rPr>
        <w:t>.</w:t>
      </w:r>
      <w:r w:rsidRPr="003D5CE4">
        <w:rPr>
          <w:rFonts w:ascii="Garamond" w:hAnsi="Garamond"/>
          <w:sz w:val="24"/>
          <w:szCs w:val="24"/>
        </w:rPr>
        <w:t xml:space="preserve"> </w:t>
      </w:r>
    </w:p>
    <w:p w14:paraId="0E0506BF"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b) Struktura e qëndrueshme dhe e mir</w:t>
      </w:r>
      <w:r>
        <w:rPr>
          <w:rFonts w:ascii="Garamond" w:hAnsi="Garamond"/>
          <w:sz w:val="24"/>
          <w:szCs w:val="24"/>
        </w:rPr>
        <w:t>o</w:t>
      </w:r>
      <w:r w:rsidRPr="003D5CE4">
        <w:rPr>
          <w:rFonts w:ascii="Garamond" w:hAnsi="Garamond"/>
          <w:sz w:val="24"/>
          <w:szCs w:val="24"/>
        </w:rPr>
        <w:t>rganizuar e akteve (10 pikë)</w:t>
      </w:r>
      <w:r>
        <w:rPr>
          <w:rFonts w:ascii="Garamond" w:hAnsi="Garamond"/>
          <w:sz w:val="24"/>
          <w:szCs w:val="24"/>
        </w:rPr>
        <w:t>.</w:t>
      </w:r>
      <w:r w:rsidRPr="003D5CE4">
        <w:rPr>
          <w:rFonts w:ascii="Garamond" w:hAnsi="Garamond"/>
          <w:sz w:val="24"/>
          <w:szCs w:val="24"/>
        </w:rPr>
        <w:t xml:space="preserve"> </w:t>
      </w:r>
    </w:p>
    <w:p w14:paraId="71E07F5C"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c) Aftësia për të marrë në pyetje (10 pikë)</w:t>
      </w:r>
      <w:r>
        <w:rPr>
          <w:rFonts w:ascii="Garamond" w:hAnsi="Garamond"/>
          <w:sz w:val="24"/>
          <w:szCs w:val="24"/>
        </w:rPr>
        <w:t>.</w:t>
      </w:r>
    </w:p>
    <w:p w14:paraId="4C82F28B"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ç) Cilësia e analizës dhe e argumentimit logjik (20 pikë</w:t>
      </w:r>
      <w:r>
        <w:rPr>
          <w:rFonts w:ascii="Garamond" w:hAnsi="Garamond"/>
          <w:sz w:val="24"/>
          <w:szCs w:val="24"/>
        </w:rPr>
        <w:t>).</w:t>
      </w:r>
    </w:p>
    <w:p w14:paraId="569F9DBB" w14:textId="77777777" w:rsidR="00F052F6" w:rsidRPr="00B8503C" w:rsidRDefault="00F052F6" w:rsidP="00F052F6">
      <w:pPr>
        <w:spacing w:after="0" w:line="240" w:lineRule="auto"/>
        <w:ind w:firstLine="284"/>
        <w:jc w:val="both"/>
        <w:rPr>
          <w:rFonts w:ascii="Garamond" w:hAnsi="Garamond"/>
          <w:b/>
          <w:sz w:val="14"/>
          <w:szCs w:val="24"/>
        </w:rPr>
      </w:pPr>
    </w:p>
    <w:p w14:paraId="4472E39A" w14:textId="77777777" w:rsidR="00F052F6" w:rsidRPr="003A3AF5" w:rsidRDefault="00F052F6" w:rsidP="00F052F6">
      <w:pPr>
        <w:spacing w:after="0" w:line="240" w:lineRule="auto"/>
        <w:ind w:firstLine="284"/>
        <w:jc w:val="both"/>
        <w:rPr>
          <w:rFonts w:ascii="Garamond" w:hAnsi="Garamond"/>
          <w:sz w:val="24"/>
          <w:szCs w:val="24"/>
        </w:rPr>
      </w:pPr>
      <w:r w:rsidRPr="003A3AF5">
        <w:rPr>
          <w:rFonts w:ascii="Garamond" w:hAnsi="Garamond"/>
          <w:sz w:val="24"/>
          <w:szCs w:val="24"/>
        </w:rPr>
        <w:t xml:space="preserve">2. AFTËSITË ORGANIZATIVE (100 pikë) </w:t>
      </w:r>
    </w:p>
    <w:p w14:paraId="06926E87" w14:textId="77777777" w:rsidR="00F052F6" w:rsidRPr="003D5CE4" w:rsidRDefault="00F052F6" w:rsidP="00F052F6">
      <w:pPr>
        <w:spacing w:after="0" w:line="240" w:lineRule="auto"/>
        <w:ind w:firstLine="284"/>
        <w:jc w:val="both"/>
        <w:rPr>
          <w:rFonts w:ascii="Garamond" w:hAnsi="Garamond"/>
          <w:b/>
          <w:sz w:val="24"/>
          <w:szCs w:val="24"/>
        </w:rPr>
      </w:pPr>
      <w:r w:rsidRPr="003D5CE4">
        <w:rPr>
          <w:rFonts w:ascii="Garamond" w:hAnsi="Garamond"/>
          <w:b/>
          <w:sz w:val="24"/>
          <w:szCs w:val="24"/>
        </w:rPr>
        <w:t>A.</w:t>
      </w:r>
      <w:r w:rsidRPr="003D5CE4">
        <w:rPr>
          <w:rFonts w:ascii="Garamond" w:eastAsia="Arial" w:hAnsi="Garamond"/>
          <w:b/>
          <w:sz w:val="24"/>
          <w:szCs w:val="24"/>
        </w:rPr>
        <w:t xml:space="preserve"> </w:t>
      </w:r>
      <w:r w:rsidRPr="003D5CE4">
        <w:rPr>
          <w:rFonts w:ascii="Garamond" w:hAnsi="Garamond"/>
          <w:b/>
          <w:sz w:val="24"/>
          <w:szCs w:val="24"/>
        </w:rPr>
        <w:t xml:space="preserve">Aftësia për të përballuar ngarkesën e punës (50 pikë) </w:t>
      </w:r>
    </w:p>
    <w:p w14:paraId="3AA6F3E1"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a) Respektimi i afateve ligjore (20 pikë)</w:t>
      </w:r>
      <w:r>
        <w:rPr>
          <w:rFonts w:ascii="Garamond" w:hAnsi="Garamond"/>
          <w:sz w:val="24"/>
          <w:szCs w:val="24"/>
        </w:rPr>
        <w:t>.</w:t>
      </w:r>
      <w:r w:rsidRPr="003D5CE4">
        <w:rPr>
          <w:rFonts w:ascii="Garamond" w:hAnsi="Garamond"/>
          <w:sz w:val="24"/>
          <w:szCs w:val="24"/>
        </w:rPr>
        <w:t xml:space="preserve"> </w:t>
      </w:r>
    </w:p>
    <w:p w14:paraId="31E6D97A"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b) Koha mesatare që i dedikohet çdo çështjeje, deri në marrjen e vendimit, aktit përfundimtar (10 pikë)</w:t>
      </w:r>
      <w:r>
        <w:rPr>
          <w:rFonts w:ascii="Garamond" w:hAnsi="Garamond"/>
          <w:sz w:val="24"/>
          <w:szCs w:val="24"/>
        </w:rPr>
        <w:t>.</w:t>
      </w:r>
      <w:r w:rsidRPr="003D5CE4">
        <w:rPr>
          <w:rFonts w:ascii="Garamond" w:hAnsi="Garamond"/>
          <w:sz w:val="24"/>
          <w:szCs w:val="24"/>
        </w:rPr>
        <w:t xml:space="preserve"> </w:t>
      </w:r>
    </w:p>
    <w:p w14:paraId="0031F5E4"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c) Rendimenti i përfundimit të çështjeve (20 pikë)</w:t>
      </w:r>
      <w:r>
        <w:rPr>
          <w:rFonts w:ascii="Garamond" w:hAnsi="Garamond"/>
          <w:sz w:val="24"/>
          <w:szCs w:val="24"/>
        </w:rPr>
        <w:t>.</w:t>
      </w:r>
      <w:r w:rsidRPr="003D5CE4">
        <w:rPr>
          <w:rFonts w:ascii="Garamond" w:hAnsi="Garamond"/>
          <w:sz w:val="24"/>
          <w:szCs w:val="24"/>
        </w:rPr>
        <w:t xml:space="preserve"> </w:t>
      </w:r>
    </w:p>
    <w:p w14:paraId="17B2D3C5" w14:textId="64CEBFDD"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ç) Plotësimi i standardeve minimale kohore</w:t>
      </w:r>
      <w:r>
        <w:rPr>
          <w:rFonts w:ascii="Garamond" w:hAnsi="Garamond"/>
          <w:sz w:val="24"/>
          <w:szCs w:val="24"/>
        </w:rPr>
        <w:t>.</w:t>
      </w:r>
      <w:r w:rsidRPr="003D5CE4">
        <w:rPr>
          <w:rStyle w:val="FootnoteReference"/>
          <w:rFonts w:ascii="Garamond" w:hAnsi="Garamond"/>
          <w:sz w:val="24"/>
          <w:szCs w:val="24"/>
        </w:rPr>
        <w:footnoteReference w:id="2"/>
      </w:r>
    </w:p>
    <w:p w14:paraId="4272D8ED" w14:textId="77777777" w:rsidR="00F052F6" w:rsidRPr="003D5CE4" w:rsidRDefault="00F052F6" w:rsidP="00F052F6">
      <w:pPr>
        <w:spacing w:after="0" w:line="240" w:lineRule="auto"/>
        <w:ind w:firstLine="284"/>
        <w:jc w:val="both"/>
        <w:rPr>
          <w:rFonts w:ascii="Garamond" w:hAnsi="Garamond"/>
          <w:b/>
          <w:sz w:val="24"/>
          <w:szCs w:val="24"/>
        </w:rPr>
      </w:pPr>
      <w:r w:rsidRPr="003D5CE4">
        <w:rPr>
          <w:rFonts w:ascii="Garamond" w:hAnsi="Garamond"/>
          <w:b/>
          <w:sz w:val="24"/>
          <w:szCs w:val="24"/>
        </w:rPr>
        <w:t>B.</w:t>
      </w:r>
      <w:r>
        <w:rPr>
          <w:rFonts w:ascii="Garamond" w:hAnsi="Garamond"/>
          <w:b/>
          <w:sz w:val="24"/>
          <w:szCs w:val="24"/>
        </w:rPr>
        <w:t xml:space="preserve"> </w:t>
      </w:r>
      <w:r w:rsidRPr="003D5CE4">
        <w:rPr>
          <w:rFonts w:ascii="Garamond" w:hAnsi="Garamond"/>
          <w:b/>
          <w:sz w:val="24"/>
          <w:szCs w:val="24"/>
        </w:rPr>
        <w:t xml:space="preserve">Aftësia për të kryer procedurat hetimore dhe procedurat e tjera të sistemit të prokurorisë (40 pikë) </w:t>
      </w:r>
    </w:p>
    <w:p w14:paraId="4AF8D252"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a) Kryerja e veprimeve të nevojshme hetimore dhe procedurale brenda afatit kohor të përcaktuar (20 pikë)</w:t>
      </w:r>
      <w:r>
        <w:rPr>
          <w:rFonts w:ascii="Garamond" w:hAnsi="Garamond"/>
          <w:sz w:val="24"/>
          <w:szCs w:val="24"/>
        </w:rPr>
        <w:t>.</w:t>
      </w:r>
      <w:r w:rsidRPr="003D5CE4">
        <w:rPr>
          <w:rFonts w:ascii="Garamond" w:hAnsi="Garamond"/>
          <w:sz w:val="24"/>
          <w:szCs w:val="24"/>
        </w:rPr>
        <w:t xml:space="preserve"> </w:t>
      </w:r>
    </w:p>
    <w:p w14:paraId="46A9781E"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b) Mbledhja e provave të nevojshme (15 pikë)</w:t>
      </w:r>
      <w:r>
        <w:rPr>
          <w:rFonts w:ascii="Garamond" w:hAnsi="Garamond"/>
          <w:sz w:val="24"/>
          <w:szCs w:val="24"/>
        </w:rPr>
        <w:t>.</w:t>
      </w:r>
    </w:p>
    <w:p w14:paraId="6E71F90D"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c) Mbikëqyrja e dërgimit pa vonesë të akteve të nevojshme të njoftimit (5 pikë)</w:t>
      </w:r>
      <w:r>
        <w:rPr>
          <w:rFonts w:ascii="Garamond" w:hAnsi="Garamond"/>
          <w:sz w:val="24"/>
          <w:szCs w:val="24"/>
        </w:rPr>
        <w:t>.</w:t>
      </w:r>
      <w:r w:rsidRPr="003D5CE4">
        <w:rPr>
          <w:rFonts w:ascii="Garamond" w:hAnsi="Garamond"/>
          <w:sz w:val="24"/>
          <w:szCs w:val="24"/>
        </w:rPr>
        <w:t xml:space="preserve"> </w:t>
      </w:r>
    </w:p>
    <w:p w14:paraId="256C65FB" w14:textId="77777777" w:rsidR="00F052F6" w:rsidRPr="003D5CE4" w:rsidRDefault="00F052F6" w:rsidP="00F052F6">
      <w:pPr>
        <w:spacing w:after="0" w:line="240" w:lineRule="auto"/>
        <w:ind w:firstLine="284"/>
        <w:jc w:val="both"/>
        <w:rPr>
          <w:rFonts w:ascii="Garamond" w:hAnsi="Garamond"/>
          <w:b/>
          <w:sz w:val="24"/>
          <w:szCs w:val="24"/>
        </w:rPr>
      </w:pPr>
      <w:r w:rsidRPr="003D5CE4">
        <w:rPr>
          <w:rFonts w:ascii="Garamond" w:hAnsi="Garamond"/>
          <w:b/>
          <w:sz w:val="24"/>
          <w:szCs w:val="24"/>
        </w:rPr>
        <w:t xml:space="preserve">C. Aftësia për të administruar dosjet hetimore ose praktikat përkatëse (10 pikë)  </w:t>
      </w:r>
    </w:p>
    <w:p w14:paraId="4A910435"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a) Rregullshmëria e dokumentacionit të dosjes ose praktikës (5 pikë) </w:t>
      </w:r>
    </w:p>
    <w:p w14:paraId="385B3DAC"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b) Plotësia dhe saktësia e dokumentacionit të dosjes ose praktikës (5 pikë) </w:t>
      </w:r>
    </w:p>
    <w:p w14:paraId="1F59AFDA" w14:textId="77777777" w:rsidR="00F052F6" w:rsidRPr="00B8503C" w:rsidRDefault="00F052F6" w:rsidP="00F052F6">
      <w:pPr>
        <w:spacing w:after="0" w:line="240" w:lineRule="auto"/>
        <w:ind w:firstLine="284"/>
        <w:jc w:val="both"/>
        <w:rPr>
          <w:rFonts w:ascii="Garamond" w:hAnsi="Garamond"/>
          <w:sz w:val="14"/>
          <w:szCs w:val="24"/>
        </w:rPr>
      </w:pPr>
    </w:p>
    <w:p w14:paraId="4EBBF2CB" w14:textId="77777777" w:rsidR="00F052F6" w:rsidRPr="003A3AF5" w:rsidRDefault="00F052F6" w:rsidP="00F052F6">
      <w:pPr>
        <w:spacing w:after="0" w:line="240" w:lineRule="auto"/>
        <w:ind w:firstLine="284"/>
        <w:jc w:val="both"/>
        <w:rPr>
          <w:rFonts w:ascii="Garamond" w:hAnsi="Garamond"/>
          <w:sz w:val="24"/>
          <w:szCs w:val="24"/>
        </w:rPr>
      </w:pPr>
      <w:r w:rsidRPr="003A3AF5">
        <w:rPr>
          <w:rFonts w:ascii="Garamond" w:hAnsi="Garamond"/>
          <w:sz w:val="24"/>
          <w:szCs w:val="24"/>
        </w:rPr>
        <w:t xml:space="preserve">3. ETIKA DHE ANGAZHIMI NDAJ VLERAVE PROFESIONALE (100 pikë) </w:t>
      </w:r>
    </w:p>
    <w:p w14:paraId="1B5E4338" w14:textId="77777777" w:rsidR="00F052F6" w:rsidRPr="003D5CE4" w:rsidRDefault="00F052F6" w:rsidP="00F052F6">
      <w:pPr>
        <w:spacing w:after="0" w:line="240" w:lineRule="auto"/>
        <w:ind w:firstLine="284"/>
        <w:jc w:val="both"/>
        <w:rPr>
          <w:rFonts w:ascii="Garamond" w:hAnsi="Garamond"/>
          <w:b/>
          <w:sz w:val="24"/>
          <w:szCs w:val="24"/>
        </w:rPr>
      </w:pPr>
      <w:r w:rsidRPr="003D5CE4">
        <w:rPr>
          <w:rFonts w:ascii="Garamond" w:hAnsi="Garamond"/>
          <w:b/>
          <w:sz w:val="24"/>
          <w:szCs w:val="24"/>
        </w:rPr>
        <w:t>A.</w:t>
      </w:r>
      <w:r w:rsidRPr="003D5CE4">
        <w:rPr>
          <w:rFonts w:ascii="Garamond" w:eastAsia="Arial" w:hAnsi="Garamond"/>
          <w:b/>
          <w:sz w:val="24"/>
          <w:szCs w:val="24"/>
        </w:rPr>
        <w:t xml:space="preserve"> </w:t>
      </w:r>
      <w:r w:rsidRPr="003D5CE4">
        <w:rPr>
          <w:rFonts w:ascii="Garamond" w:hAnsi="Garamond"/>
          <w:b/>
          <w:sz w:val="24"/>
          <w:szCs w:val="24"/>
        </w:rPr>
        <w:t xml:space="preserve">Etika në punë (35 pikë) </w:t>
      </w:r>
    </w:p>
    <w:p w14:paraId="0A457D49"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a) Angazhimi dhe përgjegjshmëria në funksion  </w:t>
      </w:r>
    </w:p>
    <w:p w14:paraId="26E40701" w14:textId="77777777" w:rsidR="00F052F6" w:rsidRPr="003D5CE4" w:rsidRDefault="00F052F6" w:rsidP="00F052F6">
      <w:pPr>
        <w:spacing w:after="0" w:line="240" w:lineRule="auto"/>
        <w:ind w:firstLine="284"/>
        <w:jc w:val="both"/>
        <w:rPr>
          <w:rFonts w:ascii="Garamond" w:hAnsi="Garamond"/>
          <w:b/>
          <w:sz w:val="24"/>
          <w:szCs w:val="24"/>
        </w:rPr>
      </w:pPr>
      <w:r w:rsidRPr="003D5CE4">
        <w:rPr>
          <w:rFonts w:ascii="Garamond" w:hAnsi="Garamond"/>
          <w:b/>
          <w:sz w:val="24"/>
          <w:szCs w:val="24"/>
        </w:rPr>
        <w:t xml:space="preserve">B. Integriteti (40 pikë) </w:t>
      </w:r>
    </w:p>
    <w:p w14:paraId="14ED6EA8"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a) Imuniteti ndaj çdo ndikimi ose presioni të jashtëm, nderi dhe dinjiteti </w:t>
      </w:r>
    </w:p>
    <w:p w14:paraId="73BAECD5" w14:textId="77777777" w:rsidR="00F052F6" w:rsidRPr="003D5CE4" w:rsidRDefault="00F052F6" w:rsidP="00F052F6">
      <w:pPr>
        <w:spacing w:after="0" w:line="240" w:lineRule="auto"/>
        <w:ind w:firstLine="284"/>
        <w:jc w:val="both"/>
        <w:rPr>
          <w:rFonts w:ascii="Garamond" w:hAnsi="Garamond"/>
          <w:b/>
          <w:sz w:val="24"/>
          <w:szCs w:val="24"/>
        </w:rPr>
      </w:pPr>
      <w:r w:rsidRPr="003D5CE4">
        <w:rPr>
          <w:rFonts w:ascii="Garamond" w:hAnsi="Garamond"/>
          <w:b/>
          <w:sz w:val="24"/>
          <w:szCs w:val="24"/>
        </w:rPr>
        <w:t xml:space="preserve">C. Paanësia (25 pikë) </w:t>
      </w:r>
    </w:p>
    <w:p w14:paraId="651CA45B"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a) Përdorimi ose jo i gjuhës diskriminuese (10 pikë) </w:t>
      </w:r>
    </w:p>
    <w:p w14:paraId="16DA365D"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b) Numri tejet i lartë i kërkesave të pranuara të palëve për përjashtimin e prokurorit (15 pikë) </w:t>
      </w:r>
    </w:p>
    <w:p w14:paraId="4C645890" w14:textId="77777777" w:rsidR="00F052F6" w:rsidRPr="00B8503C" w:rsidRDefault="00F052F6" w:rsidP="00F052F6">
      <w:pPr>
        <w:spacing w:after="0" w:line="240" w:lineRule="auto"/>
        <w:ind w:firstLine="284"/>
        <w:jc w:val="both"/>
        <w:rPr>
          <w:rFonts w:ascii="Garamond" w:hAnsi="Garamond"/>
          <w:b/>
          <w:sz w:val="14"/>
          <w:szCs w:val="24"/>
        </w:rPr>
      </w:pPr>
    </w:p>
    <w:p w14:paraId="40A670CB" w14:textId="77777777" w:rsidR="00F052F6" w:rsidRPr="00E75D3E" w:rsidRDefault="00F052F6" w:rsidP="00F052F6">
      <w:pPr>
        <w:spacing w:after="0" w:line="240" w:lineRule="auto"/>
        <w:ind w:firstLine="284"/>
        <w:jc w:val="both"/>
        <w:rPr>
          <w:rFonts w:ascii="Garamond" w:hAnsi="Garamond"/>
          <w:sz w:val="24"/>
          <w:szCs w:val="24"/>
        </w:rPr>
      </w:pPr>
      <w:r w:rsidRPr="00E75D3E">
        <w:rPr>
          <w:rFonts w:ascii="Garamond" w:hAnsi="Garamond"/>
          <w:sz w:val="24"/>
          <w:szCs w:val="24"/>
        </w:rPr>
        <w:t xml:space="preserve">4. AFTËSITË PERSONALE DHE ANGAZHIMI PROFESIONAL (100 pikë) </w:t>
      </w:r>
    </w:p>
    <w:p w14:paraId="4C41E57A" w14:textId="77777777" w:rsidR="00F052F6" w:rsidRPr="003D5CE4" w:rsidRDefault="00F052F6" w:rsidP="00F052F6">
      <w:pPr>
        <w:spacing w:after="0" w:line="240" w:lineRule="auto"/>
        <w:ind w:firstLine="284"/>
        <w:jc w:val="both"/>
        <w:rPr>
          <w:rFonts w:ascii="Garamond" w:hAnsi="Garamond"/>
          <w:b/>
          <w:sz w:val="24"/>
          <w:szCs w:val="24"/>
        </w:rPr>
      </w:pPr>
      <w:r w:rsidRPr="003D5CE4">
        <w:rPr>
          <w:rFonts w:ascii="Garamond" w:hAnsi="Garamond"/>
          <w:b/>
          <w:sz w:val="24"/>
          <w:szCs w:val="24"/>
        </w:rPr>
        <w:t>A.</w:t>
      </w:r>
      <w:r w:rsidRPr="003D5CE4">
        <w:rPr>
          <w:rFonts w:ascii="Garamond" w:eastAsia="Arial" w:hAnsi="Garamond"/>
          <w:b/>
          <w:sz w:val="24"/>
          <w:szCs w:val="24"/>
        </w:rPr>
        <w:t xml:space="preserve"> </w:t>
      </w:r>
      <w:r w:rsidRPr="003D5CE4">
        <w:rPr>
          <w:rFonts w:ascii="Garamond" w:hAnsi="Garamond"/>
          <w:b/>
          <w:sz w:val="24"/>
          <w:szCs w:val="24"/>
        </w:rPr>
        <w:t xml:space="preserve">Aftësitë e komunikimit (40 pikë) </w:t>
      </w:r>
    </w:p>
    <w:p w14:paraId="170D48F9"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a) Komunikimi i qartë dhe transparent me palët në proces, publikun, subjektet e tjera, të tretët (25 pikë)</w:t>
      </w:r>
      <w:r>
        <w:rPr>
          <w:rFonts w:ascii="Garamond" w:hAnsi="Garamond"/>
          <w:sz w:val="24"/>
          <w:szCs w:val="24"/>
        </w:rPr>
        <w:t>.</w:t>
      </w:r>
      <w:r w:rsidRPr="003D5CE4">
        <w:rPr>
          <w:rFonts w:ascii="Garamond" w:hAnsi="Garamond"/>
          <w:sz w:val="24"/>
          <w:szCs w:val="24"/>
        </w:rPr>
        <w:t xml:space="preserve"> </w:t>
      </w:r>
    </w:p>
    <w:p w14:paraId="73B52F27"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b) Respektimi i konfidencialitetit dhe parimeve të mbrojtjes së të dhënave personale (15 pikë)</w:t>
      </w:r>
      <w:r>
        <w:rPr>
          <w:rFonts w:ascii="Garamond" w:hAnsi="Garamond"/>
          <w:sz w:val="24"/>
          <w:szCs w:val="24"/>
        </w:rPr>
        <w:t>.</w:t>
      </w:r>
      <w:r w:rsidRPr="003D5CE4">
        <w:rPr>
          <w:rFonts w:ascii="Garamond" w:hAnsi="Garamond"/>
          <w:sz w:val="24"/>
          <w:szCs w:val="24"/>
        </w:rPr>
        <w:t xml:space="preserve"> </w:t>
      </w:r>
    </w:p>
    <w:p w14:paraId="08DEDBF0" w14:textId="77777777" w:rsidR="00F052F6" w:rsidRPr="003D5CE4" w:rsidRDefault="00F052F6" w:rsidP="00F052F6">
      <w:pPr>
        <w:spacing w:after="0" w:line="240" w:lineRule="auto"/>
        <w:ind w:firstLine="284"/>
        <w:jc w:val="both"/>
        <w:rPr>
          <w:rFonts w:ascii="Garamond" w:hAnsi="Garamond"/>
          <w:b/>
          <w:sz w:val="24"/>
          <w:szCs w:val="24"/>
        </w:rPr>
      </w:pPr>
      <w:r w:rsidRPr="003D5CE4">
        <w:rPr>
          <w:rFonts w:ascii="Garamond" w:hAnsi="Garamond"/>
          <w:b/>
          <w:sz w:val="24"/>
          <w:szCs w:val="24"/>
        </w:rPr>
        <w:t xml:space="preserve">B. Aftësia për të bashkëpunuar me kolegët (25 pikë) </w:t>
      </w:r>
    </w:p>
    <w:p w14:paraId="68A847E6"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a) Komunikimi dhe bashkëpunimi me kolegët, si dhe shkëmbimi i njohurive dhe i përvojës profesionale me ta (15 pikë)</w:t>
      </w:r>
      <w:r>
        <w:rPr>
          <w:rFonts w:ascii="Garamond" w:hAnsi="Garamond"/>
          <w:sz w:val="24"/>
          <w:szCs w:val="24"/>
        </w:rPr>
        <w:t>.</w:t>
      </w:r>
      <w:r w:rsidRPr="003D5CE4">
        <w:rPr>
          <w:rFonts w:ascii="Garamond" w:hAnsi="Garamond"/>
          <w:sz w:val="24"/>
          <w:szCs w:val="24"/>
        </w:rPr>
        <w:t xml:space="preserve"> </w:t>
      </w:r>
    </w:p>
    <w:p w14:paraId="1ADB27DC"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b) Komunikimi dhe bashkëpunimi me administratën (10 pikë)</w:t>
      </w:r>
      <w:r>
        <w:rPr>
          <w:rFonts w:ascii="Garamond" w:hAnsi="Garamond"/>
          <w:sz w:val="24"/>
          <w:szCs w:val="24"/>
        </w:rPr>
        <w:t>.</w:t>
      </w:r>
      <w:r w:rsidRPr="003D5CE4">
        <w:rPr>
          <w:rFonts w:ascii="Garamond" w:hAnsi="Garamond"/>
          <w:sz w:val="24"/>
          <w:szCs w:val="24"/>
        </w:rPr>
        <w:t xml:space="preserve"> </w:t>
      </w:r>
    </w:p>
    <w:p w14:paraId="6494EC93" w14:textId="77777777" w:rsidR="00F052F6" w:rsidRPr="003D5CE4" w:rsidRDefault="00F052F6" w:rsidP="00F052F6">
      <w:pPr>
        <w:spacing w:after="0" w:line="240" w:lineRule="auto"/>
        <w:ind w:firstLine="284"/>
        <w:jc w:val="both"/>
        <w:rPr>
          <w:rFonts w:ascii="Garamond" w:hAnsi="Garamond"/>
          <w:b/>
          <w:sz w:val="24"/>
          <w:szCs w:val="24"/>
        </w:rPr>
      </w:pPr>
      <w:r w:rsidRPr="003D5CE4">
        <w:rPr>
          <w:rFonts w:ascii="Garamond" w:hAnsi="Garamond"/>
          <w:b/>
          <w:sz w:val="24"/>
          <w:szCs w:val="24"/>
        </w:rPr>
        <w:t>C.</w:t>
      </w:r>
      <w:r w:rsidRPr="003D5CE4">
        <w:rPr>
          <w:rFonts w:ascii="Garamond" w:eastAsia="Arial" w:hAnsi="Garamond"/>
          <w:b/>
          <w:sz w:val="24"/>
          <w:szCs w:val="24"/>
        </w:rPr>
        <w:t xml:space="preserve"> </w:t>
      </w:r>
      <w:r w:rsidRPr="003D5CE4">
        <w:rPr>
          <w:rFonts w:ascii="Garamond" w:hAnsi="Garamond"/>
          <w:b/>
          <w:sz w:val="24"/>
          <w:szCs w:val="24"/>
        </w:rPr>
        <w:t xml:space="preserve">Gatishmëria për t’u angazhuar në veprimtari të tjera (35 pikë) </w:t>
      </w:r>
    </w:p>
    <w:p w14:paraId="4044B272"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a) Pjesëmarrja në formimin vazhdues të Shkollës së Magjistraturës dhe në trajnime të tjera profesionale (20 pikë)</w:t>
      </w:r>
      <w:r>
        <w:rPr>
          <w:rFonts w:ascii="Garamond" w:hAnsi="Garamond"/>
          <w:sz w:val="24"/>
          <w:szCs w:val="24"/>
        </w:rPr>
        <w:t>.</w:t>
      </w:r>
      <w:r w:rsidRPr="003D5CE4">
        <w:rPr>
          <w:rFonts w:ascii="Garamond" w:hAnsi="Garamond"/>
          <w:sz w:val="24"/>
          <w:szCs w:val="24"/>
        </w:rPr>
        <w:t xml:space="preserve"> </w:t>
      </w:r>
    </w:p>
    <w:p w14:paraId="267EA099"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b) Disponueshmëria e prokurorit për të udhëhequr magjistratët e ardhshëm gjatë stazhit profesional dhe/ose për trajnimin e magjistratëve (5 pikë)</w:t>
      </w:r>
      <w:r>
        <w:rPr>
          <w:rFonts w:ascii="Garamond" w:hAnsi="Garamond"/>
          <w:sz w:val="24"/>
          <w:szCs w:val="24"/>
        </w:rPr>
        <w:t>.</w:t>
      </w:r>
      <w:r w:rsidRPr="003D5CE4">
        <w:rPr>
          <w:rFonts w:ascii="Garamond" w:hAnsi="Garamond"/>
          <w:sz w:val="24"/>
          <w:szCs w:val="24"/>
        </w:rPr>
        <w:t xml:space="preserve"> </w:t>
      </w:r>
    </w:p>
    <w:p w14:paraId="62E3D79C"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c) Pjesëmarrja e prokurorit në veprimtari ndërinstitucionale për përmirësimin e sistemit të drejtësisë, në veprimtaritë për marrëdhëniet me median dhe publikun (5 pikë)</w:t>
      </w:r>
      <w:r>
        <w:rPr>
          <w:rFonts w:ascii="Garamond" w:hAnsi="Garamond"/>
          <w:sz w:val="24"/>
          <w:szCs w:val="24"/>
        </w:rPr>
        <w:t>.</w:t>
      </w:r>
      <w:r w:rsidRPr="003D5CE4">
        <w:rPr>
          <w:rFonts w:ascii="Garamond" w:hAnsi="Garamond"/>
          <w:sz w:val="24"/>
          <w:szCs w:val="24"/>
        </w:rPr>
        <w:t xml:space="preserve"> </w:t>
      </w:r>
    </w:p>
    <w:p w14:paraId="59D36731"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ç) Publikimet ligjore akademike (5 pikë)</w:t>
      </w:r>
      <w:r>
        <w:rPr>
          <w:rFonts w:ascii="Garamond" w:hAnsi="Garamond"/>
          <w:sz w:val="24"/>
          <w:szCs w:val="24"/>
        </w:rPr>
        <w:t>.</w:t>
      </w:r>
      <w:r w:rsidRPr="003D5CE4">
        <w:rPr>
          <w:rFonts w:ascii="Garamond" w:hAnsi="Garamond"/>
          <w:sz w:val="24"/>
          <w:szCs w:val="24"/>
        </w:rPr>
        <w:t xml:space="preserve"> </w:t>
      </w:r>
    </w:p>
    <w:p w14:paraId="1E2AB5BE" w14:textId="77777777" w:rsidR="00F052F6" w:rsidRPr="00B8503C" w:rsidRDefault="00F052F6" w:rsidP="00F052F6">
      <w:pPr>
        <w:spacing w:after="0" w:line="240" w:lineRule="auto"/>
        <w:ind w:firstLine="284"/>
        <w:jc w:val="both"/>
        <w:rPr>
          <w:rFonts w:ascii="Garamond" w:hAnsi="Garamond"/>
          <w:sz w:val="14"/>
          <w:szCs w:val="24"/>
        </w:rPr>
      </w:pPr>
    </w:p>
    <w:p w14:paraId="678B05EC" w14:textId="77777777" w:rsidR="00F052F6" w:rsidRPr="00E75D3E" w:rsidRDefault="00F052F6" w:rsidP="00F052F6">
      <w:pPr>
        <w:spacing w:after="0" w:line="240" w:lineRule="auto"/>
        <w:ind w:firstLine="284"/>
        <w:jc w:val="both"/>
        <w:rPr>
          <w:rFonts w:ascii="Garamond" w:hAnsi="Garamond"/>
          <w:sz w:val="24"/>
          <w:szCs w:val="24"/>
        </w:rPr>
      </w:pPr>
      <w:r w:rsidRPr="00DB634E">
        <w:rPr>
          <w:rFonts w:ascii="Garamond" w:hAnsi="Garamond"/>
          <w:color w:val="000000"/>
          <w:sz w:val="24"/>
          <w:szCs w:val="24"/>
        </w:rPr>
        <w:t xml:space="preserve">1. AFTËSITË PROFESIONALE TË PROKURORIT (100 pikë) </w:t>
      </w:r>
    </w:p>
    <w:p w14:paraId="5B6F2F03"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Për të pikëzuar aftësinë e prokurorit në drejtim të aspekteve të njohurive ligjore dhe arsyetimit të aktit, vlerësuesi përqendrohet në metodologjinë e përgjithshme të punës së prokurorit, bazuar në dosjet e përzgjedhura, dhe nuk vlerëson meritat ligjore të akteve individuale, të cilat përcaktohen vetëm në kuadër të një procesi kontrolli nga ana e gjykatës.</w:t>
      </w:r>
    </w:p>
    <w:p w14:paraId="536B5EBB"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Vlerësuesi çmon aftësitë profesionale të prokurorit pa gjykuar korrektësinë e aktit dhe themelin e çështjes, si dhe pa zëvendësuar interpretimin ose logjikën e prokurorit që vlerësohet. </w:t>
      </w:r>
    </w:p>
    <w:p w14:paraId="591E0133" w14:textId="77777777" w:rsidR="00F052F6" w:rsidRPr="00E75D3E" w:rsidRDefault="00F052F6" w:rsidP="00F052F6">
      <w:pPr>
        <w:spacing w:after="0" w:line="240" w:lineRule="auto"/>
        <w:ind w:firstLine="284"/>
        <w:jc w:val="both"/>
        <w:rPr>
          <w:rFonts w:ascii="Garamond" w:hAnsi="Garamond"/>
          <w:sz w:val="14"/>
          <w:szCs w:val="24"/>
        </w:rPr>
      </w:pPr>
    </w:p>
    <w:p w14:paraId="6F20F67D" w14:textId="77777777" w:rsidR="00F052F6" w:rsidRPr="003D5CE4" w:rsidRDefault="00F052F6" w:rsidP="00F052F6">
      <w:pPr>
        <w:pStyle w:val="Heading2"/>
        <w:spacing w:after="0" w:line="240" w:lineRule="auto"/>
        <w:ind w:left="0" w:firstLine="284"/>
        <w:jc w:val="both"/>
        <w:rPr>
          <w:rFonts w:ascii="Garamond" w:hAnsi="Garamond"/>
          <w:szCs w:val="24"/>
        </w:rPr>
      </w:pPr>
      <w:r w:rsidRPr="003D5CE4">
        <w:rPr>
          <w:rFonts w:ascii="Garamond" w:hAnsi="Garamond"/>
          <w:szCs w:val="24"/>
        </w:rPr>
        <w:t>A.</w:t>
      </w:r>
      <w:r w:rsidRPr="003D5CE4">
        <w:rPr>
          <w:rFonts w:ascii="Garamond" w:eastAsia="Arial" w:hAnsi="Garamond"/>
          <w:szCs w:val="24"/>
        </w:rPr>
        <w:t xml:space="preserve"> </w:t>
      </w:r>
      <w:r w:rsidRPr="003D5CE4">
        <w:rPr>
          <w:rFonts w:ascii="Garamond" w:hAnsi="Garamond"/>
          <w:szCs w:val="24"/>
        </w:rPr>
        <w:t xml:space="preserve">Njohuritë ligjore (50 pikë)  </w:t>
      </w:r>
    </w:p>
    <w:p w14:paraId="5E9D0801" w14:textId="77777777" w:rsidR="00F052F6" w:rsidRPr="00E75D3E" w:rsidRDefault="00F052F6" w:rsidP="00F052F6">
      <w:pPr>
        <w:spacing w:after="0" w:line="240" w:lineRule="auto"/>
        <w:ind w:firstLine="284"/>
        <w:jc w:val="both"/>
        <w:rPr>
          <w:rFonts w:ascii="Garamond" w:hAnsi="Garamond"/>
          <w:b/>
          <w:sz w:val="14"/>
          <w:szCs w:val="24"/>
        </w:rPr>
      </w:pPr>
      <w:r w:rsidRPr="003D5CE4">
        <w:rPr>
          <w:rFonts w:ascii="Garamond" w:hAnsi="Garamond"/>
          <w:b/>
          <w:sz w:val="24"/>
          <w:szCs w:val="24"/>
        </w:rPr>
        <w:t xml:space="preserve"> </w:t>
      </w:r>
    </w:p>
    <w:p w14:paraId="4948EC19" w14:textId="77777777" w:rsidR="00F052F6" w:rsidRPr="00E75D3E" w:rsidRDefault="00F052F6" w:rsidP="00F052F6">
      <w:pPr>
        <w:pStyle w:val="AAAAAAAAAAAAAAAAAATEEEEEXXX"/>
        <w:rPr>
          <w:b/>
          <w:szCs w:val="24"/>
        </w:rPr>
      </w:pPr>
      <w:r w:rsidRPr="00E75D3E">
        <w:rPr>
          <w:rFonts w:eastAsia="Calibri"/>
          <w:b/>
          <w:szCs w:val="24"/>
        </w:rPr>
        <w:t>a) Aftësia për të ndërmarrë logjikisht hetimin apo procedura të tjera të sistemit të prokurorisë, sipas kërkesave ligjore</w:t>
      </w:r>
      <w:r w:rsidRPr="00E75D3E">
        <w:rPr>
          <w:b/>
          <w:szCs w:val="24"/>
        </w:rPr>
        <w:t xml:space="preserve"> (15 pikë) </w:t>
      </w:r>
    </w:p>
    <w:p w14:paraId="0D965DD7" w14:textId="77777777" w:rsidR="00F052F6" w:rsidRPr="003D5CE4" w:rsidRDefault="00F052F6" w:rsidP="00F052F6">
      <w:pPr>
        <w:pStyle w:val="AAAAAAAAAAAAAAAAAATEEEEEXXX"/>
        <w:rPr>
          <w:szCs w:val="24"/>
        </w:rPr>
      </w:pPr>
      <w:r w:rsidRPr="003D5CE4">
        <w:rPr>
          <w:szCs w:val="24"/>
        </w:rPr>
        <w:t>Për të pikëzuar këtë aftësi të prokurorit, vlerësuesi përqendrohet në dokumentet ligjore të dorëzuara nga prokurori, formularin e integruar të vlerësimit të prokurorit, si dhe në aktet e dosjeve të përzgjedhura me short.</w:t>
      </w:r>
    </w:p>
    <w:p w14:paraId="5C9AC404" w14:textId="77777777" w:rsidR="00F052F6" w:rsidRPr="003D5CE4" w:rsidRDefault="00F052F6" w:rsidP="00F052F6">
      <w:pPr>
        <w:pStyle w:val="AAAAAAAAAAAAAAAAAATEEEEEXXX"/>
        <w:rPr>
          <w:szCs w:val="24"/>
        </w:rPr>
      </w:pPr>
      <w:r w:rsidRPr="003D5CE4">
        <w:rPr>
          <w:szCs w:val="24"/>
        </w:rPr>
        <w:t>Vlerësimi do të përqendrohet në elementët e mëposhtëm:</w:t>
      </w:r>
    </w:p>
    <w:p w14:paraId="385EAF29" w14:textId="77777777" w:rsidR="00F052F6" w:rsidRPr="003D5CE4" w:rsidRDefault="00F052F6" w:rsidP="00F052F6">
      <w:pPr>
        <w:pStyle w:val="AAAAAAAAAAAAAAAAAATEEEEEXXX"/>
        <w:rPr>
          <w:szCs w:val="24"/>
        </w:rPr>
      </w:pPr>
      <w:r w:rsidRPr="003D5CE4">
        <w:rPr>
          <w:szCs w:val="24"/>
        </w:rPr>
        <w:t>- aftësia për të përcaktuar dhe evidentuar faktet e çështjes apo praktikës, objektin e ndjekjes penale, si dhe rrethanat dhe faktet që janë të nevojshme për t’u provuar apo aktet që duhen administruar;</w:t>
      </w:r>
    </w:p>
    <w:p w14:paraId="23728C57" w14:textId="77777777" w:rsidR="00F052F6" w:rsidRPr="003D5CE4" w:rsidRDefault="00F052F6" w:rsidP="00F052F6">
      <w:pPr>
        <w:pStyle w:val="AAAAAAAAAAAAAAAAAATEEEEEXXX"/>
        <w:rPr>
          <w:szCs w:val="24"/>
        </w:rPr>
      </w:pPr>
      <w:r w:rsidRPr="003D5CE4">
        <w:rPr>
          <w:szCs w:val="24"/>
        </w:rPr>
        <w:t>- aftësia për të evidentuar pikat e forta dhe të dobëta të hetimit, duke  urdhëruar kryerjen e veprimeve të nevojshme hetimore;</w:t>
      </w:r>
    </w:p>
    <w:p w14:paraId="7C7EB447" w14:textId="77777777" w:rsidR="00F052F6" w:rsidRPr="003D5CE4" w:rsidRDefault="00F052F6" w:rsidP="00F052F6">
      <w:pPr>
        <w:pStyle w:val="AAAAAAAAAAAAAAAAAATEEEEEXXX"/>
        <w:rPr>
          <w:szCs w:val="24"/>
        </w:rPr>
      </w:pPr>
      <w:r w:rsidRPr="003D5CE4">
        <w:rPr>
          <w:szCs w:val="24"/>
        </w:rPr>
        <w:t>- aftësia për të qenë efektiv në ushtrimin e ndjekjes penale apo ndjekjes së procedurave të tjera të sistemit të prokurorisë, në mënyrë që të respektohen afatet ligjore të çështjes;</w:t>
      </w:r>
    </w:p>
    <w:p w14:paraId="23D6FD5C" w14:textId="77777777" w:rsidR="00F052F6" w:rsidRPr="003D5CE4" w:rsidRDefault="00F052F6" w:rsidP="00F052F6">
      <w:pPr>
        <w:pStyle w:val="AAAAAAAAAAAAAAAAAATEEEEEXXX"/>
        <w:rPr>
          <w:szCs w:val="24"/>
        </w:rPr>
      </w:pPr>
      <w:r w:rsidRPr="003D5CE4">
        <w:rPr>
          <w:szCs w:val="24"/>
        </w:rPr>
        <w:t>- aftësia për të individualizuar dhe argumentuar përgjegjësinë penale.</w:t>
      </w:r>
    </w:p>
    <w:p w14:paraId="09C265C0" w14:textId="77777777" w:rsidR="00F052F6" w:rsidRPr="00E75D3E" w:rsidRDefault="00F052F6" w:rsidP="00F052F6">
      <w:pPr>
        <w:spacing w:after="0" w:line="240" w:lineRule="auto"/>
        <w:ind w:firstLine="284"/>
        <w:jc w:val="both"/>
        <w:rPr>
          <w:rFonts w:ascii="Garamond" w:hAnsi="Garamond"/>
          <w:sz w:val="14"/>
          <w:szCs w:val="24"/>
        </w:rPr>
      </w:pPr>
    </w:p>
    <w:tbl>
      <w:tblPr>
        <w:tblW w:w="8177" w:type="dxa"/>
        <w:tblInd w:w="182" w:type="dxa"/>
        <w:tblCellMar>
          <w:top w:w="7" w:type="dxa"/>
          <w:right w:w="56" w:type="dxa"/>
        </w:tblCellMar>
        <w:tblLook w:val="04A0" w:firstRow="1" w:lastRow="0" w:firstColumn="1" w:lastColumn="0" w:noHBand="0" w:noVBand="1"/>
      </w:tblPr>
      <w:tblGrid>
        <w:gridCol w:w="2313"/>
        <w:gridCol w:w="2036"/>
        <w:gridCol w:w="3828"/>
      </w:tblGrid>
      <w:tr w:rsidR="00F052F6" w:rsidRPr="003D5CE4" w14:paraId="248E48B1" w14:textId="77777777" w:rsidTr="003464CC">
        <w:trPr>
          <w:trHeight w:val="52"/>
        </w:trPr>
        <w:tc>
          <w:tcPr>
            <w:tcW w:w="4349"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14:paraId="01C63A7D"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Shkalla e aftësisë së prokurorit</w:t>
            </w:r>
          </w:p>
        </w:tc>
        <w:tc>
          <w:tcPr>
            <w:tcW w:w="3828"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2CBE88A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Nr. i pikëve</w:t>
            </w:r>
          </w:p>
        </w:tc>
      </w:tr>
      <w:tr w:rsidR="00F052F6" w:rsidRPr="003D5CE4" w14:paraId="4BB96324"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018771B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2036" w:type="dxa"/>
            <w:tcBorders>
              <w:top w:val="single" w:sz="4" w:space="0" w:color="000000"/>
              <w:left w:val="nil"/>
              <w:bottom w:val="single" w:sz="4" w:space="0" w:color="000000"/>
              <w:right w:val="single" w:sz="4" w:space="0" w:color="000000"/>
            </w:tcBorders>
          </w:tcPr>
          <w:p w14:paraId="4423256B"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135F57D6"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3</w:t>
            </w:r>
          </w:p>
        </w:tc>
      </w:tr>
      <w:tr w:rsidR="00F052F6" w:rsidRPr="003D5CE4" w14:paraId="6DE333CE"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221D30F9"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2036" w:type="dxa"/>
            <w:tcBorders>
              <w:top w:val="single" w:sz="4" w:space="0" w:color="000000"/>
              <w:left w:val="nil"/>
              <w:bottom w:val="single" w:sz="4" w:space="0" w:color="000000"/>
              <w:right w:val="single" w:sz="4" w:space="0" w:color="000000"/>
            </w:tcBorders>
          </w:tcPr>
          <w:p w14:paraId="54EC9294"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12C0149B"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6</w:t>
            </w:r>
          </w:p>
        </w:tc>
      </w:tr>
      <w:tr w:rsidR="00F052F6" w:rsidRPr="003D5CE4" w14:paraId="56B4F3A6"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40475A33"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2036" w:type="dxa"/>
            <w:tcBorders>
              <w:top w:val="single" w:sz="4" w:space="0" w:color="000000"/>
              <w:left w:val="nil"/>
              <w:bottom w:val="single" w:sz="4" w:space="0" w:color="000000"/>
              <w:right w:val="single" w:sz="4" w:space="0" w:color="000000"/>
            </w:tcBorders>
          </w:tcPr>
          <w:p w14:paraId="0C5C33D1"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483C91DF"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9</w:t>
            </w:r>
          </w:p>
        </w:tc>
      </w:tr>
      <w:tr w:rsidR="00F052F6" w:rsidRPr="003D5CE4" w14:paraId="6EB38866"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76F406C3"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2036" w:type="dxa"/>
            <w:tcBorders>
              <w:top w:val="single" w:sz="4" w:space="0" w:color="000000"/>
              <w:left w:val="nil"/>
              <w:bottom w:val="single" w:sz="4" w:space="0" w:color="000000"/>
              <w:right w:val="single" w:sz="4" w:space="0" w:color="000000"/>
            </w:tcBorders>
          </w:tcPr>
          <w:p w14:paraId="0AB4506B"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427DC9CD"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12</w:t>
            </w:r>
          </w:p>
        </w:tc>
      </w:tr>
      <w:tr w:rsidR="00F052F6" w:rsidRPr="003D5CE4" w14:paraId="1C15E658"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7884A378"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2036" w:type="dxa"/>
            <w:tcBorders>
              <w:top w:val="single" w:sz="4" w:space="0" w:color="000000"/>
              <w:left w:val="nil"/>
              <w:bottom w:val="single" w:sz="4" w:space="0" w:color="000000"/>
              <w:right w:val="single" w:sz="4" w:space="0" w:color="000000"/>
            </w:tcBorders>
          </w:tcPr>
          <w:p w14:paraId="13801A86"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348637C2"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15</w:t>
            </w:r>
          </w:p>
        </w:tc>
      </w:tr>
    </w:tbl>
    <w:p w14:paraId="0F3281C8" w14:textId="77777777" w:rsidR="00F052F6" w:rsidRPr="00E75D3E" w:rsidRDefault="00F052F6" w:rsidP="00F052F6">
      <w:pPr>
        <w:pStyle w:val="AAAAAAAAAAAAAAAAAATEEEEEXXX"/>
        <w:rPr>
          <w:rFonts w:eastAsia="Calibri"/>
          <w:sz w:val="14"/>
          <w:szCs w:val="24"/>
        </w:rPr>
      </w:pPr>
    </w:p>
    <w:p w14:paraId="1FA997E5" w14:textId="77777777" w:rsidR="00F052F6" w:rsidRPr="00AB30DD" w:rsidRDefault="00F052F6" w:rsidP="00F052F6">
      <w:pPr>
        <w:pStyle w:val="AAAAAAAAAAAAAAAAAATEEEEEXXX"/>
        <w:rPr>
          <w:b/>
          <w:szCs w:val="24"/>
        </w:rPr>
      </w:pPr>
      <w:r w:rsidRPr="00AB30DD">
        <w:rPr>
          <w:rFonts w:eastAsia="Calibri"/>
          <w:b/>
          <w:szCs w:val="24"/>
        </w:rPr>
        <w:t>b) Aftësia për të mbledhur provat e kërkuara me ligj (15 pikë)</w:t>
      </w:r>
    </w:p>
    <w:p w14:paraId="4834F58C"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Për të pikëzuar këtë aftësi, vlerësuesi përqendrohet në dokumentet ligjore të dorëzuara nga prokurori, formularin e integruar të vlerësimit të prokurorit, si dhe në aktet e dosjeve të përzgjedhura me short.</w:t>
      </w:r>
    </w:p>
    <w:p w14:paraId="32BCCF08"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Vlerësimi do të përqendrohet në elementët e mëposhtëm:</w:t>
      </w:r>
    </w:p>
    <w:p w14:paraId="105F3136" w14:textId="77777777" w:rsidR="00F052F6" w:rsidRPr="003D5CE4" w:rsidRDefault="00F052F6" w:rsidP="00F052F6">
      <w:pPr>
        <w:pStyle w:val="AAAAAAAAAAAAAAAAAATEEEEEXXX"/>
        <w:rPr>
          <w:szCs w:val="24"/>
        </w:rPr>
      </w:pPr>
      <w:r w:rsidRPr="003D5CE4">
        <w:rPr>
          <w:szCs w:val="24"/>
        </w:rPr>
        <w:t>- aftësia për të mbledhur provat e kërkuara me ligj, për të mbështetur objektin e hetimit sipas natyrës së çështjes, apo aftësia për të administruar aktet e nevojshme për plotësimin e praktikës;</w:t>
      </w:r>
    </w:p>
    <w:p w14:paraId="2EEFAD26" w14:textId="77777777" w:rsidR="00F052F6" w:rsidRPr="003D5CE4" w:rsidRDefault="00F052F6" w:rsidP="00F052F6">
      <w:pPr>
        <w:pStyle w:val="AAAAAAAAAAAAAAAAAATEEEEEXXX"/>
        <w:rPr>
          <w:szCs w:val="24"/>
        </w:rPr>
      </w:pPr>
      <w:r w:rsidRPr="003D5CE4">
        <w:rPr>
          <w:szCs w:val="24"/>
        </w:rPr>
        <w:t>- aftësia për të përdorur mjetet e përshtatshme dhe efektive për kërkimin e provës apo për administrimin e akteve;</w:t>
      </w:r>
    </w:p>
    <w:p w14:paraId="3BD25E0D" w14:textId="77777777" w:rsidR="00F052F6" w:rsidRPr="003D5CE4" w:rsidRDefault="00F052F6" w:rsidP="00F052F6">
      <w:pPr>
        <w:pStyle w:val="AAAAAAAAAAAAAAAAAATEEEEEXXX"/>
        <w:rPr>
          <w:szCs w:val="24"/>
        </w:rPr>
      </w:pPr>
      <w:r w:rsidRPr="003D5CE4">
        <w:rPr>
          <w:szCs w:val="24"/>
        </w:rPr>
        <w:t>- zbatimi i parashikimeve ligjore gjatë procedurës së marrjes dhe administrimit të provave dhe akteve;</w:t>
      </w:r>
    </w:p>
    <w:p w14:paraId="106EEAFF" w14:textId="77777777" w:rsidR="00F052F6" w:rsidRPr="003D5CE4" w:rsidRDefault="00F052F6" w:rsidP="00F052F6">
      <w:pPr>
        <w:pStyle w:val="AAAAAAAAAAAAAAAAAATEEEEEXXX"/>
        <w:rPr>
          <w:szCs w:val="24"/>
        </w:rPr>
      </w:pPr>
      <w:r w:rsidRPr="003D5CE4">
        <w:rPr>
          <w:szCs w:val="24"/>
        </w:rPr>
        <w:t>- aftësia për të urdhëruar kryerjen e veprimeve hetimore në përputhje me objektin e hetimit, mjaftueshmëria, si dhe linja logjike e veprimeve hetimore të urdhëruara;</w:t>
      </w:r>
    </w:p>
    <w:p w14:paraId="0A39FD0D" w14:textId="77777777" w:rsidR="00F052F6" w:rsidRPr="003D5CE4" w:rsidRDefault="00F052F6" w:rsidP="00F052F6">
      <w:pPr>
        <w:pStyle w:val="AAAAAAAAAAAAAAAAAATEEEEEXXX"/>
        <w:rPr>
          <w:szCs w:val="24"/>
        </w:rPr>
      </w:pPr>
      <w:r w:rsidRPr="003D5CE4">
        <w:rPr>
          <w:szCs w:val="24"/>
        </w:rPr>
        <w:t xml:space="preserve">- aftësia në fazën e gjykimit, për të argumentuar ligjshmërinë e provave të administruara në fazën e hetimit, për të qenë aktiv dhe për të ndërhyrë në momentet e duhura gjatë debatit të shqyrtimit gjyqësor dhe për të shprehur qartë, duke evidentuar bazën e duhur ligjore për argumentet e ngritur prej tij. </w:t>
      </w:r>
    </w:p>
    <w:p w14:paraId="6DAD88FA"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Mbledhja apo kërkimi i provave apo administrimi i akteve që nuk janë në përputhje me objektin apo qëllimin e hetimit apo të asaj se çfarë kërkohet të provohet, nuk mund të jetë tregues i aftësive për të mbledhur provat.</w:t>
      </w:r>
    </w:p>
    <w:p w14:paraId="356CD3EF" w14:textId="77777777" w:rsidR="00F052F6" w:rsidRPr="00AB30DD" w:rsidRDefault="00F052F6" w:rsidP="00F052F6">
      <w:pPr>
        <w:spacing w:after="0" w:line="240" w:lineRule="auto"/>
        <w:ind w:firstLine="284"/>
        <w:jc w:val="both"/>
        <w:rPr>
          <w:rFonts w:ascii="Garamond" w:hAnsi="Garamond"/>
          <w:sz w:val="14"/>
          <w:szCs w:val="24"/>
        </w:rPr>
      </w:pPr>
    </w:p>
    <w:tbl>
      <w:tblPr>
        <w:tblW w:w="8177" w:type="dxa"/>
        <w:tblInd w:w="182" w:type="dxa"/>
        <w:tblCellMar>
          <w:top w:w="7" w:type="dxa"/>
          <w:right w:w="56" w:type="dxa"/>
        </w:tblCellMar>
        <w:tblLook w:val="04A0" w:firstRow="1" w:lastRow="0" w:firstColumn="1" w:lastColumn="0" w:noHBand="0" w:noVBand="1"/>
      </w:tblPr>
      <w:tblGrid>
        <w:gridCol w:w="2313"/>
        <w:gridCol w:w="2036"/>
        <w:gridCol w:w="3828"/>
      </w:tblGrid>
      <w:tr w:rsidR="00F052F6" w:rsidRPr="003D5CE4" w14:paraId="0FA4529A" w14:textId="77777777" w:rsidTr="003464CC">
        <w:trPr>
          <w:trHeight w:val="52"/>
        </w:trPr>
        <w:tc>
          <w:tcPr>
            <w:tcW w:w="4349"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14:paraId="2B0B4E11"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Shkalla e aftësisë së prokurorit</w:t>
            </w:r>
          </w:p>
        </w:tc>
        <w:tc>
          <w:tcPr>
            <w:tcW w:w="3828"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6BBEBEA3"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Nr. i pikëve </w:t>
            </w:r>
          </w:p>
        </w:tc>
      </w:tr>
      <w:tr w:rsidR="00F052F6" w:rsidRPr="003D5CE4" w14:paraId="67026AA2"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2E019A44"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2036" w:type="dxa"/>
            <w:tcBorders>
              <w:top w:val="single" w:sz="4" w:space="0" w:color="000000"/>
              <w:left w:val="nil"/>
              <w:bottom w:val="single" w:sz="4" w:space="0" w:color="000000"/>
              <w:right w:val="single" w:sz="4" w:space="0" w:color="000000"/>
            </w:tcBorders>
          </w:tcPr>
          <w:p w14:paraId="0E87DEA6"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0D7545C6"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3</w:t>
            </w:r>
          </w:p>
        </w:tc>
      </w:tr>
      <w:tr w:rsidR="00F052F6" w:rsidRPr="003D5CE4" w14:paraId="372B2431"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62C1C169"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2036" w:type="dxa"/>
            <w:tcBorders>
              <w:top w:val="single" w:sz="4" w:space="0" w:color="000000"/>
              <w:left w:val="nil"/>
              <w:bottom w:val="single" w:sz="4" w:space="0" w:color="000000"/>
              <w:right w:val="single" w:sz="4" w:space="0" w:color="000000"/>
            </w:tcBorders>
          </w:tcPr>
          <w:p w14:paraId="3E25BCF3"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48CE8E05"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6</w:t>
            </w:r>
          </w:p>
        </w:tc>
      </w:tr>
      <w:tr w:rsidR="00F052F6" w:rsidRPr="003D5CE4" w14:paraId="1DA2177A"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0D18457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2036" w:type="dxa"/>
            <w:tcBorders>
              <w:top w:val="single" w:sz="4" w:space="0" w:color="000000"/>
              <w:left w:val="nil"/>
              <w:bottom w:val="single" w:sz="4" w:space="0" w:color="000000"/>
              <w:right w:val="single" w:sz="4" w:space="0" w:color="000000"/>
            </w:tcBorders>
          </w:tcPr>
          <w:p w14:paraId="772EB681"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561C7ADB"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9</w:t>
            </w:r>
          </w:p>
        </w:tc>
      </w:tr>
      <w:tr w:rsidR="00F052F6" w:rsidRPr="003D5CE4" w14:paraId="70EFDD40"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6E6B56B8"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2036" w:type="dxa"/>
            <w:tcBorders>
              <w:top w:val="single" w:sz="4" w:space="0" w:color="000000"/>
              <w:left w:val="nil"/>
              <w:bottom w:val="single" w:sz="4" w:space="0" w:color="000000"/>
              <w:right w:val="single" w:sz="4" w:space="0" w:color="000000"/>
            </w:tcBorders>
          </w:tcPr>
          <w:p w14:paraId="26EAC1EA"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171DE53C"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12</w:t>
            </w:r>
          </w:p>
        </w:tc>
      </w:tr>
      <w:tr w:rsidR="00F052F6" w:rsidRPr="003D5CE4" w14:paraId="0624402B"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3D07D1C4"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2036" w:type="dxa"/>
            <w:tcBorders>
              <w:top w:val="single" w:sz="4" w:space="0" w:color="000000"/>
              <w:left w:val="nil"/>
              <w:bottom w:val="single" w:sz="4" w:space="0" w:color="000000"/>
              <w:right w:val="single" w:sz="4" w:space="0" w:color="000000"/>
            </w:tcBorders>
          </w:tcPr>
          <w:p w14:paraId="70072D3C"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5E5F3940"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15</w:t>
            </w:r>
          </w:p>
        </w:tc>
      </w:tr>
    </w:tbl>
    <w:p w14:paraId="37BE6506" w14:textId="77777777" w:rsidR="00F052F6" w:rsidRPr="00AB30DD" w:rsidRDefault="00F052F6" w:rsidP="00F052F6">
      <w:pPr>
        <w:spacing w:after="0" w:line="240" w:lineRule="auto"/>
        <w:ind w:firstLine="284"/>
        <w:jc w:val="both"/>
        <w:rPr>
          <w:rFonts w:ascii="Garamond" w:hAnsi="Garamond"/>
          <w:b/>
          <w:sz w:val="14"/>
          <w:szCs w:val="24"/>
        </w:rPr>
      </w:pPr>
    </w:p>
    <w:p w14:paraId="1E3661E3" w14:textId="77777777" w:rsidR="00F052F6" w:rsidRPr="00185E3B" w:rsidRDefault="00F052F6" w:rsidP="00F052F6">
      <w:pPr>
        <w:pStyle w:val="AAAAAAAAAAAAAAAAAATEEEEEXXX"/>
        <w:rPr>
          <w:b/>
          <w:szCs w:val="24"/>
        </w:rPr>
      </w:pPr>
      <w:r w:rsidRPr="00185E3B">
        <w:rPr>
          <w:b/>
          <w:szCs w:val="24"/>
        </w:rPr>
        <w:t xml:space="preserve">c) Aftësia për të interpretuar ligjin dhe për të analizuar jurisprudencën në zgjidhjen e çështjes (20 pikë) </w:t>
      </w:r>
    </w:p>
    <w:p w14:paraId="2755F89D" w14:textId="77777777" w:rsidR="00F052F6" w:rsidRPr="003D5CE4" w:rsidRDefault="00F052F6" w:rsidP="00F052F6">
      <w:pPr>
        <w:pStyle w:val="AAAAAAAAAAAAAAAAAATEEEEEXXX"/>
        <w:rPr>
          <w:color w:val="FF0000"/>
          <w:szCs w:val="24"/>
        </w:rPr>
      </w:pPr>
      <w:r w:rsidRPr="003D5CE4">
        <w:rPr>
          <w:szCs w:val="24"/>
        </w:rPr>
        <w:t>Për të pikëzuar aftësinë e prokurorit për të interpretuar ligjin dhe për të analizuar jurisprudencën, vlerësuesi përqendrohet në dokumentet ligjore të dorëzuara nga prokurori, formularin e integruar të vlerësimit të prokurorit, si dhe në aktet e dosjeve të përzgjedhura me short.</w:t>
      </w:r>
    </w:p>
    <w:p w14:paraId="282F6CE3" w14:textId="77777777" w:rsidR="00F052F6" w:rsidRPr="003D5CE4" w:rsidRDefault="00F052F6" w:rsidP="00F052F6">
      <w:pPr>
        <w:pStyle w:val="AAAAAAAAAAAAAAAAAATEEEEEXXX"/>
        <w:rPr>
          <w:color w:val="auto"/>
          <w:szCs w:val="24"/>
        </w:rPr>
      </w:pPr>
      <w:r w:rsidRPr="003D5CE4">
        <w:rPr>
          <w:color w:val="auto"/>
          <w:szCs w:val="24"/>
        </w:rPr>
        <w:t>Vlerësimi do të përqendrohet në elementët e mëposhtëm:</w:t>
      </w:r>
    </w:p>
    <w:p w14:paraId="3E710FBD"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aftësia e prokurorit për të interpretuar ligjin e identifikuar dhe arsyetimi i tij për mënyrën e zbatimit të ligjit mbi faktet objekt hetimi;</w:t>
      </w:r>
    </w:p>
    <w:p w14:paraId="1275A63F"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aftësia e prokurorit për të zbatuar parimet e përgjithshme të së drejtës materiale e procedurale që kanë lidhje me interpretimin e ligjit në zgjidhjen e çështjes, pavarësisht përmendjes së tyre shprehimisht në vendim;</w:t>
      </w:r>
    </w:p>
    <w:p w14:paraId="46777788"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aftësia e prokurorit për të analizuar jurisprudencën, duke u përqendruar tek aftësia për të kërkuar, identifikuar, organizuar dhe përdorur jurisprudencën për një çështje të caktuar. Në veçanti, vlerësohet nëse prokurori i referohet dhe menaxhon me efikasitet, në vendin e duhur dhe sipas llojit të qëllimit të aktit: praktikën e konsoliduar gjyqësore; praktikën e unifikuar/njësuar të Gjykatës së Lartë; praktikën gjyqësore të Gjykatës Kushtetuese; GJEDNJ-së dhe të gjithë jurisprudencën, edhe në rastet kur ajo nuk përbën burim të së drejtës, por i shërben interpretimit të ligjit në kuadër të përafrimit të legjislacionit. </w:t>
      </w:r>
    </w:p>
    <w:p w14:paraId="70318288"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Vetëm referimi formal i ligjit ose i jurisprudencës, i pashoqëruar me një analizë të dispozitave, raportit midis tyre dhe zbatimit mbi rrethanat e faktit, sipas rastit, nuk mund të jetë tregues i aftësive për të interpretuar ligjin.  </w:t>
      </w:r>
    </w:p>
    <w:p w14:paraId="36698B5A" w14:textId="77777777" w:rsidR="00F052F6" w:rsidRPr="00AB30DD" w:rsidRDefault="00F052F6" w:rsidP="00F052F6">
      <w:pPr>
        <w:spacing w:after="0" w:line="240" w:lineRule="auto"/>
        <w:ind w:firstLine="284"/>
        <w:jc w:val="both"/>
        <w:rPr>
          <w:rFonts w:ascii="Garamond" w:hAnsi="Garamond"/>
          <w:sz w:val="14"/>
          <w:szCs w:val="24"/>
        </w:rPr>
      </w:pPr>
    </w:p>
    <w:tbl>
      <w:tblPr>
        <w:tblW w:w="8318" w:type="dxa"/>
        <w:tblInd w:w="182" w:type="dxa"/>
        <w:tblCellMar>
          <w:top w:w="7" w:type="dxa"/>
          <w:right w:w="56" w:type="dxa"/>
        </w:tblCellMar>
        <w:tblLook w:val="04A0" w:firstRow="1" w:lastRow="0" w:firstColumn="1" w:lastColumn="0" w:noHBand="0" w:noVBand="1"/>
      </w:tblPr>
      <w:tblGrid>
        <w:gridCol w:w="2313"/>
        <w:gridCol w:w="2036"/>
        <w:gridCol w:w="3969"/>
      </w:tblGrid>
      <w:tr w:rsidR="00F052F6" w:rsidRPr="003D5CE4" w14:paraId="0A3FFD6E" w14:textId="77777777" w:rsidTr="003464CC">
        <w:trPr>
          <w:trHeight w:val="52"/>
        </w:trPr>
        <w:tc>
          <w:tcPr>
            <w:tcW w:w="4349"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14:paraId="0A13BD90"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Shkalla e aftësisë së prokurorit </w:t>
            </w:r>
          </w:p>
        </w:tc>
        <w:tc>
          <w:tcPr>
            <w:tcW w:w="3969"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325BE3D4"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Nr. i pikëve</w:t>
            </w:r>
          </w:p>
        </w:tc>
      </w:tr>
      <w:tr w:rsidR="00F052F6" w:rsidRPr="003D5CE4" w14:paraId="077F0134"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53EA2E64"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2036" w:type="dxa"/>
            <w:tcBorders>
              <w:top w:val="single" w:sz="4" w:space="0" w:color="000000"/>
              <w:left w:val="nil"/>
              <w:bottom w:val="single" w:sz="4" w:space="0" w:color="000000"/>
              <w:right w:val="single" w:sz="4" w:space="0" w:color="000000"/>
            </w:tcBorders>
          </w:tcPr>
          <w:p w14:paraId="5A028C77" w14:textId="77777777" w:rsidR="00F052F6" w:rsidRPr="003D5CE4" w:rsidRDefault="00F052F6" w:rsidP="003464CC">
            <w:pPr>
              <w:spacing w:after="0" w:line="240" w:lineRule="auto"/>
              <w:jc w:val="both"/>
              <w:rPr>
                <w:rFonts w:ascii="Garamond" w:hAnsi="Garamond"/>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ED39EC7"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w:t>
            </w:r>
          </w:p>
        </w:tc>
      </w:tr>
      <w:tr w:rsidR="00F052F6" w:rsidRPr="003D5CE4" w14:paraId="0A9FA911"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2E5DD141"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2036" w:type="dxa"/>
            <w:tcBorders>
              <w:top w:val="single" w:sz="4" w:space="0" w:color="000000"/>
              <w:left w:val="nil"/>
              <w:bottom w:val="single" w:sz="4" w:space="0" w:color="000000"/>
              <w:right w:val="single" w:sz="4" w:space="0" w:color="000000"/>
            </w:tcBorders>
          </w:tcPr>
          <w:p w14:paraId="60316847" w14:textId="77777777" w:rsidR="00F052F6" w:rsidRPr="003D5CE4" w:rsidRDefault="00F052F6" w:rsidP="003464CC">
            <w:pPr>
              <w:spacing w:after="0" w:line="240" w:lineRule="auto"/>
              <w:jc w:val="both"/>
              <w:rPr>
                <w:rFonts w:ascii="Garamond" w:hAnsi="Garamond"/>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27A5870"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8</w:t>
            </w:r>
          </w:p>
        </w:tc>
      </w:tr>
      <w:tr w:rsidR="00F052F6" w:rsidRPr="003D5CE4" w14:paraId="4610FD80"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2A25A5A1"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2036" w:type="dxa"/>
            <w:tcBorders>
              <w:top w:val="single" w:sz="4" w:space="0" w:color="000000"/>
              <w:left w:val="nil"/>
              <w:bottom w:val="single" w:sz="4" w:space="0" w:color="000000"/>
              <w:right w:val="single" w:sz="4" w:space="0" w:color="000000"/>
            </w:tcBorders>
          </w:tcPr>
          <w:p w14:paraId="014FCAAA" w14:textId="77777777" w:rsidR="00F052F6" w:rsidRPr="003D5CE4" w:rsidRDefault="00F052F6" w:rsidP="003464CC">
            <w:pPr>
              <w:spacing w:after="0" w:line="240" w:lineRule="auto"/>
              <w:jc w:val="both"/>
              <w:rPr>
                <w:rFonts w:ascii="Garamond" w:hAnsi="Garamond"/>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D1E7F92"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12</w:t>
            </w:r>
          </w:p>
        </w:tc>
      </w:tr>
      <w:tr w:rsidR="00F052F6" w:rsidRPr="003D5CE4" w14:paraId="4E568F89"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14D9E774"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2036" w:type="dxa"/>
            <w:tcBorders>
              <w:top w:val="single" w:sz="4" w:space="0" w:color="000000"/>
              <w:left w:val="nil"/>
              <w:bottom w:val="single" w:sz="4" w:space="0" w:color="000000"/>
              <w:right w:val="single" w:sz="4" w:space="0" w:color="000000"/>
            </w:tcBorders>
          </w:tcPr>
          <w:p w14:paraId="0690F95A" w14:textId="77777777" w:rsidR="00F052F6" w:rsidRPr="003D5CE4" w:rsidRDefault="00F052F6" w:rsidP="003464CC">
            <w:pPr>
              <w:spacing w:after="0" w:line="240" w:lineRule="auto"/>
              <w:jc w:val="both"/>
              <w:rPr>
                <w:rFonts w:ascii="Garamond" w:hAnsi="Garamond"/>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2BAAB9E"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16</w:t>
            </w:r>
          </w:p>
        </w:tc>
      </w:tr>
      <w:tr w:rsidR="00F052F6" w:rsidRPr="003D5CE4" w14:paraId="7626A520" w14:textId="77777777" w:rsidTr="003464CC">
        <w:trPr>
          <w:trHeight w:val="52"/>
        </w:trPr>
        <w:tc>
          <w:tcPr>
            <w:tcW w:w="2313" w:type="dxa"/>
            <w:tcBorders>
              <w:top w:val="single" w:sz="4" w:space="0" w:color="000000"/>
              <w:left w:val="single" w:sz="4" w:space="0" w:color="000000"/>
              <w:bottom w:val="single" w:sz="4" w:space="0" w:color="000000"/>
              <w:right w:val="nil"/>
            </w:tcBorders>
          </w:tcPr>
          <w:p w14:paraId="69CD4B05"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2036" w:type="dxa"/>
            <w:tcBorders>
              <w:top w:val="single" w:sz="4" w:space="0" w:color="000000"/>
              <w:left w:val="nil"/>
              <w:bottom w:val="single" w:sz="4" w:space="0" w:color="000000"/>
              <w:right w:val="single" w:sz="4" w:space="0" w:color="000000"/>
            </w:tcBorders>
          </w:tcPr>
          <w:p w14:paraId="03C3DDE8" w14:textId="77777777" w:rsidR="00F052F6" w:rsidRPr="003D5CE4" w:rsidRDefault="00F052F6" w:rsidP="003464CC">
            <w:pPr>
              <w:spacing w:after="0" w:line="240" w:lineRule="auto"/>
              <w:jc w:val="both"/>
              <w:rPr>
                <w:rFonts w:ascii="Garamond" w:hAnsi="Garamond"/>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C24ADA7"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20</w:t>
            </w:r>
          </w:p>
        </w:tc>
      </w:tr>
    </w:tbl>
    <w:p w14:paraId="4399A513" w14:textId="77777777" w:rsidR="00F052F6" w:rsidRPr="00AB30DD" w:rsidRDefault="00F052F6" w:rsidP="00F052F6">
      <w:pPr>
        <w:spacing w:after="0" w:line="240" w:lineRule="auto"/>
        <w:ind w:firstLine="284"/>
        <w:jc w:val="both"/>
        <w:rPr>
          <w:rFonts w:ascii="Garamond" w:hAnsi="Garamond"/>
          <w:sz w:val="14"/>
          <w:szCs w:val="24"/>
        </w:rPr>
      </w:pPr>
    </w:p>
    <w:p w14:paraId="785EABD5" w14:textId="77777777" w:rsidR="00F052F6" w:rsidRPr="003D5CE4" w:rsidRDefault="00F052F6" w:rsidP="00F052F6">
      <w:pPr>
        <w:pStyle w:val="Heading2"/>
        <w:spacing w:after="0" w:line="240" w:lineRule="auto"/>
        <w:ind w:left="0" w:firstLine="284"/>
        <w:jc w:val="both"/>
        <w:rPr>
          <w:rFonts w:ascii="Garamond" w:hAnsi="Garamond"/>
          <w:szCs w:val="24"/>
        </w:rPr>
      </w:pPr>
      <w:r w:rsidRPr="003D5CE4">
        <w:rPr>
          <w:rFonts w:ascii="Garamond" w:hAnsi="Garamond"/>
          <w:szCs w:val="24"/>
        </w:rPr>
        <w:t>B.</w:t>
      </w:r>
      <w:r w:rsidRPr="003D5CE4">
        <w:rPr>
          <w:rFonts w:ascii="Garamond" w:eastAsia="Arial" w:hAnsi="Garamond"/>
          <w:szCs w:val="24"/>
        </w:rPr>
        <w:t xml:space="preserve"> </w:t>
      </w:r>
      <w:r w:rsidRPr="003D5CE4">
        <w:rPr>
          <w:rFonts w:ascii="Garamond" w:hAnsi="Garamond"/>
          <w:szCs w:val="24"/>
        </w:rPr>
        <w:t xml:space="preserve">Arsyetimi ligjor (50 pikë) </w:t>
      </w:r>
    </w:p>
    <w:p w14:paraId="62F2F3BA" w14:textId="77777777" w:rsidR="00F052F6" w:rsidRPr="001004A8" w:rsidRDefault="00F052F6" w:rsidP="00F052F6">
      <w:pPr>
        <w:spacing w:after="0" w:line="240" w:lineRule="auto"/>
        <w:ind w:firstLine="284"/>
        <w:jc w:val="both"/>
        <w:rPr>
          <w:rFonts w:ascii="Garamond" w:hAnsi="Garamond"/>
          <w:b/>
          <w:sz w:val="24"/>
          <w:szCs w:val="24"/>
        </w:rPr>
      </w:pPr>
      <w:r w:rsidRPr="001004A8">
        <w:rPr>
          <w:rFonts w:ascii="Garamond" w:hAnsi="Garamond"/>
          <w:b/>
          <w:sz w:val="28"/>
          <w:szCs w:val="24"/>
        </w:rPr>
        <w:t xml:space="preserve"> </w:t>
      </w:r>
      <w:r w:rsidRPr="001004A8">
        <w:rPr>
          <w:rFonts w:ascii="Garamond" w:hAnsi="Garamond"/>
          <w:b/>
          <w:sz w:val="24"/>
          <w:szCs w:val="24"/>
        </w:rPr>
        <w:t>a</w:t>
      </w:r>
      <w:r>
        <w:rPr>
          <w:rFonts w:ascii="Garamond" w:hAnsi="Garamond"/>
          <w:b/>
          <w:sz w:val="24"/>
          <w:szCs w:val="24"/>
        </w:rPr>
        <w:t>)</w:t>
      </w:r>
      <w:r w:rsidRPr="001004A8">
        <w:rPr>
          <w:rFonts w:ascii="Garamond" w:hAnsi="Garamond"/>
          <w:b/>
          <w:sz w:val="24"/>
          <w:szCs w:val="24"/>
        </w:rPr>
        <w:t xml:space="preserve"> Qartësia, saktësia dhe kuptueshmëria e akteve (10 pikë) </w:t>
      </w:r>
    </w:p>
    <w:p w14:paraId="1D7D0F66" w14:textId="77777777" w:rsidR="00F052F6" w:rsidRPr="003D5CE4" w:rsidRDefault="00F052F6" w:rsidP="00F052F6">
      <w:pPr>
        <w:spacing w:after="0" w:line="240" w:lineRule="auto"/>
        <w:ind w:firstLine="284"/>
        <w:jc w:val="both"/>
        <w:rPr>
          <w:rFonts w:ascii="Garamond" w:hAnsi="Garamond"/>
          <w:color w:val="FF0000"/>
          <w:sz w:val="24"/>
          <w:szCs w:val="24"/>
        </w:rPr>
      </w:pPr>
      <w:r w:rsidRPr="003D5CE4">
        <w:rPr>
          <w:rFonts w:ascii="Garamond" w:hAnsi="Garamond"/>
          <w:sz w:val="24"/>
          <w:szCs w:val="24"/>
        </w:rPr>
        <w:t xml:space="preserve">Si burim vlerësimi për këtë tregues shërbejnë dokumentet ligjore të dorëzuara nga prokurori, formularin e integruar të vlerësimit të prokurorit, si dhe në aktet e dosjeve të përzgjedhura me short. </w:t>
      </w:r>
    </w:p>
    <w:p w14:paraId="61C473F3" w14:textId="77777777" w:rsidR="00F052F6" w:rsidRPr="003D5CE4" w:rsidRDefault="00F052F6" w:rsidP="00F052F6">
      <w:pPr>
        <w:pStyle w:val="AAAAAAAAAAAAAAAAAATEEEEEXXX"/>
        <w:rPr>
          <w:color w:val="auto"/>
          <w:szCs w:val="24"/>
        </w:rPr>
      </w:pPr>
      <w:r w:rsidRPr="003D5CE4">
        <w:rPr>
          <w:color w:val="auto"/>
          <w:szCs w:val="24"/>
        </w:rPr>
        <w:t>Vlerësimi do të përqendrohet në elementët e mëposhtëm:</w:t>
      </w:r>
    </w:p>
    <w:p w14:paraId="48A11E73"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përdorimi i thjeshtë dhe i drejtpërdrejtë i gjuhës; </w:t>
      </w:r>
    </w:p>
    <w:p w14:paraId="6819EE34"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aftësia për të shprehur mendimin qartë dhe me sa më pak fjalë; </w:t>
      </w:r>
    </w:p>
    <w:p w14:paraId="45D42538"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zbatimi i saktë i rregullave gramatikore dhe atyre të sintaksës; </w:t>
      </w:r>
    </w:p>
    <w:p w14:paraId="76A4B77F"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përzgjedhja e kujdesshme e gjuhës dhe përdorimi i të gjitha shkronjave të alfabetit shqip (ë dhe ç), paragrafëve dhe e strukturës së fjalisë, për të shprehur kuptimin;</w:t>
      </w:r>
    </w:p>
    <w:p w14:paraId="28208165"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përdorimi në mënyrë korrekte dhe të qëndrueshme i termave teknikë. </w:t>
      </w:r>
    </w:p>
    <w:p w14:paraId="0210B5B8" w14:textId="77777777" w:rsidR="00F052F6" w:rsidRPr="001004A8" w:rsidRDefault="00F052F6" w:rsidP="00F052F6">
      <w:pPr>
        <w:spacing w:after="0" w:line="240" w:lineRule="auto"/>
        <w:ind w:firstLine="284"/>
        <w:jc w:val="both"/>
        <w:rPr>
          <w:rFonts w:ascii="Garamond" w:hAnsi="Garamond"/>
          <w:sz w:val="14"/>
          <w:szCs w:val="24"/>
        </w:rPr>
      </w:pPr>
    </w:p>
    <w:tbl>
      <w:tblPr>
        <w:tblW w:w="8460" w:type="dxa"/>
        <w:tblInd w:w="182" w:type="dxa"/>
        <w:tblCellMar>
          <w:top w:w="7" w:type="dxa"/>
          <w:right w:w="56" w:type="dxa"/>
        </w:tblCellMar>
        <w:tblLook w:val="04A0" w:firstRow="1" w:lastRow="0" w:firstColumn="1" w:lastColumn="0" w:noHBand="0" w:noVBand="1"/>
      </w:tblPr>
      <w:tblGrid>
        <w:gridCol w:w="2123"/>
        <w:gridCol w:w="2226"/>
        <w:gridCol w:w="4111"/>
      </w:tblGrid>
      <w:tr w:rsidR="00F052F6" w:rsidRPr="003D5CE4" w14:paraId="0D0E1157" w14:textId="77777777" w:rsidTr="003464CC">
        <w:trPr>
          <w:trHeight w:val="52"/>
        </w:trPr>
        <w:tc>
          <w:tcPr>
            <w:tcW w:w="4349"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14:paraId="561805E5"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Shkalla e aftësisë së prokurorit</w:t>
            </w:r>
          </w:p>
        </w:tc>
        <w:tc>
          <w:tcPr>
            <w:tcW w:w="4111"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72A708EB"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Nr. i pikëve</w:t>
            </w:r>
          </w:p>
        </w:tc>
      </w:tr>
      <w:tr w:rsidR="00F052F6" w:rsidRPr="003D5CE4" w14:paraId="135CB2CE" w14:textId="77777777" w:rsidTr="003464CC">
        <w:trPr>
          <w:trHeight w:val="52"/>
        </w:trPr>
        <w:tc>
          <w:tcPr>
            <w:tcW w:w="2123" w:type="dxa"/>
            <w:tcBorders>
              <w:top w:val="single" w:sz="4" w:space="0" w:color="000000"/>
              <w:left w:val="single" w:sz="4" w:space="0" w:color="000000"/>
              <w:bottom w:val="single" w:sz="4" w:space="0" w:color="000000"/>
              <w:right w:val="nil"/>
            </w:tcBorders>
          </w:tcPr>
          <w:p w14:paraId="6FBBF4B8"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2226" w:type="dxa"/>
            <w:tcBorders>
              <w:top w:val="single" w:sz="4" w:space="0" w:color="000000"/>
              <w:left w:val="nil"/>
              <w:bottom w:val="single" w:sz="4" w:space="0" w:color="000000"/>
              <w:right w:val="single" w:sz="4" w:space="0" w:color="000000"/>
            </w:tcBorders>
            <w:vAlign w:val="center"/>
          </w:tcPr>
          <w:p w14:paraId="18A826F0" w14:textId="77777777" w:rsidR="00F052F6" w:rsidRPr="003D5CE4" w:rsidRDefault="00F052F6" w:rsidP="003464CC">
            <w:pPr>
              <w:spacing w:after="0" w:line="240" w:lineRule="auto"/>
              <w:jc w:val="both"/>
              <w:rPr>
                <w:rFonts w:ascii="Garamond" w:hAnsi="Garamond"/>
                <w:sz w:val="24"/>
                <w:szCs w:val="24"/>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05EA94D7"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w:t>
            </w:r>
          </w:p>
        </w:tc>
      </w:tr>
      <w:tr w:rsidR="00F052F6" w:rsidRPr="003D5CE4" w14:paraId="0BC8C736" w14:textId="77777777" w:rsidTr="003464CC">
        <w:trPr>
          <w:trHeight w:val="52"/>
        </w:trPr>
        <w:tc>
          <w:tcPr>
            <w:tcW w:w="2123" w:type="dxa"/>
            <w:tcBorders>
              <w:top w:val="single" w:sz="4" w:space="0" w:color="000000"/>
              <w:left w:val="single" w:sz="4" w:space="0" w:color="000000"/>
              <w:bottom w:val="single" w:sz="4" w:space="0" w:color="000000"/>
              <w:right w:val="nil"/>
            </w:tcBorders>
          </w:tcPr>
          <w:p w14:paraId="6644533D"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2226" w:type="dxa"/>
            <w:tcBorders>
              <w:top w:val="single" w:sz="4" w:space="0" w:color="000000"/>
              <w:left w:val="nil"/>
              <w:bottom w:val="single" w:sz="4" w:space="0" w:color="000000"/>
              <w:right w:val="single" w:sz="4" w:space="0" w:color="000000"/>
            </w:tcBorders>
            <w:vAlign w:val="center"/>
          </w:tcPr>
          <w:p w14:paraId="663A3329" w14:textId="77777777" w:rsidR="00F052F6" w:rsidRPr="003D5CE4" w:rsidRDefault="00F052F6" w:rsidP="003464CC">
            <w:pPr>
              <w:spacing w:after="0" w:line="240" w:lineRule="auto"/>
              <w:jc w:val="both"/>
              <w:rPr>
                <w:rFonts w:ascii="Garamond" w:hAnsi="Garamond"/>
                <w:sz w:val="24"/>
                <w:szCs w:val="24"/>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61C98A3A"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w:t>
            </w:r>
          </w:p>
        </w:tc>
      </w:tr>
      <w:tr w:rsidR="00F052F6" w:rsidRPr="003D5CE4" w14:paraId="7CE28282" w14:textId="77777777" w:rsidTr="003464CC">
        <w:trPr>
          <w:trHeight w:val="52"/>
        </w:trPr>
        <w:tc>
          <w:tcPr>
            <w:tcW w:w="2123" w:type="dxa"/>
            <w:tcBorders>
              <w:top w:val="single" w:sz="4" w:space="0" w:color="000000"/>
              <w:left w:val="single" w:sz="4" w:space="0" w:color="000000"/>
              <w:bottom w:val="single" w:sz="4" w:space="0" w:color="000000"/>
              <w:right w:val="nil"/>
            </w:tcBorders>
          </w:tcPr>
          <w:p w14:paraId="308F2AED"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2226" w:type="dxa"/>
            <w:tcBorders>
              <w:top w:val="single" w:sz="4" w:space="0" w:color="000000"/>
              <w:left w:val="nil"/>
              <w:bottom w:val="single" w:sz="4" w:space="0" w:color="000000"/>
              <w:right w:val="single" w:sz="4" w:space="0" w:color="000000"/>
            </w:tcBorders>
            <w:vAlign w:val="center"/>
          </w:tcPr>
          <w:p w14:paraId="7F6E846F" w14:textId="77777777" w:rsidR="00F052F6" w:rsidRPr="003D5CE4" w:rsidRDefault="00F052F6" w:rsidP="003464CC">
            <w:pPr>
              <w:spacing w:after="0" w:line="240" w:lineRule="auto"/>
              <w:jc w:val="both"/>
              <w:rPr>
                <w:rFonts w:ascii="Garamond" w:hAnsi="Garamond"/>
                <w:sz w:val="24"/>
                <w:szCs w:val="24"/>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4DDB9B52"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6</w:t>
            </w:r>
          </w:p>
        </w:tc>
      </w:tr>
      <w:tr w:rsidR="00F052F6" w:rsidRPr="003D5CE4" w14:paraId="47B1D926" w14:textId="77777777" w:rsidTr="003464CC">
        <w:trPr>
          <w:trHeight w:val="52"/>
        </w:trPr>
        <w:tc>
          <w:tcPr>
            <w:tcW w:w="2123" w:type="dxa"/>
            <w:tcBorders>
              <w:top w:val="single" w:sz="4" w:space="0" w:color="000000"/>
              <w:left w:val="single" w:sz="4" w:space="0" w:color="000000"/>
              <w:bottom w:val="single" w:sz="4" w:space="0" w:color="000000"/>
              <w:right w:val="nil"/>
            </w:tcBorders>
          </w:tcPr>
          <w:p w14:paraId="18B5C0BF"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2226" w:type="dxa"/>
            <w:tcBorders>
              <w:top w:val="single" w:sz="4" w:space="0" w:color="000000"/>
              <w:left w:val="nil"/>
              <w:bottom w:val="single" w:sz="4" w:space="0" w:color="000000"/>
              <w:right w:val="single" w:sz="4" w:space="0" w:color="000000"/>
            </w:tcBorders>
            <w:vAlign w:val="center"/>
          </w:tcPr>
          <w:p w14:paraId="0FB01B42" w14:textId="77777777" w:rsidR="00F052F6" w:rsidRPr="003D5CE4" w:rsidRDefault="00F052F6" w:rsidP="003464CC">
            <w:pPr>
              <w:spacing w:after="0" w:line="240" w:lineRule="auto"/>
              <w:jc w:val="both"/>
              <w:rPr>
                <w:rFonts w:ascii="Garamond" w:hAnsi="Garamond"/>
                <w:sz w:val="24"/>
                <w:szCs w:val="24"/>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72126B78"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8</w:t>
            </w:r>
          </w:p>
        </w:tc>
      </w:tr>
      <w:tr w:rsidR="00F052F6" w:rsidRPr="003D5CE4" w14:paraId="0889D155" w14:textId="77777777" w:rsidTr="003464CC">
        <w:trPr>
          <w:trHeight w:val="52"/>
        </w:trPr>
        <w:tc>
          <w:tcPr>
            <w:tcW w:w="2123" w:type="dxa"/>
            <w:tcBorders>
              <w:top w:val="single" w:sz="4" w:space="0" w:color="000000"/>
              <w:left w:val="single" w:sz="4" w:space="0" w:color="000000"/>
              <w:bottom w:val="single" w:sz="4" w:space="0" w:color="000000"/>
              <w:right w:val="nil"/>
            </w:tcBorders>
          </w:tcPr>
          <w:p w14:paraId="0CE458B4"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2226" w:type="dxa"/>
            <w:tcBorders>
              <w:top w:val="single" w:sz="4" w:space="0" w:color="000000"/>
              <w:left w:val="nil"/>
              <w:bottom w:val="single" w:sz="4" w:space="0" w:color="000000"/>
              <w:right w:val="single" w:sz="4" w:space="0" w:color="000000"/>
            </w:tcBorders>
            <w:vAlign w:val="center"/>
          </w:tcPr>
          <w:p w14:paraId="2F2BB953" w14:textId="77777777" w:rsidR="00F052F6" w:rsidRPr="003D5CE4" w:rsidRDefault="00F052F6" w:rsidP="003464CC">
            <w:pPr>
              <w:spacing w:after="0" w:line="240" w:lineRule="auto"/>
              <w:jc w:val="both"/>
              <w:rPr>
                <w:rFonts w:ascii="Garamond" w:hAnsi="Garamond"/>
                <w:sz w:val="24"/>
                <w:szCs w:val="24"/>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3B716704"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10</w:t>
            </w:r>
          </w:p>
        </w:tc>
      </w:tr>
    </w:tbl>
    <w:p w14:paraId="2A306B4B" w14:textId="77777777" w:rsidR="00F052F6" w:rsidRPr="00DC13E1" w:rsidRDefault="00F052F6" w:rsidP="00F052F6">
      <w:pPr>
        <w:spacing w:after="0" w:line="240" w:lineRule="auto"/>
        <w:ind w:firstLine="284"/>
        <w:jc w:val="both"/>
        <w:rPr>
          <w:rFonts w:ascii="Garamond" w:hAnsi="Garamond"/>
          <w:b/>
          <w:sz w:val="14"/>
          <w:szCs w:val="24"/>
        </w:rPr>
      </w:pPr>
      <w:r w:rsidRPr="003D5CE4">
        <w:rPr>
          <w:rFonts w:ascii="Garamond" w:hAnsi="Garamond"/>
          <w:b/>
          <w:sz w:val="24"/>
          <w:szCs w:val="24"/>
        </w:rPr>
        <w:t xml:space="preserve"> </w:t>
      </w:r>
    </w:p>
    <w:p w14:paraId="1E90E5AE" w14:textId="77777777" w:rsidR="00F052F6" w:rsidRPr="00DC13E1" w:rsidRDefault="00F052F6" w:rsidP="00F052F6">
      <w:pPr>
        <w:pStyle w:val="AAAAAAAAAAAAAAAAAATEEEEEXXX"/>
        <w:rPr>
          <w:b/>
          <w:szCs w:val="24"/>
        </w:rPr>
      </w:pPr>
      <w:r w:rsidRPr="00DC13E1">
        <w:rPr>
          <w:b/>
          <w:szCs w:val="24"/>
        </w:rPr>
        <w:t>b</w:t>
      </w:r>
      <w:r>
        <w:rPr>
          <w:b/>
          <w:szCs w:val="24"/>
        </w:rPr>
        <w:t>)</w:t>
      </w:r>
      <w:r w:rsidRPr="00DC13E1">
        <w:rPr>
          <w:b/>
          <w:szCs w:val="24"/>
        </w:rPr>
        <w:t xml:space="preserve"> Struktura e qëndrueshme dhe e mirorganizuar e akteve (10 pikë) </w:t>
      </w:r>
    </w:p>
    <w:p w14:paraId="37C7F7FD" w14:textId="77777777" w:rsidR="00F052F6" w:rsidRPr="00DB634E" w:rsidRDefault="00F052F6" w:rsidP="00F052F6">
      <w:pPr>
        <w:pStyle w:val="AAAAAAAAAAAAAAAAAATEEEEEXXX"/>
        <w:rPr>
          <w:color w:val="5B9BD5"/>
          <w:szCs w:val="24"/>
        </w:rPr>
      </w:pPr>
      <w:r w:rsidRPr="003D5CE4">
        <w:rPr>
          <w:szCs w:val="24"/>
        </w:rPr>
        <w:t>Si burim vlerësimi për këtë tregues shërbejnë dokumentet ligjore të dorëzuara nga prokurori, formularin e integruar të vlerësimit të prokurorit, si dhe në aktet e dosjeve të përzgjedhura me short</w:t>
      </w:r>
      <w:r w:rsidRPr="00DB634E">
        <w:rPr>
          <w:color w:val="5B9BD5"/>
          <w:szCs w:val="24"/>
        </w:rPr>
        <w:t xml:space="preserve">. </w:t>
      </w:r>
    </w:p>
    <w:p w14:paraId="0D816C18" w14:textId="77777777" w:rsidR="00F052F6" w:rsidRPr="003D5CE4" w:rsidRDefault="00F052F6" w:rsidP="00F052F6">
      <w:pPr>
        <w:pStyle w:val="AAAAAAAAAAAAAAAAAATEEEEEXXX"/>
        <w:rPr>
          <w:color w:val="auto"/>
          <w:szCs w:val="24"/>
        </w:rPr>
      </w:pPr>
      <w:r w:rsidRPr="003D5CE4">
        <w:rPr>
          <w:color w:val="auto"/>
          <w:szCs w:val="24"/>
        </w:rPr>
        <w:t xml:space="preserve">  Vlerësimi do të përqendrohet në elementët e mëposhtëm:</w:t>
      </w:r>
    </w:p>
    <w:p w14:paraId="391C9DA0"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ndjekja e një metodologjie të caktuar sipas pjesëve përbërëse të dokumentit ligjor, në funksion të orientimit të lexuesit dhe kuptueshmërisë së përmbajtjes së dokumentit. </w:t>
      </w:r>
    </w:p>
    <w:p w14:paraId="19D7D2DA"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struktura e qartë, e qëndrueshme dhe e mir</w:t>
      </w:r>
      <w:r>
        <w:rPr>
          <w:szCs w:val="24"/>
        </w:rPr>
        <w:t>o</w:t>
      </w:r>
      <w:r w:rsidRPr="003D5CE4">
        <w:rPr>
          <w:szCs w:val="24"/>
        </w:rPr>
        <w:t xml:space="preserve">rganizuar, e cila përmban: </w:t>
      </w:r>
    </w:p>
    <w:p w14:paraId="07C0B2DD" w14:textId="77777777" w:rsidR="00F052F6" w:rsidRPr="003D5CE4" w:rsidRDefault="00F052F6" w:rsidP="00F052F6">
      <w:pPr>
        <w:pStyle w:val="AAAAAAAAAAAAAAAAAATEEEEEXXX"/>
        <w:rPr>
          <w:color w:val="auto"/>
          <w:szCs w:val="24"/>
        </w:rPr>
      </w:pPr>
      <w:r w:rsidRPr="003D5CE4">
        <w:rPr>
          <w:color w:val="auto"/>
          <w:szCs w:val="24"/>
        </w:rPr>
        <w:t>- prezantimin e fakteve;</w:t>
      </w:r>
    </w:p>
    <w:p w14:paraId="069A8E92" w14:textId="77777777" w:rsidR="00F052F6" w:rsidRPr="003D5CE4" w:rsidRDefault="00F052F6" w:rsidP="00F052F6">
      <w:pPr>
        <w:pStyle w:val="AAAAAAAAAAAAAAAAAATEEEEEXXX"/>
        <w:rPr>
          <w:color w:val="auto"/>
          <w:szCs w:val="24"/>
        </w:rPr>
      </w:pPr>
      <w:r w:rsidRPr="003D5CE4">
        <w:rPr>
          <w:color w:val="auto"/>
          <w:szCs w:val="24"/>
        </w:rPr>
        <w:t>- identifikimin e dispozitave të zbatueshme të ligjit;</w:t>
      </w:r>
    </w:p>
    <w:p w14:paraId="725C390C" w14:textId="77777777" w:rsidR="00F052F6" w:rsidRPr="003D5CE4" w:rsidRDefault="00F052F6" w:rsidP="00F052F6">
      <w:pPr>
        <w:pStyle w:val="AAAAAAAAAAAAAAAAAATEEEEEXXX"/>
        <w:rPr>
          <w:color w:val="auto"/>
          <w:szCs w:val="24"/>
        </w:rPr>
      </w:pPr>
      <w:r w:rsidRPr="003D5CE4">
        <w:rPr>
          <w:color w:val="auto"/>
          <w:szCs w:val="24"/>
        </w:rPr>
        <w:t>- analizën ligjore të fakteve;</w:t>
      </w:r>
    </w:p>
    <w:p w14:paraId="57058289" w14:textId="77777777" w:rsidR="00F052F6" w:rsidRPr="003D5CE4" w:rsidRDefault="00F052F6" w:rsidP="00F052F6">
      <w:pPr>
        <w:pStyle w:val="AAAAAAAAAAAAAAAAAATEEEEEXXX"/>
        <w:rPr>
          <w:color w:val="auto"/>
          <w:szCs w:val="24"/>
        </w:rPr>
      </w:pPr>
      <w:r w:rsidRPr="003D5CE4">
        <w:rPr>
          <w:color w:val="auto"/>
          <w:szCs w:val="24"/>
        </w:rPr>
        <w:t>- përfundimet;</w:t>
      </w:r>
    </w:p>
    <w:p w14:paraId="096DA14F" w14:textId="77777777" w:rsidR="00F052F6" w:rsidRPr="003D5CE4" w:rsidRDefault="00F052F6" w:rsidP="00F052F6">
      <w:pPr>
        <w:pStyle w:val="AAAAAAAAAAAAAAAAAATEEEEEXXX"/>
        <w:rPr>
          <w:color w:val="auto"/>
          <w:szCs w:val="24"/>
        </w:rPr>
      </w:pPr>
      <w:r w:rsidRPr="003D5CE4">
        <w:rPr>
          <w:color w:val="auto"/>
          <w:szCs w:val="24"/>
        </w:rPr>
        <w:t xml:space="preserve">- dispozitivin </w:t>
      </w:r>
      <w:r w:rsidRPr="003D5CE4">
        <w:rPr>
          <w:szCs w:val="24"/>
        </w:rPr>
        <w:t>dhe mënyrën se si lidhen këta elementë me njëri tjetrin.</w:t>
      </w:r>
    </w:p>
    <w:p w14:paraId="4DD1F784" w14:textId="77777777" w:rsidR="00F052F6" w:rsidRPr="00DC13E1" w:rsidRDefault="00F052F6" w:rsidP="00F052F6">
      <w:pPr>
        <w:spacing w:after="0" w:line="240" w:lineRule="auto"/>
        <w:ind w:firstLine="284"/>
        <w:jc w:val="both"/>
        <w:rPr>
          <w:rFonts w:ascii="Garamond" w:hAnsi="Garamond"/>
          <w:sz w:val="14"/>
          <w:szCs w:val="24"/>
        </w:rPr>
      </w:pPr>
    </w:p>
    <w:tbl>
      <w:tblPr>
        <w:tblW w:w="8460" w:type="dxa"/>
        <w:tblInd w:w="182" w:type="dxa"/>
        <w:tblCellMar>
          <w:top w:w="7" w:type="dxa"/>
          <w:right w:w="56" w:type="dxa"/>
        </w:tblCellMar>
        <w:tblLook w:val="04A0" w:firstRow="1" w:lastRow="0" w:firstColumn="1" w:lastColumn="0" w:noHBand="0" w:noVBand="1"/>
      </w:tblPr>
      <w:tblGrid>
        <w:gridCol w:w="2123"/>
        <w:gridCol w:w="2226"/>
        <w:gridCol w:w="4111"/>
      </w:tblGrid>
      <w:tr w:rsidR="00F052F6" w:rsidRPr="003D5CE4" w14:paraId="45AC0D1A" w14:textId="77777777" w:rsidTr="003464CC">
        <w:trPr>
          <w:trHeight w:val="52"/>
        </w:trPr>
        <w:tc>
          <w:tcPr>
            <w:tcW w:w="4349"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14:paraId="0B11560D"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Shkalla e aftësisë së prokurorit</w:t>
            </w:r>
          </w:p>
        </w:tc>
        <w:tc>
          <w:tcPr>
            <w:tcW w:w="4111"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331EF50F"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Nr. i pikëve</w:t>
            </w:r>
          </w:p>
        </w:tc>
      </w:tr>
      <w:tr w:rsidR="00F052F6" w:rsidRPr="003D5CE4" w14:paraId="10185A0B" w14:textId="77777777" w:rsidTr="003464CC">
        <w:trPr>
          <w:trHeight w:val="52"/>
        </w:trPr>
        <w:tc>
          <w:tcPr>
            <w:tcW w:w="2123" w:type="dxa"/>
            <w:tcBorders>
              <w:top w:val="single" w:sz="4" w:space="0" w:color="000000"/>
              <w:left w:val="single" w:sz="4" w:space="0" w:color="000000"/>
              <w:bottom w:val="single" w:sz="4" w:space="0" w:color="000000"/>
              <w:right w:val="nil"/>
            </w:tcBorders>
          </w:tcPr>
          <w:p w14:paraId="747F7150"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2226" w:type="dxa"/>
            <w:tcBorders>
              <w:top w:val="single" w:sz="4" w:space="0" w:color="000000"/>
              <w:left w:val="nil"/>
              <w:bottom w:val="single" w:sz="4" w:space="0" w:color="000000"/>
              <w:right w:val="single" w:sz="4" w:space="0" w:color="000000"/>
            </w:tcBorders>
            <w:vAlign w:val="center"/>
          </w:tcPr>
          <w:p w14:paraId="582B0638" w14:textId="77777777" w:rsidR="00F052F6" w:rsidRPr="003D5CE4" w:rsidRDefault="00F052F6" w:rsidP="003464CC">
            <w:pPr>
              <w:spacing w:after="0" w:line="240" w:lineRule="auto"/>
              <w:jc w:val="both"/>
              <w:rPr>
                <w:rFonts w:ascii="Garamond" w:hAnsi="Garamond"/>
                <w:sz w:val="24"/>
                <w:szCs w:val="24"/>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059A6B70"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w:t>
            </w:r>
          </w:p>
        </w:tc>
      </w:tr>
      <w:tr w:rsidR="00F052F6" w:rsidRPr="003D5CE4" w14:paraId="17B80374" w14:textId="77777777" w:rsidTr="003464CC">
        <w:trPr>
          <w:trHeight w:val="52"/>
        </w:trPr>
        <w:tc>
          <w:tcPr>
            <w:tcW w:w="2123" w:type="dxa"/>
            <w:tcBorders>
              <w:top w:val="single" w:sz="4" w:space="0" w:color="000000"/>
              <w:left w:val="single" w:sz="4" w:space="0" w:color="000000"/>
              <w:bottom w:val="single" w:sz="4" w:space="0" w:color="000000"/>
              <w:right w:val="nil"/>
            </w:tcBorders>
          </w:tcPr>
          <w:p w14:paraId="11430DDF"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2226" w:type="dxa"/>
            <w:tcBorders>
              <w:top w:val="single" w:sz="4" w:space="0" w:color="000000"/>
              <w:left w:val="nil"/>
              <w:bottom w:val="single" w:sz="4" w:space="0" w:color="000000"/>
              <w:right w:val="single" w:sz="4" w:space="0" w:color="000000"/>
            </w:tcBorders>
            <w:vAlign w:val="center"/>
          </w:tcPr>
          <w:p w14:paraId="5477EE7D" w14:textId="77777777" w:rsidR="00F052F6" w:rsidRPr="003D5CE4" w:rsidRDefault="00F052F6" w:rsidP="003464CC">
            <w:pPr>
              <w:spacing w:after="0" w:line="240" w:lineRule="auto"/>
              <w:jc w:val="both"/>
              <w:rPr>
                <w:rFonts w:ascii="Garamond" w:hAnsi="Garamond"/>
                <w:sz w:val="24"/>
                <w:szCs w:val="24"/>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18052062"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w:t>
            </w:r>
          </w:p>
        </w:tc>
      </w:tr>
      <w:tr w:rsidR="00F052F6" w:rsidRPr="003D5CE4" w14:paraId="747012DE" w14:textId="77777777" w:rsidTr="003464CC">
        <w:trPr>
          <w:trHeight w:val="52"/>
        </w:trPr>
        <w:tc>
          <w:tcPr>
            <w:tcW w:w="2123" w:type="dxa"/>
            <w:tcBorders>
              <w:top w:val="single" w:sz="4" w:space="0" w:color="000000"/>
              <w:left w:val="single" w:sz="4" w:space="0" w:color="000000"/>
              <w:bottom w:val="single" w:sz="4" w:space="0" w:color="000000"/>
              <w:right w:val="nil"/>
            </w:tcBorders>
          </w:tcPr>
          <w:p w14:paraId="0969474B"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2226" w:type="dxa"/>
            <w:tcBorders>
              <w:top w:val="single" w:sz="4" w:space="0" w:color="000000"/>
              <w:left w:val="nil"/>
              <w:bottom w:val="single" w:sz="4" w:space="0" w:color="000000"/>
              <w:right w:val="single" w:sz="4" w:space="0" w:color="000000"/>
            </w:tcBorders>
            <w:vAlign w:val="center"/>
          </w:tcPr>
          <w:p w14:paraId="26E0CD08" w14:textId="77777777" w:rsidR="00F052F6" w:rsidRPr="003D5CE4" w:rsidRDefault="00F052F6" w:rsidP="003464CC">
            <w:pPr>
              <w:spacing w:after="0" w:line="240" w:lineRule="auto"/>
              <w:jc w:val="both"/>
              <w:rPr>
                <w:rFonts w:ascii="Garamond" w:hAnsi="Garamond"/>
                <w:sz w:val="24"/>
                <w:szCs w:val="24"/>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19267C02"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6</w:t>
            </w:r>
          </w:p>
        </w:tc>
      </w:tr>
      <w:tr w:rsidR="00F052F6" w:rsidRPr="003D5CE4" w14:paraId="01687B09" w14:textId="77777777" w:rsidTr="003464CC">
        <w:trPr>
          <w:trHeight w:val="52"/>
        </w:trPr>
        <w:tc>
          <w:tcPr>
            <w:tcW w:w="2123" w:type="dxa"/>
            <w:tcBorders>
              <w:top w:val="single" w:sz="4" w:space="0" w:color="000000"/>
              <w:left w:val="single" w:sz="4" w:space="0" w:color="000000"/>
              <w:bottom w:val="single" w:sz="4" w:space="0" w:color="000000"/>
              <w:right w:val="nil"/>
            </w:tcBorders>
          </w:tcPr>
          <w:p w14:paraId="0A90CD0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2226" w:type="dxa"/>
            <w:tcBorders>
              <w:top w:val="single" w:sz="4" w:space="0" w:color="000000"/>
              <w:left w:val="nil"/>
              <w:bottom w:val="single" w:sz="4" w:space="0" w:color="000000"/>
              <w:right w:val="single" w:sz="4" w:space="0" w:color="000000"/>
            </w:tcBorders>
            <w:vAlign w:val="center"/>
          </w:tcPr>
          <w:p w14:paraId="7017560B" w14:textId="77777777" w:rsidR="00F052F6" w:rsidRPr="003D5CE4" w:rsidRDefault="00F052F6" w:rsidP="003464CC">
            <w:pPr>
              <w:spacing w:after="0" w:line="240" w:lineRule="auto"/>
              <w:jc w:val="both"/>
              <w:rPr>
                <w:rFonts w:ascii="Garamond" w:hAnsi="Garamond"/>
                <w:sz w:val="24"/>
                <w:szCs w:val="24"/>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4A4CDA88"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8</w:t>
            </w:r>
          </w:p>
        </w:tc>
      </w:tr>
      <w:tr w:rsidR="00F052F6" w:rsidRPr="003D5CE4" w14:paraId="3F3DE02D" w14:textId="77777777" w:rsidTr="003464CC">
        <w:trPr>
          <w:trHeight w:val="52"/>
        </w:trPr>
        <w:tc>
          <w:tcPr>
            <w:tcW w:w="2123" w:type="dxa"/>
            <w:tcBorders>
              <w:top w:val="single" w:sz="4" w:space="0" w:color="000000"/>
              <w:left w:val="single" w:sz="4" w:space="0" w:color="000000"/>
              <w:bottom w:val="single" w:sz="4" w:space="0" w:color="000000"/>
              <w:right w:val="nil"/>
            </w:tcBorders>
          </w:tcPr>
          <w:p w14:paraId="2044C3C4"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2226" w:type="dxa"/>
            <w:tcBorders>
              <w:top w:val="single" w:sz="4" w:space="0" w:color="000000"/>
              <w:left w:val="nil"/>
              <w:bottom w:val="single" w:sz="4" w:space="0" w:color="000000"/>
              <w:right w:val="single" w:sz="4" w:space="0" w:color="000000"/>
            </w:tcBorders>
            <w:vAlign w:val="center"/>
          </w:tcPr>
          <w:p w14:paraId="0916F23A" w14:textId="77777777" w:rsidR="00F052F6" w:rsidRPr="003D5CE4" w:rsidRDefault="00F052F6" w:rsidP="003464CC">
            <w:pPr>
              <w:spacing w:after="0" w:line="240" w:lineRule="auto"/>
              <w:jc w:val="both"/>
              <w:rPr>
                <w:rFonts w:ascii="Garamond" w:hAnsi="Garamond"/>
                <w:sz w:val="24"/>
                <w:szCs w:val="24"/>
              </w:rPr>
            </w:pPr>
          </w:p>
        </w:tc>
        <w:tc>
          <w:tcPr>
            <w:tcW w:w="4111" w:type="dxa"/>
            <w:tcBorders>
              <w:top w:val="single" w:sz="4" w:space="0" w:color="000000"/>
              <w:left w:val="single" w:sz="4" w:space="0" w:color="000000"/>
              <w:bottom w:val="single" w:sz="4" w:space="0" w:color="000000"/>
              <w:right w:val="single" w:sz="4" w:space="0" w:color="000000"/>
            </w:tcBorders>
            <w:vAlign w:val="center"/>
          </w:tcPr>
          <w:p w14:paraId="505746A4"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10</w:t>
            </w:r>
          </w:p>
        </w:tc>
      </w:tr>
    </w:tbl>
    <w:p w14:paraId="43CDF15E" w14:textId="77777777" w:rsidR="00F052F6" w:rsidRPr="00DC13E1" w:rsidRDefault="00F052F6" w:rsidP="00F052F6">
      <w:pPr>
        <w:spacing w:after="0" w:line="240" w:lineRule="auto"/>
        <w:ind w:firstLine="284"/>
        <w:jc w:val="both"/>
        <w:rPr>
          <w:rFonts w:ascii="Garamond" w:hAnsi="Garamond"/>
          <w:sz w:val="14"/>
          <w:szCs w:val="24"/>
        </w:rPr>
      </w:pPr>
    </w:p>
    <w:p w14:paraId="4EB186E1" w14:textId="77777777" w:rsidR="00F052F6" w:rsidRPr="003D5CE4" w:rsidRDefault="00F052F6" w:rsidP="00F052F6">
      <w:pPr>
        <w:pStyle w:val="AAAAAAAAAAAAAAAAAATEEEEEXXX"/>
        <w:rPr>
          <w:b/>
          <w:szCs w:val="24"/>
        </w:rPr>
      </w:pPr>
      <w:r w:rsidRPr="003D5CE4">
        <w:rPr>
          <w:b/>
          <w:szCs w:val="24"/>
        </w:rPr>
        <w:t>c</w:t>
      </w:r>
      <w:r>
        <w:rPr>
          <w:b/>
          <w:szCs w:val="24"/>
        </w:rPr>
        <w:t>)</w:t>
      </w:r>
      <w:r w:rsidRPr="003D5CE4">
        <w:rPr>
          <w:b/>
          <w:szCs w:val="24"/>
        </w:rPr>
        <w:t xml:space="preserve"> Aftësia për të marrë në pyetje (10 pikë) </w:t>
      </w:r>
    </w:p>
    <w:p w14:paraId="0B903684" w14:textId="77777777" w:rsidR="00F052F6" w:rsidRPr="00DB634E" w:rsidRDefault="00F052F6" w:rsidP="00F052F6">
      <w:pPr>
        <w:pStyle w:val="AAAAAAAAAAAAAAAAAATEEEEEXXX"/>
        <w:rPr>
          <w:color w:val="5B9BD5"/>
          <w:szCs w:val="24"/>
        </w:rPr>
      </w:pPr>
      <w:r w:rsidRPr="003D5CE4">
        <w:rPr>
          <w:szCs w:val="24"/>
        </w:rPr>
        <w:t xml:space="preserve">Për të pikëzuar këtë tregues, vlerësuesi përqendrohet në dokumentet ligjore të dorëzuara nga prokurori, formularin e integruar të vlerësimit të prokurorit, si dhe në aktet e dosjeve të përzgjedhura me short (procesverbalet e mbajtura gjatë hetimit ose materialet audio të seancave gjyqësore), në të cilat evidentohen, për aq sa është e mundur, aktet ku prokurori ka proceduar me pyetjen e të arrestuarit, personit nën hetim, të pandehurit, viktimës, personit që ka dijeni për rrethanat e hetimit apo dëshmitarit. </w:t>
      </w:r>
    </w:p>
    <w:p w14:paraId="36881216" w14:textId="77777777" w:rsidR="00F052F6" w:rsidRPr="003D5CE4" w:rsidRDefault="00F052F6" w:rsidP="00F052F6">
      <w:pPr>
        <w:pStyle w:val="AAAAAAAAAAAAAAAAAATEEEEEXXX"/>
        <w:rPr>
          <w:color w:val="auto"/>
          <w:szCs w:val="24"/>
        </w:rPr>
      </w:pPr>
      <w:r w:rsidRPr="003D5CE4">
        <w:rPr>
          <w:color w:val="auto"/>
          <w:szCs w:val="24"/>
        </w:rPr>
        <w:t>Vlerësimi do të përqendrohet në elementët e mëposhtëm:</w:t>
      </w:r>
    </w:p>
    <w:p w14:paraId="1D2AAF4F"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aftësia e prokurorit për të bërë pyetjet e duhura, të cilat lidhen me objektin e hetimit;</w:t>
      </w:r>
    </w:p>
    <w:p w14:paraId="099430F6"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mënyra e ndërtimit  të pyetjeve, qartësia dhe saktësia e tyre;</w:t>
      </w:r>
    </w:p>
    <w:p w14:paraId="1526F6E1"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garantimi dhe respektimi i të drejtave që jep ligji, për personin që  merret në pyetje;</w:t>
      </w:r>
    </w:p>
    <w:p w14:paraId="12D9E158" w14:textId="77777777" w:rsidR="00F052F6" w:rsidRPr="003D5CE4" w:rsidRDefault="00F052F6" w:rsidP="00F052F6">
      <w:pPr>
        <w:pStyle w:val="AAAAAAAAAAAAAAAAAATEEEEEXXX"/>
        <w:rPr>
          <w:color w:val="auto"/>
          <w:szCs w:val="24"/>
        </w:rPr>
      </w:pPr>
      <w:r w:rsidRPr="003D5CE4">
        <w:rPr>
          <w:color w:val="auto"/>
          <w:szCs w:val="24"/>
        </w:rPr>
        <w:t>- në rastin e prokurorit të ekzekutimeve, në mungesë të akteve që dokumentojnë aftësinë e marrjes në pyetje të prokurorit, për të vlerësuar këtë kriter  do të shërbejnë aftësitë e prokurorit për të administruar të dhëna e nevojshme, për plotësimin e praktikës dhe mbështetjen e objektit të çështjes.</w:t>
      </w:r>
    </w:p>
    <w:p w14:paraId="4BA6AB02" w14:textId="77777777" w:rsidR="00F052F6" w:rsidRPr="00784A01" w:rsidRDefault="00F052F6" w:rsidP="00F052F6">
      <w:pPr>
        <w:spacing w:after="0" w:line="240" w:lineRule="auto"/>
        <w:ind w:firstLine="284"/>
        <w:jc w:val="both"/>
        <w:rPr>
          <w:rFonts w:ascii="Garamond" w:hAnsi="Garamond"/>
          <w:sz w:val="14"/>
          <w:szCs w:val="24"/>
        </w:rPr>
      </w:pPr>
    </w:p>
    <w:tbl>
      <w:tblPr>
        <w:tblW w:w="8177" w:type="dxa"/>
        <w:tblInd w:w="182" w:type="dxa"/>
        <w:tblCellMar>
          <w:top w:w="7" w:type="dxa"/>
          <w:right w:w="56" w:type="dxa"/>
        </w:tblCellMar>
        <w:tblLook w:val="04A0" w:firstRow="1" w:lastRow="0" w:firstColumn="1" w:lastColumn="0" w:noHBand="0" w:noVBand="1"/>
      </w:tblPr>
      <w:tblGrid>
        <w:gridCol w:w="2039"/>
        <w:gridCol w:w="3827"/>
        <w:gridCol w:w="2311"/>
      </w:tblGrid>
      <w:tr w:rsidR="00F052F6" w:rsidRPr="003D5CE4" w14:paraId="64C59A6A" w14:textId="77777777" w:rsidTr="003464CC">
        <w:trPr>
          <w:trHeight w:val="46"/>
        </w:trPr>
        <w:tc>
          <w:tcPr>
            <w:tcW w:w="5866"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14:paraId="53FB54DA"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 </w:t>
            </w:r>
            <w:r w:rsidRPr="003D5CE4">
              <w:rPr>
                <w:rFonts w:ascii="Garamond" w:hAnsi="Garamond"/>
                <w:b/>
                <w:sz w:val="24"/>
                <w:szCs w:val="24"/>
              </w:rPr>
              <w:t xml:space="preserve">Shkalla e aftësisë së  prokurorit  </w:t>
            </w:r>
          </w:p>
        </w:tc>
        <w:tc>
          <w:tcPr>
            <w:tcW w:w="2311"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6BF302F6"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Nr. i pikëve</w:t>
            </w:r>
          </w:p>
        </w:tc>
      </w:tr>
      <w:tr w:rsidR="00F052F6" w:rsidRPr="003D5CE4" w14:paraId="500D131E" w14:textId="77777777" w:rsidTr="003464CC">
        <w:trPr>
          <w:trHeight w:val="46"/>
        </w:trPr>
        <w:tc>
          <w:tcPr>
            <w:tcW w:w="2039" w:type="dxa"/>
            <w:tcBorders>
              <w:top w:val="single" w:sz="4" w:space="0" w:color="000000"/>
              <w:left w:val="single" w:sz="4" w:space="0" w:color="000000"/>
              <w:bottom w:val="single" w:sz="4" w:space="0" w:color="000000"/>
              <w:right w:val="nil"/>
            </w:tcBorders>
          </w:tcPr>
          <w:p w14:paraId="0BC1C8E0"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3827" w:type="dxa"/>
            <w:tcBorders>
              <w:top w:val="single" w:sz="4" w:space="0" w:color="000000"/>
              <w:left w:val="nil"/>
              <w:bottom w:val="single" w:sz="4" w:space="0" w:color="000000"/>
              <w:right w:val="single" w:sz="4" w:space="0" w:color="000000"/>
            </w:tcBorders>
          </w:tcPr>
          <w:p w14:paraId="2443F039" w14:textId="77777777" w:rsidR="00F052F6" w:rsidRPr="003D5CE4" w:rsidRDefault="00F052F6" w:rsidP="003464CC">
            <w:pPr>
              <w:spacing w:after="0" w:line="240" w:lineRule="auto"/>
              <w:jc w:val="both"/>
              <w:rPr>
                <w:rFonts w:ascii="Garamond" w:hAnsi="Garamond"/>
                <w:sz w:val="24"/>
                <w:szCs w:val="24"/>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5D63930C"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w:t>
            </w:r>
          </w:p>
        </w:tc>
      </w:tr>
      <w:tr w:rsidR="00F052F6" w:rsidRPr="003D5CE4" w14:paraId="4ECE107C" w14:textId="77777777" w:rsidTr="003464CC">
        <w:trPr>
          <w:trHeight w:val="46"/>
        </w:trPr>
        <w:tc>
          <w:tcPr>
            <w:tcW w:w="2039" w:type="dxa"/>
            <w:tcBorders>
              <w:top w:val="single" w:sz="4" w:space="0" w:color="000000"/>
              <w:left w:val="single" w:sz="4" w:space="0" w:color="000000"/>
              <w:bottom w:val="single" w:sz="4" w:space="0" w:color="000000"/>
              <w:right w:val="nil"/>
            </w:tcBorders>
          </w:tcPr>
          <w:p w14:paraId="20A344FC"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3827" w:type="dxa"/>
            <w:tcBorders>
              <w:top w:val="single" w:sz="4" w:space="0" w:color="000000"/>
              <w:left w:val="nil"/>
              <w:bottom w:val="single" w:sz="4" w:space="0" w:color="000000"/>
              <w:right w:val="single" w:sz="4" w:space="0" w:color="000000"/>
            </w:tcBorders>
          </w:tcPr>
          <w:p w14:paraId="329A3E48" w14:textId="77777777" w:rsidR="00F052F6" w:rsidRPr="003D5CE4" w:rsidRDefault="00F052F6" w:rsidP="003464CC">
            <w:pPr>
              <w:spacing w:after="0" w:line="240" w:lineRule="auto"/>
              <w:jc w:val="both"/>
              <w:rPr>
                <w:rFonts w:ascii="Garamond" w:hAnsi="Garamond"/>
                <w:sz w:val="24"/>
                <w:szCs w:val="24"/>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6254159D"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w:t>
            </w:r>
          </w:p>
        </w:tc>
      </w:tr>
      <w:tr w:rsidR="00F052F6" w:rsidRPr="003D5CE4" w14:paraId="11C90388" w14:textId="77777777" w:rsidTr="003464CC">
        <w:trPr>
          <w:trHeight w:val="46"/>
        </w:trPr>
        <w:tc>
          <w:tcPr>
            <w:tcW w:w="2039" w:type="dxa"/>
            <w:tcBorders>
              <w:top w:val="single" w:sz="4" w:space="0" w:color="000000"/>
              <w:left w:val="single" w:sz="4" w:space="0" w:color="000000"/>
              <w:bottom w:val="single" w:sz="4" w:space="0" w:color="000000"/>
              <w:right w:val="nil"/>
            </w:tcBorders>
          </w:tcPr>
          <w:p w14:paraId="525B46D4"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3827" w:type="dxa"/>
            <w:tcBorders>
              <w:top w:val="single" w:sz="4" w:space="0" w:color="000000"/>
              <w:left w:val="nil"/>
              <w:bottom w:val="single" w:sz="4" w:space="0" w:color="000000"/>
              <w:right w:val="single" w:sz="4" w:space="0" w:color="000000"/>
            </w:tcBorders>
          </w:tcPr>
          <w:p w14:paraId="12B90E6E" w14:textId="77777777" w:rsidR="00F052F6" w:rsidRPr="003D5CE4" w:rsidRDefault="00F052F6" w:rsidP="003464CC">
            <w:pPr>
              <w:spacing w:after="0" w:line="240" w:lineRule="auto"/>
              <w:jc w:val="both"/>
              <w:rPr>
                <w:rFonts w:ascii="Garamond" w:hAnsi="Garamond"/>
                <w:sz w:val="24"/>
                <w:szCs w:val="24"/>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606B5C83"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6</w:t>
            </w:r>
          </w:p>
        </w:tc>
      </w:tr>
      <w:tr w:rsidR="00F052F6" w:rsidRPr="003D5CE4" w14:paraId="24D1FCF4" w14:textId="77777777" w:rsidTr="003464CC">
        <w:trPr>
          <w:trHeight w:val="46"/>
        </w:trPr>
        <w:tc>
          <w:tcPr>
            <w:tcW w:w="2039" w:type="dxa"/>
            <w:tcBorders>
              <w:top w:val="single" w:sz="4" w:space="0" w:color="000000"/>
              <w:left w:val="single" w:sz="4" w:space="0" w:color="000000"/>
              <w:bottom w:val="single" w:sz="4" w:space="0" w:color="000000"/>
              <w:right w:val="nil"/>
            </w:tcBorders>
          </w:tcPr>
          <w:p w14:paraId="67992822"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3827" w:type="dxa"/>
            <w:tcBorders>
              <w:top w:val="single" w:sz="4" w:space="0" w:color="000000"/>
              <w:left w:val="nil"/>
              <w:bottom w:val="single" w:sz="4" w:space="0" w:color="000000"/>
              <w:right w:val="single" w:sz="4" w:space="0" w:color="000000"/>
            </w:tcBorders>
          </w:tcPr>
          <w:p w14:paraId="79A5953D" w14:textId="77777777" w:rsidR="00F052F6" w:rsidRPr="003D5CE4" w:rsidRDefault="00F052F6" w:rsidP="003464CC">
            <w:pPr>
              <w:spacing w:after="0" w:line="240" w:lineRule="auto"/>
              <w:jc w:val="both"/>
              <w:rPr>
                <w:rFonts w:ascii="Garamond" w:hAnsi="Garamond"/>
                <w:sz w:val="24"/>
                <w:szCs w:val="24"/>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605B2CC9"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8</w:t>
            </w:r>
          </w:p>
        </w:tc>
      </w:tr>
      <w:tr w:rsidR="00F052F6" w:rsidRPr="003D5CE4" w14:paraId="1E9C9629" w14:textId="77777777" w:rsidTr="003464CC">
        <w:trPr>
          <w:trHeight w:val="46"/>
        </w:trPr>
        <w:tc>
          <w:tcPr>
            <w:tcW w:w="2039" w:type="dxa"/>
            <w:tcBorders>
              <w:top w:val="single" w:sz="4" w:space="0" w:color="000000"/>
              <w:left w:val="single" w:sz="4" w:space="0" w:color="000000"/>
              <w:bottom w:val="single" w:sz="4" w:space="0" w:color="000000"/>
              <w:right w:val="nil"/>
            </w:tcBorders>
          </w:tcPr>
          <w:p w14:paraId="26E1DFA1"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3827" w:type="dxa"/>
            <w:tcBorders>
              <w:top w:val="single" w:sz="4" w:space="0" w:color="000000"/>
              <w:left w:val="nil"/>
              <w:bottom w:val="single" w:sz="4" w:space="0" w:color="000000"/>
              <w:right w:val="single" w:sz="4" w:space="0" w:color="000000"/>
            </w:tcBorders>
          </w:tcPr>
          <w:p w14:paraId="424CE5CD" w14:textId="77777777" w:rsidR="00F052F6" w:rsidRPr="003D5CE4" w:rsidRDefault="00F052F6" w:rsidP="003464CC">
            <w:pPr>
              <w:spacing w:after="0" w:line="240" w:lineRule="auto"/>
              <w:jc w:val="both"/>
              <w:rPr>
                <w:rFonts w:ascii="Garamond" w:hAnsi="Garamond"/>
                <w:sz w:val="24"/>
                <w:szCs w:val="24"/>
              </w:rPr>
            </w:pPr>
          </w:p>
        </w:tc>
        <w:tc>
          <w:tcPr>
            <w:tcW w:w="2311" w:type="dxa"/>
            <w:tcBorders>
              <w:top w:val="single" w:sz="4" w:space="0" w:color="000000"/>
              <w:left w:val="single" w:sz="4" w:space="0" w:color="000000"/>
              <w:bottom w:val="single" w:sz="4" w:space="0" w:color="000000"/>
              <w:right w:val="single" w:sz="4" w:space="0" w:color="000000"/>
            </w:tcBorders>
            <w:vAlign w:val="center"/>
          </w:tcPr>
          <w:p w14:paraId="1B18B9CC"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10</w:t>
            </w:r>
          </w:p>
        </w:tc>
      </w:tr>
    </w:tbl>
    <w:p w14:paraId="78396E92" w14:textId="77777777" w:rsidR="00F052F6" w:rsidRPr="00381715" w:rsidRDefault="00F052F6" w:rsidP="00F052F6">
      <w:pPr>
        <w:spacing w:after="0" w:line="240" w:lineRule="auto"/>
        <w:ind w:firstLine="284"/>
        <w:jc w:val="both"/>
        <w:rPr>
          <w:rFonts w:ascii="Garamond" w:hAnsi="Garamond"/>
          <w:sz w:val="14"/>
          <w:szCs w:val="24"/>
        </w:rPr>
      </w:pPr>
    </w:p>
    <w:p w14:paraId="4E53C269" w14:textId="77777777" w:rsidR="00F052F6" w:rsidRPr="003D5CE4" w:rsidRDefault="00F052F6" w:rsidP="00F052F6">
      <w:pPr>
        <w:pStyle w:val="AAAAAAAAAAAAAAAAAATEEEEEXXX"/>
        <w:rPr>
          <w:szCs w:val="24"/>
        </w:rPr>
      </w:pPr>
      <w:r w:rsidRPr="002431E1">
        <w:rPr>
          <w:b/>
          <w:szCs w:val="24"/>
        </w:rPr>
        <w:t>ç</w:t>
      </w:r>
      <w:r>
        <w:rPr>
          <w:b/>
          <w:szCs w:val="24"/>
        </w:rPr>
        <w:t>)</w:t>
      </w:r>
      <w:r w:rsidRPr="002431E1">
        <w:rPr>
          <w:b/>
          <w:szCs w:val="24"/>
        </w:rPr>
        <w:t xml:space="preserve"> Cilësia e analizës dhe argumentimit logjik (20 pikë) </w:t>
      </w:r>
    </w:p>
    <w:p w14:paraId="7E561B38" w14:textId="77777777" w:rsidR="00F052F6" w:rsidRPr="003D5CE4" w:rsidRDefault="00F052F6" w:rsidP="00F052F6">
      <w:pPr>
        <w:pStyle w:val="AAAAAAAAAAAAAAAAAATEEEEEXXX"/>
        <w:rPr>
          <w:color w:val="FF0000"/>
          <w:szCs w:val="24"/>
        </w:rPr>
      </w:pPr>
      <w:r w:rsidRPr="003D5CE4">
        <w:rPr>
          <w:szCs w:val="24"/>
        </w:rPr>
        <w:t>Për të pikëzuar këtë tregues, vlerësuesi përqendrohet në dokumentet ligjore të dorëzuara nga prokurori, në aktet e dosjeve të përzgjedhura me short dhe në formularin e integruar të vlerësimit të prokurorit, ku vlerësohet cilësia e analizës mbi bazën e një zhvillimi logjik të koncepteve ligjore.</w:t>
      </w:r>
    </w:p>
    <w:p w14:paraId="485F34D2" w14:textId="77777777" w:rsidR="00F052F6" w:rsidRPr="003D5CE4" w:rsidRDefault="00F052F6" w:rsidP="00F052F6">
      <w:pPr>
        <w:pStyle w:val="AAAAAAAAAAAAAAAAAATEEEEEXXX"/>
        <w:rPr>
          <w:color w:val="auto"/>
          <w:szCs w:val="24"/>
        </w:rPr>
      </w:pPr>
      <w:r w:rsidRPr="003D5CE4">
        <w:rPr>
          <w:color w:val="auto"/>
          <w:szCs w:val="24"/>
        </w:rPr>
        <w:t>Vlerësimi do të përqendrohet në elementët e mëposhtëm:</w:t>
      </w:r>
    </w:p>
    <w:p w14:paraId="077A3156"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aftësia e prokurorit për të identifikuar marrëdhëniet shkak-pasojë ndërmjet faktit penal, provave të mbledhura  dhe dispozitave ligjore;</w:t>
      </w:r>
    </w:p>
    <w:p w14:paraId="75C369EF"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aftësia për të analizuar se si konceptet, institutet dhe dispozitat lidhen midis tyre, ose se si ato zbatohen në një situatë të caktuar; </w:t>
      </w:r>
    </w:p>
    <w:p w14:paraId="64C3F0C8"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nëse niveli i arsyetimit plotëson standardin e procesit të rregullt ligjor;</w:t>
      </w:r>
    </w:p>
    <w:p w14:paraId="4BF90558" w14:textId="77777777" w:rsidR="00F052F6" w:rsidRPr="003D5CE4" w:rsidRDefault="00F052F6" w:rsidP="00F052F6">
      <w:pPr>
        <w:pStyle w:val="AAAAAAAAAAAAAAAAAATEEEEEXXX"/>
        <w:rPr>
          <w:color w:val="auto"/>
          <w:szCs w:val="24"/>
        </w:rPr>
      </w:pPr>
      <w:r w:rsidRPr="003D5CE4">
        <w:rPr>
          <w:color w:val="auto"/>
          <w:szCs w:val="24"/>
        </w:rPr>
        <w:t xml:space="preserve">- </w:t>
      </w:r>
      <w:r w:rsidRPr="003D5CE4">
        <w:rPr>
          <w:szCs w:val="24"/>
        </w:rPr>
        <w:t xml:space="preserve">nëse përmbajtja është gjithëpërfshirëse, duke u dhënë përgjigje të gjitha fakteve </w:t>
      </w:r>
      <w:r w:rsidRPr="003D5CE4">
        <w:rPr>
          <w:color w:val="auto"/>
          <w:szCs w:val="24"/>
        </w:rPr>
        <w:t>të pretenduara (të argumentuara) apo të evidentuara gjatë hetimit.</w:t>
      </w:r>
    </w:p>
    <w:p w14:paraId="2B4ECEE5" w14:textId="77777777" w:rsidR="00F052F6" w:rsidRPr="00381715" w:rsidRDefault="00F052F6" w:rsidP="00F052F6">
      <w:pPr>
        <w:pStyle w:val="AAAAAAAAAAAAAAAAAATEEEEEXXX"/>
        <w:rPr>
          <w:sz w:val="14"/>
          <w:szCs w:val="24"/>
        </w:rPr>
      </w:pPr>
      <w:r w:rsidRPr="003D5CE4">
        <w:rPr>
          <w:szCs w:val="24"/>
        </w:rPr>
        <w:t xml:space="preserve"> </w:t>
      </w:r>
    </w:p>
    <w:tbl>
      <w:tblPr>
        <w:tblW w:w="8177" w:type="dxa"/>
        <w:tblInd w:w="182" w:type="dxa"/>
        <w:tblCellMar>
          <w:top w:w="7" w:type="dxa"/>
          <w:right w:w="56" w:type="dxa"/>
        </w:tblCellMar>
        <w:tblLook w:val="04A0" w:firstRow="1" w:lastRow="0" w:firstColumn="1" w:lastColumn="0" w:noHBand="0" w:noVBand="1"/>
      </w:tblPr>
      <w:tblGrid>
        <w:gridCol w:w="2039"/>
        <w:gridCol w:w="2452"/>
        <w:gridCol w:w="3686"/>
      </w:tblGrid>
      <w:tr w:rsidR="00F052F6" w:rsidRPr="003D5CE4" w14:paraId="49E06967" w14:textId="77777777" w:rsidTr="003464CC">
        <w:trPr>
          <w:trHeight w:val="52"/>
        </w:trPr>
        <w:tc>
          <w:tcPr>
            <w:tcW w:w="4491"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14:paraId="0963FD70"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Shkalla e aftësisë së  prokurorit  </w:t>
            </w:r>
          </w:p>
        </w:tc>
        <w:tc>
          <w:tcPr>
            <w:tcW w:w="3686"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5BFE67C9"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Nr. i pikëve</w:t>
            </w:r>
          </w:p>
        </w:tc>
      </w:tr>
      <w:tr w:rsidR="00F052F6" w:rsidRPr="003D5CE4" w14:paraId="2CB19A9D" w14:textId="77777777" w:rsidTr="003464CC">
        <w:trPr>
          <w:trHeight w:val="52"/>
        </w:trPr>
        <w:tc>
          <w:tcPr>
            <w:tcW w:w="2039" w:type="dxa"/>
            <w:tcBorders>
              <w:top w:val="single" w:sz="4" w:space="0" w:color="000000"/>
              <w:left w:val="single" w:sz="4" w:space="0" w:color="000000"/>
              <w:bottom w:val="single" w:sz="4" w:space="0" w:color="000000"/>
              <w:right w:val="nil"/>
            </w:tcBorders>
          </w:tcPr>
          <w:p w14:paraId="41387706"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2452" w:type="dxa"/>
            <w:tcBorders>
              <w:top w:val="single" w:sz="4" w:space="0" w:color="000000"/>
              <w:left w:val="nil"/>
              <w:bottom w:val="single" w:sz="4" w:space="0" w:color="000000"/>
              <w:right w:val="single" w:sz="4" w:space="0" w:color="000000"/>
            </w:tcBorders>
          </w:tcPr>
          <w:p w14:paraId="2E3AFC85" w14:textId="77777777" w:rsidR="00F052F6" w:rsidRPr="003D5CE4" w:rsidRDefault="00F052F6" w:rsidP="003464CC">
            <w:pPr>
              <w:spacing w:after="0" w:line="240" w:lineRule="auto"/>
              <w:jc w:val="both"/>
              <w:rPr>
                <w:rFonts w:ascii="Garamond" w:hAnsi="Garamond"/>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14:paraId="27F63DE7"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w:t>
            </w:r>
          </w:p>
        </w:tc>
      </w:tr>
      <w:tr w:rsidR="00F052F6" w:rsidRPr="003D5CE4" w14:paraId="1EC19EFA" w14:textId="77777777" w:rsidTr="003464CC">
        <w:trPr>
          <w:trHeight w:val="52"/>
        </w:trPr>
        <w:tc>
          <w:tcPr>
            <w:tcW w:w="2039" w:type="dxa"/>
            <w:tcBorders>
              <w:top w:val="single" w:sz="4" w:space="0" w:color="000000"/>
              <w:left w:val="single" w:sz="4" w:space="0" w:color="000000"/>
              <w:bottom w:val="single" w:sz="4" w:space="0" w:color="000000"/>
              <w:right w:val="nil"/>
            </w:tcBorders>
          </w:tcPr>
          <w:p w14:paraId="34854EC1"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2452" w:type="dxa"/>
            <w:tcBorders>
              <w:top w:val="single" w:sz="4" w:space="0" w:color="000000"/>
              <w:left w:val="nil"/>
              <w:bottom w:val="single" w:sz="4" w:space="0" w:color="000000"/>
              <w:right w:val="single" w:sz="4" w:space="0" w:color="000000"/>
            </w:tcBorders>
          </w:tcPr>
          <w:p w14:paraId="792B1428" w14:textId="77777777" w:rsidR="00F052F6" w:rsidRPr="003D5CE4" w:rsidRDefault="00F052F6" w:rsidP="003464CC">
            <w:pPr>
              <w:spacing w:after="0" w:line="240" w:lineRule="auto"/>
              <w:jc w:val="both"/>
              <w:rPr>
                <w:rFonts w:ascii="Garamond" w:hAnsi="Garamond"/>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14:paraId="04B13EC4"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8</w:t>
            </w:r>
          </w:p>
        </w:tc>
      </w:tr>
      <w:tr w:rsidR="00F052F6" w:rsidRPr="003D5CE4" w14:paraId="0A56A1C0" w14:textId="77777777" w:rsidTr="003464CC">
        <w:trPr>
          <w:trHeight w:val="52"/>
        </w:trPr>
        <w:tc>
          <w:tcPr>
            <w:tcW w:w="2039" w:type="dxa"/>
            <w:tcBorders>
              <w:top w:val="single" w:sz="4" w:space="0" w:color="000000"/>
              <w:left w:val="single" w:sz="4" w:space="0" w:color="000000"/>
              <w:bottom w:val="single" w:sz="4" w:space="0" w:color="000000"/>
              <w:right w:val="nil"/>
            </w:tcBorders>
          </w:tcPr>
          <w:p w14:paraId="04FC9206"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2452" w:type="dxa"/>
            <w:tcBorders>
              <w:top w:val="single" w:sz="4" w:space="0" w:color="000000"/>
              <w:left w:val="nil"/>
              <w:bottom w:val="single" w:sz="4" w:space="0" w:color="000000"/>
              <w:right w:val="single" w:sz="4" w:space="0" w:color="000000"/>
            </w:tcBorders>
          </w:tcPr>
          <w:p w14:paraId="687AA24E" w14:textId="77777777" w:rsidR="00F052F6" w:rsidRPr="003D5CE4" w:rsidRDefault="00F052F6" w:rsidP="003464CC">
            <w:pPr>
              <w:spacing w:after="0" w:line="240" w:lineRule="auto"/>
              <w:jc w:val="both"/>
              <w:rPr>
                <w:rFonts w:ascii="Garamond" w:hAnsi="Garamond"/>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14:paraId="43B17808"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12</w:t>
            </w:r>
          </w:p>
        </w:tc>
      </w:tr>
      <w:tr w:rsidR="00F052F6" w:rsidRPr="003D5CE4" w14:paraId="439800DF" w14:textId="77777777" w:rsidTr="003464CC">
        <w:trPr>
          <w:trHeight w:val="52"/>
        </w:trPr>
        <w:tc>
          <w:tcPr>
            <w:tcW w:w="2039" w:type="dxa"/>
            <w:tcBorders>
              <w:top w:val="single" w:sz="4" w:space="0" w:color="000000"/>
              <w:left w:val="single" w:sz="4" w:space="0" w:color="000000"/>
              <w:bottom w:val="single" w:sz="4" w:space="0" w:color="000000"/>
              <w:right w:val="nil"/>
            </w:tcBorders>
          </w:tcPr>
          <w:p w14:paraId="38880A3B"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2452" w:type="dxa"/>
            <w:tcBorders>
              <w:top w:val="single" w:sz="4" w:space="0" w:color="000000"/>
              <w:left w:val="nil"/>
              <w:bottom w:val="single" w:sz="4" w:space="0" w:color="000000"/>
              <w:right w:val="single" w:sz="4" w:space="0" w:color="000000"/>
            </w:tcBorders>
          </w:tcPr>
          <w:p w14:paraId="55FD5E36" w14:textId="77777777" w:rsidR="00F052F6" w:rsidRPr="003D5CE4" w:rsidRDefault="00F052F6" w:rsidP="003464CC">
            <w:pPr>
              <w:spacing w:after="0" w:line="240" w:lineRule="auto"/>
              <w:jc w:val="both"/>
              <w:rPr>
                <w:rFonts w:ascii="Garamond" w:hAnsi="Garamond"/>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14:paraId="74142338"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16</w:t>
            </w:r>
          </w:p>
        </w:tc>
      </w:tr>
      <w:tr w:rsidR="00F052F6" w:rsidRPr="003D5CE4" w14:paraId="25B8F0D6" w14:textId="77777777" w:rsidTr="003464CC">
        <w:trPr>
          <w:trHeight w:val="52"/>
        </w:trPr>
        <w:tc>
          <w:tcPr>
            <w:tcW w:w="2039" w:type="dxa"/>
            <w:tcBorders>
              <w:top w:val="single" w:sz="4" w:space="0" w:color="000000"/>
              <w:left w:val="single" w:sz="4" w:space="0" w:color="000000"/>
              <w:bottom w:val="single" w:sz="4" w:space="0" w:color="000000"/>
              <w:right w:val="nil"/>
            </w:tcBorders>
          </w:tcPr>
          <w:p w14:paraId="396649A6"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2452" w:type="dxa"/>
            <w:tcBorders>
              <w:top w:val="single" w:sz="4" w:space="0" w:color="000000"/>
              <w:left w:val="nil"/>
              <w:bottom w:val="single" w:sz="4" w:space="0" w:color="000000"/>
              <w:right w:val="single" w:sz="4" w:space="0" w:color="000000"/>
            </w:tcBorders>
          </w:tcPr>
          <w:p w14:paraId="24242898" w14:textId="77777777" w:rsidR="00F052F6" w:rsidRPr="003D5CE4" w:rsidRDefault="00F052F6" w:rsidP="003464CC">
            <w:pPr>
              <w:spacing w:after="0" w:line="240" w:lineRule="auto"/>
              <w:jc w:val="both"/>
              <w:rPr>
                <w:rFonts w:ascii="Garamond" w:hAnsi="Garamond"/>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14:paraId="1A36070B"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20</w:t>
            </w:r>
          </w:p>
        </w:tc>
      </w:tr>
    </w:tbl>
    <w:p w14:paraId="42FC124A" w14:textId="77777777" w:rsidR="00F052F6" w:rsidRPr="00381715" w:rsidRDefault="00F052F6" w:rsidP="00F052F6">
      <w:pPr>
        <w:pStyle w:val="AAAAAAAAAAAAAAAAAATEEEEEXXX"/>
        <w:rPr>
          <w:sz w:val="16"/>
          <w:szCs w:val="24"/>
        </w:rPr>
      </w:pPr>
    </w:p>
    <w:p w14:paraId="5B5684D6" w14:textId="77777777" w:rsidR="00F052F6" w:rsidRPr="00381715" w:rsidRDefault="00F052F6" w:rsidP="00F052F6">
      <w:pPr>
        <w:pStyle w:val="AAAAAAAAAAAAAAAAAATEEEEEXXX"/>
        <w:rPr>
          <w:szCs w:val="24"/>
        </w:rPr>
      </w:pPr>
      <w:r w:rsidRPr="00381715">
        <w:rPr>
          <w:szCs w:val="24"/>
        </w:rPr>
        <w:t xml:space="preserve">2. AFTËSITË ORGANIZATIVE TË PROKURORIT (100 pikë) </w:t>
      </w:r>
    </w:p>
    <w:p w14:paraId="2132EB6C"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Megjithëse përgjegjësitë e prokurorit ndryshojnë midis juridiksioneve dhe roleve specifike, në mënyrë që të jetë produktiv, prokurori, në çdo nivel dhe në çdo detyrë, duhet të ketë aftësi të mira organizative. Prokurori nuk mund të jetë efektiv pa pasur aftësinë për të organizuar, menaxhuar dhe kontrolluar efektivisht procedurat hetimore. Produktiviteti është rrjedhojë e menaxhimit të kohës, i cili tregon sa mirë prokurori përdor kohën e tij/saj, si në fazën e hetimit, ashtu edhe në fazën e gjykimit.  </w:t>
      </w:r>
    </w:p>
    <w:p w14:paraId="397E545E"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Prokurori duhet të bëjë përpjekje maksimale në menaxhimin efektiv të kohës dhe në planifikimin e punës, pa krijuar pengesa në ecurinë e punës.  </w:t>
      </w:r>
    </w:p>
    <w:p w14:paraId="3E777496" w14:textId="77777777" w:rsidR="00F052F6" w:rsidRPr="00381715" w:rsidRDefault="00F052F6" w:rsidP="00F052F6">
      <w:pPr>
        <w:spacing w:after="0" w:line="240" w:lineRule="auto"/>
        <w:ind w:firstLine="284"/>
        <w:jc w:val="both"/>
        <w:rPr>
          <w:rFonts w:ascii="Garamond" w:hAnsi="Garamond"/>
          <w:sz w:val="14"/>
          <w:szCs w:val="24"/>
        </w:rPr>
      </w:pPr>
    </w:p>
    <w:p w14:paraId="07C0818D" w14:textId="77777777" w:rsidR="00F052F6" w:rsidRPr="003D5CE4" w:rsidRDefault="00F052F6" w:rsidP="00F052F6">
      <w:pPr>
        <w:pStyle w:val="Heading2"/>
        <w:pBdr>
          <w:bottom w:val="single" w:sz="4" w:space="1" w:color="000000"/>
        </w:pBdr>
        <w:spacing w:after="0" w:line="240" w:lineRule="auto"/>
        <w:ind w:left="0" w:firstLine="284"/>
        <w:jc w:val="both"/>
        <w:rPr>
          <w:rFonts w:ascii="Garamond" w:hAnsi="Garamond"/>
          <w:szCs w:val="24"/>
        </w:rPr>
      </w:pPr>
      <w:r w:rsidRPr="003D5CE4">
        <w:rPr>
          <w:rFonts w:ascii="Garamond" w:hAnsi="Garamond"/>
          <w:szCs w:val="24"/>
        </w:rPr>
        <w:t>A.</w:t>
      </w:r>
      <w:r w:rsidRPr="003D5CE4">
        <w:rPr>
          <w:rFonts w:ascii="Garamond" w:eastAsia="Arial" w:hAnsi="Garamond"/>
          <w:szCs w:val="24"/>
        </w:rPr>
        <w:t xml:space="preserve"> </w:t>
      </w:r>
      <w:r w:rsidRPr="003D5CE4">
        <w:rPr>
          <w:rFonts w:ascii="Garamond" w:hAnsi="Garamond"/>
          <w:szCs w:val="24"/>
        </w:rPr>
        <w:t xml:space="preserve">Aftësia për të përballuar ngarkesën e punës (50 pikë) </w:t>
      </w:r>
    </w:p>
    <w:p w14:paraId="7F36B6A4" w14:textId="77777777" w:rsidR="00F052F6" w:rsidRPr="003D5CE4" w:rsidRDefault="00F052F6" w:rsidP="00F052F6">
      <w:pPr>
        <w:pStyle w:val="AAAAAAAAAAAAAAAAAATEEEEEXXX"/>
        <w:rPr>
          <w:b/>
          <w:szCs w:val="24"/>
        </w:rPr>
      </w:pPr>
      <w:r w:rsidRPr="003D5CE4">
        <w:rPr>
          <w:b/>
          <w:szCs w:val="24"/>
        </w:rPr>
        <w:t>a</w:t>
      </w:r>
      <w:r>
        <w:rPr>
          <w:b/>
          <w:szCs w:val="24"/>
        </w:rPr>
        <w:t>)</w:t>
      </w:r>
      <w:r w:rsidRPr="003D5CE4">
        <w:rPr>
          <w:b/>
          <w:szCs w:val="24"/>
        </w:rPr>
        <w:t xml:space="preserve"> Respektimi i afateve ligjore (20 pikë) </w:t>
      </w:r>
    </w:p>
    <w:p w14:paraId="7109A929"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Si burim vlerësimi për këtë tregues shërbejnë të dhënat statistikore dhe formulari i integruar i vlerësimit të prokurorit.  </w:t>
      </w:r>
    </w:p>
    <w:p w14:paraId="1AAB8634"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Respektimi i afateve ligjore nënkupton respektimin nga ana e prokurorit të afateve të parashikuara në ligj, brenda të cilave duhet të përfundojnë procedurat hetimore ose procedurat e tjera të sistemit të prokurorisë. Për të pikëzuar këtë tregues, vlerësimi bëhet referuar afatit, brenda të cilit është marrë vendimi (akti përfundimtar), në raport me numrin total të çështjeve të përfunduara, </w:t>
      </w:r>
      <w:r w:rsidRPr="003D5CE4">
        <w:rPr>
          <w:rFonts w:ascii="Garamond" w:hAnsi="Garamond"/>
          <w:b/>
          <w:sz w:val="24"/>
          <w:szCs w:val="24"/>
        </w:rPr>
        <w:t>të së njëjtës kategori</w:t>
      </w:r>
      <w:r w:rsidRPr="003D5CE4">
        <w:rPr>
          <w:rFonts w:ascii="Garamond" w:hAnsi="Garamond"/>
          <w:sz w:val="24"/>
          <w:szCs w:val="24"/>
        </w:rPr>
        <w:t>, për të cilat ligji parashikon të njëjtat afate</w:t>
      </w:r>
      <w:r w:rsidRPr="003D5CE4">
        <w:rPr>
          <w:rStyle w:val="FootnoteReference"/>
          <w:rFonts w:ascii="Garamond" w:hAnsi="Garamond"/>
          <w:sz w:val="24"/>
          <w:szCs w:val="24"/>
        </w:rPr>
        <w:footnoteReference w:id="3"/>
      </w:r>
      <w:r w:rsidRPr="003D5CE4">
        <w:rPr>
          <w:rFonts w:ascii="Garamond" w:hAnsi="Garamond"/>
          <w:sz w:val="24"/>
          <w:szCs w:val="24"/>
        </w:rPr>
        <w:t>. Nuk do të jenë pjesë e vlerësimit çështjet e përfunduara me vendim pezullimi.</w:t>
      </w:r>
    </w:p>
    <w:p w14:paraId="4148398E"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Në rastet e çështjeve, të cilat i janë caktuar prokurorit me vendim zëvendësimi, afatet për efekt të vlerësimit do të llogariten nga data e zëvendësimit. Gjithashtu, nuk do të llogariten si pjesë e afatit, për dosjet e rifilluara apo të kthyera nga gjykata, koha gjatë së cilës çështja ka qenë e pezulluar, e pushuar apo e dërguar në gjykatë, me kërkesë.</w:t>
      </w:r>
    </w:p>
    <w:p w14:paraId="0AD4CD10" w14:textId="77777777" w:rsidR="00F052F6" w:rsidRPr="008E4FDB" w:rsidRDefault="00F052F6" w:rsidP="00F052F6">
      <w:pPr>
        <w:spacing w:after="0" w:line="240" w:lineRule="auto"/>
        <w:ind w:firstLine="284"/>
        <w:jc w:val="both"/>
        <w:rPr>
          <w:rFonts w:ascii="Garamond" w:hAnsi="Garamond"/>
          <w:sz w:val="14"/>
          <w:szCs w:val="24"/>
        </w:rPr>
      </w:pPr>
    </w:p>
    <w:p w14:paraId="20CB9570"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Të dhënat në përqindje ekuivalentohen në pikë sipas tabelës së pikëzimit:</w:t>
      </w:r>
    </w:p>
    <w:tbl>
      <w:tblPr>
        <w:tblW w:w="8314" w:type="dxa"/>
        <w:tblInd w:w="186" w:type="dxa"/>
        <w:tblCellMar>
          <w:top w:w="7" w:type="dxa"/>
          <w:left w:w="107" w:type="dxa"/>
          <w:right w:w="115" w:type="dxa"/>
        </w:tblCellMar>
        <w:tblLook w:val="04A0" w:firstRow="1" w:lastRow="0" w:firstColumn="1" w:lastColumn="0" w:noHBand="0" w:noVBand="1"/>
      </w:tblPr>
      <w:tblGrid>
        <w:gridCol w:w="5861"/>
        <w:gridCol w:w="2453"/>
      </w:tblGrid>
      <w:tr w:rsidR="00F052F6" w:rsidRPr="003D5CE4" w14:paraId="19F40F90" w14:textId="77777777" w:rsidTr="003464CC">
        <w:trPr>
          <w:trHeight w:val="52"/>
        </w:trPr>
        <w:tc>
          <w:tcPr>
            <w:tcW w:w="5861" w:type="dxa"/>
            <w:tcBorders>
              <w:top w:val="single" w:sz="4" w:space="0" w:color="000000"/>
              <w:left w:val="single" w:sz="4" w:space="0" w:color="000000"/>
              <w:bottom w:val="single" w:sz="4" w:space="0" w:color="000000"/>
              <w:right w:val="single" w:sz="4" w:space="0" w:color="000000"/>
            </w:tcBorders>
            <w:shd w:val="clear" w:color="auto" w:fill="B4C6E7"/>
          </w:tcPr>
          <w:p w14:paraId="3D30AD20"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Kriteri  </w:t>
            </w:r>
          </w:p>
        </w:tc>
        <w:tc>
          <w:tcPr>
            <w:tcW w:w="2453"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0F6E6A63"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Nr. i pikëve</w:t>
            </w:r>
          </w:p>
        </w:tc>
      </w:tr>
      <w:tr w:rsidR="00F052F6" w:rsidRPr="003D5CE4" w14:paraId="7069F7F5" w14:textId="77777777" w:rsidTr="003464CC">
        <w:trPr>
          <w:trHeight w:val="52"/>
        </w:trPr>
        <w:tc>
          <w:tcPr>
            <w:tcW w:w="5861" w:type="dxa"/>
            <w:tcBorders>
              <w:top w:val="single" w:sz="4" w:space="0" w:color="000000"/>
              <w:left w:val="single" w:sz="4" w:space="0" w:color="000000"/>
              <w:bottom w:val="single" w:sz="4" w:space="0" w:color="000000"/>
              <w:right w:val="single" w:sz="4" w:space="0" w:color="000000"/>
            </w:tcBorders>
          </w:tcPr>
          <w:p w14:paraId="4305D89C"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Mbi 40%</w:t>
            </w:r>
            <w:r>
              <w:rPr>
                <w:rFonts w:ascii="Garamond" w:hAnsi="Garamond"/>
                <w:sz w:val="24"/>
                <w:szCs w:val="24"/>
              </w:rPr>
              <w:t>,</w:t>
            </w:r>
            <w:r w:rsidRPr="003D5CE4">
              <w:rPr>
                <w:rFonts w:ascii="Garamond" w:hAnsi="Garamond"/>
                <w:sz w:val="24"/>
                <w:szCs w:val="24"/>
              </w:rPr>
              <w:t xml:space="preserve"> jashtë afatit ligjor</w:t>
            </w:r>
          </w:p>
        </w:tc>
        <w:tc>
          <w:tcPr>
            <w:tcW w:w="2453" w:type="dxa"/>
            <w:tcBorders>
              <w:top w:val="single" w:sz="4" w:space="0" w:color="000000"/>
              <w:left w:val="single" w:sz="4" w:space="0" w:color="000000"/>
              <w:bottom w:val="single" w:sz="4" w:space="0" w:color="000000"/>
              <w:right w:val="single" w:sz="4" w:space="0" w:color="000000"/>
            </w:tcBorders>
            <w:vAlign w:val="center"/>
          </w:tcPr>
          <w:p w14:paraId="5253B595"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w:t>
            </w:r>
          </w:p>
        </w:tc>
      </w:tr>
      <w:tr w:rsidR="00F052F6" w:rsidRPr="003D5CE4" w14:paraId="6D23FE84" w14:textId="77777777" w:rsidTr="003464CC">
        <w:trPr>
          <w:trHeight w:val="52"/>
        </w:trPr>
        <w:tc>
          <w:tcPr>
            <w:tcW w:w="5861" w:type="dxa"/>
            <w:tcBorders>
              <w:top w:val="single" w:sz="4" w:space="0" w:color="000000"/>
              <w:left w:val="single" w:sz="4" w:space="0" w:color="000000"/>
              <w:bottom w:val="single" w:sz="4" w:space="0" w:color="000000"/>
              <w:right w:val="single" w:sz="4" w:space="0" w:color="000000"/>
            </w:tcBorders>
          </w:tcPr>
          <w:p w14:paraId="2C5A623F"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Mbi 40%, gjatë ¼ së fundit të afatit ligjor</w:t>
            </w:r>
          </w:p>
        </w:tc>
        <w:tc>
          <w:tcPr>
            <w:tcW w:w="2453" w:type="dxa"/>
            <w:tcBorders>
              <w:top w:val="single" w:sz="4" w:space="0" w:color="000000"/>
              <w:left w:val="single" w:sz="4" w:space="0" w:color="000000"/>
              <w:bottom w:val="single" w:sz="4" w:space="0" w:color="000000"/>
              <w:right w:val="single" w:sz="4" w:space="0" w:color="000000"/>
            </w:tcBorders>
            <w:vAlign w:val="center"/>
          </w:tcPr>
          <w:p w14:paraId="2277E8A0"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8</w:t>
            </w:r>
          </w:p>
        </w:tc>
      </w:tr>
      <w:tr w:rsidR="00F052F6" w:rsidRPr="003D5CE4" w14:paraId="3E2B7F9C" w14:textId="77777777" w:rsidTr="003464CC">
        <w:trPr>
          <w:trHeight w:val="52"/>
        </w:trPr>
        <w:tc>
          <w:tcPr>
            <w:tcW w:w="5861" w:type="dxa"/>
            <w:tcBorders>
              <w:top w:val="single" w:sz="4" w:space="0" w:color="000000"/>
              <w:left w:val="single" w:sz="4" w:space="0" w:color="000000"/>
              <w:bottom w:val="single" w:sz="4" w:space="0" w:color="000000"/>
              <w:right w:val="single" w:sz="4" w:space="0" w:color="000000"/>
            </w:tcBorders>
          </w:tcPr>
          <w:p w14:paraId="18E7F73B"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40%, gjatë ¼ së tretë të afatit ligjor </w:t>
            </w:r>
          </w:p>
        </w:tc>
        <w:tc>
          <w:tcPr>
            <w:tcW w:w="2453" w:type="dxa"/>
            <w:tcBorders>
              <w:top w:val="single" w:sz="4" w:space="0" w:color="000000"/>
              <w:left w:val="single" w:sz="4" w:space="0" w:color="000000"/>
              <w:bottom w:val="single" w:sz="4" w:space="0" w:color="000000"/>
              <w:right w:val="single" w:sz="4" w:space="0" w:color="000000"/>
            </w:tcBorders>
            <w:vAlign w:val="center"/>
          </w:tcPr>
          <w:p w14:paraId="16044DDB"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12</w:t>
            </w:r>
          </w:p>
        </w:tc>
      </w:tr>
      <w:tr w:rsidR="00F052F6" w:rsidRPr="003D5CE4" w14:paraId="1A2B4E09" w14:textId="77777777" w:rsidTr="003464CC">
        <w:trPr>
          <w:trHeight w:val="52"/>
        </w:trPr>
        <w:tc>
          <w:tcPr>
            <w:tcW w:w="5861" w:type="dxa"/>
            <w:tcBorders>
              <w:top w:val="single" w:sz="4" w:space="0" w:color="000000"/>
              <w:left w:val="single" w:sz="4" w:space="0" w:color="000000"/>
              <w:bottom w:val="single" w:sz="4" w:space="0" w:color="000000"/>
              <w:right w:val="single" w:sz="4" w:space="0" w:color="000000"/>
            </w:tcBorders>
          </w:tcPr>
          <w:p w14:paraId="25CB4E3A"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Mbi 40%, gjatë ¼ së dytë të afatit ligjor</w:t>
            </w:r>
          </w:p>
        </w:tc>
        <w:tc>
          <w:tcPr>
            <w:tcW w:w="2453" w:type="dxa"/>
            <w:tcBorders>
              <w:top w:val="single" w:sz="4" w:space="0" w:color="000000"/>
              <w:left w:val="single" w:sz="4" w:space="0" w:color="000000"/>
              <w:bottom w:val="single" w:sz="4" w:space="0" w:color="000000"/>
              <w:right w:val="single" w:sz="4" w:space="0" w:color="000000"/>
            </w:tcBorders>
            <w:vAlign w:val="center"/>
          </w:tcPr>
          <w:p w14:paraId="0384D6A6"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16</w:t>
            </w:r>
          </w:p>
        </w:tc>
      </w:tr>
      <w:tr w:rsidR="00F052F6" w:rsidRPr="003D5CE4" w14:paraId="53DA6A5E" w14:textId="77777777" w:rsidTr="003464CC">
        <w:trPr>
          <w:trHeight w:val="52"/>
        </w:trPr>
        <w:tc>
          <w:tcPr>
            <w:tcW w:w="5861" w:type="dxa"/>
            <w:tcBorders>
              <w:top w:val="single" w:sz="4" w:space="0" w:color="000000"/>
              <w:left w:val="single" w:sz="4" w:space="0" w:color="000000"/>
              <w:bottom w:val="single" w:sz="4" w:space="0" w:color="000000"/>
              <w:right w:val="single" w:sz="4" w:space="0" w:color="000000"/>
            </w:tcBorders>
          </w:tcPr>
          <w:p w14:paraId="0A5D7DCC"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Mbi 40%, gjatë ¼ së parë të afatit ligjor</w:t>
            </w:r>
          </w:p>
        </w:tc>
        <w:tc>
          <w:tcPr>
            <w:tcW w:w="2453" w:type="dxa"/>
            <w:tcBorders>
              <w:top w:val="single" w:sz="4" w:space="0" w:color="000000"/>
              <w:left w:val="single" w:sz="4" w:space="0" w:color="000000"/>
              <w:bottom w:val="single" w:sz="4" w:space="0" w:color="000000"/>
              <w:right w:val="single" w:sz="4" w:space="0" w:color="000000"/>
            </w:tcBorders>
            <w:vAlign w:val="center"/>
          </w:tcPr>
          <w:p w14:paraId="3FAFBC5F"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20</w:t>
            </w:r>
          </w:p>
        </w:tc>
      </w:tr>
    </w:tbl>
    <w:p w14:paraId="7D2F7A87" w14:textId="77777777" w:rsidR="00F052F6" w:rsidRPr="0072648E" w:rsidRDefault="00F052F6" w:rsidP="00F052F6">
      <w:pPr>
        <w:spacing w:after="0" w:line="240" w:lineRule="auto"/>
        <w:ind w:firstLine="284"/>
        <w:jc w:val="both"/>
        <w:rPr>
          <w:rFonts w:ascii="Garamond" w:hAnsi="Garamond"/>
          <w:sz w:val="14"/>
          <w:szCs w:val="24"/>
        </w:rPr>
      </w:pPr>
    </w:p>
    <w:p w14:paraId="217C79D7" w14:textId="77777777" w:rsidR="00F052F6" w:rsidRPr="003D5CE4" w:rsidRDefault="00F052F6" w:rsidP="00F052F6">
      <w:pPr>
        <w:spacing w:after="0" w:line="240" w:lineRule="auto"/>
        <w:ind w:firstLine="284"/>
        <w:jc w:val="both"/>
        <w:rPr>
          <w:rFonts w:ascii="Garamond" w:hAnsi="Garamond"/>
          <w:bCs/>
          <w:sz w:val="24"/>
          <w:szCs w:val="24"/>
          <w:lang w:bidi="en-US"/>
        </w:rPr>
      </w:pPr>
      <w:r w:rsidRPr="003D5CE4">
        <w:rPr>
          <w:rFonts w:ascii="Garamond" w:hAnsi="Garamond"/>
          <w:sz w:val="24"/>
          <w:szCs w:val="24"/>
        </w:rPr>
        <w:t xml:space="preserve">Në rastin e prokurorit të ekzekutimeve, si referencë do të shërbejnë afatet e parashikuara në </w:t>
      </w:r>
      <w:r>
        <w:rPr>
          <w:rFonts w:ascii="Garamond" w:hAnsi="Garamond"/>
          <w:sz w:val="24"/>
          <w:szCs w:val="24"/>
        </w:rPr>
        <w:t>l</w:t>
      </w:r>
      <w:r w:rsidRPr="003D5CE4">
        <w:rPr>
          <w:rFonts w:ascii="Garamond" w:hAnsi="Garamond"/>
          <w:sz w:val="24"/>
          <w:szCs w:val="24"/>
        </w:rPr>
        <w:t xml:space="preserve">igjin </w:t>
      </w:r>
      <w:r w:rsidRPr="003D5CE4">
        <w:rPr>
          <w:rFonts w:ascii="Garamond" w:hAnsi="Garamond"/>
          <w:bCs/>
          <w:sz w:val="24"/>
          <w:szCs w:val="24"/>
          <w:lang w:bidi="en-US"/>
        </w:rPr>
        <w:t xml:space="preserve">nr. 8331, </w:t>
      </w:r>
      <w:r w:rsidRPr="003D5CE4">
        <w:rPr>
          <w:rFonts w:ascii="Garamond" w:hAnsi="Garamond"/>
          <w:bCs/>
          <w:sz w:val="24"/>
          <w:szCs w:val="24"/>
        </w:rPr>
        <w:t xml:space="preserve">datë </w:t>
      </w:r>
      <w:r w:rsidRPr="003D5CE4">
        <w:rPr>
          <w:rFonts w:ascii="Garamond" w:hAnsi="Garamond"/>
          <w:bCs/>
          <w:sz w:val="24"/>
          <w:szCs w:val="24"/>
          <w:lang w:bidi="en-US"/>
        </w:rPr>
        <w:t>21.4.1998, “Për ekzekutimin e vendimeve penale” i ndryshuar, apo në ligje të tjera të cilat parashikojnë afate për praktikat e ekzekutimeve.</w:t>
      </w:r>
    </w:p>
    <w:p w14:paraId="3F5AFD0E"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Të gjitha të dhënat statistikore analizohen sipas situatës me qëllim për të shmangur përfundimet për çështje që nuk janë përgjegjësi e prokurorit. Analiza e të dhënave statistikore bazohet në kompleksitetin e çështjeve, volumin e çështjeve në hetim në raport me mesataren e çështjeve për prokuror, në prokurorinë ku ushtron funksionin prokurori, rritjen e papritur të volumit të çështjeve dhe aspekteve të tjera që lidhen me kushtet e punës, të cilat mund të çojnë në një pikëzim më të lartë nga ai i tabelës së mësipërme, deri në pikëzimin maksimal. </w:t>
      </w:r>
    </w:p>
    <w:p w14:paraId="20AAD4A9" w14:textId="77777777" w:rsidR="00F052F6" w:rsidRPr="003D5CE4" w:rsidRDefault="00F052F6" w:rsidP="00F052F6">
      <w:pPr>
        <w:pStyle w:val="AAAAAAAAAAAAAAAAAATEEEEEXXX"/>
        <w:rPr>
          <w:b/>
          <w:szCs w:val="24"/>
        </w:rPr>
      </w:pPr>
      <w:r w:rsidRPr="003D5CE4">
        <w:rPr>
          <w:b/>
          <w:szCs w:val="24"/>
        </w:rPr>
        <w:t>b</w:t>
      </w:r>
      <w:r>
        <w:rPr>
          <w:b/>
          <w:szCs w:val="24"/>
        </w:rPr>
        <w:t>)</w:t>
      </w:r>
      <w:r w:rsidRPr="003D5CE4">
        <w:rPr>
          <w:b/>
          <w:szCs w:val="24"/>
        </w:rPr>
        <w:t xml:space="preserve"> Koha mesatare që i dedikohet çdo çështjej</w:t>
      </w:r>
      <w:r w:rsidRPr="00DB634E">
        <w:rPr>
          <w:b/>
          <w:szCs w:val="24"/>
        </w:rPr>
        <w:t>e deri në marrjen e vendimit, aktit përfundimtar</w:t>
      </w:r>
      <w:r w:rsidRPr="003D5CE4">
        <w:rPr>
          <w:b/>
          <w:szCs w:val="24"/>
        </w:rPr>
        <w:t xml:space="preserve"> (10 pikë) </w:t>
      </w:r>
    </w:p>
    <w:p w14:paraId="54AD1150"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Si burim vlerësimi shërbejnë të dhënat statistikore dhe formulari i integruar i vlerësimit të prokurorit. </w:t>
      </w:r>
    </w:p>
    <w:p w14:paraId="0E7E1391"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“Koha mesatare që i dedikohet çdo çështjeje deri në marrjen e vendimit, aktit përfundimtar” vlerëson aftësinë e prokurorit për të përfunduar me një akt përfundimtar procedurën hetimore apo procedurat e tjera të sistemit të prokurorisë brenda një afati sa më të shkurtër. </w:t>
      </w:r>
    </w:p>
    <w:p w14:paraId="15C14B90"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Për të pikëzuar këtë tregues, vlerësuesi identifikon kohën që i është përkushtuar çdo çështje, duke identifikuar një mesatare të saj në raport me numrin e çështjeve të përfunduara për çdo kategori çështjesh </w:t>
      </w:r>
      <w:r w:rsidRPr="003D5CE4">
        <w:rPr>
          <w:rFonts w:ascii="Garamond" w:hAnsi="Garamond"/>
          <w:i/>
          <w:sz w:val="24"/>
          <w:szCs w:val="24"/>
        </w:rPr>
        <w:t>(si mosfillime, pushime, kërkesë për dërgimin e çështjes për gjykim etj</w:t>
      </w:r>
      <w:r>
        <w:rPr>
          <w:rFonts w:ascii="Garamond" w:hAnsi="Garamond"/>
          <w:i/>
          <w:sz w:val="24"/>
          <w:szCs w:val="24"/>
        </w:rPr>
        <w:t>.</w:t>
      </w:r>
      <w:r w:rsidRPr="003D5CE4">
        <w:rPr>
          <w:rFonts w:ascii="Garamond" w:hAnsi="Garamond"/>
          <w:i/>
          <w:sz w:val="24"/>
          <w:szCs w:val="24"/>
        </w:rPr>
        <w:t>)</w:t>
      </w:r>
      <w:r w:rsidRPr="003D5CE4">
        <w:rPr>
          <w:rFonts w:ascii="Garamond" w:hAnsi="Garamond"/>
          <w:sz w:val="24"/>
          <w:szCs w:val="24"/>
        </w:rPr>
        <w:t xml:space="preserve">. </w:t>
      </w:r>
    </w:p>
    <w:p w14:paraId="337C9B65"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Në përfundim, koha mesatare e identifikuar për prokurorin, krahasohet me kohën mesatare që i është dedikuar të njëjtës kategori çështjesh nga prokurorët që kanë ushtruar funksionin në të njëjtën periudhë dhe në të njëjtin seksion, në mungesë të seksioneve në të njëjtën prokurori, me prokurorin subjekt vlerësimi. Koha mesatare përcaktohet më vete për secilën kategori çështjesh. Nuk do të jenë pjesë e vlerësimit çështjet e përfunduara me vendim pezullimi. </w:t>
      </w:r>
    </w:p>
    <w:p w14:paraId="4E62417D"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Pikëzimi bëhet sipas tabelës së mëposhtme: </w:t>
      </w:r>
    </w:p>
    <w:p w14:paraId="2A774369" w14:textId="77777777" w:rsidR="00F052F6" w:rsidRPr="0072648E" w:rsidRDefault="00F052F6" w:rsidP="00F052F6">
      <w:pPr>
        <w:spacing w:after="0" w:line="240" w:lineRule="auto"/>
        <w:ind w:firstLine="284"/>
        <w:jc w:val="both"/>
        <w:rPr>
          <w:rFonts w:ascii="Garamond" w:hAnsi="Garamond"/>
          <w:sz w:val="14"/>
          <w:szCs w:val="24"/>
        </w:rPr>
      </w:pPr>
    </w:p>
    <w:tbl>
      <w:tblPr>
        <w:tblW w:w="9281" w:type="dxa"/>
        <w:tblInd w:w="186" w:type="dxa"/>
        <w:tblCellMar>
          <w:top w:w="7" w:type="dxa"/>
          <w:left w:w="107" w:type="dxa"/>
          <w:right w:w="54" w:type="dxa"/>
        </w:tblCellMar>
        <w:tblLook w:val="04A0" w:firstRow="1" w:lastRow="0" w:firstColumn="1" w:lastColumn="0" w:noHBand="0" w:noVBand="1"/>
      </w:tblPr>
      <w:tblGrid>
        <w:gridCol w:w="7481"/>
        <w:gridCol w:w="1800"/>
      </w:tblGrid>
      <w:tr w:rsidR="00F052F6" w:rsidRPr="003D5CE4" w14:paraId="27C6F549" w14:textId="77777777" w:rsidTr="003464CC">
        <w:trPr>
          <w:trHeight w:val="52"/>
        </w:trPr>
        <w:tc>
          <w:tcPr>
            <w:tcW w:w="7481" w:type="dxa"/>
            <w:tcBorders>
              <w:top w:val="single" w:sz="4" w:space="0" w:color="000000"/>
              <w:left w:val="single" w:sz="4" w:space="0" w:color="000000"/>
              <w:bottom w:val="single" w:sz="4" w:space="0" w:color="000000"/>
              <w:right w:val="single" w:sz="4" w:space="0" w:color="000000"/>
            </w:tcBorders>
            <w:shd w:val="clear" w:color="auto" w:fill="B4C6E7"/>
          </w:tcPr>
          <w:p w14:paraId="3C61D54F"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 </w:t>
            </w:r>
            <w:r w:rsidRPr="003D5CE4">
              <w:rPr>
                <w:rFonts w:ascii="Garamond" w:hAnsi="Garamond"/>
                <w:b/>
                <w:sz w:val="24"/>
                <w:szCs w:val="24"/>
              </w:rPr>
              <w:t xml:space="preserve">Koha mesatare  </w:t>
            </w:r>
          </w:p>
        </w:tc>
        <w:tc>
          <w:tcPr>
            <w:tcW w:w="1800" w:type="dxa"/>
            <w:tcBorders>
              <w:top w:val="single" w:sz="4" w:space="0" w:color="000000"/>
              <w:left w:val="single" w:sz="4" w:space="0" w:color="000000"/>
              <w:bottom w:val="single" w:sz="4" w:space="0" w:color="000000"/>
              <w:right w:val="single" w:sz="4" w:space="0" w:color="000000"/>
            </w:tcBorders>
            <w:shd w:val="clear" w:color="auto" w:fill="B4C6E7"/>
          </w:tcPr>
          <w:p w14:paraId="1040FA17"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Nr. i pikëve </w:t>
            </w:r>
          </w:p>
        </w:tc>
      </w:tr>
      <w:tr w:rsidR="00F052F6" w:rsidRPr="003D5CE4" w14:paraId="5F1AD3DD" w14:textId="77777777" w:rsidTr="003464CC">
        <w:trPr>
          <w:trHeight w:val="52"/>
        </w:trPr>
        <w:tc>
          <w:tcPr>
            <w:tcW w:w="7481" w:type="dxa"/>
            <w:tcBorders>
              <w:top w:val="single" w:sz="4" w:space="0" w:color="000000"/>
              <w:left w:val="single" w:sz="4" w:space="0" w:color="000000"/>
              <w:bottom w:val="single" w:sz="4" w:space="0" w:color="000000"/>
              <w:right w:val="single" w:sz="4" w:space="0" w:color="000000"/>
            </w:tcBorders>
            <w:vAlign w:val="center"/>
          </w:tcPr>
          <w:p w14:paraId="16BCBC73"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Më e gjatë se mesatarja për të gjitha kategoritë e çështjeve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619653D4"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w:t>
            </w:r>
          </w:p>
        </w:tc>
      </w:tr>
      <w:tr w:rsidR="00F052F6" w:rsidRPr="003D5CE4" w14:paraId="5C85C6CB" w14:textId="77777777" w:rsidTr="003464CC">
        <w:trPr>
          <w:trHeight w:val="52"/>
        </w:trPr>
        <w:tc>
          <w:tcPr>
            <w:tcW w:w="7481" w:type="dxa"/>
            <w:tcBorders>
              <w:top w:val="single" w:sz="4" w:space="0" w:color="000000"/>
              <w:left w:val="single" w:sz="4" w:space="0" w:color="000000"/>
              <w:bottom w:val="single" w:sz="4" w:space="0" w:color="000000"/>
              <w:right w:val="single" w:sz="4" w:space="0" w:color="000000"/>
            </w:tcBorders>
            <w:vAlign w:val="center"/>
          </w:tcPr>
          <w:p w14:paraId="233EBC0C"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Më e gjatë se mesatarja për shumicën e kategorive të çështjeve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38C0EE61"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w:t>
            </w:r>
          </w:p>
        </w:tc>
      </w:tr>
      <w:tr w:rsidR="00F052F6" w:rsidRPr="003D5CE4" w14:paraId="6D21A783" w14:textId="77777777" w:rsidTr="003464CC">
        <w:trPr>
          <w:trHeight w:val="52"/>
        </w:trPr>
        <w:tc>
          <w:tcPr>
            <w:tcW w:w="7481" w:type="dxa"/>
            <w:tcBorders>
              <w:top w:val="single" w:sz="4" w:space="0" w:color="000000"/>
              <w:left w:val="single" w:sz="4" w:space="0" w:color="000000"/>
              <w:bottom w:val="single" w:sz="4" w:space="0" w:color="000000"/>
              <w:right w:val="single" w:sz="4" w:space="0" w:color="000000"/>
            </w:tcBorders>
            <w:vAlign w:val="center"/>
          </w:tcPr>
          <w:p w14:paraId="1328457F"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Më e gjatë se mesatarja për gjysmën e kategorive të çështjeve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0AFED442"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6</w:t>
            </w:r>
          </w:p>
        </w:tc>
      </w:tr>
      <w:tr w:rsidR="00F052F6" w:rsidRPr="003D5CE4" w14:paraId="5CE53561" w14:textId="77777777" w:rsidTr="003464CC">
        <w:trPr>
          <w:trHeight w:val="52"/>
        </w:trPr>
        <w:tc>
          <w:tcPr>
            <w:tcW w:w="7481" w:type="dxa"/>
            <w:tcBorders>
              <w:top w:val="single" w:sz="4" w:space="0" w:color="000000"/>
              <w:left w:val="single" w:sz="4" w:space="0" w:color="000000"/>
              <w:bottom w:val="single" w:sz="4" w:space="0" w:color="000000"/>
              <w:right w:val="single" w:sz="4" w:space="0" w:color="000000"/>
            </w:tcBorders>
            <w:vAlign w:val="center"/>
          </w:tcPr>
          <w:p w14:paraId="3F244DF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Më e shkurtër se mesatarja për shumicën e kategorive të çështjeve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6ED0D76C"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8</w:t>
            </w:r>
          </w:p>
        </w:tc>
      </w:tr>
      <w:tr w:rsidR="00F052F6" w:rsidRPr="003D5CE4" w14:paraId="20E7FA98" w14:textId="77777777" w:rsidTr="003464CC">
        <w:trPr>
          <w:trHeight w:val="52"/>
        </w:trPr>
        <w:tc>
          <w:tcPr>
            <w:tcW w:w="7481" w:type="dxa"/>
            <w:tcBorders>
              <w:top w:val="single" w:sz="4" w:space="0" w:color="000000"/>
              <w:left w:val="single" w:sz="4" w:space="0" w:color="000000"/>
              <w:bottom w:val="single" w:sz="4" w:space="0" w:color="000000"/>
              <w:right w:val="single" w:sz="4" w:space="0" w:color="000000"/>
            </w:tcBorders>
            <w:vAlign w:val="center"/>
          </w:tcPr>
          <w:p w14:paraId="603DC0D9"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Më e shkurtër ose e barabartë me mesataren për të gjitha kategoritë e çështjeve </w:t>
            </w:r>
          </w:p>
        </w:tc>
        <w:tc>
          <w:tcPr>
            <w:tcW w:w="1800" w:type="dxa"/>
            <w:tcBorders>
              <w:top w:val="single" w:sz="4" w:space="0" w:color="000000"/>
              <w:left w:val="single" w:sz="4" w:space="0" w:color="000000"/>
              <w:bottom w:val="single" w:sz="4" w:space="0" w:color="000000"/>
              <w:right w:val="single" w:sz="4" w:space="0" w:color="000000"/>
            </w:tcBorders>
            <w:vAlign w:val="center"/>
          </w:tcPr>
          <w:p w14:paraId="3C1C3347"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10</w:t>
            </w:r>
          </w:p>
        </w:tc>
      </w:tr>
    </w:tbl>
    <w:p w14:paraId="7E855DD9" w14:textId="77777777" w:rsidR="00F052F6" w:rsidRPr="0072648E" w:rsidRDefault="00F052F6" w:rsidP="00F052F6">
      <w:pPr>
        <w:spacing w:after="0" w:line="240" w:lineRule="auto"/>
        <w:ind w:firstLine="284"/>
        <w:jc w:val="both"/>
        <w:rPr>
          <w:rFonts w:ascii="Garamond" w:hAnsi="Garamond"/>
          <w:sz w:val="14"/>
          <w:szCs w:val="24"/>
        </w:rPr>
      </w:pPr>
    </w:p>
    <w:p w14:paraId="5D6E5CB8"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Të gjitha të dhënat statistikore analizohen sipas situatës me qëllim për të shmangur përfundimet për çështje që nuk janë përgjegjësi e prokurorit. Analiza e të dhënave statistikore bazohet në kompleksitetin e çështjeve, volumin e çështjeve në hetim në raport me mesataren e çështjeve për prokuror në prokurorinë ku ushtron funksioni prokurori, rritjen e papritur të volumit të çështjeve dhe aspekteve të tjera që lidhen me kushtet e punës, të cilat mund të çojnë në një pikëzim më të lartë nga ai i tabelës së mësipërme, deri në pikëzimin maksimal. </w:t>
      </w:r>
    </w:p>
    <w:p w14:paraId="6DE7E7AA" w14:textId="77777777" w:rsidR="00F052F6" w:rsidRPr="003D5CE4" w:rsidRDefault="00F052F6" w:rsidP="00F052F6">
      <w:pPr>
        <w:pStyle w:val="AAAAAAAAAAAAAAAAAATEEEEEXXX"/>
        <w:rPr>
          <w:b/>
          <w:szCs w:val="24"/>
        </w:rPr>
      </w:pPr>
      <w:r w:rsidRPr="003D5CE4">
        <w:rPr>
          <w:b/>
          <w:szCs w:val="24"/>
        </w:rPr>
        <w:t xml:space="preserve"> c</w:t>
      </w:r>
      <w:r>
        <w:rPr>
          <w:b/>
          <w:szCs w:val="24"/>
        </w:rPr>
        <w:t>)</w:t>
      </w:r>
      <w:r w:rsidRPr="003D5CE4">
        <w:rPr>
          <w:b/>
          <w:szCs w:val="24"/>
        </w:rPr>
        <w:t xml:space="preserve"> Rendimenti i përfundimit të çështjeve (20 pikë) </w:t>
      </w:r>
    </w:p>
    <w:p w14:paraId="74AF6961"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Si burim vlerësimi për këtë tregues shërbejnë të dhënat statistikore dhe formulari  integruar i vlerësimit të prokurorit. </w:t>
      </w:r>
    </w:p>
    <w:p w14:paraId="086A9B90"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Rendimenti i përfundimit të çështjeve është raporti i numrit të çështjeve apo praktikave   të përfunduara nga prokurori brenda një viti kalendarik, me numrin e çështjeve apo praktikave që i janë caktuar brenda atij viti kalendarik duke përfshirë edhe çështjet apo praktikat e mbartura nga viti i mëparshëm.</w:t>
      </w:r>
    </w:p>
    <w:p w14:paraId="7CDE9762"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Në përfundim, rendimenti i identifikuar për prokurorin, krahasohet me mesataren e rendimentit të prokurorëve që kanë ushtruar funksionin në të njëjtën periudhë dhe në të njëjtin seksion, në mungesë të seksioneve në të njëjtën prokurori, me prokurorin subjekt vlerësimi.</w:t>
      </w:r>
    </w:p>
    <w:p w14:paraId="02629406" w14:textId="77777777" w:rsidR="00F052F6" w:rsidRPr="0072648E" w:rsidRDefault="00F052F6" w:rsidP="00F052F6">
      <w:pPr>
        <w:spacing w:after="0" w:line="240" w:lineRule="auto"/>
        <w:ind w:firstLine="284"/>
        <w:jc w:val="both"/>
        <w:rPr>
          <w:rFonts w:ascii="Garamond" w:hAnsi="Garamond"/>
          <w:color w:val="FF0000"/>
          <w:sz w:val="14"/>
          <w:szCs w:val="24"/>
        </w:rPr>
      </w:pPr>
    </w:p>
    <w:tbl>
      <w:tblPr>
        <w:tblW w:w="8314" w:type="dxa"/>
        <w:tblInd w:w="186" w:type="dxa"/>
        <w:tblCellMar>
          <w:top w:w="7" w:type="dxa"/>
          <w:left w:w="107" w:type="dxa"/>
          <w:right w:w="115" w:type="dxa"/>
        </w:tblCellMar>
        <w:tblLook w:val="04A0" w:firstRow="1" w:lastRow="0" w:firstColumn="1" w:lastColumn="0" w:noHBand="0" w:noVBand="1"/>
      </w:tblPr>
      <w:tblGrid>
        <w:gridCol w:w="6613"/>
        <w:gridCol w:w="1701"/>
      </w:tblGrid>
      <w:tr w:rsidR="00F052F6" w:rsidRPr="003D5CE4" w14:paraId="608C5559" w14:textId="77777777" w:rsidTr="003464CC">
        <w:trPr>
          <w:trHeight w:val="52"/>
        </w:trPr>
        <w:tc>
          <w:tcPr>
            <w:tcW w:w="6613" w:type="dxa"/>
            <w:tcBorders>
              <w:top w:val="single" w:sz="4" w:space="0" w:color="000000"/>
              <w:left w:val="single" w:sz="4" w:space="0" w:color="000000"/>
              <w:bottom w:val="single" w:sz="4" w:space="0" w:color="000000"/>
              <w:right w:val="single" w:sz="4" w:space="0" w:color="000000"/>
            </w:tcBorders>
            <w:shd w:val="clear" w:color="auto" w:fill="B4C6E7"/>
          </w:tcPr>
          <w:p w14:paraId="1AD562C1"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Raporti çështje të caktuara/çështje të përfunduara </w:t>
            </w:r>
          </w:p>
        </w:tc>
        <w:tc>
          <w:tcPr>
            <w:tcW w:w="1701" w:type="dxa"/>
            <w:tcBorders>
              <w:top w:val="single" w:sz="4" w:space="0" w:color="000000"/>
              <w:left w:val="single" w:sz="4" w:space="0" w:color="000000"/>
              <w:bottom w:val="single" w:sz="4" w:space="0" w:color="000000"/>
              <w:right w:val="single" w:sz="4" w:space="0" w:color="000000"/>
            </w:tcBorders>
            <w:shd w:val="clear" w:color="auto" w:fill="B4C6E7"/>
          </w:tcPr>
          <w:p w14:paraId="073A3EEA"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Nr. i pikëve </w:t>
            </w:r>
          </w:p>
        </w:tc>
      </w:tr>
      <w:tr w:rsidR="00F052F6" w:rsidRPr="003D5CE4" w14:paraId="6588FD6C" w14:textId="77777777" w:rsidTr="003464CC">
        <w:trPr>
          <w:trHeight w:val="52"/>
        </w:trPr>
        <w:tc>
          <w:tcPr>
            <w:tcW w:w="6613" w:type="dxa"/>
            <w:tcBorders>
              <w:top w:val="single" w:sz="4" w:space="0" w:color="000000"/>
              <w:left w:val="single" w:sz="4" w:space="0" w:color="000000"/>
              <w:bottom w:val="single" w:sz="4" w:space="0" w:color="000000"/>
              <w:right w:val="single" w:sz="4" w:space="0" w:color="000000"/>
            </w:tcBorders>
            <w:vAlign w:val="center"/>
          </w:tcPr>
          <w:p w14:paraId="02B315F8"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 për të gjitha vitet e vlerësimit</w:t>
            </w:r>
          </w:p>
        </w:tc>
        <w:tc>
          <w:tcPr>
            <w:tcW w:w="1701" w:type="dxa"/>
            <w:tcBorders>
              <w:top w:val="single" w:sz="4" w:space="0" w:color="000000"/>
              <w:left w:val="single" w:sz="4" w:space="0" w:color="000000"/>
              <w:bottom w:val="single" w:sz="4" w:space="0" w:color="000000"/>
              <w:right w:val="single" w:sz="4" w:space="0" w:color="000000"/>
            </w:tcBorders>
            <w:vAlign w:val="center"/>
          </w:tcPr>
          <w:p w14:paraId="2B5E8E62"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w:t>
            </w:r>
          </w:p>
        </w:tc>
      </w:tr>
      <w:tr w:rsidR="00F052F6" w:rsidRPr="003D5CE4" w14:paraId="0DA8E130" w14:textId="77777777" w:rsidTr="003464CC">
        <w:trPr>
          <w:trHeight w:val="52"/>
        </w:trPr>
        <w:tc>
          <w:tcPr>
            <w:tcW w:w="6613" w:type="dxa"/>
            <w:tcBorders>
              <w:top w:val="single" w:sz="4" w:space="0" w:color="000000"/>
              <w:left w:val="single" w:sz="4" w:space="0" w:color="000000"/>
              <w:bottom w:val="single" w:sz="4" w:space="0" w:color="000000"/>
              <w:right w:val="single" w:sz="4" w:space="0" w:color="000000"/>
            </w:tcBorders>
            <w:vAlign w:val="center"/>
          </w:tcPr>
          <w:p w14:paraId="536F1570"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Nën mesataren për shumicën e viteve të vlerësimit  </w:t>
            </w:r>
          </w:p>
        </w:tc>
        <w:tc>
          <w:tcPr>
            <w:tcW w:w="1701" w:type="dxa"/>
            <w:tcBorders>
              <w:top w:val="single" w:sz="4" w:space="0" w:color="000000"/>
              <w:left w:val="single" w:sz="4" w:space="0" w:color="000000"/>
              <w:bottom w:val="single" w:sz="4" w:space="0" w:color="000000"/>
              <w:right w:val="single" w:sz="4" w:space="0" w:color="000000"/>
            </w:tcBorders>
            <w:vAlign w:val="center"/>
          </w:tcPr>
          <w:p w14:paraId="67965788"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8</w:t>
            </w:r>
          </w:p>
        </w:tc>
      </w:tr>
      <w:tr w:rsidR="00F052F6" w:rsidRPr="003D5CE4" w14:paraId="6D4D606F" w14:textId="77777777" w:rsidTr="003464CC">
        <w:trPr>
          <w:trHeight w:val="52"/>
        </w:trPr>
        <w:tc>
          <w:tcPr>
            <w:tcW w:w="6613" w:type="dxa"/>
            <w:tcBorders>
              <w:top w:val="single" w:sz="4" w:space="0" w:color="000000"/>
              <w:left w:val="single" w:sz="4" w:space="0" w:color="000000"/>
              <w:bottom w:val="single" w:sz="4" w:space="0" w:color="000000"/>
              <w:right w:val="single" w:sz="4" w:space="0" w:color="000000"/>
            </w:tcBorders>
            <w:vAlign w:val="center"/>
          </w:tcPr>
          <w:p w14:paraId="22D3ADA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Baras me mesataren për shumicën e viteve të vlerësimit </w:t>
            </w:r>
          </w:p>
        </w:tc>
        <w:tc>
          <w:tcPr>
            <w:tcW w:w="1701" w:type="dxa"/>
            <w:tcBorders>
              <w:top w:val="single" w:sz="4" w:space="0" w:color="000000"/>
              <w:left w:val="single" w:sz="4" w:space="0" w:color="000000"/>
              <w:bottom w:val="single" w:sz="4" w:space="0" w:color="000000"/>
              <w:right w:val="single" w:sz="4" w:space="0" w:color="000000"/>
            </w:tcBorders>
            <w:vAlign w:val="center"/>
          </w:tcPr>
          <w:p w14:paraId="2DBAAB60"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12</w:t>
            </w:r>
          </w:p>
        </w:tc>
      </w:tr>
      <w:tr w:rsidR="00F052F6" w:rsidRPr="003D5CE4" w14:paraId="63F69AD1" w14:textId="77777777" w:rsidTr="003464CC">
        <w:trPr>
          <w:trHeight w:val="52"/>
        </w:trPr>
        <w:tc>
          <w:tcPr>
            <w:tcW w:w="6613" w:type="dxa"/>
            <w:tcBorders>
              <w:top w:val="single" w:sz="4" w:space="0" w:color="000000"/>
              <w:left w:val="single" w:sz="4" w:space="0" w:color="000000"/>
              <w:bottom w:val="single" w:sz="4" w:space="0" w:color="000000"/>
              <w:right w:val="single" w:sz="4" w:space="0" w:color="000000"/>
            </w:tcBorders>
            <w:vAlign w:val="center"/>
          </w:tcPr>
          <w:p w14:paraId="4C796501"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për shumicën e viteve të vlerësimit  </w:t>
            </w:r>
          </w:p>
        </w:tc>
        <w:tc>
          <w:tcPr>
            <w:tcW w:w="1701" w:type="dxa"/>
            <w:tcBorders>
              <w:top w:val="single" w:sz="4" w:space="0" w:color="000000"/>
              <w:left w:val="single" w:sz="4" w:space="0" w:color="000000"/>
              <w:bottom w:val="single" w:sz="4" w:space="0" w:color="000000"/>
              <w:right w:val="single" w:sz="4" w:space="0" w:color="000000"/>
            </w:tcBorders>
            <w:vAlign w:val="center"/>
          </w:tcPr>
          <w:p w14:paraId="6824B9BE"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16</w:t>
            </w:r>
          </w:p>
        </w:tc>
      </w:tr>
      <w:tr w:rsidR="00F052F6" w:rsidRPr="003D5CE4" w14:paraId="7DB4CE37" w14:textId="77777777" w:rsidTr="003464CC">
        <w:trPr>
          <w:trHeight w:val="52"/>
        </w:trPr>
        <w:tc>
          <w:tcPr>
            <w:tcW w:w="6613" w:type="dxa"/>
            <w:tcBorders>
              <w:top w:val="single" w:sz="4" w:space="0" w:color="000000"/>
              <w:left w:val="single" w:sz="4" w:space="0" w:color="000000"/>
              <w:bottom w:val="single" w:sz="4" w:space="0" w:color="000000"/>
              <w:right w:val="single" w:sz="4" w:space="0" w:color="000000"/>
            </w:tcBorders>
            <w:vAlign w:val="center"/>
          </w:tcPr>
          <w:p w14:paraId="069E3A3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Mbi mesataren për të gjitha vitet e vlerësimit</w:t>
            </w:r>
          </w:p>
        </w:tc>
        <w:tc>
          <w:tcPr>
            <w:tcW w:w="1701" w:type="dxa"/>
            <w:tcBorders>
              <w:top w:val="single" w:sz="4" w:space="0" w:color="000000"/>
              <w:left w:val="single" w:sz="4" w:space="0" w:color="000000"/>
              <w:bottom w:val="single" w:sz="4" w:space="0" w:color="000000"/>
              <w:right w:val="single" w:sz="4" w:space="0" w:color="000000"/>
            </w:tcBorders>
            <w:vAlign w:val="center"/>
          </w:tcPr>
          <w:p w14:paraId="7F2D08BA"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20</w:t>
            </w:r>
          </w:p>
        </w:tc>
      </w:tr>
    </w:tbl>
    <w:p w14:paraId="1C57FD8F" w14:textId="77777777" w:rsidR="00F052F6" w:rsidRPr="0072648E" w:rsidRDefault="00F052F6" w:rsidP="00F052F6">
      <w:pPr>
        <w:spacing w:after="0" w:line="240" w:lineRule="auto"/>
        <w:ind w:firstLine="284"/>
        <w:jc w:val="both"/>
        <w:rPr>
          <w:rFonts w:ascii="Garamond" w:hAnsi="Garamond"/>
          <w:sz w:val="14"/>
          <w:szCs w:val="24"/>
        </w:rPr>
      </w:pPr>
    </w:p>
    <w:p w14:paraId="76A707E0"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Të gjitha të dhënat statistikore analizohen sipas situatës me qëllim për të shmangur përfundimet për çështje që nuk janë përgjegjësi e prokurorit. Analiza e të dhënave statistikore bazohet në kompleksitetin e çështjeve, volumin e çështjeve në hetim në raport me mesataren e çështjeve për prokuror, në prokurorinë ku ushtron funksioni prokurori, rritjen e papritur të volumit të çështjeve dhe aspekteve të tjera që lidhen me kushtet e punës, të cilat mund të çojnë në një pikëzim më të lartë nga ai i tabelës së mësipërme, deri në pikëzimin maksimal.</w:t>
      </w:r>
    </w:p>
    <w:p w14:paraId="00E60DAC"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Gjithashtu</w:t>
      </w:r>
      <w:r>
        <w:rPr>
          <w:rFonts w:ascii="Garamond" w:hAnsi="Garamond"/>
          <w:sz w:val="24"/>
          <w:szCs w:val="24"/>
        </w:rPr>
        <w:t>,</w:t>
      </w:r>
      <w:r w:rsidRPr="003D5CE4">
        <w:rPr>
          <w:rFonts w:ascii="Garamond" w:hAnsi="Garamond"/>
          <w:sz w:val="24"/>
          <w:szCs w:val="24"/>
        </w:rPr>
        <w:t xml:space="preserve"> për të pikëzuar këtë tregues, vlerësuesi mban në konsideratë numrit total të çështjeve që ka hetuar/trajtuar prokuror në raport me numrin mesatar të çështjeve të trajtuara/ hetuara nga prokurorët e tjerë të së njëjtës prokurori/seksion, gjatë po të njëjtit vit kalendarik, si dhe faktin, nëse prokurori ka qenë edhe prokuror i ngarkuar me ekzekutimin e vendimeve penale. </w:t>
      </w:r>
    </w:p>
    <w:p w14:paraId="14A7252D" w14:textId="77777777" w:rsidR="00F052F6" w:rsidRPr="0073052C" w:rsidRDefault="00F052F6" w:rsidP="00F052F6">
      <w:pPr>
        <w:spacing w:after="0" w:line="240" w:lineRule="auto"/>
        <w:ind w:firstLine="284"/>
        <w:jc w:val="both"/>
        <w:rPr>
          <w:rFonts w:ascii="Garamond" w:hAnsi="Garamond"/>
          <w:color w:val="FF0000"/>
          <w:sz w:val="14"/>
          <w:szCs w:val="24"/>
        </w:rPr>
      </w:pPr>
    </w:p>
    <w:p w14:paraId="6B49F0D5" w14:textId="77777777" w:rsidR="00F052F6" w:rsidRPr="003D5CE4" w:rsidRDefault="00F052F6" w:rsidP="00F052F6">
      <w:pPr>
        <w:pStyle w:val="Heading2"/>
        <w:spacing w:after="0" w:line="240" w:lineRule="auto"/>
        <w:ind w:left="0" w:firstLine="284"/>
        <w:jc w:val="both"/>
        <w:rPr>
          <w:rFonts w:ascii="Garamond" w:hAnsi="Garamond"/>
          <w:szCs w:val="24"/>
        </w:rPr>
      </w:pPr>
      <w:r w:rsidRPr="003D5CE4">
        <w:rPr>
          <w:rFonts w:ascii="Garamond" w:hAnsi="Garamond"/>
          <w:szCs w:val="24"/>
        </w:rPr>
        <w:t>B.</w:t>
      </w:r>
      <w:r w:rsidRPr="003D5CE4">
        <w:rPr>
          <w:rFonts w:ascii="Garamond" w:eastAsia="Arial" w:hAnsi="Garamond"/>
          <w:szCs w:val="24"/>
        </w:rPr>
        <w:t xml:space="preserve"> </w:t>
      </w:r>
      <w:r w:rsidRPr="003D5CE4">
        <w:rPr>
          <w:rFonts w:ascii="Garamond" w:hAnsi="Garamond"/>
          <w:szCs w:val="24"/>
        </w:rPr>
        <w:t xml:space="preserve">Aftësia për të kryer procedurat hetimore dhe procedura të tjera të sistemit të prokurorisë (40 pikë) </w:t>
      </w:r>
    </w:p>
    <w:p w14:paraId="0EA91DA5" w14:textId="77777777" w:rsidR="00F052F6" w:rsidRPr="0073052C" w:rsidRDefault="00F052F6" w:rsidP="00F052F6">
      <w:pPr>
        <w:pStyle w:val="AAAAAAAAAAAAAAAAAATEEEEEXXX"/>
        <w:rPr>
          <w:b/>
          <w:sz w:val="14"/>
          <w:szCs w:val="24"/>
        </w:rPr>
      </w:pPr>
      <w:r w:rsidRPr="003D5CE4">
        <w:rPr>
          <w:b/>
          <w:szCs w:val="24"/>
        </w:rPr>
        <w:t xml:space="preserve"> </w:t>
      </w:r>
    </w:p>
    <w:p w14:paraId="08E3015C" w14:textId="77777777" w:rsidR="00F052F6" w:rsidRPr="003D5CE4" w:rsidRDefault="00F052F6" w:rsidP="00F052F6">
      <w:pPr>
        <w:pStyle w:val="AAAAAAAAAAAAAAAAAATEEEEEXXX"/>
        <w:rPr>
          <w:b/>
          <w:szCs w:val="24"/>
        </w:rPr>
      </w:pPr>
      <w:r w:rsidRPr="003D5CE4">
        <w:rPr>
          <w:b/>
          <w:szCs w:val="24"/>
        </w:rPr>
        <w:t>a</w:t>
      </w:r>
      <w:r>
        <w:rPr>
          <w:b/>
          <w:szCs w:val="24"/>
        </w:rPr>
        <w:t>)</w:t>
      </w:r>
      <w:r w:rsidRPr="003D5CE4">
        <w:rPr>
          <w:b/>
          <w:szCs w:val="24"/>
        </w:rPr>
        <w:t xml:space="preserve"> Aftësia e prokurorit për të kryer brenda një afati kohor të përcaktuar, veprimet e nevojshme hetimore dhe procedurale (20 pikë) </w:t>
      </w:r>
    </w:p>
    <w:p w14:paraId="07B7E5AA"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Për të pikëzuar këtë aftësi, vlerësuesi përqendrohet në dokumentet ligjore të dorëzuara nga prokurori, në formularin e integruar të vlerësimit të prokurorit, si dhe në aktet e dosjeve të përzgjedhura me short.</w:t>
      </w:r>
    </w:p>
    <w:p w14:paraId="34F269EC"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Ky tregues vlerëson aftësinë e prokurorit për të kryer në mënyrë efektive dhe dinamike veprimet hetimore dhe procedurale, brenda afateve ligjore, urdhërimin e kryerjes së veprimeve hetimore nga policia gjyqësore, si dhe kontrolli mbi veprimtarinë e policisë gjyqësore.</w:t>
      </w:r>
    </w:p>
    <w:p w14:paraId="52D6614B" w14:textId="77777777" w:rsidR="00F052F6" w:rsidRPr="003D5CE4" w:rsidRDefault="00F052F6" w:rsidP="00F052F6">
      <w:pPr>
        <w:pStyle w:val="AAAAAAAAAAAAAAAAAATEEEEEXXX"/>
        <w:rPr>
          <w:szCs w:val="24"/>
        </w:rPr>
      </w:pPr>
      <w:r w:rsidRPr="003D5CE4">
        <w:rPr>
          <w:szCs w:val="24"/>
        </w:rPr>
        <w:t>Vlerësimi i do të përqendrohet në elementët e mëposhtëm:</w:t>
      </w:r>
    </w:p>
    <w:p w14:paraId="055F5CEE" w14:textId="77777777" w:rsidR="00F052F6" w:rsidRPr="003D5CE4" w:rsidRDefault="00F052F6" w:rsidP="00F052F6">
      <w:pPr>
        <w:pStyle w:val="AAAAAAAAAAAAAAAAAATEEEEEXXX"/>
        <w:rPr>
          <w:bCs/>
          <w:szCs w:val="24"/>
          <w:lang w:eastAsia="en-US"/>
        </w:rPr>
      </w:pPr>
      <w:r w:rsidRPr="003D5CE4">
        <w:rPr>
          <w:szCs w:val="24"/>
        </w:rPr>
        <w:t xml:space="preserve">- </w:t>
      </w:r>
      <w:r w:rsidRPr="003D5CE4">
        <w:rPr>
          <w:bCs/>
          <w:szCs w:val="24"/>
          <w:lang w:eastAsia="en-US"/>
        </w:rPr>
        <w:t>realizimin efektiv dhe në kohë të veprimeve hetimore personalisht apo nëpërmjet urdhërimit ose delegimit të kryerjes së këtyre veprimeve nga policia gjyqësore;</w:t>
      </w:r>
    </w:p>
    <w:p w14:paraId="367CD268" w14:textId="77777777" w:rsidR="00F052F6" w:rsidRPr="003D5CE4" w:rsidRDefault="00F052F6" w:rsidP="00F052F6">
      <w:pPr>
        <w:pStyle w:val="AAAAAAAAAAAAAAAAAATEEEEEXXX"/>
        <w:rPr>
          <w:bCs/>
          <w:szCs w:val="24"/>
          <w:lang w:eastAsia="en-US"/>
        </w:rPr>
      </w:pPr>
      <w:r w:rsidRPr="003D5CE4">
        <w:rPr>
          <w:szCs w:val="24"/>
        </w:rPr>
        <w:t xml:space="preserve">- </w:t>
      </w:r>
      <w:r w:rsidRPr="003D5CE4">
        <w:rPr>
          <w:bCs/>
          <w:szCs w:val="24"/>
          <w:lang w:eastAsia="en-US"/>
        </w:rPr>
        <w:t>realizimi i veprimeve hetimore të cilat janë atribut vetëm i prokurorit ose delegimi korrekt i tyre;</w:t>
      </w:r>
    </w:p>
    <w:p w14:paraId="6DA09F3E" w14:textId="77777777" w:rsidR="00F052F6" w:rsidRPr="003D5CE4" w:rsidRDefault="00F052F6" w:rsidP="00F052F6">
      <w:pPr>
        <w:pStyle w:val="AAAAAAAAAAAAAAAAAATEEEEEXXX"/>
        <w:rPr>
          <w:bCs/>
          <w:szCs w:val="24"/>
          <w:lang w:eastAsia="en-US"/>
        </w:rPr>
      </w:pPr>
      <w:r w:rsidRPr="003D5CE4">
        <w:rPr>
          <w:szCs w:val="24"/>
        </w:rPr>
        <w:t xml:space="preserve">- </w:t>
      </w:r>
      <w:r w:rsidRPr="003D5CE4">
        <w:rPr>
          <w:bCs/>
          <w:szCs w:val="24"/>
          <w:lang w:eastAsia="en-US"/>
        </w:rPr>
        <w:t>numrin mesatar të veprimeve hetimore dhe procedurale të kryera brenda afateve ligjore për çdo çështje;</w:t>
      </w:r>
    </w:p>
    <w:p w14:paraId="460A07F5" w14:textId="77777777" w:rsidR="00F052F6" w:rsidRPr="003D5CE4" w:rsidRDefault="00F052F6" w:rsidP="00F052F6">
      <w:pPr>
        <w:pStyle w:val="AAAAAAAAAAAAAAAAAATEEEEEXXX"/>
        <w:rPr>
          <w:bCs/>
          <w:szCs w:val="24"/>
          <w:lang w:eastAsia="en-US"/>
        </w:rPr>
      </w:pPr>
      <w:r w:rsidRPr="003D5CE4">
        <w:rPr>
          <w:szCs w:val="24"/>
        </w:rPr>
        <w:t xml:space="preserve">- </w:t>
      </w:r>
      <w:r w:rsidRPr="003D5CE4">
        <w:rPr>
          <w:bCs/>
          <w:szCs w:val="24"/>
          <w:lang w:eastAsia="en-US"/>
        </w:rPr>
        <w:t>numrin e veprimeve të duhura për çdo çështje, duke shmangur kryerjen disa herë te veprimeve hetimore dhe procedurale</w:t>
      </w:r>
      <w:r>
        <w:rPr>
          <w:bCs/>
          <w:szCs w:val="24"/>
          <w:lang w:eastAsia="en-US"/>
        </w:rPr>
        <w:t>,</w:t>
      </w:r>
      <w:r w:rsidRPr="003D5CE4">
        <w:rPr>
          <w:bCs/>
          <w:szCs w:val="24"/>
          <w:lang w:eastAsia="en-US"/>
        </w:rPr>
        <w:t xml:space="preserve"> të cilat nuk janë të nevojshme ose vonesën në kryerjen e veprimeve të nevojshme;</w:t>
      </w:r>
    </w:p>
    <w:p w14:paraId="09E0145B" w14:textId="77777777" w:rsidR="00F052F6" w:rsidRPr="003D5CE4" w:rsidRDefault="00F052F6" w:rsidP="00F052F6">
      <w:pPr>
        <w:pStyle w:val="AAAAAAAAAAAAAAAAAATEEEEEXXX"/>
        <w:rPr>
          <w:bCs/>
          <w:szCs w:val="24"/>
          <w:lang w:eastAsia="en-US"/>
        </w:rPr>
      </w:pPr>
      <w:r w:rsidRPr="003D5CE4">
        <w:rPr>
          <w:szCs w:val="24"/>
        </w:rPr>
        <w:t xml:space="preserve">- </w:t>
      </w:r>
      <w:r w:rsidRPr="003D5CE4">
        <w:rPr>
          <w:bCs/>
          <w:szCs w:val="24"/>
          <w:lang w:eastAsia="en-US"/>
        </w:rPr>
        <w:t xml:space="preserve">kryerjen e të gjitha veprimeve të nevojshme për zgjidhjen e çështjes konkrete; </w:t>
      </w:r>
    </w:p>
    <w:p w14:paraId="74798C12" w14:textId="77777777" w:rsidR="00F052F6" w:rsidRPr="003D5CE4" w:rsidRDefault="00F052F6" w:rsidP="00F052F6">
      <w:pPr>
        <w:pStyle w:val="AAAAAAAAAAAAAAAAAATEEEEEXXX"/>
        <w:rPr>
          <w:bCs/>
          <w:szCs w:val="24"/>
          <w:lang w:eastAsia="en-US"/>
        </w:rPr>
      </w:pPr>
      <w:r w:rsidRPr="003D5CE4">
        <w:rPr>
          <w:szCs w:val="24"/>
        </w:rPr>
        <w:t xml:space="preserve">- </w:t>
      </w:r>
      <w:r w:rsidRPr="003D5CE4">
        <w:rPr>
          <w:bCs/>
          <w:szCs w:val="24"/>
          <w:lang w:eastAsia="en-US"/>
        </w:rPr>
        <w:t>zbatimi ose jo i udhëzimeve jodetyruese të drejtuesit të prokurorisë dhe në rastin e moszbatimit, mbajtja ose jo e një qëndrimi të argumentuar;</w:t>
      </w:r>
    </w:p>
    <w:p w14:paraId="75FF8466" w14:textId="77777777" w:rsidR="00F052F6" w:rsidRPr="003D5CE4" w:rsidRDefault="00F052F6" w:rsidP="00F052F6">
      <w:pPr>
        <w:pStyle w:val="AAAAAAAAAAAAAAAAAATEEEEEXXX"/>
        <w:rPr>
          <w:bCs/>
          <w:szCs w:val="24"/>
          <w:lang w:eastAsia="en-US"/>
        </w:rPr>
      </w:pPr>
      <w:r w:rsidRPr="003D5CE4">
        <w:rPr>
          <w:szCs w:val="24"/>
        </w:rPr>
        <w:t xml:space="preserve">- </w:t>
      </w:r>
      <w:r w:rsidRPr="003D5CE4">
        <w:rPr>
          <w:bCs/>
          <w:szCs w:val="24"/>
          <w:lang w:eastAsia="en-US"/>
        </w:rPr>
        <w:t>respektimi i afateve dhe zbatimi i detyrave të lëna nga ana e gjykatës;</w:t>
      </w:r>
    </w:p>
    <w:p w14:paraId="6687329D" w14:textId="77777777" w:rsidR="00F052F6" w:rsidRPr="0073052C" w:rsidRDefault="00F052F6" w:rsidP="00F052F6">
      <w:pPr>
        <w:pStyle w:val="ListParagraph"/>
        <w:spacing w:after="0" w:line="240" w:lineRule="auto"/>
        <w:ind w:left="0" w:firstLine="284"/>
        <w:jc w:val="both"/>
        <w:rPr>
          <w:rFonts w:ascii="Garamond" w:hAnsi="Garamond"/>
          <w:bCs/>
          <w:sz w:val="14"/>
          <w:szCs w:val="24"/>
        </w:rPr>
      </w:pPr>
    </w:p>
    <w:tbl>
      <w:tblPr>
        <w:tblW w:w="8177" w:type="dxa"/>
        <w:tblInd w:w="182" w:type="dxa"/>
        <w:tblCellMar>
          <w:top w:w="7" w:type="dxa"/>
          <w:right w:w="56" w:type="dxa"/>
        </w:tblCellMar>
        <w:tblLook w:val="04A0" w:firstRow="1" w:lastRow="0" w:firstColumn="1" w:lastColumn="0" w:noHBand="0" w:noVBand="1"/>
      </w:tblPr>
      <w:tblGrid>
        <w:gridCol w:w="2313"/>
        <w:gridCol w:w="2036"/>
        <w:gridCol w:w="3828"/>
      </w:tblGrid>
      <w:tr w:rsidR="00F052F6" w:rsidRPr="003D5CE4" w14:paraId="2E04EAFD" w14:textId="77777777" w:rsidTr="003464CC">
        <w:trPr>
          <w:trHeight w:val="57"/>
        </w:trPr>
        <w:tc>
          <w:tcPr>
            <w:tcW w:w="4349"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14:paraId="6BADB116"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Shkalla e aftësisë së prokurorit </w:t>
            </w:r>
          </w:p>
        </w:tc>
        <w:tc>
          <w:tcPr>
            <w:tcW w:w="3828"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016F8318"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Nr. i pikëve</w:t>
            </w:r>
          </w:p>
        </w:tc>
      </w:tr>
      <w:tr w:rsidR="00F052F6" w:rsidRPr="003D5CE4" w14:paraId="298AE513"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0DB7B964"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2036" w:type="dxa"/>
            <w:tcBorders>
              <w:top w:val="single" w:sz="4" w:space="0" w:color="000000"/>
              <w:left w:val="nil"/>
              <w:bottom w:val="single" w:sz="4" w:space="0" w:color="000000"/>
              <w:right w:val="single" w:sz="4" w:space="0" w:color="000000"/>
            </w:tcBorders>
          </w:tcPr>
          <w:p w14:paraId="5C4FE943"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00B48CD1"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w:t>
            </w:r>
          </w:p>
        </w:tc>
      </w:tr>
      <w:tr w:rsidR="00F052F6" w:rsidRPr="003D5CE4" w14:paraId="57C70C26"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5082D7C1"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2036" w:type="dxa"/>
            <w:tcBorders>
              <w:top w:val="single" w:sz="4" w:space="0" w:color="000000"/>
              <w:left w:val="nil"/>
              <w:bottom w:val="single" w:sz="4" w:space="0" w:color="000000"/>
              <w:right w:val="single" w:sz="4" w:space="0" w:color="000000"/>
            </w:tcBorders>
          </w:tcPr>
          <w:p w14:paraId="469BE1E4"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6535B0A8"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8</w:t>
            </w:r>
          </w:p>
        </w:tc>
      </w:tr>
      <w:tr w:rsidR="00F052F6" w:rsidRPr="003D5CE4" w14:paraId="64E6808D"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0A29F5F5"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2036" w:type="dxa"/>
            <w:tcBorders>
              <w:top w:val="single" w:sz="4" w:space="0" w:color="000000"/>
              <w:left w:val="nil"/>
              <w:bottom w:val="single" w:sz="4" w:space="0" w:color="000000"/>
              <w:right w:val="single" w:sz="4" w:space="0" w:color="000000"/>
            </w:tcBorders>
          </w:tcPr>
          <w:p w14:paraId="06CD7DEA"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14643F8B"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12</w:t>
            </w:r>
          </w:p>
        </w:tc>
      </w:tr>
      <w:tr w:rsidR="00F052F6" w:rsidRPr="003D5CE4" w14:paraId="5E10FD1F"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79DE7EE1"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2036" w:type="dxa"/>
            <w:tcBorders>
              <w:top w:val="single" w:sz="4" w:space="0" w:color="000000"/>
              <w:left w:val="nil"/>
              <w:bottom w:val="single" w:sz="4" w:space="0" w:color="000000"/>
              <w:right w:val="single" w:sz="4" w:space="0" w:color="000000"/>
            </w:tcBorders>
          </w:tcPr>
          <w:p w14:paraId="67B67FE3"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5F5514EF"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16</w:t>
            </w:r>
          </w:p>
        </w:tc>
      </w:tr>
      <w:tr w:rsidR="00F052F6" w:rsidRPr="003D5CE4" w14:paraId="55AFEBB4"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4CCB8878"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2036" w:type="dxa"/>
            <w:tcBorders>
              <w:top w:val="single" w:sz="4" w:space="0" w:color="000000"/>
              <w:left w:val="nil"/>
              <w:bottom w:val="single" w:sz="4" w:space="0" w:color="000000"/>
              <w:right w:val="single" w:sz="4" w:space="0" w:color="000000"/>
            </w:tcBorders>
          </w:tcPr>
          <w:p w14:paraId="373F4740"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119D2C0F"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20</w:t>
            </w:r>
          </w:p>
        </w:tc>
      </w:tr>
    </w:tbl>
    <w:p w14:paraId="58F23154" w14:textId="77777777" w:rsidR="00F052F6" w:rsidRPr="00A43D8D" w:rsidRDefault="00F052F6" w:rsidP="00F052F6">
      <w:pPr>
        <w:spacing w:after="0" w:line="240" w:lineRule="auto"/>
        <w:ind w:firstLine="284"/>
        <w:jc w:val="both"/>
        <w:rPr>
          <w:rFonts w:ascii="Garamond" w:hAnsi="Garamond"/>
          <w:bCs/>
          <w:sz w:val="14"/>
          <w:szCs w:val="24"/>
        </w:rPr>
      </w:pPr>
    </w:p>
    <w:p w14:paraId="5E5B54A8"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Të gjitha të dhënat statistikore analizohen sipas situatës me qëllim për të shmangur përfundimet për çështje që nuk janë përgjegjësi e prokurorit. Analiza e të dhënave statistikore bazohet në kompleksitetin e çështjeve, volumin e </w:t>
      </w:r>
      <w:r w:rsidRPr="00DB634E">
        <w:rPr>
          <w:rFonts w:ascii="Garamond" w:hAnsi="Garamond"/>
          <w:color w:val="000000"/>
          <w:sz w:val="24"/>
          <w:szCs w:val="24"/>
        </w:rPr>
        <w:t xml:space="preserve">çështjeve në hetim në raport me mesataren e çështjeve për prokuror, në prokurorinë ku ushtron funksioni prokurori, </w:t>
      </w:r>
      <w:r w:rsidRPr="003D5CE4">
        <w:rPr>
          <w:rFonts w:ascii="Garamond" w:hAnsi="Garamond"/>
          <w:sz w:val="24"/>
          <w:szCs w:val="24"/>
        </w:rPr>
        <w:t>rritjen e papritur të volumit të çështjeve dhe aspekteve të tjera që lidhen me kushtet e punës, të cilat mund të çojnë në një pikëzim më të larte nga ai i tabelës së mësipërme, deri në pikëzimin maksimal.</w:t>
      </w:r>
    </w:p>
    <w:p w14:paraId="70CB9582" w14:textId="77777777" w:rsidR="00F052F6" w:rsidRPr="003D5CE4" w:rsidRDefault="00F052F6" w:rsidP="00F052F6">
      <w:pPr>
        <w:pStyle w:val="AAAAAAAAAAAAAAAAAATEEEEEXXX"/>
        <w:rPr>
          <w:b/>
          <w:szCs w:val="24"/>
        </w:rPr>
      </w:pPr>
      <w:r w:rsidRPr="003D5CE4">
        <w:rPr>
          <w:b/>
          <w:szCs w:val="24"/>
        </w:rPr>
        <w:t>b</w:t>
      </w:r>
      <w:r>
        <w:rPr>
          <w:b/>
          <w:szCs w:val="24"/>
        </w:rPr>
        <w:t>)</w:t>
      </w:r>
      <w:r w:rsidRPr="003D5CE4">
        <w:rPr>
          <w:b/>
          <w:szCs w:val="24"/>
        </w:rPr>
        <w:t xml:space="preserve"> Aftësia e prokurorit për të mbledhur provat e nevojshme (15 pikë) </w:t>
      </w:r>
    </w:p>
    <w:p w14:paraId="4D338C52" w14:textId="77777777" w:rsidR="00F052F6" w:rsidRPr="00DB634E" w:rsidRDefault="00F052F6" w:rsidP="00F052F6">
      <w:pPr>
        <w:spacing w:after="0" w:line="240" w:lineRule="auto"/>
        <w:ind w:firstLine="284"/>
        <w:jc w:val="both"/>
        <w:rPr>
          <w:rFonts w:ascii="Garamond" w:hAnsi="Garamond"/>
          <w:color w:val="000000"/>
          <w:sz w:val="24"/>
          <w:szCs w:val="24"/>
        </w:rPr>
      </w:pPr>
      <w:r w:rsidRPr="00DB634E">
        <w:rPr>
          <w:rFonts w:ascii="Garamond" w:hAnsi="Garamond"/>
          <w:color w:val="000000"/>
          <w:sz w:val="24"/>
          <w:szCs w:val="24"/>
        </w:rPr>
        <w:t>Për të pikëzuar këtë aftësi, vlerësuesi përqendrohet në dokumentet ligjore të dorëzuara nga prokurori, në formularin e integruar të vlerësimit të prokurorit, si dhe në aktet e dosjeve të përzgjedhura me short.</w:t>
      </w:r>
    </w:p>
    <w:p w14:paraId="4D9AF570" w14:textId="77777777" w:rsidR="00F052F6" w:rsidRPr="003D5CE4" w:rsidRDefault="00F052F6" w:rsidP="00F052F6">
      <w:pPr>
        <w:pStyle w:val="AAAAAAAAAAAAAAAAAATEEEEEXXX"/>
        <w:rPr>
          <w:szCs w:val="24"/>
        </w:rPr>
      </w:pPr>
      <w:r w:rsidRPr="003D5CE4">
        <w:rPr>
          <w:szCs w:val="24"/>
        </w:rPr>
        <w:t>Vlerësimi do të përqendrohet në elementët e mëposhtëm:</w:t>
      </w:r>
    </w:p>
    <w:p w14:paraId="4CC6A6BF"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Aftësia për të mbledhur prova që janë të nevojshme për të mbështetur objektin e hetimit, si dhe ndikimin e tyre në zgjidhjen përfundimtare të çështjes;</w:t>
      </w:r>
    </w:p>
    <w:p w14:paraId="7BF7DE27"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Aftësia për të urdhëruar kryerjen e veprimeve të nevojshme hetimore, efikasiteti i veprimeve hetimore të urdhëruar, si dhe ndjekja në dinamikë e veprimeve të urdhëruara dhe të kryera nga Policia Gjyqësore;</w:t>
      </w:r>
    </w:p>
    <w:p w14:paraId="6F12662A"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Aftësia në fazën e gjykimit, për të kërkuar administrimin e provave të nevojshme, që mbështesin aktin e prokurorit, si dhe për të mbajtur qëndrim në lidhje me provat e kërkuara nga i pandehuri. </w:t>
      </w:r>
    </w:p>
    <w:p w14:paraId="2FE65DF5" w14:textId="77777777" w:rsidR="00F052F6" w:rsidRPr="00DB634E" w:rsidRDefault="00F052F6" w:rsidP="00F052F6">
      <w:pPr>
        <w:spacing w:after="0" w:line="240" w:lineRule="auto"/>
        <w:ind w:firstLine="284"/>
        <w:jc w:val="both"/>
        <w:rPr>
          <w:rFonts w:ascii="Garamond" w:hAnsi="Garamond"/>
          <w:color w:val="000000"/>
          <w:sz w:val="24"/>
          <w:szCs w:val="24"/>
        </w:rPr>
      </w:pPr>
      <w:r w:rsidRPr="00DB634E">
        <w:rPr>
          <w:rFonts w:ascii="Garamond" w:hAnsi="Garamond"/>
          <w:color w:val="000000"/>
          <w:sz w:val="24"/>
          <w:szCs w:val="24"/>
        </w:rPr>
        <w:t>Mbledhja apo kërkimi i provave që nuk janë në përputhje me objektin apo qëllimin e hetimit apo të asaj se çfarë kërkohet të provohet, nuk mund të jetë tregues i aftësive për të mbledhur provat.</w:t>
      </w:r>
    </w:p>
    <w:p w14:paraId="33AF4DDB" w14:textId="77777777" w:rsidR="00F052F6" w:rsidRPr="00A43D8D" w:rsidRDefault="00F052F6" w:rsidP="00F052F6">
      <w:pPr>
        <w:pStyle w:val="ListParagraph"/>
        <w:spacing w:after="0" w:line="240" w:lineRule="auto"/>
        <w:ind w:left="0" w:firstLine="284"/>
        <w:jc w:val="both"/>
        <w:rPr>
          <w:rFonts w:ascii="Garamond" w:hAnsi="Garamond"/>
          <w:sz w:val="14"/>
          <w:szCs w:val="24"/>
          <w:highlight w:val="yellow"/>
        </w:rPr>
      </w:pPr>
    </w:p>
    <w:tbl>
      <w:tblPr>
        <w:tblW w:w="8177" w:type="dxa"/>
        <w:tblInd w:w="182" w:type="dxa"/>
        <w:tblCellMar>
          <w:top w:w="7" w:type="dxa"/>
          <w:right w:w="56" w:type="dxa"/>
        </w:tblCellMar>
        <w:tblLook w:val="04A0" w:firstRow="1" w:lastRow="0" w:firstColumn="1" w:lastColumn="0" w:noHBand="0" w:noVBand="1"/>
      </w:tblPr>
      <w:tblGrid>
        <w:gridCol w:w="2313"/>
        <w:gridCol w:w="2036"/>
        <w:gridCol w:w="3828"/>
      </w:tblGrid>
      <w:tr w:rsidR="00F052F6" w:rsidRPr="003D5CE4" w14:paraId="74209C60" w14:textId="77777777" w:rsidTr="003464CC">
        <w:trPr>
          <w:trHeight w:val="57"/>
        </w:trPr>
        <w:tc>
          <w:tcPr>
            <w:tcW w:w="4349"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14:paraId="674A99D5"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Shkalla e aftësisë së prokurorit </w:t>
            </w:r>
          </w:p>
        </w:tc>
        <w:tc>
          <w:tcPr>
            <w:tcW w:w="3828"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33FC60F6"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Nr. i pikëve</w:t>
            </w:r>
          </w:p>
        </w:tc>
      </w:tr>
      <w:tr w:rsidR="00F052F6" w:rsidRPr="003D5CE4" w14:paraId="3C868A52"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221BF501"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2036" w:type="dxa"/>
            <w:tcBorders>
              <w:top w:val="single" w:sz="4" w:space="0" w:color="000000"/>
              <w:left w:val="nil"/>
              <w:bottom w:val="single" w:sz="4" w:space="0" w:color="000000"/>
              <w:right w:val="single" w:sz="4" w:space="0" w:color="000000"/>
            </w:tcBorders>
          </w:tcPr>
          <w:p w14:paraId="2592F105"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11351580"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3</w:t>
            </w:r>
          </w:p>
        </w:tc>
      </w:tr>
      <w:tr w:rsidR="00F052F6" w:rsidRPr="003D5CE4" w14:paraId="7EAA451B"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107535D2"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2036" w:type="dxa"/>
            <w:tcBorders>
              <w:top w:val="single" w:sz="4" w:space="0" w:color="000000"/>
              <w:left w:val="nil"/>
              <w:bottom w:val="single" w:sz="4" w:space="0" w:color="000000"/>
              <w:right w:val="single" w:sz="4" w:space="0" w:color="000000"/>
            </w:tcBorders>
          </w:tcPr>
          <w:p w14:paraId="7B9E7E72"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0A65CE5C"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6</w:t>
            </w:r>
          </w:p>
        </w:tc>
      </w:tr>
      <w:tr w:rsidR="00F052F6" w:rsidRPr="003D5CE4" w14:paraId="096E8E5C"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652A2B05"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2036" w:type="dxa"/>
            <w:tcBorders>
              <w:top w:val="single" w:sz="4" w:space="0" w:color="000000"/>
              <w:left w:val="nil"/>
              <w:bottom w:val="single" w:sz="4" w:space="0" w:color="000000"/>
              <w:right w:val="single" w:sz="4" w:space="0" w:color="000000"/>
            </w:tcBorders>
          </w:tcPr>
          <w:p w14:paraId="1DC155BB"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1D02A487"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9</w:t>
            </w:r>
          </w:p>
        </w:tc>
      </w:tr>
      <w:tr w:rsidR="00F052F6" w:rsidRPr="003D5CE4" w14:paraId="6C782C73"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7158258D"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2036" w:type="dxa"/>
            <w:tcBorders>
              <w:top w:val="single" w:sz="4" w:space="0" w:color="000000"/>
              <w:left w:val="nil"/>
              <w:bottom w:val="single" w:sz="4" w:space="0" w:color="000000"/>
              <w:right w:val="single" w:sz="4" w:space="0" w:color="000000"/>
            </w:tcBorders>
          </w:tcPr>
          <w:p w14:paraId="5DA59306"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34063050"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12</w:t>
            </w:r>
          </w:p>
        </w:tc>
      </w:tr>
      <w:tr w:rsidR="00F052F6" w:rsidRPr="003D5CE4" w14:paraId="55EA92EC"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594E2B3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2036" w:type="dxa"/>
            <w:tcBorders>
              <w:top w:val="single" w:sz="4" w:space="0" w:color="000000"/>
              <w:left w:val="nil"/>
              <w:bottom w:val="single" w:sz="4" w:space="0" w:color="000000"/>
              <w:right w:val="single" w:sz="4" w:space="0" w:color="000000"/>
            </w:tcBorders>
          </w:tcPr>
          <w:p w14:paraId="26DDBFEB"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24185E68"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15</w:t>
            </w:r>
          </w:p>
        </w:tc>
      </w:tr>
    </w:tbl>
    <w:p w14:paraId="23134B17" w14:textId="77777777" w:rsidR="00F052F6" w:rsidRPr="00A43D8D" w:rsidRDefault="00F052F6" w:rsidP="00F052F6">
      <w:pPr>
        <w:spacing w:after="0" w:line="240" w:lineRule="auto"/>
        <w:ind w:firstLine="284"/>
        <w:jc w:val="both"/>
        <w:rPr>
          <w:rFonts w:ascii="Garamond" w:hAnsi="Garamond"/>
          <w:sz w:val="14"/>
          <w:szCs w:val="24"/>
        </w:rPr>
      </w:pPr>
    </w:p>
    <w:p w14:paraId="363485A7" w14:textId="77777777" w:rsidR="00F052F6" w:rsidRPr="003D5CE4" w:rsidRDefault="00F052F6" w:rsidP="00F052F6">
      <w:pPr>
        <w:pStyle w:val="AAAAAAAAAAAAAAAAAATEEEEEXXX"/>
        <w:rPr>
          <w:b/>
          <w:szCs w:val="24"/>
        </w:rPr>
      </w:pPr>
      <w:r w:rsidRPr="003D5CE4">
        <w:rPr>
          <w:b/>
          <w:szCs w:val="24"/>
        </w:rPr>
        <w:t>c</w:t>
      </w:r>
      <w:r>
        <w:rPr>
          <w:b/>
          <w:szCs w:val="24"/>
        </w:rPr>
        <w:t>)</w:t>
      </w:r>
      <w:r w:rsidRPr="003D5CE4">
        <w:rPr>
          <w:b/>
          <w:szCs w:val="24"/>
        </w:rPr>
        <w:t xml:space="preserve"> Aftësia e prokurorit për të mbikëqyrur dërgimin pa vonesë të akteve të nevojshme të njoftimit (5 pikë) </w:t>
      </w:r>
    </w:p>
    <w:p w14:paraId="17F81869"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Për të pikëzuar këtë aftësi, vlerësuesi përqendrohet në dokumentet ligjore të dorëzuara nga prokurori, në formularin e integruar të vlerësimit të prokurorit, si dhe në aktet e dosjeve të përzgjedhura me short.</w:t>
      </w:r>
    </w:p>
    <w:p w14:paraId="23CD253A"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Ky tregues vlerëson angazhimin e prokurorit për të përmbushur detyrimet duke dërguar dhe mbikëqyrur njoftimin e akteve, të cilat passjellin vendimmarrje të mëtejshme nga ana e prokurorit. Në lidhje me aktet përfundimtare të prokurorit, mbetet detyrë e administratës së prokurorisë të sigurohet që, aktet përfundimtare të prokurorit t’u njoftohen subjekteve procedurale që parashikon Kodi i Procedurës Penale.</w:t>
      </w:r>
    </w:p>
    <w:p w14:paraId="1019D493" w14:textId="77777777" w:rsidR="00F052F6" w:rsidRPr="003D5CE4" w:rsidRDefault="00F052F6" w:rsidP="00F052F6">
      <w:pPr>
        <w:spacing w:after="0" w:line="240" w:lineRule="auto"/>
        <w:ind w:firstLine="284"/>
        <w:jc w:val="both"/>
        <w:rPr>
          <w:rFonts w:ascii="Garamond" w:hAnsi="Garamond"/>
          <w:bCs/>
          <w:sz w:val="24"/>
          <w:szCs w:val="24"/>
        </w:rPr>
      </w:pPr>
      <w:r w:rsidRPr="003D5CE4">
        <w:rPr>
          <w:rFonts w:ascii="Garamond" w:hAnsi="Garamond"/>
          <w:bCs/>
          <w:sz w:val="24"/>
          <w:szCs w:val="24"/>
        </w:rPr>
        <w:t>Vler</w:t>
      </w:r>
      <w:r w:rsidRPr="003D5CE4">
        <w:rPr>
          <w:rFonts w:ascii="Garamond" w:hAnsi="Garamond"/>
          <w:sz w:val="24"/>
          <w:szCs w:val="24"/>
        </w:rPr>
        <w:t>ësimi do të bazohet në elementet e mëposhtëm</w:t>
      </w:r>
      <w:r w:rsidRPr="003D5CE4">
        <w:rPr>
          <w:rFonts w:ascii="Garamond" w:hAnsi="Garamond"/>
          <w:bCs/>
          <w:sz w:val="24"/>
          <w:szCs w:val="24"/>
        </w:rPr>
        <w:t>:</w:t>
      </w:r>
    </w:p>
    <w:p w14:paraId="49FCCF36" w14:textId="77777777" w:rsidR="00F052F6" w:rsidRPr="003D5CE4" w:rsidRDefault="00F052F6" w:rsidP="00F052F6">
      <w:pPr>
        <w:pStyle w:val="AAAAAAAAAAAAAAAAAATEEEEEXXX"/>
        <w:rPr>
          <w:szCs w:val="24"/>
          <w:lang w:eastAsia="en-US"/>
        </w:rPr>
      </w:pPr>
      <w:r w:rsidRPr="003D5CE4">
        <w:rPr>
          <w:szCs w:val="24"/>
        </w:rPr>
        <w:t xml:space="preserve">- </w:t>
      </w:r>
      <w:r w:rsidRPr="003D5CE4">
        <w:rPr>
          <w:szCs w:val="24"/>
          <w:lang w:eastAsia="en-US"/>
        </w:rPr>
        <w:t xml:space="preserve">dërgimi i akteve të njoftimit të çështjes brenda afateve ligjore dhe brenda kohës së nevojshme të kërkuar nga hetimi; </w:t>
      </w:r>
    </w:p>
    <w:p w14:paraId="02A63339" w14:textId="77777777" w:rsidR="00F052F6" w:rsidRPr="003D5CE4" w:rsidRDefault="00F052F6" w:rsidP="00F052F6">
      <w:pPr>
        <w:pStyle w:val="AAAAAAAAAAAAAAAAAATEEEEEXXX"/>
        <w:rPr>
          <w:szCs w:val="24"/>
          <w:lang w:eastAsia="en-US"/>
        </w:rPr>
      </w:pPr>
      <w:r w:rsidRPr="003D5CE4">
        <w:rPr>
          <w:szCs w:val="24"/>
        </w:rPr>
        <w:t xml:space="preserve">- </w:t>
      </w:r>
      <w:r w:rsidRPr="003D5CE4">
        <w:rPr>
          <w:szCs w:val="24"/>
          <w:lang w:eastAsia="en-US"/>
        </w:rPr>
        <w:t xml:space="preserve">hartimi me shpejtësi dhe brenda afateve ligjore i akteve të njoftimit; </w:t>
      </w:r>
    </w:p>
    <w:p w14:paraId="3D07B4B3" w14:textId="77777777" w:rsidR="00F052F6" w:rsidRPr="003D5CE4" w:rsidRDefault="00F052F6" w:rsidP="00F052F6">
      <w:pPr>
        <w:pStyle w:val="AAAAAAAAAAAAAAAAAATEEEEEXXX"/>
        <w:rPr>
          <w:szCs w:val="24"/>
          <w:lang w:eastAsia="en-US"/>
        </w:rPr>
      </w:pPr>
      <w:r w:rsidRPr="003D5CE4">
        <w:rPr>
          <w:szCs w:val="24"/>
        </w:rPr>
        <w:t xml:space="preserve">- </w:t>
      </w:r>
      <w:r w:rsidRPr="003D5CE4">
        <w:rPr>
          <w:szCs w:val="24"/>
          <w:lang w:eastAsia="en-US"/>
        </w:rPr>
        <w:t>mbikëqyrja nga prokurori, për dërgimin pa vonesë të akteve të nevojshme të njoftimit;</w:t>
      </w:r>
    </w:p>
    <w:p w14:paraId="6BAC0A33" w14:textId="77777777" w:rsidR="00F052F6" w:rsidRPr="003D5CE4" w:rsidRDefault="00F052F6" w:rsidP="00F052F6">
      <w:pPr>
        <w:pStyle w:val="AAAAAAAAAAAAAAAAAATEEEEEXXX"/>
        <w:rPr>
          <w:szCs w:val="24"/>
          <w:lang w:eastAsia="en-US"/>
        </w:rPr>
      </w:pPr>
      <w:r w:rsidRPr="003D5CE4">
        <w:rPr>
          <w:szCs w:val="24"/>
        </w:rPr>
        <w:t xml:space="preserve">- </w:t>
      </w:r>
      <w:r w:rsidRPr="003D5CE4">
        <w:rPr>
          <w:szCs w:val="24"/>
          <w:lang w:eastAsia="en-US"/>
        </w:rPr>
        <w:t>marrja e masave të tjera për të garantuar njoftime të rregullta.</w:t>
      </w:r>
    </w:p>
    <w:p w14:paraId="421028D5" w14:textId="77777777" w:rsidR="00F052F6" w:rsidRPr="0084704D" w:rsidRDefault="00F052F6" w:rsidP="00F052F6">
      <w:pPr>
        <w:pStyle w:val="AAAAAAAAAAAAAAAAAATEEEEEXXX"/>
        <w:rPr>
          <w:sz w:val="14"/>
          <w:szCs w:val="24"/>
        </w:rPr>
      </w:pPr>
    </w:p>
    <w:tbl>
      <w:tblPr>
        <w:tblW w:w="8177" w:type="dxa"/>
        <w:tblInd w:w="182" w:type="dxa"/>
        <w:tblCellMar>
          <w:top w:w="7" w:type="dxa"/>
          <w:right w:w="56" w:type="dxa"/>
        </w:tblCellMar>
        <w:tblLook w:val="04A0" w:firstRow="1" w:lastRow="0" w:firstColumn="1" w:lastColumn="0" w:noHBand="0" w:noVBand="1"/>
      </w:tblPr>
      <w:tblGrid>
        <w:gridCol w:w="2313"/>
        <w:gridCol w:w="2036"/>
        <w:gridCol w:w="3828"/>
      </w:tblGrid>
      <w:tr w:rsidR="00F052F6" w:rsidRPr="003D5CE4" w14:paraId="43F0B45A" w14:textId="77777777" w:rsidTr="003464CC">
        <w:trPr>
          <w:trHeight w:val="57"/>
        </w:trPr>
        <w:tc>
          <w:tcPr>
            <w:tcW w:w="4349"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14:paraId="00FB5936"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Shkalla e aftësisë së prokurorit </w:t>
            </w:r>
          </w:p>
        </w:tc>
        <w:tc>
          <w:tcPr>
            <w:tcW w:w="3828"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459A1A53"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Nr. i pikëve</w:t>
            </w:r>
          </w:p>
        </w:tc>
      </w:tr>
      <w:tr w:rsidR="00F052F6" w:rsidRPr="003D5CE4" w14:paraId="16C71A74"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0443A99B"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2036" w:type="dxa"/>
            <w:tcBorders>
              <w:top w:val="single" w:sz="4" w:space="0" w:color="000000"/>
              <w:left w:val="nil"/>
              <w:bottom w:val="single" w:sz="4" w:space="0" w:color="000000"/>
              <w:right w:val="single" w:sz="4" w:space="0" w:color="000000"/>
            </w:tcBorders>
          </w:tcPr>
          <w:p w14:paraId="32CE48AC"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2EC6AC27"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w:t>
            </w:r>
          </w:p>
        </w:tc>
      </w:tr>
      <w:tr w:rsidR="00F052F6" w:rsidRPr="003D5CE4" w14:paraId="0BB81907"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6F4E9626"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2036" w:type="dxa"/>
            <w:tcBorders>
              <w:top w:val="single" w:sz="4" w:space="0" w:color="000000"/>
              <w:left w:val="nil"/>
              <w:bottom w:val="single" w:sz="4" w:space="0" w:color="000000"/>
              <w:right w:val="single" w:sz="4" w:space="0" w:color="000000"/>
            </w:tcBorders>
          </w:tcPr>
          <w:p w14:paraId="34E330FB"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0ADAECB9"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w:t>
            </w:r>
          </w:p>
        </w:tc>
      </w:tr>
      <w:tr w:rsidR="00F052F6" w:rsidRPr="003D5CE4" w14:paraId="361C1A73"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30A4CE47"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2036" w:type="dxa"/>
            <w:tcBorders>
              <w:top w:val="single" w:sz="4" w:space="0" w:color="000000"/>
              <w:left w:val="nil"/>
              <w:bottom w:val="single" w:sz="4" w:space="0" w:color="000000"/>
              <w:right w:val="single" w:sz="4" w:space="0" w:color="000000"/>
            </w:tcBorders>
          </w:tcPr>
          <w:p w14:paraId="3D8A3E21"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7B7E44A3"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3</w:t>
            </w:r>
          </w:p>
        </w:tc>
      </w:tr>
      <w:tr w:rsidR="00F052F6" w:rsidRPr="003D5CE4" w14:paraId="27CDC6E3"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6F2F83B8"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2036" w:type="dxa"/>
            <w:tcBorders>
              <w:top w:val="single" w:sz="4" w:space="0" w:color="000000"/>
              <w:left w:val="nil"/>
              <w:bottom w:val="single" w:sz="4" w:space="0" w:color="000000"/>
              <w:right w:val="single" w:sz="4" w:space="0" w:color="000000"/>
            </w:tcBorders>
          </w:tcPr>
          <w:p w14:paraId="0CDD10CC"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17DA2BC4"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w:t>
            </w:r>
          </w:p>
        </w:tc>
      </w:tr>
      <w:tr w:rsidR="00F052F6" w:rsidRPr="003D5CE4" w14:paraId="124D752E"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1C53AD49"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2036" w:type="dxa"/>
            <w:tcBorders>
              <w:top w:val="single" w:sz="4" w:space="0" w:color="000000"/>
              <w:left w:val="nil"/>
              <w:bottom w:val="single" w:sz="4" w:space="0" w:color="000000"/>
              <w:right w:val="single" w:sz="4" w:space="0" w:color="000000"/>
            </w:tcBorders>
          </w:tcPr>
          <w:p w14:paraId="512B938C" w14:textId="77777777" w:rsidR="00F052F6" w:rsidRPr="003D5CE4" w:rsidRDefault="00F052F6" w:rsidP="003464CC">
            <w:pPr>
              <w:spacing w:after="0" w:line="240" w:lineRule="auto"/>
              <w:jc w:val="both"/>
              <w:rPr>
                <w:rFonts w:ascii="Garamond" w:hAnsi="Garamond"/>
                <w:sz w:val="24"/>
                <w:szCs w:val="24"/>
              </w:rPr>
            </w:pPr>
          </w:p>
        </w:tc>
        <w:tc>
          <w:tcPr>
            <w:tcW w:w="3828" w:type="dxa"/>
            <w:tcBorders>
              <w:top w:val="single" w:sz="4" w:space="0" w:color="000000"/>
              <w:left w:val="single" w:sz="4" w:space="0" w:color="000000"/>
              <w:bottom w:val="single" w:sz="4" w:space="0" w:color="000000"/>
              <w:right w:val="single" w:sz="4" w:space="0" w:color="000000"/>
            </w:tcBorders>
            <w:vAlign w:val="center"/>
          </w:tcPr>
          <w:p w14:paraId="0FC84D62"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5</w:t>
            </w:r>
          </w:p>
        </w:tc>
      </w:tr>
    </w:tbl>
    <w:p w14:paraId="4095319D" w14:textId="77777777" w:rsidR="00F052F6" w:rsidRPr="003D5CE4" w:rsidRDefault="00F052F6" w:rsidP="00F052F6">
      <w:pPr>
        <w:spacing w:after="0" w:line="240" w:lineRule="auto"/>
        <w:ind w:firstLine="284"/>
        <w:jc w:val="both"/>
        <w:rPr>
          <w:rFonts w:ascii="Garamond" w:hAnsi="Garamond"/>
          <w:sz w:val="24"/>
          <w:szCs w:val="24"/>
        </w:rPr>
      </w:pPr>
    </w:p>
    <w:p w14:paraId="369D2DF3" w14:textId="77777777" w:rsidR="00F052F6" w:rsidRPr="003D5CE4" w:rsidRDefault="00F052F6" w:rsidP="00F052F6">
      <w:pPr>
        <w:pBdr>
          <w:top w:val="single" w:sz="4" w:space="0" w:color="000000"/>
          <w:left w:val="single" w:sz="4" w:space="0" w:color="000000"/>
          <w:bottom w:val="single" w:sz="4" w:space="0" w:color="000000"/>
          <w:right w:val="single" w:sz="4" w:space="0" w:color="000000"/>
        </w:pBdr>
        <w:shd w:val="clear" w:color="auto" w:fill="D9E2F3"/>
        <w:spacing w:after="0" w:line="240" w:lineRule="auto"/>
        <w:ind w:firstLine="284"/>
        <w:jc w:val="both"/>
        <w:rPr>
          <w:rFonts w:ascii="Garamond" w:hAnsi="Garamond"/>
          <w:sz w:val="24"/>
          <w:szCs w:val="24"/>
        </w:rPr>
      </w:pPr>
      <w:r w:rsidRPr="003D5CE4">
        <w:rPr>
          <w:rFonts w:ascii="Garamond" w:hAnsi="Garamond"/>
          <w:b/>
          <w:sz w:val="24"/>
          <w:szCs w:val="24"/>
        </w:rPr>
        <w:t>C.</w:t>
      </w:r>
      <w:r w:rsidRPr="003D5CE4">
        <w:rPr>
          <w:rFonts w:ascii="Garamond" w:eastAsia="Arial" w:hAnsi="Garamond"/>
          <w:b/>
          <w:sz w:val="24"/>
          <w:szCs w:val="24"/>
        </w:rPr>
        <w:t xml:space="preserve"> </w:t>
      </w:r>
      <w:r w:rsidRPr="003D5CE4">
        <w:rPr>
          <w:rFonts w:ascii="Garamond" w:hAnsi="Garamond"/>
          <w:b/>
          <w:sz w:val="24"/>
          <w:szCs w:val="24"/>
        </w:rPr>
        <w:t xml:space="preserve">Aftësia për të administruar dosjen hetimore ose praktikën përkatëse (10 pikë) </w:t>
      </w:r>
    </w:p>
    <w:p w14:paraId="46F89BEB" w14:textId="77777777" w:rsidR="00F052F6" w:rsidRPr="003D5CE4" w:rsidRDefault="00F052F6" w:rsidP="00F052F6">
      <w:pPr>
        <w:pStyle w:val="AAAAAAAAAAAAAAAAAATEEEEEXXX"/>
        <w:rPr>
          <w:b/>
          <w:szCs w:val="24"/>
        </w:rPr>
      </w:pPr>
      <w:r w:rsidRPr="003D5CE4">
        <w:rPr>
          <w:b/>
          <w:szCs w:val="24"/>
        </w:rPr>
        <w:t>a</w:t>
      </w:r>
      <w:r>
        <w:rPr>
          <w:b/>
          <w:szCs w:val="24"/>
        </w:rPr>
        <w:t>)</w:t>
      </w:r>
      <w:r w:rsidRPr="003D5CE4">
        <w:rPr>
          <w:b/>
          <w:szCs w:val="24"/>
        </w:rPr>
        <w:t xml:space="preserve"> Rregullshmëria e dokumentacionit të dosjes ose praktikës (5 pikë) </w:t>
      </w:r>
    </w:p>
    <w:p w14:paraId="4A825BA4" w14:textId="77777777" w:rsidR="00F052F6" w:rsidRPr="003D5CE4" w:rsidRDefault="00F052F6" w:rsidP="00F052F6">
      <w:pPr>
        <w:pStyle w:val="AAAAAAAAAAAAAAAAAATEEEEEXXX"/>
        <w:rPr>
          <w:szCs w:val="24"/>
        </w:rPr>
      </w:pPr>
      <w:r w:rsidRPr="003D5CE4">
        <w:rPr>
          <w:szCs w:val="24"/>
        </w:rPr>
        <w:t xml:space="preserve">Për të vlerësuar këtë tregues, vlerësuesi përqendrohet në aktet e dosjeve të përzgjedhura me short, si dhe në </w:t>
      </w:r>
      <w:r w:rsidRPr="003D5CE4">
        <w:rPr>
          <w:color w:val="auto"/>
          <w:szCs w:val="24"/>
        </w:rPr>
        <w:t>formularin e integruar të vlerësimit të prokurorit</w:t>
      </w:r>
      <w:r w:rsidRPr="003D5CE4">
        <w:rPr>
          <w:szCs w:val="24"/>
        </w:rPr>
        <w:t>.</w:t>
      </w:r>
    </w:p>
    <w:p w14:paraId="0602712F" w14:textId="77777777" w:rsidR="00F052F6" w:rsidRPr="003D5CE4" w:rsidRDefault="00F052F6" w:rsidP="00F052F6">
      <w:pPr>
        <w:pStyle w:val="AAAAAAAAAAAAAAAAAATEEEEEXXX"/>
        <w:rPr>
          <w:szCs w:val="24"/>
        </w:rPr>
      </w:pPr>
      <w:r w:rsidRPr="003D5CE4">
        <w:rPr>
          <w:szCs w:val="24"/>
        </w:rPr>
        <w:t xml:space="preserve">Treguesi i rregullshmërisë vlerësohet dhe pikëzohet në bazë të renditjes së akteve të dosjes hetimore ose të praktikës përkatëse në mënyrë të tillë që dosja të jetë lehtësisht e shfrytëzueshme.  </w:t>
      </w:r>
    </w:p>
    <w:p w14:paraId="26BCB9F2"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Pikëzimi bëhet sipas tabelës së mëposhtme:  </w:t>
      </w:r>
    </w:p>
    <w:tbl>
      <w:tblPr>
        <w:tblW w:w="8318" w:type="dxa"/>
        <w:tblInd w:w="182" w:type="dxa"/>
        <w:tblCellMar>
          <w:top w:w="7" w:type="dxa"/>
          <w:right w:w="56" w:type="dxa"/>
        </w:tblCellMar>
        <w:tblLook w:val="04A0" w:firstRow="1" w:lastRow="0" w:firstColumn="1" w:lastColumn="0" w:noHBand="0" w:noVBand="1"/>
      </w:tblPr>
      <w:tblGrid>
        <w:gridCol w:w="2313"/>
        <w:gridCol w:w="1753"/>
        <w:gridCol w:w="4252"/>
      </w:tblGrid>
      <w:tr w:rsidR="00F052F6" w:rsidRPr="003D5CE4" w14:paraId="710CBDB4" w14:textId="77777777" w:rsidTr="003464CC">
        <w:trPr>
          <w:trHeight w:val="57"/>
        </w:trPr>
        <w:tc>
          <w:tcPr>
            <w:tcW w:w="4066" w:type="dxa"/>
            <w:gridSpan w:val="2"/>
            <w:tcBorders>
              <w:top w:val="single" w:sz="4" w:space="0" w:color="000000"/>
              <w:left w:val="single" w:sz="4" w:space="0" w:color="000000"/>
              <w:bottom w:val="single" w:sz="4" w:space="0" w:color="000000"/>
              <w:right w:val="single" w:sz="4" w:space="0" w:color="000000"/>
            </w:tcBorders>
            <w:shd w:val="clear" w:color="auto" w:fill="B4C6E7"/>
          </w:tcPr>
          <w:p w14:paraId="3136304A"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Shkalla e aftësisë së prokurorit  </w:t>
            </w:r>
          </w:p>
        </w:tc>
        <w:tc>
          <w:tcPr>
            <w:tcW w:w="4252" w:type="dxa"/>
            <w:tcBorders>
              <w:top w:val="single" w:sz="4" w:space="0" w:color="000000"/>
              <w:left w:val="single" w:sz="4" w:space="0" w:color="000000"/>
              <w:bottom w:val="single" w:sz="4" w:space="0" w:color="000000"/>
              <w:right w:val="single" w:sz="4" w:space="0" w:color="000000"/>
            </w:tcBorders>
            <w:shd w:val="clear" w:color="auto" w:fill="B4C6E7"/>
          </w:tcPr>
          <w:p w14:paraId="06E74347"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Nr. i pikëve</w:t>
            </w:r>
          </w:p>
        </w:tc>
      </w:tr>
      <w:tr w:rsidR="00F052F6" w:rsidRPr="003D5CE4" w14:paraId="3E59A60B"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10D6841A"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1753" w:type="dxa"/>
            <w:tcBorders>
              <w:top w:val="single" w:sz="4" w:space="0" w:color="000000"/>
              <w:left w:val="nil"/>
              <w:bottom w:val="single" w:sz="4" w:space="0" w:color="000000"/>
              <w:right w:val="single" w:sz="4" w:space="0" w:color="000000"/>
            </w:tcBorders>
          </w:tcPr>
          <w:p w14:paraId="10968788" w14:textId="77777777" w:rsidR="00F052F6" w:rsidRPr="003D5CE4" w:rsidRDefault="00F052F6" w:rsidP="003464CC">
            <w:pPr>
              <w:spacing w:after="0" w:line="240" w:lineRule="auto"/>
              <w:jc w:val="both"/>
              <w:rPr>
                <w:rFonts w:ascii="Garamond" w:hAnsi="Garamond"/>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79DA14B7"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w:t>
            </w:r>
          </w:p>
        </w:tc>
      </w:tr>
      <w:tr w:rsidR="00F052F6" w:rsidRPr="003D5CE4" w14:paraId="4918D060"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1043CDB0"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1753" w:type="dxa"/>
            <w:tcBorders>
              <w:top w:val="single" w:sz="4" w:space="0" w:color="000000"/>
              <w:left w:val="nil"/>
              <w:bottom w:val="single" w:sz="4" w:space="0" w:color="000000"/>
              <w:right w:val="single" w:sz="4" w:space="0" w:color="000000"/>
            </w:tcBorders>
          </w:tcPr>
          <w:p w14:paraId="14369CAD" w14:textId="77777777" w:rsidR="00F052F6" w:rsidRPr="003D5CE4" w:rsidRDefault="00F052F6" w:rsidP="003464CC">
            <w:pPr>
              <w:spacing w:after="0" w:line="240" w:lineRule="auto"/>
              <w:jc w:val="both"/>
              <w:rPr>
                <w:rFonts w:ascii="Garamond" w:hAnsi="Garamond"/>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0E25541F"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w:t>
            </w:r>
          </w:p>
        </w:tc>
      </w:tr>
      <w:tr w:rsidR="00F052F6" w:rsidRPr="003D5CE4" w14:paraId="36E5C01D"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57FEC5AB"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1753" w:type="dxa"/>
            <w:tcBorders>
              <w:top w:val="single" w:sz="4" w:space="0" w:color="000000"/>
              <w:left w:val="nil"/>
              <w:bottom w:val="single" w:sz="4" w:space="0" w:color="000000"/>
              <w:right w:val="single" w:sz="4" w:space="0" w:color="000000"/>
            </w:tcBorders>
          </w:tcPr>
          <w:p w14:paraId="63F2264F" w14:textId="77777777" w:rsidR="00F052F6" w:rsidRPr="003D5CE4" w:rsidRDefault="00F052F6" w:rsidP="003464CC">
            <w:pPr>
              <w:spacing w:after="0" w:line="240" w:lineRule="auto"/>
              <w:jc w:val="both"/>
              <w:rPr>
                <w:rFonts w:ascii="Garamond" w:hAnsi="Garamond"/>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5BB481D5"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3</w:t>
            </w:r>
          </w:p>
        </w:tc>
      </w:tr>
      <w:tr w:rsidR="00F052F6" w:rsidRPr="003D5CE4" w14:paraId="4DC1F2B8"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2707FC6B"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1753" w:type="dxa"/>
            <w:tcBorders>
              <w:top w:val="single" w:sz="4" w:space="0" w:color="000000"/>
              <w:left w:val="nil"/>
              <w:bottom w:val="single" w:sz="4" w:space="0" w:color="000000"/>
              <w:right w:val="single" w:sz="4" w:space="0" w:color="000000"/>
            </w:tcBorders>
          </w:tcPr>
          <w:p w14:paraId="786B4D37" w14:textId="77777777" w:rsidR="00F052F6" w:rsidRPr="003D5CE4" w:rsidRDefault="00F052F6" w:rsidP="003464CC">
            <w:pPr>
              <w:spacing w:after="0" w:line="240" w:lineRule="auto"/>
              <w:jc w:val="both"/>
              <w:rPr>
                <w:rFonts w:ascii="Garamond" w:hAnsi="Garamond"/>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477E2799"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w:t>
            </w:r>
          </w:p>
        </w:tc>
      </w:tr>
      <w:tr w:rsidR="00F052F6" w:rsidRPr="003D5CE4" w14:paraId="62380A58"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24896A64"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1753" w:type="dxa"/>
            <w:tcBorders>
              <w:top w:val="single" w:sz="4" w:space="0" w:color="000000"/>
              <w:left w:val="nil"/>
              <w:bottom w:val="single" w:sz="4" w:space="0" w:color="000000"/>
              <w:right w:val="single" w:sz="4" w:space="0" w:color="000000"/>
            </w:tcBorders>
          </w:tcPr>
          <w:p w14:paraId="46C3473C" w14:textId="77777777" w:rsidR="00F052F6" w:rsidRPr="003D5CE4" w:rsidRDefault="00F052F6" w:rsidP="003464CC">
            <w:pPr>
              <w:spacing w:after="0" w:line="240" w:lineRule="auto"/>
              <w:jc w:val="both"/>
              <w:rPr>
                <w:rFonts w:ascii="Garamond" w:hAnsi="Garamond"/>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4C909885"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5</w:t>
            </w:r>
          </w:p>
        </w:tc>
      </w:tr>
    </w:tbl>
    <w:p w14:paraId="1AF1BE9E" w14:textId="77777777" w:rsidR="00F052F6" w:rsidRPr="00762678" w:rsidRDefault="00F052F6" w:rsidP="00F052F6">
      <w:pPr>
        <w:spacing w:after="0" w:line="240" w:lineRule="auto"/>
        <w:ind w:firstLine="284"/>
        <w:jc w:val="both"/>
        <w:rPr>
          <w:rFonts w:ascii="Garamond" w:hAnsi="Garamond"/>
          <w:sz w:val="16"/>
          <w:szCs w:val="24"/>
        </w:rPr>
      </w:pPr>
    </w:p>
    <w:p w14:paraId="472A7569" w14:textId="77777777" w:rsidR="00F052F6" w:rsidRPr="003D5CE4" w:rsidRDefault="00F052F6" w:rsidP="00F052F6">
      <w:pPr>
        <w:pStyle w:val="AAAAAAAAAAAAAAAAAATEEEEEXXX"/>
        <w:rPr>
          <w:b/>
          <w:szCs w:val="24"/>
        </w:rPr>
      </w:pPr>
      <w:r w:rsidRPr="003D5CE4">
        <w:rPr>
          <w:b/>
          <w:szCs w:val="24"/>
        </w:rPr>
        <w:t>b</w:t>
      </w:r>
      <w:r>
        <w:rPr>
          <w:b/>
          <w:szCs w:val="24"/>
        </w:rPr>
        <w:t>)</w:t>
      </w:r>
      <w:r w:rsidRPr="003D5CE4">
        <w:rPr>
          <w:b/>
          <w:szCs w:val="24"/>
        </w:rPr>
        <w:t xml:space="preserve"> Plotësia dhe saktësia e dokumentacionit të dosjes ose praktikës (5 pikë) </w:t>
      </w:r>
    </w:p>
    <w:p w14:paraId="42E717F5"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Për të vlerësuar këtë tregues, vlerësuesi përqendrohet në aktet e dosjeve të përzgjedhura me short, si dhe në formularin e integruar të vlerësimit të prokurorit. </w:t>
      </w:r>
    </w:p>
    <w:p w14:paraId="368EF18A"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Treguesi i saktësisë dhe plotësisë së dokumentacionit vlerësohet dhe pikëzohet duke mbajtur parasysh aftësinë e prokurorit për të garantuar që dosja ose praktika të mos  ketë mungesa aktesh dhe që dokumentacioni i përfshirë në dosje të jetë i duhuri dhe t’i përkasë çështjes konkrete. </w:t>
      </w:r>
    </w:p>
    <w:p w14:paraId="24D50550" w14:textId="77777777" w:rsidR="00F052F6" w:rsidRPr="00762678" w:rsidRDefault="00F052F6" w:rsidP="00F052F6">
      <w:pPr>
        <w:spacing w:after="0" w:line="240" w:lineRule="auto"/>
        <w:ind w:firstLine="284"/>
        <w:jc w:val="both"/>
        <w:rPr>
          <w:rFonts w:ascii="Garamond" w:hAnsi="Garamond"/>
          <w:sz w:val="14"/>
          <w:szCs w:val="24"/>
        </w:rPr>
      </w:pPr>
    </w:p>
    <w:tbl>
      <w:tblPr>
        <w:tblW w:w="8177" w:type="dxa"/>
        <w:tblInd w:w="182" w:type="dxa"/>
        <w:tblCellMar>
          <w:top w:w="7" w:type="dxa"/>
          <w:right w:w="56" w:type="dxa"/>
        </w:tblCellMar>
        <w:tblLook w:val="04A0" w:firstRow="1" w:lastRow="0" w:firstColumn="1" w:lastColumn="0" w:noHBand="0" w:noVBand="1"/>
      </w:tblPr>
      <w:tblGrid>
        <w:gridCol w:w="2313"/>
        <w:gridCol w:w="2178"/>
        <w:gridCol w:w="3686"/>
      </w:tblGrid>
      <w:tr w:rsidR="00F052F6" w:rsidRPr="003D5CE4" w14:paraId="4AA6B216" w14:textId="77777777" w:rsidTr="003464CC">
        <w:trPr>
          <w:trHeight w:val="57"/>
        </w:trPr>
        <w:tc>
          <w:tcPr>
            <w:tcW w:w="4491" w:type="dxa"/>
            <w:gridSpan w:val="2"/>
            <w:tcBorders>
              <w:top w:val="single" w:sz="4" w:space="0" w:color="000000"/>
              <w:left w:val="single" w:sz="4" w:space="0" w:color="000000"/>
              <w:bottom w:val="single" w:sz="4" w:space="0" w:color="000000"/>
              <w:right w:val="single" w:sz="4" w:space="0" w:color="000000"/>
            </w:tcBorders>
            <w:shd w:val="clear" w:color="auto" w:fill="B4C6E7"/>
            <w:vAlign w:val="center"/>
          </w:tcPr>
          <w:p w14:paraId="1B39A129"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Shkalla e aftësisë së prokurorit  </w:t>
            </w:r>
          </w:p>
        </w:tc>
        <w:tc>
          <w:tcPr>
            <w:tcW w:w="3686"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0CE8663C"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Nr. i pikëve</w:t>
            </w:r>
          </w:p>
        </w:tc>
      </w:tr>
      <w:tr w:rsidR="00F052F6" w:rsidRPr="003D5CE4" w14:paraId="369A6FC6"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780AC8DC"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2178" w:type="dxa"/>
            <w:tcBorders>
              <w:top w:val="single" w:sz="4" w:space="0" w:color="000000"/>
              <w:left w:val="nil"/>
              <w:bottom w:val="single" w:sz="4" w:space="0" w:color="000000"/>
              <w:right w:val="single" w:sz="4" w:space="0" w:color="000000"/>
            </w:tcBorders>
          </w:tcPr>
          <w:p w14:paraId="50C89C14" w14:textId="77777777" w:rsidR="00F052F6" w:rsidRPr="003D5CE4" w:rsidRDefault="00F052F6" w:rsidP="003464CC">
            <w:pPr>
              <w:spacing w:after="0" w:line="240" w:lineRule="auto"/>
              <w:jc w:val="both"/>
              <w:rPr>
                <w:rFonts w:ascii="Garamond" w:hAnsi="Garamond"/>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14:paraId="3B18845B"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w:t>
            </w:r>
          </w:p>
        </w:tc>
      </w:tr>
      <w:tr w:rsidR="00F052F6" w:rsidRPr="003D5CE4" w14:paraId="142A6604"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5DBEDB2A"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2178" w:type="dxa"/>
            <w:tcBorders>
              <w:top w:val="single" w:sz="4" w:space="0" w:color="000000"/>
              <w:left w:val="nil"/>
              <w:bottom w:val="single" w:sz="4" w:space="0" w:color="000000"/>
              <w:right w:val="single" w:sz="4" w:space="0" w:color="000000"/>
            </w:tcBorders>
            <w:vAlign w:val="bottom"/>
          </w:tcPr>
          <w:p w14:paraId="7DEACB19" w14:textId="77777777" w:rsidR="00F052F6" w:rsidRPr="003D5CE4" w:rsidRDefault="00F052F6" w:rsidP="003464CC">
            <w:pPr>
              <w:spacing w:after="0" w:line="240" w:lineRule="auto"/>
              <w:jc w:val="both"/>
              <w:rPr>
                <w:rFonts w:ascii="Garamond" w:hAnsi="Garamond"/>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14:paraId="337E6D0D"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w:t>
            </w:r>
          </w:p>
        </w:tc>
      </w:tr>
      <w:tr w:rsidR="00F052F6" w:rsidRPr="003D5CE4" w14:paraId="47933579"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39985636"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2178" w:type="dxa"/>
            <w:tcBorders>
              <w:top w:val="single" w:sz="4" w:space="0" w:color="000000"/>
              <w:left w:val="nil"/>
              <w:bottom w:val="single" w:sz="4" w:space="0" w:color="000000"/>
              <w:right w:val="single" w:sz="4" w:space="0" w:color="000000"/>
            </w:tcBorders>
          </w:tcPr>
          <w:p w14:paraId="24301648" w14:textId="77777777" w:rsidR="00F052F6" w:rsidRPr="003D5CE4" w:rsidRDefault="00F052F6" w:rsidP="003464CC">
            <w:pPr>
              <w:spacing w:after="0" w:line="240" w:lineRule="auto"/>
              <w:jc w:val="both"/>
              <w:rPr>
                <w:rFonts w:ascii="Garamond" w:hAnsi="Garamond"/>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14:paraId="63D398A1"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3</w:t>
            </w:r>
          </w:p>
        </w:tc>
      </w:tr>
      <w:tr w:rsidR="00F052F6" w:rsidRPr="003D5CE4" w14:paraId="33A666B8"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75774CC1"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2178" w:type="dxa"/>
            <w:tcBorders>
              <w:top w:val="single" w:sz="4" w:space="0" w:color="000000"/>
              <w:left w:val="nil"/>
              <w:bottom w:val="single" w:sz="4" w:space="0" w:color="000000"/>
              <w:right w:val="single" w:sz="4" w:space="0" w:color="000000"/>
            </w:tcBorders>
          </w:tcPr>
          <w:p w14:paraId="7CC8743B" w14:textId="77777777" w:rsidR="00F052F6" w:rsidRPr="003D5CE4" w:rsidRDefault="00F052F6" w:rsidP="003464CC">
            <w:pPr>
              <w:spacing w:after="0" w:line="240" w:lineRule="auto"/>
              <w:jc w:val="both"/>
              <w:rPr>
                <w:rFonts w:ascii="Garamond" w:hAnsi="Garamond"/>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14:paraId="311FFFD5"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w:t>
            </w:r>
          </w:p>
        </w:tc>
      </w:tr>
      <w:tr w:rsidR="00F052F6" w:rsidRPr="003D5CE4" w14:paraId="1D8D190A" w14:textId="77777777" w:rsidTr="003464CC">
        <w:trPr>
          <w:trHeight w:val="57"/>
        </w:trPr>
        <w:tc>
          <w:tcPr>
            <w:tcW w:w="2313" w:type="dxa"/>
            <w:tcBorders>
              <w:top w:val="single" w:sz="4" w:space="0" w:color="000000"/>
              <w:left w:val="single" w:sz="4" w:space="0" w:color="000000"/>
              <w:bottom w:val="single" w:sz="4" w:space="0" w:color="000000"/>
              <w:right w:val="nil"/>
            </w:tcBorders>
          </w:tcPr>
          <w:p w14:paraId="11BF809B"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2178" w:type="dxa"/>
            <w:tcBorders>
              <w:top w:val="single" w:sz="4" w:space="0" w:color="000000"/>
              <w:left w:val="nil"/>
              <w:bottom w:val="single" w:sz="4" w:space="0" w:color="000000"/>
              <w:right w:val="single" w:sz="4" w:space="0" w:color="000000"/>
            </w:tcBorders>
          </w:tcPr>
          <w:p w14:paraId="7AB57307" w14:textId="77777777" w:rsidR="00F052F6" w:rsidRPr="003D5CE4" w:rsidRDefault="00F052F6" w:rsidP="003464CC">
            <w:pPr>
              <w:spacing w:after="0" w:line="240" w:lineRule="auto"/>
              <w:jc w:val="both"/>
              <w:rPr>
                <w:rFonts w:ascii="Garamond" w:hAnsi="Garamond"/>
                <w:sz w:val="24"/>
                <w:szCs w:val="24"/>
              </w:rPr>
            </w:pPr>
          </w:p>
        </w:tc>
        <w:tc>
          <w:tcPr>
            <w:tcW w:w="3686" w:type="dxa"/>
            <w:tcBorders>
              <w:top w:val="single" w:sz="4" w:space="0" w:color="000000"/>
              <w:left w:val="single" w:sz="4" w:space="0" w:color="000000"/>
              <w:bottom w:val="single" w:sz="4" w:space="0" w:color="000000"/>
              <w:right w:val="single" w:sz="4" w:space="0" w:color="000000"/>
            </w:tcBorders>
            <w:vAlign w:val="center"/>
          </w:tcPr>
          <w:p w14:paraId="1E0AC0A4"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5</w:t>
            </w:r>
          </w:p>
        </w:tc>
      </w:tr>
    </w:tbl>
    <w:p w14:paraId="490656B8" w14:textId="77777777" w:rsidR="00F052F6" w:rsidRPr="00762678" w:rsidRDefault="00F052F6" w:rsidP="00F052F6">
      <w:pPr>
        <w:spacing w:after="0" w:line="240" w:lineRule="auto"/>
        <w:ind w:firstLine="284"/>
        <w:jc w:val="both"/>
        <w:rPr>
          <w:rFonts w:ascii="Garamond" w:hAnsi="Garamond"/>
          <w:sz w:val="14"/>
          <w:szCs w:val="24"/>
        </w:rPr>
      </w:pPr>
    </w:p>
    <w:p w14:paraId="1339B2A1" w14:textId="77777777" w:rsidR="00F052F6" w:rsidRPr="00032D9E" w:rsidRDefault="00F052F6" w:rsidP="00F052F6">
      <w:pPr>
        <w:pStyle w:val="AAAAAAAAAAAAAAAAAATEEEEEXXX"/>
        <w:rPr>
          <w:szCs w:val="24"/>
        </w:rPr>
      </w:pPr>
      <w:r w:rsidRPr="00032D9E">
        <w:rPr>
          <w:szCs w:val="24"/>
        </w:rPr>
        <w:t xml:space="preserve">3. ETIKA DHE ANGAZHIMI NDAJ VLERAVE PROFESIONALE (100 pikë) </w:t>
      </w:r>
    </w:p>
    <w:p w14:paraId="27867F8A"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Pikëzimi i treguesve të këtij kriteri vlerësimi bëhet sipas një rendi zbritës, bazuar në parimin kushtetues që çdo prokuror, për shkak të statusit të tij, ka etikë, integritet dhe shfaq paanësi në funksion. Çdo prokuror e fillon procesin e vlerësimit me totalin e 100 pikëve, referuar këtij kriteri të vlerësimit. Gjatë procedurës së vlerësimit, pikët mund të zbriten në varësi të problematikave të shfaqura në lidhje me çdo tregues të dalë nga burimet e vlerësimit krahasuar me ligjin, standardet e etikës dhe rregullat e sjelljes të miratuara nga Këshilli i Lartë i Prokurorisë</w:t>
      </w:r>
      <w:r w:rsidRPr="003D5CE4">
        <w:rPr>
          <w:rFonts w:ascii="Garamond" w:hAnsi="Garamond"/>
          <w:sz w:val="24"/>
          <w:szCs w:val="24"/>
          <w:vertAlign w:val="superscript"/>
        </w:rPr>
        <w:footnoteReference w:id="4"/>
      </w:r>
      <w:r w:rsidRPr="003D5CE4">
        <w:rPr>
          <w:rFonts w:ascii="Garamond" w:hAnsi="Garamond"/>
          <w:sz w:val="24"/>
          <w:szCs w:val="24"/>
        </w:rPr>
        <w:t xml:space="preserve">. </w:t>
      </w:r>
    </w:p>
    <w:p w14:paraId="6DD79BAF" w14:textId="77777777" w:rsidR="00F052F6" w:rsidRPr="003D5CE4" w:rsidRDefault="00F052F6" w:rsidP="00F052F6">
      <w:pPr>
        <w:spacing w:after="0" w:line="240" w:lineRule="auto"/>
        <w:ind w:firstLine="284"/>
        <w:jc w:val="both"/>
        <w:rPr>
          <w:rFonts w:ascii="Garamond" w:hAnsi="Garamond"/>
          <w:sz w:val="24"/>
          <w:szCs w:val="24"/>
        </w:rPr>
      </w:pPr>
    </w:p>
    <w:p w14:paraId="037C7E84" w14:textId="77777777" w:rsidR="00F052F6" w:rsidRPr="003D5CE4" w:rsidRDefault="00F052F6" w:rsidP="00F052F6">
      <w:pPr>
        <w:pStyle w:val="Heading2"/>
        <w:numPr>
          <w:ilvl w:val="0"/>
          <w:numId w:val="1"/>
        </w:numPr>
        <w:spacing w:after="0" w:line="240" w:lineRule="auto"/>
        <w:ind w:left="0" w:firstLine="284"/>
        <w:jc w:val="both"/>
        <w:rPr>
          <w:rFonts w:ascii="Garamond" w:hAnsi="Garamond"/>
          <w:szCs w:val="24"/>
        </w:rPr>
      </w:pPr>
      <w:r w:rsidRPr="003D5CE4">
        <w:rPr>
          <w:rFonts w:ascii="Garamond" w:hAnsi="Garamond"/>
          <w:szCs w:val="24"/>
        </w:rPr>
        <w:t xml:space="preserve">Etika në punë (35 pikë) </w:t>
      </w:r>
    </w:p>
    <w:p w14:paraId="5A0E3DD5" w14:textId="77777777" w:rsidR="00F052F6" w:rsidRPr="003D5CE4" w:rsidRDefault="00F052F6" w:rsidP="00F052F6">
      <w:pPr>
        <w:pStyle w:val="AAAAAAAAAAAAAAAAAATEEEEEXXX"/>
        <w:rPr>
          <w:b/>
          <w:szCs w:val="24"/>
        </w:rPr>
      </w:pPr>
      <w:r w:rsidRPr="003D5CE4">
        <w:rPr>
          <w:b/>
          <w:szCs w:val="24"/>
        </w:rPr>
        <w:t xml:space="preserve">a) Angazhimi dhe përgjegjshmëria në funksion (35 pikë) </w:t>
      </w:r>
    </w:p>
    <w:p w14:paraId="6F66F0D6" w14:textId="77777777" w:rsidR="00F052F6" w:rsidRPr="003D5CE4" w:rsidRDefault="00F052F6" w:rsidP="00F052F6">
      <w:pPr>
        <w:pStyle w:val="AAAAAAAAAAAAAAAAAATEEEEEXXX"/>
        <w:rPr>
          <w:szCs w:val="24"/>
        </w:rPr>
      </w:pPr>
      <w:r w:rsidRPr="003D5CE4">
        <w:rPr>
          <w:szCs w:val="24"/>
        </w:rPr>
        <w:t xml:space="preserve">Për të vlerësuar këtë tregues, vlerësuesi përqendrohet në vendimet përfundimtare për masat disiplinore brenda periudhës së vlerësimit, rezultatet e ankesave dhe verifikimin e tyre, si dhe </w:t>
      </w:r>
      <w:r w:rsidRPr="003D5CE4">
        <w:rPr>
          <w:color w:val="auto"/>
          <w:szCs w:val="24"/>
        </w:rPr>
        <w:t>formularin e integruar të vlerësimit të prokurorit</w:t>
      </w:r>
      <w:r w:rsidRPr="003D5CE4">
        <w:rPr>
          <w:szCs w:val="24"/>
        </w:rPr>
        <w:t xml:space="preserve">. </w:t>
      </w:r>
    </w:p>
    <w:p w14:paraId="5B32477D" w14:textId="77777777" w:rsidR="00F052F6" w:rsidRPr="00DB634E" w:rsidRDefault="00F052F6" w:rsidP="00F052F6">
      <w:pPr>
        <w:pStyle w:val="AAAAAAAAAAAAAAAAAATEEEEEXXX"/>
        <w:rPr>
          <w:szCs w:val="24"/>
        </w:rPr>
      </w:pPr>
      <w:r w:rsidRPr="00DB634E">
        <w:rPr>
          <w:szCs w:val="24"/>
        </w:rPr>
        <w:t>Vlerësimi do të përqendrohet në elementët e mëposhtëm:</w:t>
      </w:r>
    </w:p>
    <w:p w14:paraId="32ED6918" w14:textId="77777777" w:rsidR="00F052F6" w:rsidRPr="00DB634E" w:rsidRDefault="00F052F6" w:rsidP="00F052F6">
      <w:pPr>
        <w:pStyle w:val="AAAAAAAAAAAAAAAAAATEEEEEXXX"/>
        <w:rPr>
          <w:szCs w:val="24"/>
        </w:rPr>
      </w:pPr>
      <w:r w:rsidRPr="003D5CE4">
        <w:rPr>
          <w:color w:val="auto"/>
          <w:szCs w:val="24"/>
        </w:rPr>
        <w:t xml:space="preserve">- </w:t>
      </w:r>
      <w:r w:rsidRPr="00DB634E">
        <w:rPr>
          <w:szCs w:val="24"/>
        </w:rPr>
        <w:t>aftësia e prokurorit për të pasur një sjellje të kujdesshme, objektive, me vetëpërmbajtje dhe maturi gjatë ushtrimit të detyrës, në mënyrë korrekte, të ndërgjegjshme, sistematike dhe në kohë të arsyeshme;</w:t>
      </w:r>
    </w:p>
    <w:p w14:paraId="58E579A9" w14:textId="77777777" w:rsidR="00F052F6" w:rsidRPr="00DB634E" w:rsidRDefault="00F052F6" w:rsidP="00F052F6">
      <w:pPr>
        <w:pStyle w:val="AAAAAAAAAAAAAAAAAATEEEEEXXX"/>
        <w:rPr>
          <w:szCs w:val="24"/>
        </w:rPr>
      </w:pPr>
      <w:r w:rsidRPr="003D5CE4">
        <w:rPr>
          <w:color w:val="auto"/>
          <w:szCs w:val="24"/>
        </w:rPr>
        <w:t xml:space="preserve">- </w:t>
      </w:r>
      <w:r w:rsidRPr="00DB634E">
        <w:rPr>
          <w:szCs w:val="24"/>
        </w:rPr>
        <w:t xml:space="preserve">aftësia për të shmangur çdo sjellje që tregon mungesë respekti, vetëpërmbajtjeje, ndjeshmërie, vëmendjeje apo qasje të papërshtatshme dhe fyese, duke mos u kufizuar vetëm në shmangien e sjelljeve që formalisht kualifikohen si në kundërshtim me ligjin.  </w:t>
      </w:r>
    </w:p>
    <w:p w14:paraId="76792E38" w14:textId="77777777" w:rsidR="00F052F6" w:rsidRPr="00514D81" w:rsidRDefault="00F052F6" w:rsidP="00F052F6">
      <w:pPr>
        <w:spacing w:after="0" w:line="240" w:lineRule="auto"/>
        <w:ind w:firstLine="284"/>
        <w:jc w:val="both"/>
        <w:rPr>
          <w:rFonts w:ascii="Garamond" w:hAnsi="Garamond"/>
          <w:sz w:val="14"/>
          <w:szCs w:val="24"/>
        </w:rPr>
      </w:pPr>
    </w:p>
    <w:tbl>
      <w:tblPr>
        <w:tblW w:w="8318" w:type="dxa"/>
        <w:tblInd w:w="182" w:type="dxa"/>
        <w:tblCellMar>
          <w:top w:w="7" w:type="dxa"/>
          <w:left w:w="107" w:type="dxa"/>
          <w:right w:w="55" w:type="dxa"/>
        </w:tblCellMar>
        <w:tblLook w:val="04A0" w:firstRow="1" w:lastRow="0" w:firstColumn="1" w:lastColumn="0" w:noHBand="0" w:noVBand="1"/>
      </w:tblPr>
      <w:tblGrid>
        <w:gridCol w:w="4775"/>
        <w:gridCol w:w="3543"/>
      </w:tblGrid>
      <w:tr w:rsidR="00F052F6" w:rsidRPr="003D5CE4" w14:paraId="6075A6F4" w14:textId="77777777" w:rsidTr="003464CC">
        <w:trPr>
          <w:trHeight w:val="57"/>
        </w:trPr>
        <w:tc>
          <w:tcPr>
            <w:tcW w:w="4775" w:type="dxa"/>
            <w:tcBorders>
              <w:top w:val="single" w:sz="4" w:space="0" w:color="000000"/>
              <w:left w:val="single" w:sz="4" w:space="0" w:color="000000"/>
              <w:bottom w:val="single" w:sz="4" w:space="0" w:color="000000"/>
              <w:right w:val="single" w:sz="4" w:space="0" w:color="000000"/>
            </w:tcBorders>
            <w:shd w:val="clear" w:color="auto" w:fill="B4C6E7"/>
          </w:tcPr>
          <w:p w14:paraId="21EF14C7"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Shkalla e etikës në punë e prokurorit  </w:t>
            </w:r>
          </w:p>
        </w:tc>
        <w:tc>
          <w:tcPr>
            <w:tcW w:w="3543" w:type="dxa"/>
            <w:tcBorders>
              <w:top w:val="single" w:sz="4" w:space="0" w:color="000000"/>
              <w:left w:val="single" w:sz="4" w:space="0" w:color="000000"/>
              <w:bottom w:val="single" w:sz="4" w:space="0" w:color="000000"/>
              <w:right w:val="single" w:sz="4" w:space="0" w:color="000000"/>
            </w:tcBorders>
            <w:shd w:val="clear" w:color="auto" w:fill="B4C6E7"/>
          </w:tcPr>
          <w:p w14:paraId="6BFCE8A3"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Nr. i pikëve</w:t>
            </w:r>
          </w:p>
        </w:tc>
      </w:tr>
      <w:tr w:rsidR="00F052F6" w:rsidRPr="003D5CE4" w14:paraId="196ABB57" w14:textId="77777777" w:rsidTr="003464CC">
        <w:trPr>
          <w:trHeight w:val="57"/>
        </w:trPr>
        <w:tc>
          <w:tcPr>
            <w:tcW w:w="4775" w:type="dxa"/>
            <w:tcBorders>
              <w:top w:val="single" w:sz="4" w:space="0" w:color="000000"/>
              <w:left w:val="single" w:sz="4" w:space="0" w:color="000000"/>
              <w:bottom w:val="single" w:sz="4" w:space="0" w:color="000000"/>
              <w:right w:val="nil"/>
            </w:tcBorders>
          </w:tcPr>
          <w:p w14:paraId="1C92D4A8"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3543" w:type="dxa"/>
            <w:tcBorders>
              <w:top w:val="single" w:sz="4" w:space="0" w:color="000000"/>
              <w:left w:val="single" w:sz="4" w:space="0" w:color="000000"/>
              <w:bottom w:val="single" w:sz="4" w:space="0" w:color="000000"/>
              <w:right w:val="single" w:sz="4" w:space="0" w:color="000000"/>
            </w:tcBorders>
          </w:tcPr>
          <w:p w14:paraId="47F4E7BB"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7</w:t>
            </w:r>
          </w:p>
        </w:tc>
      </w:tr>
      <w:tr w:rsidR="00F052F6" w:rsidRPr="003D5CE4" w14:paraId="057757B4" w14:textId="77777777" w:rsidTr="003464CC">
        <w:trPr>
          <w:trHeight w:val="57"/>
        </w:trPr>
        <w:tc>
          <w:tcPr>
            <w:tcW w:w="4775" w:type="dxa"/>
            <w:tcBorders>
              <w:top w:val="single" w:sz="4" w:space="0" w:color="000000"/>
              <w:left w:val="single" w:sz="4" w:space="0" w:color="000000"/>
              <w:bottom w:val="single" w:sz="4" w:space="0" w:color="000000"/>
              <w:right w:val="nil"/>
            </w:tcBorders>
          </w:tcPr>
          <w:p w14:paraId="2EA1BA3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3543" w:type="dxa"/>
            <w:tcBorders>
              <w:top w:val="single" w:sz="4" w:space="0" w:color="000000"/>
              <w:left w:val="single" w:sz="4" w:space="0" w:color="000000"/>
              <w:bottom w:val="single" w:sz="4" w:space="0" w:color="000000"/>
              <w:right w:val="single" w:sz="4" w:space="0" w:color="000000"/>
            </w:tcBorders>
          </w:tcPr>
          <w:p w14:paraId="0D72BADD"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14</w:t>
            </w:r>
          </w:p>
        </w:tc>
      </w:tr>
      <w:tr w:rsidR="00F052F6" w:rsidRPr="003D5CE4" w14:paraId="022D15C4" w14:textId="77777777" w:rsidTr="003464CC">
        <w:trPr>
          <w:trHeight w:val="57"/>
        </w:trPr>
        <w:tc>
          <w:tcPr>
            <w:tcW w:w="4775" w:type="dxa"/>
            <w:tcBorders>
              <w:top w:val="single" w:sz="4" w:space="0" w:color="000000"/>
              <w:left w:val="single" w:sz="4" w:space="0" w:color="000000"/>
              <w:bottom w:val="single" w:sz="4" w:space="0" w:color="000000"/>
              <w:right w:val="nil"/>
            </w:tcBorders>
          </w:tcPr>
          <w:p w14:paraId="4E6C3655"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3543" w:type="dxa"/>
            <w:tcBorders>
              <w:top w:val="single" w:sz="4" w:space="0" w:color="000000"/>
              <w:left w:val="single" w:sz="4" w:space="0" w:color="000000"/>
              <w:bottom w:val="single" w:sz="4" w:space="0" w:color="000000"/>
              <w:right w:val="single" w:sz="4" w:space="0" w:color="000000"/>
            </w:tcBorders>
          </w:tcPr>
          <w:p w14:paraId="286D3F96"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21</w:t>
            </w:r>
          </w:p>
        </w:tc>
      </w:tr>
      <w:tr w:rsidR="00F052F6" w:rsidRPr="003D5CE4" w14:paraId="05CC746E" w14:textId="77777777" w:rsidTr="003464CC">
        <w:trPr>
          <w:trHeight w:val="57"/>
        </w:trPr>
        <w:tc>
          <w:tcPr>
            <w:tcW w:w="4775" w:type="dxa"/>
            <w:tcBorders>
              <w:top w:val="single" w:sz="4" w:space="0" w:color="000000"/>
              <w:left w:val="single" w:sz="4" w:space="0" w:color="000000"/>
              <w:bottom w:val="single" w:sz="4" w:space="0" w:color="000000"/>
              <w:right w:val="nil"/>
            </w:tcBorders>
          </w:tcPr>
          <w:p w14:paraId="16A8C37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3543" w:type="dxa"/>
            <w:tcBorders>
              <w:top w:val="single" w:sz="4" w:space="0" w:color="000000"/>
              <w:left w:val="single" w:sz="4" w:space="0" w:color="000000"/>
              <w:bottom w:val="single" w:sz="4" w:space="0" w:color="000000"/>
              <w:right w:val="single" w:sz="4" w:space="0" w:color="000000"/>
            </w:tcBorders>
          </w:tcPr>
          <w:p w14:paraId="63607098"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28</w:t>
            </w:r>
          </w:p>
        </w:tc>
      </w:tr>
      <w:tr w:rsidR="00F052F6" w:rsidRPr="003D5CE4" w14:paraId="2A8F689A" w14:textId="77777777" w:rsidTr="003464CC">
        <w:trPr>
          <w:trHeight w:val="57"/>
        </w:trPr>
        <w:tc>
          <w:tcPr>
            <w:tcW w:w="4775" w:type="dxa"/>
            <w:tcBorders>
              <w:top w:val="single" w:sz="4" w:space="0" w:color="000000"/>
              <w:left w:val="single" w:sz="4" w:space="0" w:color="000000"/>
              <w:bottom w:val="single" w:sz="4" w:space="0" w:color="000000"/>
              <w:right w:val="nil"/>
            </w:tcBorders>
          </w:tcPr>
          <w:p w14:paraId="0F9B4115"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3543" w:type="dxa"/>
            <w:tcBorders>
              <w:top w:val="single" w:sz="4" w:space="0" w:color="000000"/>
              <w:left w:val="single" w:sz="4" w:space="0" w:color="000000"/>
              <w:bottom w:val="single" w:sz="4" w:space="0" w:color="000000"/>
              <w:right w:val="single" w:sz="4" w:space="0" w:color="000000"/>
            </w:tcBorders>
          </w:tcPr>
          <w:p w14:paraId="521C810B"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35</w:t>
            </w:r>
          </w:p>
        </w:tc>
      </w:tr>
    </w:tbl>
    <w:p w14:paraId="5AAC9B1C" w14:textId="77777777" w:rsidR="00F052F6" w:rsidRPr="004A43CA" w:rsidRDefault="00F052F6" w:rsidP="00F052F6">
      <w:pPr>
        <w:spacing w:after="0" w:line="240" w:lineRule="auto"/>
        <w:ind w:firstLine="284"/>
        <w:jc w:val="both"/>
        <w:rPr>
          <w:rFonts w:ascii="Garamond" w:hAnsi="Garamond"/>
          <w:sz w:val="14"/>
          <w:szCs w:val="24"/>
        </w:rPr>
      </w:pPr>
    </w:p>
    <w:p w14:paraId="2AC75FBC" w14:textId="77777777" w:rsidR="00F052F6" w:rsidRPr="003D5CE4" w:rsidRDefault="00F052F6" w:rsidP="00F052F6">
      <w:pPr>
        <w:pStyle w:val="Heading2"/>
        <w:numPr>
          <w:ilvl w:val="0"/>
          <w:numId w:val="1"/>
        </w:numPr>
        <w:spacing w:after="0" w:line="240" w:lineRule="auto"/>
        <w:ind w:left="0" w:firstLine="284"/>
        <w:jc w:val="both"/>
        <w:rPr>
          <w:rFonts w:ascii="Garamond" w:hAnsi="Garamond"/>
          <w:szCs w:val="24"/>
        </w:rPr>
      </w:pPr>
      <w:r w:rsidRPr="003D5CE4">
        <w:rPr>
          <w:rFonts w:ascii="Garamond" w:hAnsi="Garamond"/>
          <w:szCs w:val="24"/>
        </w:rPr>
        <w:t xml:space="preserve">Integriteti (40 pikë) </w:t>
      </w:r>
    </w:p>
    <w:p w14:paraId="3DB06B9D" w14:textId="77777777" w:rsidR="00F052F6" w:rsidRPr="004A43CA" w:rsidRDefault="00F052F6" w:rsidP="00F052F6">
      <w:pPr>
        <w:pStyle w:val="ListParagraph"/>
        <w:spacing w:after="0" w:line="240" w:lineRule="auto"/>
        <w:ind w:left="0" w:firstLine="284"/>
        <w:jc w:val="both"/>
        <w:rPr>
          <w:rFonts w:ascii="Garamond" w:hAnsi="Garamond"/>
          <w:sz w:val="14"/>
          <w:szCs w:val="24"/>
        </w:rPr>
      </w:pPr>
    </w:p>
    <w:p w14:paraId="341D4858" w14:textId="77777777" w:rsidR="00F052F6" w:rsidRPr="003D5CE4" w:rsidRDefault="00F052F6" w:rsidP="00F052F6">
      <w:pPr>
        <w:pStyle w:val="AAAAAAAAAAAAAAAAAATEEEEEXXX"/>
        <w:rPr>
          <w:b/>
          <w:szCs w:val="24"/>
        </w:rPr>
      </w:pPr>
      <w:r w:rsidRPr="003D5CE4">
        <w:rPr>
          <w:b/>
          <w:szCs w:val="24"/>
        </w:rPr>
        <w:t>a) Imuniteti nga çdo ndikim apo presion i jashtëm, nderi dhe dinjiteti (40 pikë)</w:t>
      </w:r>
    </w:p>
    <w:p w14:paraId="626D176E" w14:textId="77777777" w:rsidR="00F052F6" w:rsidRPr="003D5CE4" w:rsidRDefault="00F052F6" w:rsidP="00F052F6">
      <w:pPr>
        <w:pStyle w:val="AAAAAAAAAAAAAAAAAATEEEEEXXX"/>
        <w:rPr>
          <w:szCs w:val="24"/>
        </w:rPr>
      </w:pPr>
      <w:r w:rsidRPr="003D5CE4">
        <w:rPr>
          <w:szCs w:val="24"/>
        </w:rPr>
        <w:t xml:space="preserve">Për të vlerësuar këtë tregues, vlerësuesi përqendrohet në vendimet përfundimtare për masat disiplinore brenda periudhës së vlerësimit, në rezultatet e ankesave dhe verifikimin e tyre, në mendimin e Drejtuesit të Prokurorisë dhe në të dhënat e raporteve të Inspektoratit të Lartë të Deklarimit dhe Kontrollit të Pasurive dhe Konfliktit të Interesave. Të dhënat e dala nga burimet e vlerësimit do të analizohen në mënyrë objektive, duke shmangur qëndrimin subjektiv të vlerësuesit apo anëtarit të Këshillit, të krijuar mbi bazën e njohjeve personale me prokurorin.  </w:t>
      </w:r>
    </w:p>
    <w:p w14:paraId="0E28D166" w14:textId="77777777" w:rsidR="00F052F6" w:rsidRPr="00DB634E" w:rsidRDefault="00F052F6" w:rsidP="00F052F6">
      <w:pPr>
        <w:spacing w:after="0" w:line="240" w:lineRule="auto"/>
        <w:ind w:firstLine="284"/>
        <w:jc w:val="both"/>
        <w:rPr>
          <w:rFonts w:ascii="Garamond" w:hAnsi="Garamond" w:cs="Calibri"/>
          <w:b/>
          <w:bCs/>
          <w:color w:val="000000"/>
          <w:sz w:val="24"/>
          <w:szCs w:val="24"/>
        </w:rPr>
      </w:pPr>
      <w:r w:rsidRPr="00DB634E">
        <w:rPr>
          <w:rFonts w:ascii="Garamond" w:hAnsi="Garamond" w:cs="Calibri"/>
          <w:bCs/>
          <w:color w:val="000000"/>
          <w:sz w:val="24"/>
          <w:szCs w:val="24"/>
        </w:rPr>
        <w:t>Vler</w:t>
      </w:r>
      <w:r w:rsidRPr="00DB634E">
        <w:rPr>
          <w:rFonts w:ascii="Garamond" w:hAnsi="Garamond" w:cs="Calibri"/>
          <w:color w:val="000000"/>
          <w:sz w:val="24"/>
          <w:szCs w:val="24"/>
        </w:rPr>
        <w:t>ësimi do të bazohet në elementet e mëposhtëm</w:t>
      </w:r>
      <w:r w:rsidRPr="00DB634E">
        <w:rPr>
          <w:rFonts w:ascii="Garamond" w:hAnsi="Garamond" w:cs="Calibri"/>
          <w:bCs/>
          <w:color w:val="000000"/>
          <w:sz w:val="24"/>
          <w:szCs w:val="24"/>
        </w:rPr>
        <w:t xml:space="preserve">: </w:t>
      </w:r>
    </w:p>
    <w:p w14:paraId="4EF5E1E3"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Shmangia e lidhjeve të papërshtatshme me palët në proces ose shmangien e sjelljeve që bëjnë të duket sikur ka lidhje të tilla të papërshtatshme;  </w:t>
      </w:r>
    </w:p>
    <w:p w14:paraId="49E7A545"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Ushtrimi i detyrës me nder dhe dinjitet në mënyrë që të përmbushë pritshmërinë e publikut; </w:t>
      </w:r>
    </w:p>
    <w:p w14:paraId="56BC1FCE"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Shmangia e çdo paragjykimi që mund të jetë i dëmshëm ose mund të konsiderohet si i dëmshëm për hetimin; </w:t>
      </w:r>
    </w:p>
    <w:p w14:paraId="0A1D1694" w14:textId="77777777" w:rsidR="00F052F6" w:rsidRPr="003D5CE4" w:rsidRDefault="00F052F6" w:rsidP="00F052F6">
      <w:pPr>
        <w:pStyle w:val="AAAAAAAAAAAAAAAAAATEEEEEXXX"/>
        <w:rPr>
          <w:szCs w:val="24"/>
        </w:rPr>
      </w:pPr>
      <w:r w:rsidRPr="003D5CE4">
        <w:rPr>
          <w:color w:val="auto"/>
          <w:szCs w:val="24"/>
        </w:rPr>
        <w:t xml:space="preserve">- </w:t>
      </w:r>
      <w:r w:rsidRPr="003D5CE4">
        <w:rPr>
          <w:rFonts w:eastAsia="Calibri"/>
          <w:szCs w:val="24"/>
        </w:rPr>
        <w:t>Vet</w:t>
      </w:r>
      <w:r w:rsidRPr="003D5CE4">
        <w:rPr>
          <w:szCs w:val="24"/>
        </w:rPr>
        <w:t>ëdija e prokurorit se sjellja profesionale, jeta private dhe sjellja në shoqëri kanë ndikim në imazhin e drejtësisë dhe besimit të publikut;</w:t>
      </w:r>
      <w:r w:rsidRPr="003D5CE4">
        <w:rPr>
          <w:rFonts w:eastAsia="Calibri"/>
          <w:szCs w:val="24"/>
        </w:rPr>
        <w:t xml:space="preserve"> </w:t>
      </w:r>
    </w:p>
    <w:p w14:paraId="18F7DF18" w14:textId="77777777" w:rsidR="00F052F6" w:rsidRPr="003D5CE4" w:rsidRDefault="00F052F6" w:rsidP="00F052F6">
      <w:pPr>
        <w:pStyle w:val="AAAAAAAAAAAAAAAAAATEEEEEXXX"/>
        <w:rPr>
          <w:szCs w:val="24"/>
        </w:rPr>
      </w:pPr>
      <w:r w:rsidRPr="003D5CE4">
        <w:rPr>
          <w:color w:val="auto"/>
          <w:szCs w:val="24"/>
        </w:rPr>
        <w:t xml:space="preserve">- </w:t>
      </w:r>
      <w:r w:rsidRPr="003D5CE4">
        <w:rPr>
          <w:rFonts w:eastAsia="Calibri"/>
          <w:szCs w:val="24"/>
        </w:rPr>
        <w:t>P</w:t>
      </w:r>
      <w:r w:rsidRPr="003D5CE4">
        <w:rPr>
          <w:szCs w:val="24"/>
        </w:rPr>
        <w:t xml:space="preserve">ërcjellja e vlerave personale dhe profesionale, duke shfaqur cilësitë personale, që i bëjnë të konsiderohen si shembuj të mirë për të tjerët; </w:t>
      </w:r>
    </w:p>
    <w:p w14:paraId="78365F73" w14:textId="77777777" w:rsidR="00F052F6" w:rsidRPr="003D5CE4" w:rsidRDefault="00F052F6" w:rsidP="00F052F6">
      <w:pPr>
        <w:pStyle w:val="AAAAAAAAAAAAAAAAAATEEEEEXXX"/>
        <w:rPr>
          <w:rFonts w:eastAsia="Calibri"/>
          <w:szCs w:val="24"/>
        </w:rPr>
      </w:pPr>
      <w:r w:rsidRPr="003D5CE4">
        <w:rPr>
          <w:color w:val="auto"/>
          <w:szCs w:val="24"/>
        </w:rPr>
        <w:t xml:space="preserve">- </w:t>
      </w:r>
      <w:r w:rsidRPr="003D5CE4">
        <w:rPr>
          <w:rFonts w:eastAsia="Calibri"/>
          <w:szCs w:val="24"/>
        </w:rPr>
        <w:t>Shmangia e sjelljeve q</w:t>
      </w:r>
      <w:r w:rsidRPr="003D5CE4">
        <w:rPr>
          <w:szCs w:val="24"/>
        </w:rPr>
        <w:t xml:space="preserve">ë tregojnë mungesë respekti për dinjitetin e palëve; </w:t>
      </w:r>
    </w:p>
    <w:p w14:paraId="58F8C6C5" w14:textId="77777777" w:rsidR="00F052F6" w:rsidRPr="003D5CE4" w:rsidRDefault="00F052F6" w:rsidP="00F052F6">
      <w:pPr>
        <w:pStyle w:val="AAAAAAAAAAAAAAAAAATEEEEEXXX"/>
        <w:rPr>
          <w:rFonts w:eastAsia="Calibri"/>
          <w:szCs w:val="24"/>
        </w:rPr>
      </w:pPr>
      <w:r w:rsidRPr="003D5CE4">
        <w:rPr>
          <w:color w:val="auto"/>
          <w:szCs w:val="24"/>
        </w:rPr>
        <w:t xml:space="preserve">- </w:t>
      </w:r>
      <w:r w:rsidRPr="003D5CE4">
        <w:rPr>
          <w:rFonts w:eastAsia="Calibri"/>
          <w:szCs w:val="24"/>
        </w:rPr>
        <w:t>Keqpërdorimi i orarit të pun</w:t>
      </w:r>
      <w:r w:rsidRPr="003D5CE4">
        <w:rPr>
          <w:szCs w:val="24"/>
        </w:rPr>
        <w:t xml:space="preserve">ës, personelit dhe burimeve të institucionit për qëllime private; </w:t>
      </w:r>
    </w:p>
    <w:p w14:paraId="5AEE677B" w14:textId="77777777" w:rsidR="00F052F6" w:rsidRPr="003D5CE4" w:rsidRDefault="00F052F6" w:rsidP="00F052F6">
      <w:pPr>
        <w:pStyle w:val="AAAAAAAAAAAAAAAAAATEEEEEXXX"/>
        <w:rPr>
          <w:rFonts w:eastAsia="Calibri"/>
          <w:szCs w:val="24"/>
        </w:rPr>
      </w:pPr>
      <w:r w:rsidRPr="003D5CE4">
        <w:rPr>
          <w:color w:val="auto"/>
          <w:szCs w:val="24"/>
        </w:rPr>
        <w:t xml:space="preserve">- </w:t>
      </w:r>
      <w:r w:rsidRPr="003D5CE4">
        <w:rPr>
          <w:rFonts w:eastAsia="Calibri"/>
          <w:szCs w:val="24"/>
        </w:rPr>
        <w:t xml:space="preserve">Çdo sjellje apo veprimtari tjetër, që cenon </w:t>
      </w:r>
      <w:r w:rsidRPr="003D5CE4">
        <w:rPr>
          <w:szCs w:val="24"/>
        </w:rPr>
        <w:t>apo rrezikon të cenojë imazhin dhe figurën publike të prokurorit, prokurorisë dhe të sistemit të drejtësisë</w:t>
      </w:r>
      <w:r w:rsidRPr="003D5CE4">
        <w:rPr>
          <w:rFonts w:eastAsia="Calibri"/>
          <w:szCs w:val="24"/>
        </w:rPr>
        <w:t>.</w:t>
      </w:r>
      <w:r w:rsidRPr="003D5CE4" w:rsidDel="00EA0538">
        <w:rPr>
          <w:szCs w:val="24"/>
        </w:rPr>
        <w:t xml:space="preserve"> </w:t>
      </w:r>
    </w:p>
    <w:p w14:paraId="0704B374"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Parimet e Bangalorit konfirmojnë se nuk ka shkallë integriteti të përkufizuara si të tilla. Integriteti është një karakteristikë që prokurori e ka ose nuk e ka. Integriteti është absolut. Në sistemin e drejtësisë, integriteti është më shumë se një virtyt, është një domosdoshmëri. Prandaj, në përputhje me rrethanat, në caktimin e pikëve në dispozicion sipas këtij treguesi, Këshilli mund të marrë në konsideratë dy mundësi, si më poshtë:  </w:t>
      </w:r>
    </w:p>
    <w:p w14:paraId="5A650D7B" w14:textId="77777777" w:rsidR="00F052F6" w:rsidRPr="003D5CE4" w:rsidRDefault="00F052F6" w:rsidP="00F052F6">
      <w:pPr>
        <w:pStyle w:val="AAAAAAAAAAAAAAAAAATEEEEEXXX"/>
        <w:rPr>
          <w:szCs w:val="24"/>
        </w:rPr>
      </w:pPr>
      <w:r w:rsidRPr="00805A14">
        <w:rPr>
          <w:szCs w:val="24"/>
        </w:rPr>
        <w:t>a)</w:t>
      </w:r>
      <w:r w:rsidRPr="003D5CE4">
        <w:rPr>
          <w:szCs w:val="24"/>
        </w:rPr>
        <w:t xml:space="preserve"> nëse ka informacione mjaftueshëm të besueshme se prokurorit i mungon integriteti, Këshilli do të caktojë minimumin e pikëve të mundshme.</w:t>
      </w:r>
    </w:p>
    <w:p w14:paraId="71C30531" w14:textId="77777777" w:rsidR="00F052F6" w:rsidRPr="003D5CE4" w:rsidRDefault="00F052F6" w:rsidP="00F052F6">
      <w:pPr>
        <w:pStyle w:val="AAAAAAAAAAAAAAAAAATEEEEEXXX"/>
        <w:rPr>
          <w:szCs w:val="24"/>
        </w:rPr>
      </w:pPr>
      <w:r w:rsidRPr="00805A14">
        <w:rPr>
          <w:szCs w:val="24"/>
        </w:rPr>
        <w:t>b)</w:t>
      </w:r>
      <w:r w:rsidRPr="003D5CE4">
        <w:rPr>
          <w:szCs w:val="24"/>
        </w:rPr>
        <w:t xml:space="preserve"> nëse nuk ka informacione në dispozicion që tregojnë se prokurorit i mungon integriteti, konkluzioni duhet të jetë në favor të prokurorit dhe Këshilli do të caktojë maksimumin e pikëve të mundshme. </w:t>
      </w:r>
    </w:p>
    <w:p w14:paraId="61AB1D03" w14:textId="77777777" w:rsidR="00F052F6" w:rsidRPr="00805A14" w:rsidRDefault="00F052F6" w:rsidP="00F052F6">
      <w:pPr>
        <w:spacing w:after="0" w:line="240" w:lineRule="auto"/>
        <w:ind w:firstLine="284"/>
        <w:jc w:val="both"/>
        <w:rPr>
          <w:rFonts w:ascii="Garamond" w:hAnsi="Garamond"/>
          <w:sz w:val="14"/>
          <w:szCs w:val="24"/>
        </w:rPr>
      </w:pPr>
    </w:p>
    <w:tbl>
      <w:tblPr>
        <w:tblW w:w="8318" w:type="dxa"/>
        <w:tblInd w:w="182" w:type="dxa"/>
        <w:tblCellMar>
          <w:top w:w="10" w:type="dxa"/>
          <w:left w:w="107" w:type="dxa"/>
          <w:right w:w="56" w:type="dxa"/>
        </w:tblCellMar>
        <w:tblLook w:val="04A0" w:firstRow="1" w:lastRow="0" w:firstColumn="1" w:lastColumn="0" w:noHBand="0" w:noVBand="1"/>
      </w:tblPr>
      <w:tblGrid>
        <w:gridCol w:w="4349"/>
        <w:gridCol w:w="3969"/>
      </w:tblGrid>
      <w:tr w:rsidR="00F052F6" w:rsidRPr="003D5CE4" w14:paraId="2CF51A38" w14:textId="77777777" w:rsidTr="003464CC">
        <w:trPr>
          <w:trHeight w:val="54"/>
        </w:trPr>
        <w:tc>
          <w:tcPr>
            <w:tcW w:w="4349"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7C84F1CC"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Shkalla e integritetit të prokurorit  </w:t>
            </w:r>
          </w:p>
        </w:tc>
        <w:tc>
          <w:tcPr>
            <w:tcW w:w="3969"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133D2D07"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Nr. i pikëve</w:t>
            </w:r>
          </w:p>
        </w:tc>
      </w:tr>
      <w:tr w:rsidR="00F052F6" w:rsidRPr="003D5CE4" w14:paraId="4266A3F1" w14:textId="77777777" w:rsidTr="003464CC">
        <w:trPr>
          <w:trHeight w:val="54"/>
        </w:trPr>
        <w:tc>
          <w:tcPr>
            <w:tcW w:w="4349" w:type="dxa"/>
            <w:tcBorders>
              <w:top w:val="single" w:sz="4" w:space="0" w:color="000000"/>
              <w:left w:val="single" w:sz="4" w:space="0" w:color="000000"/>
              <w:bottom w:val="single" w:sz="4" w:space="0" w:color="000000"/>
              <w:right w:val="single" w:sz="4" w:space="0" w:color="000000"/>
            </w:tcBorders>
          </w:tcPr>
          <w:p w14:paraId="51FBA46B"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3969" w:type="dxa"/>
            <w:tcBorders>
              <w:top w:val="single" w:sz="4" w:space="0" w:color="000000"/>
              <w:left w:val="single" w:sz="4" w:space="0" w:color="000000"/>
              <w:bottom w:val="single" w:sz="4" w:space="0" w:color="000000"/>
              <w:right w:val="single" w:sz="4" w:space="0" w:color="000000"/>
            </w:tcBorders>
            <w:vAlign w:val="center"/>
          </w:tcPr>
          <w:p w14:paraId="3DDF810D"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0</w:t>
            </w:r>
          </w:p>
        </w:tc>
      </w:tr>
      <w:tr w:rsidR="00F052F6" w:rsidRPr="003D5CE4" w14:paraId="60FB8C5A" w14:textId="77777777" w:rsidTr="003464CC">
        <w:trPr>
          <w:trHeight w:val="54"/>
        </w:trPr>
        <w:tc>
          <w:tcPr>
            <w:tcW w:w="4349" w:type="dxa"/>
            <w:tcBorders>
              <w:top w:val="single" w:sz="4" w:space="0" w:color="000000"/>
              <w:left w:val="single" w:sz="4" w:space="0" w:color="000000"/>
              <w:bottom w:val="single" w:sz="4" w:space="0" w:color="000000"/>
              <w:right w:val="single" w:sz="4" w:space="0" w:color="000000"/>
            </w:tcBorders>
          </w:tcPr>
          <w:p w14:paraId="76AC34A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3969" w:type="dxa"/>
            <w:tcBorders>
              <w:top w:val="single" w:sz="4" w:space="0" w:color="000000"/>
              <w:left w:val="single" w:sz="4" w:space="0" w:color="000000"/>
              <w:bottom w:val="single" w:sz="4" w:space="0" w:color="000000"/>
              <w:right w:val="single" w:sz="4" w:space="0" w:color="000000"/>
            </w:tcBorders>
            <w:vAlign w:val="center"/>
          </w:tcPr>
          <w:p w14:paraId="476DF923"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40</w:t>
            </w:r>
          </w:p>
        </w:tc>
      </w:tr>
    </w:tbl>
    <w:p w14:paraId="2D445454" w14:textId="77777777" w:rsidR="00F052F6" w:rsidRPr="00805A14" w:rsidRDefault="00F052F6" w:rsidP="00F052F6">
      <w:pPr>
        <w:spacing w:after="0" w:line="240" w:lineRule="auto"/>
        <w:ind w:firstLine="284"/>
        <w:jc w:val="both"/>
        <w:rPr>
          <w:rFonts w:ascii="Garamond" w:hAnsi="Garamond"/>
          <w:sz w:val="16"/>
          <w:szCs w:val="24"/>
        </w:rPr>
      </w:pPr>
    </w:p>
    <w:tbl>
      <w:tblPr>
        <w:tblW w:w="8431" w:type="dxa"/>
        <w:tblInd w:w="69" w:type="dxa"/>
        <w:tblCellMar>
          <w:top w:w="34" w:type="dxa"/>
          <w:right w:w="115" w:type="dxa"/>
        </w:tblCellMar>
        <w:tblLook w:val="04A0" w:firstRow="1" w:lastRow="0" w:firstColumn="1" w:lastColumn="0" w:noHBand="0" w:noVBand="1"/>
      </w:tblPr>
      <w:tblGrid>
        <w:gridCol w:w="678"/>
        <w:gridCol w:w="7753"/>
      </w:tblGrid>
      <w:tr w:rsidR="00F052F6" w:rsidRPr="003D5CE4" w14:paraId="62598BB9" w14:textId="77777777" w:rsidTr="003464CC">
        <w:trPr>
          <w:trHeight w:val="30"/>
        </w:trPr>
        <w:tc>
          <w:tcPr>
            <w:tcW w:w="678" w:type="dxa"/>
            <w:tcBorders>
              <w:top w:val="single" w:sz="4" w:space="0" w:color="000000"/>
              <w:left w:val="single" w:sz="4" w:space="0" w:color="000000"/>
              <w:bottom w:val="single" w:sz="4" w:space="0" w:color="000000"/>
              <w:right w:val="nil"/>
            </w:tcBorders>
            <w:shd w:val="clear" w:color="auto" w:fill="D9E2F3"/>
          </w:tcPr>
          <w:p w14:paraId="3163E91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C</w:t>
            </w:r>
            <w:r>
              <w:rPr>
                <w:rFonts w:ascii="Garamond" w:hAnsi="Garamond"/>
                <w:b/>
                <w:sz w:val="24"/>
                <w:szCs w:val="24"/>
              </w:rPr>
              <w:t>.</w:t>
            </w:r>
          </w:p>
        </w:tc>
        <w:tc>
          <w:tcPr>
            <w:tcW w:w="7753" w:type="dxa"/>
            <w:tcBorders>
              <w:top w:val="single" w:sz="4" w:space="0" w:color="000000"/>
              <w:left w:val="nil"/>
              <w:bottom w:val="single" w:sz="4" w:space="0" w:color="000000"/>
              <w:right w:val="single" w:sz="4" w:space="0" w:color="000000"/>
            </w:tcBorders>
            <w:shd w:val="clear" w:color="auto" w:fill="D9E2F3"/>
          </w:tcPr>
          <w:p w14:paraId="60F2EC21" w14:textId="77777777" w:rsidR="00F052F6" w:rsidRPr="003D5CE4" w:rsidRDefault="00F052F6" w:rsidP="003464CC">
            <w:pPr>
              <w:spacing w:after="0" w:line="240" w:lineRule="auto"/>
              <w:ind w:firstLine="284"/>
              <w:jc w:val="both"/>
              <w:rPr>
                <w:rFonts w:ascii="Garamond" w:hAnsi="Garamond"/>
                <w:sz w:val="24"/>
                <w:szCs w:val="24"/>
              </w:rPr>
            </w:pPr>
            <w:r w:rsidRPr="003D5CE4">
              <w:rPr>
                <w:rFonts w:ascii="Garamond" w:hAnsi="Garamond"/>
                <w:b/>
                <w:sz w:val="24"/>
                <w:szCs w:val="24"/>
              </w:rPr>
              <w:t xml:space="preserve">Paanësia (25 pikë) </w:t>
            </w:r>
          </w:p>
        </w:tc>
      </w:tr>
    </w:tbl>
    <w:p w14:paraId="20521AF7"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Paanësia e prokurorit nënkupton mungesë paragjykimi në favor ose kundër palëve, apo grupeve të veçanta. Këshilli do të vlerësojë këtu, aftësinë e prokurorit për të shmangur një konflikt të mundshëm interesi që ndikon ose mund të krijojë dyshime për paanësinë e tij, si dhe respektimin e çështjeve të grupeve në nevojë, duke përfshirë edhe çështjet e barazisë gjinore dhe të pakicave. Prokurori duhet të jetë i drejtë dhe të duket si i tillë. Paraqitja dhe cilësia e drejtësisë janë thelbësore.  </w:t>
      </w:r>
    </w:p>
    <w:p w14:paraId="08E138A5" w14:textId="77777777" w:rsidR="00F052F6" w:rsidRPr="00A43D8D" w:rsidRDefault="00F052F6" w:rsidP="00F052F6">
      <w:pPr>
        <w:spacing w:after="0" w:line="240" w:lineRule="auto"/>
        <w:ind w:firstLine="284"/>
        <w:jc w:val="both"/>
        <w:rPr>
          <w:rFonts w:ascii="Garamond" w:hAnsi="Garamond"/>
          <w:b/>
          <w:sz w:val="24"/>
          <w:szCs w:val="24"/>
        </w:rPr>
      </w:pPr>
      <w:r w:rsidRPr="00A43D8D">
        <w:rPr>
          <w:rFonts w:ascii="Garamond" w:hAnsi="Garamond"/>
          <w:b/>
          <w:sz w:val="24"/>
          <w:szCs w:val="24"/>
        </w:rPr>
        <w:t xml:space="preserve">a) Përdorimi ose jo i gjuhës diskriminuese (10 pikë) </w:t>
      </w:r>
    </w:p>
    <w:p w14:paraId="4346CD49" w14:textId="77777777" w:rsidR="00F052F6" w:rsidRPr="00DB634E" w:rsidRDefault="00F052F6" w:rsidP="00F052F6">
      <w:pPr>
        <w:spacing w:after="0" w:line="240" w:lineRule="auto"/>
        <w:ind w:firstLine="284"/>
        <w:jc w:val="both"/>
        <w:rPr>
          <w:rFonts w:ascii="Garamond" w:hAnsi="Garamond"/>
          <w:color w:val="000000"/>
          <w:sz w:val="24"/>
          <w:szCs w:val="24"/>
        </w:rPr>
      </w:pPr>
      <w:r w:rsidRPr="00DB634E">
        <w:rPr>
          <w:rFonts w:ascii="Garamond" w:hAnsi="Garamond"/>
          <w:color w:val="000000"/>
          <w:sz w:val="24"/>
          <w:szCs w:val="24"/>
        </w:rPr>
        <w:t>Si burime vlerësimi lidhur me këtë kriter shërbejnë dokumentet ligjorë të dorëzuara nga prokurori dhe aktet e dosjeve të përzgjedhura me short, duke përfshirë edhe regjistrimet e seancave gjyqësore me mjete audio ose video, si dhe rezultatet e ankesave dhe verifikimit të tyre.</w:t>
      </w:r>
    </w:p>
    <w:p w14:paraId="0E3E3DF8" w14:textId="77777777" w:rsidR="00F052F6" w:rsidRPr="00DB634E" w:rsidRDefault="00F052F6" w:rsidP="00F052F6">
      <w:pPr>
        <w:spacing w:after="0" w:line="240" w:lineRule="auto"/>
        <w:ind w:firstLine="284"/>
        <w:jc w:val="both"/>
        <w:rPr>
          <w:rFonts w:ascii="Garamond" w:hAnsi="Garamond"/>
          <w:color w:val="000000"/>
          <w:sz w:val="24"/>
          <w:szCs w:val="24"/>
        </w:rPr>
      </w:pPr>
      <w:r w:rsidRPr="00DB634E">
        <w:rPr>
          <w:rFonts w:ascii="Garamond" w:hAnsi="Garamond"/>
          <w:color w:val="000000"/>
          <w:sz w:val="24"/>
          <w:szCs w:val="24"/>
        </w:rPr>
        <w:t xml:space="preserve">Prokurorët duhet të jenë të vetëdijshëm dhe të shmangin përdorimin e gjuhës diskriminuese, si dhe çdo tendencë për paragjykime. Qëndrimet personale nuk duhet të ndërhyjnë në vendimmarrjen e prokurorit.  </w:t>
      </w:r>
    </w:p>
    <w:p w14:paraId="04DBFB69" w14:textId="77777777" w:rsidR="00F052F6" w:rsidRPr="00DB634E" w:rsidRDefault="00F052F6" w:rsidP="00F052F6">
      <w:pPr>
        <w:spacing w:after="0" w:line="240" w:lineRule="auto"/>
        <w:ind w:firstLine="284"/>
        <w:jc w:val="both"/>
        <w:rPr>
          <w:rFonts w:ascii="Garamond" w:hAnsi="Garamond"/>
          <w:color w:val="000000"/>
          <w:sz w:val="24"/>
          <w:szCs w:val="24"/>
        </w:rPr>
      </w:pPr>
      <w:r w:rsidRPr="00DB634E">
        <w:rPr>
          <w:rFonts w:ascii="Garamond" w:hAnsi="Garamond"/>
          <w:color w:val="000000"/>
          <w:sz w:val="24"/>
          <w:szCs w:val="24"/>
        </w:rPr>
        <w:t>Vlerësimi i këtij treguesi do të bazohet në elementët e mëposhtëm:</w:t>
      </w:r>
    </w:p>
    <w:p w14:paraId="064893FC"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respektimi i grupeve të cenueshme, i barazisë gjinore dhe i të drejtave të pakicave;</w:t>
      </w:r>
    </w:p>
    <w:p w14:paraId="2961DDCD"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shmangia e përdorimit të gjuhës diskriminuese;</w:t>
      </w:r>
    </w:p>
    <w:p w14:paraId="2A86BE3E"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shmangia e çdo tendence për paragjykim; </w:t>
      </w:r>
    </w:p>
    <w:p w14:paraId="0E3D0FEB"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shmangia e ndërhyrjes së mendimeve personale në vendimmarrjen e prokurorit.</w:t>
      </w:r>
    </w:p>
    <w:p w14:paraId="5798511C" w14:textId="77777777" w:rsidR="00F052F6" w:rsidRPr="00805A14" w:rsidRDefault="00F052F6" w:rsidP="00F052F6">
      <w:pPr>
        <w:spacing w:after="0" w:line="240" w:lineRule="auto"/>
        <w:ind w:firstLine="284"/>
        <w:jc w:val="both"/>
        <w:rPr>
          <w:rFonts w:ascii="Garamond" w:hAnsi="Garamond"/>
          <w:sz w:val="14"/>
          <w:szCs w:val="24"/>
        </w:rPr>
      </w:pPr>
    </w:p>
    <w:tbl>
      <w:tblPr>
        <w:tblW w:w="8318" w:type="dxa"/>
        <w:tblInd w:w="182" w:type="dxa"/>
        <w:tblCellMar>
          <w:top w:w="7" w:type="dxa"/>
          <w:left w:w="107" w:type="dxa"/>
          <w:right w:w="115" w:type="dxa"/>
        </w:tblCellMar>
        <w:tblLook w:val="04A0" w:firstRow="1" w:lastRow="0" w:firstColumn="1" w:lastColumn="0" w:noHBand="0" w:noVBand="1"/>
      </w:tblPr>
      <w:tblGrid>
        <w:gridCol w:w="5200"/>
        <w:gridCol w:w="3118"/>
      </w:tblGrid>
      <w:tr w:rsidR="00F052F6" w:rsidRPr="003D5CE4" w14:paraId="6AA6565E" w14:textId="77777777" w:rsidTr="003464CC">
        <w:trPr>
          <w:trHeight w:val="57"/>
        </w:trPr>
        <w:tc>
          <w:tcPr>
            <w:tcW w:w="5200"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096C757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Aftësia për të shmangur përdorimin e gjuhës diskriminuese </w:t>
            </w:r>
          </w:p>
        </w:tc>
        <w:tc>
          <w:tcPr>
            <w:tcW w:w="3118"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20E41FD8"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Nr. i pikëve</w:t>
            </w:r>
          </w:p>
        </w:tc>
      </w:tr>
      <w:tr w:rsidR="00F052F6" w:rsidRPr="003D5CE4" w14:paraId="77E9E82D" w14:textId="77777777" w:rsidTr="003464CC">
        <w:trPr>
          <w:trHeight w:val="57"/>
        </w:trPr>
        <w:tc>
          <w:tcPr>
            <w:tcW w:w="5200" w:type="dxa"/>
            <w:tcBorders>
              <w:top w:val="single" w:sz="4" w:space="0" w:color="000000"/>
              <w:left w:val="single" w:sz="4" w:space="0" w:color="000000"/>
              <w:bottom w:val="single" w:sz="4" w:space="0" w:color="000000"/>
              <w:right w:val="nil"/>
            </w:tcBorders>
          </w:tcPr>
          <w:p w14:paraId="0A4C3722"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3118" w:type="dxa"/>
            <w:tcBorders>
              <w:top w:val="single" w:sz="4" w:space="0" w:color="000000"/>
              <w:left w:val="single" w:sz="4" w:space="0" w:color="000000"/>
              <w:bottom w:val="single" w:sz="4" w:space="0" w:color="000000"/>
              <w:right w:val="single" w:sz="4" w:space="0" w:color="000000"/>
            </w:tcBorders>
            <w:vAlign w:val="center"/>
          </w:tcPr>
          <w:p w14:paraId="28EBC4CE"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w:t>
            </w:r>
          </w:p>
        </w:tc>
      </w:tr>
      <w:tr w:rsidR="00F052F6" w:rsidRPr="003D5CE4" w14:paraId="575FF68E" w14:textId="77777777" w:rsidTr="003464CC">
        <w:trPr>
          <w:trHeight w:val="57"/>
        </w:trPr>
        <w:tc>
          <w:tcPr>
            <w:tcW w:w="5200" w:type="dxa"/>
            <w:tcBorders>
              <w:top w:val="single" w:sz="4" w:space="0" w:color="000000"/>
              <w:left w:val="single" w:sz="4" w:space="0" w:color="000000"/>
              <w:bottom w:val="single" w:sz="4" w:space="0" w:color="000000"/>
              <w:right w:val="nil"/>
            </w:tcBorders>
          </w:tcPr>
          <w:p w14:paraId="637D0247"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3118" w:type="dxa"/>
            <w:tcBorders>
              <w:top w:val="single" w:sz="4" w:space="0" w:color="000000"/>
              <w:left w:val="single" w:sz="4" w:space="0" w:color="000000"/>
              <w:bottom w:val="single" w:sz="4" w:space="0" w:color="000000"/>
              <w:right w:val="single" w:sz="4" w:space="0" w:color="000000"/>
            </w:tcBorders>
            <w:vAlign w:val="center"/>
          </w:tcPr>
          <w:p w14:paraId="4DCD486A"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w:t>
            </w:r>
          </w:p>
        </w:tc>
      </w:tr>
      <w:tr w:rsidR="00F052F6" w:rsidRPr="003D5CE4" w14:paraId="783D5A9C" w14:textId="77777777" w:rsidTr="003464CC">
        <w:trPr>
          <w:trHeight w:val="57"/>
        </w:trPr>
        <w:tc>
          <w:tcPr>
            <w:tcW w:w="5200" w:type="dxa"/>
            <w:tcBorders>
              <w:top w:val="single" w:sz="4" w:space="0" w:color="000000"/>
              <w:left w:val="single" w:sz="4" w:space="0" w:color="000000"/>
              <w:bottom w:val="single" w:sz="4" w:space="0" w:color="000000"/>
              <w:right w:val="nil"/>
            </w:tcBorders>
          </w:tcPr>
          <w:p w14:paraId="17827C95"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3118" w:type="dxa"/>
            <w:tcBorders>
              <w:top w:val="single" w:sz="4" w:space="0" w:color="000000"/>
              <w:left w:val="single" w:sz="4" w:space="0" w:color="000000"/>
              <w:bottom w:val="single" w:sz="4" w:space="0" w:color="000000"/>
              <w:right w:val="single" w:sz="4" w:space="0" w:color="000000"/>
            </w:tcBorders>
            <w:vAlign w:val="center"/>
          </w:tcPr>
          <w:p w14:paraId="03F20F30"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6</w:t>
            </w:r>
          </w:p>
        </w:tc>
      </w:tr>
      <w:tr w:rsidR="00F052F6" w:rsidRPr="003D5CE4" w14:paraId="00ADCA37" w14:textId="77777777" w:rsidTr="003464CC">
        <w:trPr>
          <w:trHeight w:val="57"/>
        </w:trPr>
        <w:tc>
          <w:tcPr>
            <w:tcW w:w="5200" w:type="dxa"/>
            <w:tcBorders>
              <w:top w:val="single" w:sz="4" w:space="0" w:color="000000"/>
              <w:left w:val="single" w:sz="4" w:space="0" w:color="000000"/>
              <w:bottom w:val="single" w:sz="4" w:space="0" w:color="000000"/>
              <w:right w:val="nil"/>
            </w:tcBorders>
          </w:tcPr>
          <w:p w14:paraId="64C9F906"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3118" w:type="dxa"/>
            <w:tcBorders>
              <w:top w:val="single" w:sz="4" w:space="0" w:color="000000"/>
              <w:left w:val="single" w:sz="4" w:space="0" w:color="000000"/>
              <w:bottom w:val="single" w:sz="4" w:space="0" w:color="000000"/>
              <w:right w:val="single" w:sz="4" w:space="0" w:color="000000"/>
            </w:tcBorders>
            <w:vAlign w:val="center"/>
          </w:tcPr>
          <w:p w14:paraId="336339D1"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8</w:t>
            </w:r>
          </w:p>
        </w:tc>
      </w:tr>
      <w:tr w:rsidR="00F052F6" w:rsidRPr="003D5CE4" w14:paraId="41FD7DE6" w14:textId="77777777" w:rsidTr="003464CC">
        <w:trPr>
          <w:trHeight w:val="57"/>
        </w:trPr>
        <w:tc>
          <w:tcPr>
            <w:tcW w:w="5200" w:type="dxa"/>
            <w:tcBorders>
              <w:top w:val="single" w:sz="4" w:space="0" w:color="000000"/>
              <w:left w:val="single" w:sz="4" w:space="0" w:color="000000"/>
              <w:bottom w:val="single" w:sz="4" w:space="0" w:color="000000"/>
              <w:right w:val="nil"/>
            </w:tcBorders>
          </w:tcPr>
          <w:p w14:paraId="263357C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3118" w:type="dxa"/>
            <w:tcBorders>
              <w:top w:val="single" w:sz="4" w:space="0" w:color="000000"/>
              <w:left w:val="single" w:sz="4" w:space="0" w:color="000000"/>
              <w:bottom w:val="single" w:sz="4" w:space="0" w:color="000000"/>
              <w:right w:val="single" w:sz="4" w:space="0" w:color="000000"/>
            </w:tcBorders>
            <w:vAlign w:val="center"/>
          </w:tcPr>
          <w:p w14:paraId="1ABC39AE"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10</w:t>
            </w:r>
          </w:p>
        </w:tc>
      </w:tr>
    </w:tbl>
    <w:p w14:paraId="34D3ACCC" w14:textId="77777777" w:rsidR="00F052F6" w:rsidRPr="00805A14" w:rsidRDefault="00F052F6" w:rsidP="00F052F6">
      <w:pPr>
        <w:spacing w:after="0" w:line="240" w:lineRule="auto"/>
        <w:ind w:firstLine="284"/>
        <w:jc w:val="both"/>
        <w:rPr>
          <w:rFonts w:ascii="Garamond" w:hAnsi="Garamond"/>
          <w:b/>
          <w:sz w:val="14"/>
          <w:szCs w:val="24"/>
        </w:rPr>
      </w:pPr>
      <w:r w:rsidRPr="003D5CE4">
        <w:rPr>
          <w:rFonts w:ascii="Garamond" w:hAnsi="Garamond"/>
          <w:b/>
          <w:sz w:val="24"/>
          <w:szCs w:val="24"/>
        </w:rPr>
        <w:t xml:space="preserve"> </w:t>
      </w:r>
    </w:p>
    <w:p w14:paraId="3798CDCD" w14:textId="77777777" w:rsidR="00F052F6" w:rsidRPr="00805A14" w:rsidRDefault="00F052F6" w:rsidP="00F052F6">
      <w:pPr>
        <w:pStyle w:val="AAAAAAAAAAAAAAAAAATEEEEEXXX"/>
        <w:rPr>
          <w:b/>
          <w:szCs w:val="24"/>
        </w:rPr>
      </w:pPr>
      <w:r w:rsidRPr="00805A14">
        <w:rPr>
          <w:b/>
          <w:szCs w:val="24"/>
        </w:rPr>
        <w:t xml:space="preserve">b) Numri tejet i lartë i kërkesave të pranuara të palëve për përjashtimin e prokurorit (15 pikë) </w:t>
      </w:r>
    </w:p>
    <w:p w14:paraId="7C1BF415"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Si burime vlerësimi lidhur me këtë tregues shërbejnë të dhënat statistikore, si dhe formulari i integruar i vlerësimit të prokurorit. </w:t>
      </w:r>
    </w:p>
    <w:p w14:paraId="576FB5D3"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Pikëzimi i këtij treguesi bëhet sipas një rendi zbritës, bazuar në parimin kushtetues që çdo prokuror, për shkak të statusit të tij, është dhe duhet të shfaqë paanësi në funksion. Në bazë të kësaj qasjeje, çdo prokuror e fillon procesin e vlerësimit me totalin e 15 pikëve, referuar këtij kriteri. Gjatë procedurës së vlerësimit, nëse konstatohet se numri i kërkesave të pranuara të palëve për përjashtim është “tejet i lartë”, prokurori do të vlerësohet me pikët minimale.  </w:t>
      </w:r>
    </w:p>
    <w:p w14:paraId="739F4494"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Për të vendosur, nëse numri i kërkesave të pranuara të palëve për përjashtimin e prokurorit është apo jo “tejet i lartë”, vlerësuesi, rast pas rasti, nuk përqendrohet vetëm në numrin e vendimeve të pranuara për përjashtimin e prokurorit, por analizon dhe krahason edhe tregues të tjerë të dalë nga burimet e vlerësimit, si për shembull, raportin ndërmjet kërkesave për heqje dorë të paraqitura nga prokurori, me kërkesat e pranuara të palëve për përjashtimin e tij. Prokurori nuk penalizohet, nëse para vendimit të zëvendësimit, ai ka hequr dorë paraprakisht nga hetimi i çështjes, por kërkesa e tij nuk është pranuar nga drejtuesi i prokurorisë.  </w:t>
      </w:r>
    </w:p>
    <w:p w14:paraId="4016D54E" w14:textId="77777777" w:rsidR="00F052F6" w:rsidRPr="00B247A4" w:rsidRDefault="00F052F6" w:rsidP="00F052F6">
      <w:pPr>
        <w:spacing w:after="0" w:line="240" w:lineRule="auto"/>
        <w:ind w:firstLine="284"/>
        <w:jc w:val="both"/>
        <w:rPr>
          <w:rFonts w:ascii="Garamond" w:hAnsi="Garamond"/>
          <w:sz w:val="14"/>
          <w:szCs w:val="24"/>
        </w:rPr>
      </w:pPr>
    </w:p>
    <w:tbl>
      <w:tblPr>
        <w:tblW w:w="8177" w:type="dxa"/>
        <w:tblInd w:w="182" w:type="dxa"/>
        <w:tblCellMar>
          <w:top w:w="7" w:type="dxa"/>
          <w:left w:w="107" w:type="dxa"/>
          <w:right w:w="115" w:type="dxa"/>
        </w:tblCellMar>
        <w:tblLook w:val="04A0" w:firstRow="1" w:lastRow="0" w:firstColumn="1" w:lastColumn="0" w:noHBand="0" w:noVBand="1"/>
      </w:tblPr>
      <w:tblGrid>
        <w:gridCol w:w="5200"/>
        <w:gridCol w:w="2977"/>
      </w:tblGrid>
      <w:tr w:rsidR="00F052F6" w:rsidRPr="003D5CE4" w14:paraId="05BD46F6" w14:textId="77777777" w:rsidTr="003464CC">
        <w:trPr>
          <w:trHeight w:val="57"/>
        </w:trPr>
        <w:tc>
          <w:tcPr>
            <w:tcW w:w="5200"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4701EEC5"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Numri i kërkesave të pranuara të palëve për përjashtimin e prokurorit </w:t>
            </w:r>
          </w:p>
        </w:tc>
        <w:tc>
          <w:tcPr>
            <w:tcW w:w="2977"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3031E8D0"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Nr. i pikëve</w:t>
            </w:r>
          </w:p>
        </w:tc>
      </w:tr>
      <w:tr w:rsidR="00F052F6" w:rsidRPr="003D5CE4" w14:paraId="5B9A452C" w14:textId="77777777" w:rsidTr="003464CC">
        <w:trPr>
          <w:trHeight w:val="57"/>
        </w:trPr>
        <w:tc>
          <w:tcPr>
            <w:tcW w:w="5200" w:type="dxa"/>
            <w:tcBorders>
              <w:top w:val="single" w:sz="4" w:space="0" w:color="000000"/>
              <w:left w:val="single" w:sz="4" w:space="0" w:color="000000"/>
              <w:bottom w:val="single" w:sz="4" w:space="0" w:color="000000"/>
              <w:right w:val="single" w:sz="4" w:space="0" w:color="000000"/>
            </w:tcBorders>
          </w:tcPr>
          <w:p w14:paraId="49580536"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Tejet i lartë </w:t>
            </w:r>
          </w:p>
        </w:tc>
        <w:tc>
          <w:tcPr>
            <w:tcW w:w="2977" w:type="dxa"/>
            <w:tcBorders>
              <w:top w:val="single" w:sz="4" w:space="0" w:color="000000"/>
              <w:left w:val="single" w:sz="4" w:space="0" w:color="000000"/>
              <w:bottom w:val="single" w:sz="4" w:space="0" w:color="000000"/>
              <w:right w:val="single" w:sz="4" w:space="0" w:color="000000"/>
            </w:tcBorders>
          </w:tcPr>
          <w:p w14:paraId="50CCCB26"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3</w:t>
            </w:r>
          </w:p>
        </w:tc>
      </w:tr>
      <w:tr w:rsidR="00F052F6" w:rsidRPr="003D5CE4" w14:paraId="7BBDBA04" w14:textId="77777777" w:rsidTr="003464CC">
        <w:trPr>
          <w:trHeight w:val="57"/>
        </w:trPr>
        <w:tc>
          <w:tcPr>
            <w:tcW w:w="5200" w:type="dxa"/>
            <w:tcBorders>
              <w:top w:val="single" w:sz="4" w:space="0" w:color="000000"/>
              <w:left w:val="single" w:sz="4" w:space="0" w:color="000000"/>
              <w:bottom w:val="single" w:sz="4" w:space="0" w:color="000000"/>
              <w:right w:val="single" w:sz="4" w:space="0" w:color="000000"/>
            </w:tcBorders>
          </w:tcPr>
          <w:p w14:paraId="485C970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I pakonsiderueshëm </w:t>
            </w:r>
          </w:p>
        </w:tc>
        <w:tc>
          <w:tcPr>
            <w:tcW w:w="2977" w:type="dxa"/>
            <w:tcBorders>
              <w:top w:val="single" w:sz="4" w:space="0" w:color="000000"/>
              <w:left w:val="single" w:sz="4" w:space="0" w:color="000000"/>
              <w:bottom w:val="single" w:sz="4" w:space="0" w:color="000000"/>
              <w:right w:val="single" w:sz="4" w:space="0" w:color="000000"/>
            </w:tcBorders>
          </w:tcPr>
          <w:p w14:paraId="231BC769"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15</w:t>
            </w:r>
          </w:p>
        </w:tc>
      </w:tr>
    </w:tbl>
    <w:p w14:paraId="38963878" w14:textId="77777777" w:rsidR="00F052F6" w:rsidRPr="00DB634E" w:rsidRDefault="00F052F6" w:rsidP="00F052F6">
      <w:pPr>
        <w:spacing w:after="0" w:line="240" w:lineRule="auto"/>
        <w:ind w:firstLine="284"/>
        <w:jc w:val="both"/>
        <w:rPr>
          <w:rFonts w:ascii="Garamond" w:hAnsi="Garamond"/>
          <w:color w:val="000000"/>
          <w:sz w:val="14"/>
          <w:szCs w:val="24"/>
        </w:rPr>
      </w:pPr>
    </w:p>
    <w:p w14:paraId="760127BC" w14:textId="77777777" w:rsidR="00F052F6" w:rsidRPr="00B247A4" w:rsidRDefault="00F052F6" w:rsidP="00F052F6">
      <w:pPr>
        <w:spacing w:after="0" w:line="240" w:lineRule="auto"/>
        <w:ind w:firstLine="284"/>
        <w:jc w:val="both"/>
        <w:rPr>
          <w:rFonts w:ascii="Garamond" w:hAnsi="Garamond"/>
          <w:sz w:val="24"/>
          <w:szCs w:val="24"/>
        </w:rPr>
      </w:pPr>
      <w:r w:rsidRPr="00B247A4">
        <w:rPr>
          <w:rFonts w:ascii="Garamond" w:hAnsi="Garamond"/>
          <w:sz w:val="24"/>
          <w:szCs w:val="24"/>
        </w:rPr>
        <w:t xml:space="preserve">4. AFTËSIA PERSONALE DHE ANGAZHIMI PROFESIONAL (100 pikë) </w:t>
      </w:r>
    </w:p>
    <w:p w14:paraId="255E56D4"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Ky kriter vlerëson kapacitetin personal dhe angazhimin profesional të prokurorit që detajohet në treguesit e mëposhtëm. </w:t>
      </w:r>
    </w:p>
    <w:p w14:paraId="2F35BC7D" w14:textId="77777777" w:rsidR="00F052F6" w:rsidRPr="003D5CE4" w:rsidRDefault="00F052F6" w:rsidP="00F052F6">
      <w:pPr>
        <w:pStyle w:val="Heading2"/>
        <w:spacing w:after="0" w:line="240" w:lineRule="auto"/>
        <w:ind w:left="0" w:firstLine="284"/>
        <w:jc w:val="both"/>
        <w:rPr>
          <w:rFonts w:ascii="Garamond" w:hAnsi="Garamond"/>
          <w:szCs w:val="24"/>
        </w:rPr>
      </w:pPr>
      <w:r w:rsidRPr="003D5CE4">
        <w:rPr>
          <w:rFonts w:ascii="Garamond" w:hAnsi="Garamond"/>
          <w:szCs w:val="24"/>
        </w:rPr>
        <w:t>A.</w:t>
      </w:r>
      <w:r w:rsidRPr="003D5CE4">
        <w:rPr>
          <w:rFonts w:ascii="Garamond" w:eastAsia="Arial" w:hAnsi="Garamond"/>
          <w:szCs w:val="24"/>
        </w:rPr>
        <w:t xml:space="preserve"> </w:t>
      </w:r>
      <w:r w:rsidRPr="003D5CE4">
        <w:rPr>
          <w:rFonts w:ascii="Garamond" w:hAnsi="Garamond"/>
          <w:szCs w:val="24"/>
        </w:rPr>
        <w:t xml:space="preserve">Aftësia e komunikimit (40 pikë) </w:t>
      </w:r>
    </w:p>
    <w:p w14:paraId="3B8CC71A" w14:textId="77777777" w:rsidR="00F052F6" w:rsidRPr="003D5CE4" w:rsidRDefault="00F052F6" w:rsidP="00F052F6">
      <w:pPr>
        <w:pStyle w:val="AAAAAAAAAAAAAAAAAATEEEEEXXX"/>
        <w:rPr>
          <w:b/>
          <w:szCs w:val="24"/>
        </w:rPr>
      </w:pPr>
      <w:r w:rsidRPr="003D5CE4">
        <w:rPr>
          <w:b/>
          <w:szCs w:val="24"/>
        </w:rPr>
        <w:t xml:space="preserve">a) Komunikimi i qartë dhe transparent </w:t>
      </w:r>
      <w:r w:rsidRPr="003D5CE4">
        <w:rPr>
          <w:rFonts w:eastAsia="Calibri"/>
          <w:b/>
          <w:szCs w:val="24"/>
        </w:rPr>
        <w:t>me palët në proces, publikun, subjektet e tjera, të tretët</w:t>
      </w:r>
      <w:r w:rsidRPr="003D5CE4">
        <w:rPr>
          <w:b/>
          <w:szCs w:val="24"/>
        </w:rPr>
        <w:t xml:space="preserve"> (25 pikë) </w:t>
      </w:r>
    </w:p>
    <w:p w14:paraId="22BEF30F"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Si burime vlerësimi lidhur me këtë tregues shërbejnë dokumentet ligjore të dorëzuara nga prokurori, aktet e dosjeve të përzgjedhura me short, si dhe formulari i integruar i vlerësimit të prokurorit.</w:t>
      </w:r>
      <w:r w:rsidRPr="003D5CE4">
        <w:rPr>
          <w:rFonts w:ascii="Garamond" w:hAnsi="Garamond"/>
          <w:b/>
          <w:sz w:val="24"/>
          <w:szCs w:val="24"/>
        </w:rPr>
        <w:t xml:space="preserve"> </w:t>
      </w:r>
    </w:p>
    <w:p w14:paraId="127F4C49"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Vlerësimi i këtij treguesi do të bazohet në elementët e mëposhtëm:</w:t>
      </w:r>
    </w:p>
    <w:p w14:paraId="389E4B16"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Aftësia për të komunikuar në mënyrë efektive dhe transparente;</w:t>
      </w:r>
    </w:p>
    <w:p w14:paraId="2BB3582B"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Aftësia për t’u shprehur në mënyrë të kuptueshme, të qartë </w:t>
      </w:r>
      <w:r w:rsidRPr="003D5CE4">
        <w:rPr>
          <w:color w:val="auto"/>
          <w:szCs w:val="24"/>
        </w:rPr>
        <w:t xml:space="preserve">dhe të saktë, </w:t>
      </w:r>
      <w:r w:rsidRPr="003D5CE4">
        <w:rPr>
          <w:szCs w:val="24"/>
        </w:rPr>
        <w:t xml:space="preserve">me subjektet e procedimit penal, publikun, subjektet e tjera dhe të tretët.  </w:t>
      </w:r>
    </w:p>
    <w:p w14:paraId="1A4A46E9" w14:textId="77777777" w:rsidR="00F052F6" w:rsidRPr="006A013F" w:rsidRDefault="00F052F6" w:rsidP="00F052F6">
      <w:pPr>
        <w:pStyle w:val="AAAAAAAAAAAAAAAAAATEEEEEXXX"/>
        <w:rPr>
          <w:sz w:val="14"/>
          <w:szCs w:val="24"/>
        </w:rPr>
      </w:pPr>
    </w:p>
    <w:tbl>
      <w:tblPr>
        <w:tblW w:w="8177" w:type="dxa"/>
        <w:tblInd w:w="182" w:type="dxa"/>
        <w:tblCellMar>
          <w:top w:w="7" w:type="dxa"/>
          <w:left w:w="107" w:type="dxa"/>
          <w:right w:w="115" w:type="dxa"/>
        </w:tblCellMar>
        <w:tblLook w:val="04A0" w:firstRow="1" w:lastRow="0" w:firstColumn="1" w:lastColumn="0" w:noHBand="0" w:noVBand="1"/>
      </w:tblPr>
      <w:tblGrid>
        <w:gridCol w:w="4916"/>
        <w:gridCol w:w="3261"/>
      </w:tblGrid>
      <w:tr w:rsidR="00F052F6" w:rsidRPr="003D5CE4" w14:paraId="184D263C" w14:textId="77777777" w:rsidTr="003464CC">
        <w:trPr>
          <w:trHeight w:val="46"/>
        </w:trPr>
        <w:tc>
          <w:tcPr>
            <w:tcW w:w="4916"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2E8F1197"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Qartësia dhe transparenca e komunikimit </w:t>
            </w:r>
          </w:p>
        </w:tc>
        <w:tc>
          <w:tcPr>
            <w:tcW w:w="3261"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41A2A97E"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Nr. i pikëve</w:t>
            </w:r>
          </w:p>
        </w:tc>
      </w:tr>
      <w:tr w:rsidR="00F052F6" w:rsidRPr="003D5CE4" w14:paraId="45EC05E0" w14:textId="77777777" w:rsidTr="003464CC">
        <w:trPr>
          <w:trHeight w:val="46"/>
        </w:trPr>
        <w:tc>
          <w:tcPr>
            <w:tcW w:w="4916" w:type="dxa"/>
            <w:tcBorders>
              <w:top w:val="single" w:sz="4" w:space="0" w:color="000000"/>
              <w:left w:val="single" w:sz="4" w:space="0" w:color="000000"/>
              <w:bottom w:val="single" w:sz="4" w:space="0" w:color="000000"/>
              <w:right w:val="nil"/>
            </w:tcBorders>
          </w:tcPr>
          <w:p w14:paraId="62C08F01"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3261" w:type="dxa"/>
            <w:tcBorders>
              <w:top w:val="single" w:sz="4" w:space="0" w:color="000000"/>
              <w:left w:val="single" w:sz="4" w:space="0" w:color="000000"/>
              <w:bottom w:val="single" w:sz="4" w:space="0" w:color="000000"/>
              <w:right w:val="single" w:sz="4" w:space="0" w:color="000000"/>
            </w:tcBorders>
            <w:vAlign w:val="center"/>
          </w:tcPr>
          <w:p w14:paraId="103B16F2"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5</w:t>
            </w:r>
          </w:p>
        </w:tc>
      </w:tr>
      <w:tr w:rsidR="00F052F6" w:rsidRPr="003D5CE4" w14:paraId="52801329" w14:textId="77777777" w:rsidTr="003464CC">
        <w:trPr>
          <w:trHeight w:val="46"/>
        </w:trPr>
        <w:tc>
          <w:tcPr>
            <w:tcW w:w="4916" w:type="dxa"/>
            <w:tcBorders>
              <w:top w:val="single" w:sz="4" w:space="0" w:color="000000"/>
              <w:left w:val="single" w:sz="4" w:space="0" w:color="000000"/>
              <w:bottom w:val="single" w:sz="4" w:space="0" w:color="000000"/>
              <w:right w:val="nil"/>
            </w:tcBorders>
          </w:tcPr>
          <w:p w14:paraId="0AAA328D"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3261" w:type="dxa"/>
            <w:tcBorders>
              <w:top w:val="single" w:sz="4" w:space="0" w:color="000000"/>
              <w:left w:val="single" w:sz="4" w:space="0" w:color="000000"/>
              <w:bottom w:val="single" w:sz="4" w:space="0" w:color="000000"/>
              <w:right w:val="single" w:sz="4" w:space="0" w:color="000000"/>
            </w:tcBorders>
            <w:vAlign w:val="center"/>
          </w:tcPr>
          <w:p w14:paraId="3E620C56"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10</w:t>
            </w:r>
          </w:p>
        </w:tc>
      </w:tr>
      <w:tr w:rsidR="00F052F6" w:rsidRPr="003D5CE4" w14:paraId="2A0860FE" w14:textId="77777777" w:rsidTr="003464CC">
        <w:trPr>
          <w:trHeight w:val="46"/>
        </w:trPr>
        <w:tc>
          <w:tcPr>
            <w:tcW w:w="4916" w:type="dxa"/>
            <w:tcBorders>
              <w:top w:val="single" w:sz="4" w:space="0" w:color="000000"/>
              <w:left w:val="single" w:sz="4" w:space="0" w:color="000000"/>
              <w:bottom w:val="single" w:sz="4" w:space="0" w:color="000000"/>
              <w:right w:val="nil"/>
            </w:tcBorders>
          </w:tcPr>
          <w:p w14:paraId="166BF685"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3261" w:type="dxa"/>
            <w:tcBorders>
              <w:top w:val="single" w:sz="4" w:space="0" w:color="000000"/>
              <w:left w:val="single" w:sz="4" w:space="0" w:color="000000"/>
              <w:bottom w:val="single" w:sz="4" w:space="0" w:color="000000"/>
              <w:right w:val="single" w:sz="4" w:space="0" w:color="000000"/>
            </w:tcBorders>
            <w:vAlign w:val="center"/>
          </w:tcPr>
          <w:p w14:paraId="46DD1200"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15</w:t>
            </w:r>
          </w:p>
        </w:tc>
      </w:tr>
      <w:tr w:rsidR="00F052F6" w:rsidRPr="003D5CE4" w14:paraId="17383F19" w14:textId="77777777" w:rsidTr="003464CC">
        <w:trPr>
          <w:trHeight w:val="46"/>
        </w:trPr>
        <w:tc>
          <w:tcPr>
            <w:tcW w:w="4916" w:type="dxa"/>
            <w:tcBorders>
              <w:top w:val="single" w:sz="4" w:space="0" w:color="000000"/>
              <w:left w:val="single" w:sz="4" w:space="0" w:color="000000"/>
              <w:bottom w:val="single" w:sz="4" w:space="0" w:color="000000"/>
              <w:right w:val="nil"/>
            </w:tcBorders>
          </w:tcPr>
          <w:p w14:paraId="1E7DC5B2"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3261" w:type="dxa"/>
            <w:tcBorders>
              <w:top w:val="single" w:sz="4" w:space="0" w:color="000000"/>
              <w:left w:val="single" w:sz="4" w:space="0" w:color="000000"/>
              <w:bottom w:val="single" w:sz="4" w:space="0" w:color="000000"/>
              <w:right w:val="single" w:sz="4" w:space="0" w:color="000000"/>
            </w:tcBorders>
            <w:vAlign w:val="center"/>
          </w:tcPr>
          <w:p w14:paraId="5A15F3D6"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20</w:t>
            </w:r>
          </w:p>
        </w:tc>
      </w:tr>
      <w:tr w:rsidR="00F052F6" w:rsidRPr="003D5CE4" w14:paraId="0561F260" w14:textId="77777777" w:rsidTr="003464CC">
        <w:trPr>
          <w:trHeight w:val="46"/>
        </w:trPr>
        <w:tc>
          <w:tcPr>
            <w:tcW w:w="4916" w:type="dxa"/>
            <w:tcBorders>
              <w:top w:val="single" w:sz="4" w:space="0" w:color="000000"/>
              <w:left w:val="single" w:sz="4" w:space="0" w:color="000000"/>
              <w:bottom w:val="single" w:sz="4" w:space="0" w:color="000000"/>
              <w:right w:val="nil"/>
            </w:tcBorders>
          </w:tcPr>
          <w:p w14:paraId="63D95A34"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3261" w:type="dxa"/>
            <w:tcBorders>
              <w:top w:val="single" w:sz="4" w:space="0" w:color="000000"/>
              <w:left w:val="single" w:sz="4" w:space="0" w:color="000000"/>
              <w:bottom w:val="single" w:sz="4" w:space="0" w:color="000000"/>
              <w:right w:val="single" w:sz="4" w:space="0" w:color="000000"/>
            </w:tcBorders>
            <w:vAlign w:val="center"/>
          </w:tcPr>
          <w:p w14:paraId="2466589B"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25</w:t>
            </w:r>
          </w:p>
        </w:tc>
      </w:tr>
    </w:tbl>
    <w:p w14:paraId="199C0BF8" w14:textId="77777777" w:rsidR="00F052F6" w:rsidRPr="006A013F" w:rsidRDefault="00F052F6" w:rsidP="00F052F6">
      <w:pPr>
        <w:pStyle w:val="AAAAAAAAAAAAAAAAAATEEEEEXXX"/>
        <w:rPr>
          <w:b/>
          <w:sz w:val="14"/>
          <w:szCs w:val="24"/>
        </w:rPr>
      </w:pPr>
    </w:p>
    <w:p w14:paraId="013D217F" w14:textId="77777777" w:rsidR="000A18D6" w:rsidRDefault="000A18D6" w:rsidP="00F052F6">
      <w:pPr>
        <w:pStyle w:val="AAAAAAAAAAAAAAAAAATEEEEEXXX"/>
        <w:rPr>
          <w:b/>
          <w:szCs w:val="24"/>
        </w:rPr>
      </w:pPr>
    </w:p>
    <w:p w14:paraId="213AB073" w14:textId="77777777" w:rsidR="000A18D6" w:rsidRDefault="000A18D6" w:rsidP="00F052F6">
      <w:pPr>
        <w:pStyle w:val="AAAAAAAAAAAAAAAAAATEEEEEXXX"/>
        <w:rPr>
          <w:b/>
          <w:szCs w:val="24"/>
        </w:rPr>
      </w:pPr>
    </w:p>
    <w:p w14:paraId="1283DA53" w14:textId="77777777" w:rsidR="00F052F6" w:rsidRPr="003D5CE4" w:rsidRDefault="00F052F6" w:rsidP="00F052F6">
      <w:pPr>
        <w:pStyle w:val="AAAAAAAAAAAAAAAAAATEEEEEXXX"/>
        <w:rPr>
          <w:b/>
          <w:szCs w:val="24"/>
        </w:rPr>
      </w:pPr>
      <w:r w:rsidRPr="003D5CE4">
        <w:rPr>
          <w:b/>
          <w:szCs w:val="24"/>
        </w:rPr>
        <w:t xml:space="preserve">b) Respektimi i konfidencialitetit dhe mbrojtjes së të dhënave personale (15 pikë) </w:t>
      </w:r>
    </w:p>
    <w:p w14:paraId="675B6297"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Si burime vlerësimi lidhur me këtë tregues shërbejnë dokumentet ligjore të dorëzuara nga prokurori, aktet e dosjeve të përzgjedhura me short, si dhe formulari i integruar i vlerësimit të prokurorit.</w:t>
      </w:r>
      <w:r w:rsidRPr="003D5CE4">
        <w:rPr>
          <w:rFonts w:ascii="Garamond" w:hAnsi="Garamond"/>
          <w:b/>
          <w:sz w:val="24"/>
          <w:szCs w:val="24"/>
        </w:rPr>
        <w:t xml:space="preserve"> </w:t>
      </w:r>
    </w:p>
    <w:p w14:paraId="37E21CCA"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Prokurori duhet të tregojë kujdes maksimal për ruajtjen e konfidencialitetit dhe për mbrojtjen e të dhënave personale në lidhje me informacionet dhe të dhënat për të cilat ai vihet në dijeni për shkak të funksionit. Pikëzimi i këtij treguesi behet sipas një rendi zbritës, duke prezumuar që prokurori i gëzon cilësi të tilla. Çdo prokuror e fillon pikëzimin me 15 pikë, të cilat zbriten, sipas tabelës së mëposhtme, në varësi të treguesve që dalin nga burimet e vlerësimit. </w:t>
      </w:r>
    </w:p>
    <w:p w14:paraId="7877345E" w14:textId="77777777" w:rsidR="00F052F6" w:rsidRPr="00DB634E" w:rsidRDefault="00F052F6" w:rsidP="00F052F6">
      <w:pPr>
        <w:pStyle w:val="AAAAAAAAAAAAAAAAAATEEEEEXXX"/>
        <w:rPr>
          <w:szCs w:val="24"/>
        </w:rPr>
      </w:pPr>
      <w:r w:rsidRPr="00DB634E">
        <w:rPr>
          <w:szCs w:val="24"/>
        </w:rPr>
        <w:t>Vlerësimi i këtij treguesi do të bazohet në elementët e mëposhtëm:</w:t>
      </w:r>
    </w:p>
    <w:p w14:paraId="1020E2D4" w14:textId="77777777" w:rsidR="00F052F6" w:rsidRPr="00DB634E" w:rsidRDefault="00F052F6" w:rsidP="00F052F6">
      <w:pPr>
        <w:pStyle w:val="AAAAAAAAAAAAAAAAAATEEEEEXXX"/>
        <w:rPr>
          <w:szCs w:val="24"/>
        </w:rPr>
      </w:pPr>
      <w:r w:rsidRPr="003D5CE4">
        <w:rPr>
          <w:color w:val="auto"/>
          <w:szCs w:val="24"/>
        </w:rPr>
        <w:t xml:space="preserve">- </w:t>
      </w:r>
      <w:r w:rsidRPr="00DB634E">
        <w:rPr>
          <w:szCs w:val="24"/>
        </w:rPr>
        <w:t>Respektimi i dispozitave ligjore për konfidencialitetin dhe mbrojtjen e të dhënave personale;</w:t>
      </w:r>
    </w:p>
    <w:p w14:paraId="58AA890D" w14:textId="77777777" w:rsidR="00F052F6" w:rsidRPr="00DB634E" w:rsidRDefault="00F052F6" w:rsidP="00F052F6">
      <w:pPr>
        <w:pStyle w:val="AAAAAAAAAAAAAAAAAATEEEEEXXX"/>
        <w:rPr>
          <w:szCs w:val="24"/>
        </w:rPr>
      </w:pPr>
      <w:r w:rsidRPr="003D5CE4">
        <w:rPr>
          <w:color w:val="auto"/>
          <w:szCs w:val="24"/>
        </w:rPr>
        <w:t xml:space="preserve">- </w:t>
      </w:r>
      <w:r w:rsidRPr="00DB634E">
        <w:rPr>
          <w:szCs w:val="24"/>
        </w:rPr>
        <w:t>Respektimi i udhëzimeve dhe akteve nënligjore, të nxjerra nga Komisioneri për të Drejtën e Informimit dhe Mbrojtjen e të Dhënave Personale, për aq sa gjejnë zbatim;</w:t>
      </w:r>
    </w:p>
    <w:p w14:paraId="21588DBE" w14:textId="77777777" w:rsidR="00F052F6" w:rsidRPr="00DB634E" w:rsidRDefault="00F052F6" w:rsidP="00F052F6">
      <w:pPr>
        <w:pStyle w:val="AAAAAAAAAAAAAAAAAATEEEEEXXX"/>
        <w:rPr>
          <w:szCs w:val="24"/>
        </w:rPr>
      </w:pPr>
      <w:r w:rsidRPr="003D5CE4">
        <w:rPr>
          <w:color w:val="auto"/>
          <w:szCs w:val="24"/>
        </w:rPr>
        <w:t xml:space="preserve">- </w:t>
      </w:r>
      <w:r w:rsidRPr="00DB634E">
        <w:rPr>
          <w:szCs w:val="24"/>
        </w:rPr>
        <w:t>Kushtimi i një vëmendjeje të veçantë ndaj të dhënave personale, të rasteve delikate që përfshijnë të miturit, dhunën në familje etj.</w:t>
      </w:r>
    </w:p>
    <w:p w14:paraId="5D427994" w14:textId="77777777" w:rsidR="00F052F6" w:rsidRPr="006A013F" w:rsidRDefault="00F052F6" w:rsidP="00F052F6">
      <w:pPr>
        <w:spacing w:after="0" w:line="240" w:lineRule="auto"/>
        <w:ind w:firstLine="284"/>
        <w:jc w:val="both"/>
        <w:rPr>
          <w:rFonts w:ascii="Garamond" w:hAnsi="Garamond"/>
          <w:sz w:val="14"/>
          <w:szCs w:val="24"/>
        </w:rPr>
      </w:pPr>
    </w:p>
    <w:tbl>
      <w:tblPr>
        <w:tblW w:w="8318" w:type="dxa"/>
        <w:tblInd w:w="182" w:type="dxa"/>
        <w:tblCellMar>
          <w:top w:w="7" w:type="dxa"/>
          <w:left w:w="107" w:type="dxa"/>
          <w:right w:w="62" w:type="dxa"/>
        </w:tblCellMar>
        <w:tblLook w:val="04A0" w:firstRow="1" w:lastRow="0" w:firstColumn="1" w:lastColumn="0" w:noHBand="0" w:noVBand="1"/>
      </w:tblPr>
      <w:tblGrid>
        <w:gridCol w:w="4066"/>
        <w:gridCol w:w="4252"/>
      </w:tblGrid>
      <w:tr w:rsidR="00F052F6" w:rsidRPr="0034464F" w14:paraId="24292D72" w14:textId="77777777" w:rsidTr="003464CC">
        <w:trPr>
          <w:trHeight w:val="46"/>
        </w:trPr>
        <w:tc>
          <w:tcPr>
            <w:tcW w:w="4066" w:type="dxa"/>
            <w:tcBorders>
              <w:top w:val="single" w:sz="4" w:space="0" w:color="000000"/>
              <w:left w:val="single" w:sz="4" w:space="0" w:color="000000"/>
              <w:bottom w:val="single" w:sz="4" w:space="0" w:color="000000"/>
              <w:right w:val="single" w:sz="4" w:space="0" w:color="000000"/>
            </w:tcBorders>
            <w:shd w:val="clear" w:color="auto" w:fill="B4C6E7"/>
          </w:tcPr>
          <w:p w14:paraId="5A3F0E83" w14:textId="77777777" w:rsidR="00F052F6" w:rsidRPr="0034464F" w:rsidRDefault="00F052F6" w:rsidP="003464CC">
            <w:pPr>
              <w:spacing w:after="0" w:line="240" w:lineRule="auto"/>
              <w:jc w:val="both"/>
              <w:rPr>
                <w:rFonts w:ascii="Garamond" w:hAnsi="Garamond"/>
                <w:sz w:val="24"/>
                <w:szCs w:val="24"/>
              </w:rPr>
            </w:pPr>
            <w:r w:rsidRPr="0034464F">
              <w:rPr>
                <w:rFonts w:ascii="Garamond" w:hAnsi="Garamond"/>
                <w:b/>
                <w:sz w:val="24"/>
                <w:szCs w:val="24"/>
              </w:rPr>
              <w:t xml:space="preserve">Respektimi i konfidencialitetit </w:t>
            </w:r>
          </w:p>
        </w:tc>
        <w:tc>
          <w:tcPr>
            <w:tcW w:w="4252"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401C9912" w14:textId="77777777" w:rsidR="00F052F6" w:rsidRPr="0034464F" w:rsidRDefault="00F052F6" w:rsidP="003464CC">
            <w:pPr>
              <w:spacing w:after="0" w:line="240" w:lineRule="auto"/>
              <w:jc w:val="both"/>
              <w:rPr>
                <w:rFonts w:ascii="Garamond" w:hAnsi="Garamond"/>
                <w:sz w:val="24"/>
                <w:szCs w:val="24"/>
              </w:rPr>
            </w:pPr>
            <w:r w:rsidRPr="0034464F">
              <w:rPr>
                <w:rFonts w:ascii="Garamond" w:hAnsi="Garamond"/>
                <w:b/>
                <w:sz w:val="24"/>
                <w:szCs w:val="24"/>
              </w:rPr>
              <w:t>Nr. i pikëve</w:t>
            </w:r>
          </w:p>
        </w:tc>
      </w:tr>
      <w:tr w:rsidR="00F052F6" w:rsidRPr="0034464F" w14:paraId="4F001B24" w14:textId="77777777" w:rsidTr="003464CC">
        <w:trPr>
          <w:trHeight w:val="46"/>
        </w:trPr>
        <w:tc>
          <w:tcPr>
            <w:tcW w:w="4066" w:type="dxa"/>
            <w:tcBorders>
              <w:top w:val="single" w:sz="4" w:space="0" w:color="000000"/>
              <w:left w:val="single" w:sz="4" w:space="0" w:color="000000"/>
              <w:bottom w:val="single" w:sz="4" w:space="0" w:color="000000"/>
              <w:right w:val="single" w:sz="4" w:space="0" w:color="000000"/>
            </w:tcBorders>
          </w:tcPr>
          <w:p w14:paraId="5AC12316" w14:textId="77777777" w:rsidR="00F052F6" w:rsidRPr="0034464F" w:rsidRDefault="00F052F6" w:rsidP="003464CC">
            <w:pPr>
              <w:spacing w:after="0" w:line="240" w:lineRule="auto"/>
              <w:jc w:val="both"/>
              <w:rPr>
                <w:rFonts w:ascii="Garamond" w:hAnsi="Garamond"/>
                <w:sz w:val="24"/>
                <w:szCs w:val="24"/>
              </w:rPr>
            </w:pPr>
            <w:r w:rsidRPr="0034464F">
              <w:rPr>
                <w:rFonts w:ascii="Garamond" w:hAnsi="Garamond"/>
                <w:sz w:val="24"/>
                <w:szCs w:val="24"/>
              </w:rPr>
              <w:t xml:space="preserve">I dobët </w:t>
            </w:r>
          </w:p>
        </w:tc>
        <w:tc>
          <w:tcPr>
            <w:tcW w:w="4252" w:type="dxa"/>
            <w:tcBorders>
              <w:top w:val="single" w:sz="4" w:space="0" w:color="000000"/>
              <w:left w:val="single" w:sz="4" w:space="0" w:color="000000"/>
              <w:bottom w:val="single" w:sz="4" w:space="0" w:color="000000"/>
              <w:right w:val="single" w:sz="4" w:space="0" w:color="000000"/>
            </w:tcBorders>
            <w:vAlign w:val="center"/>
          </w:tcPr>
          <w:p w14:paraId="3E6BF76E" w14:textId="77777777" w:rsidR="00F052F6" w:rsidRPr="0034464F" w:rsidRDefault="00F052F6" w:rsidP="003464CC">
            <w:pPr>
              <w:spacing w:after="0" w:line="240" w:lineRule="auto"/>
              <w:jc w:val="both"/>
              <w:rPr>
                <w:rFonts w:ascii="Garamond" w:hAnsi="Garamond"/>
                <w:b/>
                <w:sz w:val="24"/>
                <w:szCs w:val="24"/>
              </w:rPr>
            </w:pPr>
            <w:r w:rsidRPr="0034464F">
              <w:rPr>
                <w:rFonts w:ascii="Garamond" w:hAnsi="Garamond"/>
                <w:b/>
                <w:sz w:val="24"/>
                <w:szCs w:val="24"/>
              </w:rPr>
              <w:t>3</w:t>
            </w:r>
          </w:p>
        </w:tc>
      </w:tr>
      <w:tr w:rsidR="00F052F6" w:rsidRPr="0034464F" w14:paraId="2A67F396" w14:textId="77777777" w:rsidTr="003464CC">
        <w:trPr>
          <w:trHeight w:val="46"/>
        </w:trPr>
        <w:tc>
          <w:tcPr>
            <w:tcW w:w="4066" w:type="dxa"/>
            <w:tcBorders>
              <w:top w:val="single" w:sz="4" w:space="0" w:color="000000"/>
              <w:left w:val="single" w:sz="4" w:space="0" w:color="000000"/>
              <w:bottom w:val="single" w:sz="4" w:space="0" w:color="000000"/>
              <w:right w:val="single" w:sz="4" w:space="0" w:color="000000"/>
            </w:tcBorders>
          </w:tcPr>
          <w:p w14:paraId="521E084C" w14:textId="77777777" w:rsidR="00F052F6" w:rsidRPr="0034464F" w:rsidRDefault="00F052F6" w:rsidP="003464CC">
            <w:pPr>
              <w:spacing w:after="0" w:line="240" w:lineRule="auto"/>
              <w:jc w:val="both"/>
              <w:rPr>
                <w:rFonts w:ascii="Garamond" w:hAnsi="Garamond"/>
                <w:sz w:val="24"/>
                <w:szCs w:val="24"/>
              </w:rPr>
            </w:pPr>
            <w:r w:rsidRPr="0034464F">
              <w:rPr>
                <w:rFonts w:ascii="Garamond" w:hAnsi="Garamond"/>
                <w:sz w:val="24"/>
                <w:szCs w:val="24"/>
              </w:rPr>
              <w:t xml:space="preserve">Mesatar </w:t>
            </w:r>
          </w:p>
        </w:tc>
        <w:tc>
          <w:tcPr>
            <w:tcW w:w="4252" w:type="dxa"/>
            <w:tcBorders>
              <w:top w:val="single" w:sz="4" w:space="0" w:color="000000"/>
              <w:left w:val="single" w:sz="4" w:space="0" w:color="000000"/>
              <w:bottom w:val="single" w:sz="4" w:space="0" w:color="000000"/>
              <w:right w:val="single" w:sz="4" w:space="0" w:color="000000"/>
            </w:tcBorders>
            <w:vAlign w:val="center"/>
          </w:tcPr>
          <w:p w14:paraId="65312BBE" w14:textId="77777777" w:rsidR="00F052F6" w:rsidRPr="0034464F" w:rsidRDefault="00F052F6" w:rsidP="003464CC">
            <w:pPr>
              <w:spacing w:after="0" w:line="240" w:lineRule="auto"/>
              <w:jc w:val="both"/>
              <w:rPr>
                <w:rFonts w:ascii="Garamond" w:hAnsi="Garamond"/>
                <w:b/>
                <w:sz w:val="24"/>
                <w:szCs w:val="24"/>
              </w:rPr>
            </w:pPr>
            <w:r w:rsidRPr="0034464F">
              <w:rPr>
                <w:rFonts w:ascii="Garamond" w:hAnsi="Garamond"/>
                <w:b/>
                <w:sz w:val="24"/>
                <w:szCs w:val="24"/>
              </w:rPr>
              <w:t>9</w:t>
            </w:r>
          </w:p>
        </w:tc>
      </w:tr>
      <w:tr w:rsidR="00F052F6" w:rsidRPr="0034464F" w14:paraId="602BD194" w14:textId="77777777" w:rsidTr="003464CC">
        <w:trPr>
          <w:trHeight w:val="46"/>
        </w:trPr>
        <w:tc>
          <w:tcPr>
            <w:tcW w:w="4066" w:type="dxa"/>
            <w:tcBorders>
              <w:top w:val="single" w:sz="4" w:space="0" w:color="000000"/>
              <w:left w:val="single" w:sz="4" w:space="0" w:color="000000"/>
              <w:bottom w:val="single" w:sz="4" w:space="0" w:color="000000"/>
              <w:right w:val="single" w:sz="4" w:space="0" w:color="000000"/>
            </w:tcBorders>
          </w:tcPr>
          <w:p w14:paraId="70F899FB" w14:textId="77777777" w:rsidR="00F052F6" w:rsidRPr="0034464F" w:rsidRDefault="00F052F6" w:rsidP="003464CC">
            <w:pPr>
              <w:spacing w:after="0" w:line="240" w:lineRule="auto"/>
              <w:jc w:val="both"/>
              <w:rPr>
                <w:rFonts w:ascii="Garamond" w:hAnsi="Garamond"/>
                <w:sz w:val="24"/>
                <w:szCs w:val="24"/>
              </w:rPr>
            </w:pPr>
            <w:r w:rsidRPr="0034464F">
              <w:rPr>
                <w:rFonts w:ascii="Garamond" w:hAnsi="Garamond"/>
                <w:sz w:val="24"/>
                <w:szCs w:val="24"/>
              </w:rPr>
              <w:t xml:space="preserve">I lartë </w:t>
            </w:r>
          </w:p>
        </w:tc>
        <w:tc>
          <w:tcPr>
            <w:tcW w:w="4252" w:type="dxa"/>
            <w:tcBorders>
              <w:top w:val="single" w:sz="4" w:space="0" w:color="000000"/>
              <w:left w:val="single" w:sz="4" w:space="0" w:color="000000"/>
              <w:bottom w:val="single" w:sz="4" w:space="0" w:color="000000"/>
              <w:right w:val="single" w:sz="4" w:space="0" w:color="000000"/>
            </w:tcBorders>
            <w:vAlign w:val="center"/>
          </w:tcPr>
          <w:p w14:paraId="0C381FE2" w14:textId="77777777" w:rsidR="00F052F6" w:rsidRPr="0034464F" w:rsidRDefault="00F052F6" w:rsidP="003464CC">
            <w:pPr>
              <w:spacing w:after="0" w:line="240" w:lineRule="auto"/>
              <w:jc w:val="both"/>
              <w:rPr>
                <w:rFonts w:ascii="Garamond" w:hAnsi="Garamond"/>
                <w:b/>
                <w:sz w:val="24"/>
                <w:szCs w:val="24"/>
              </w:rPr>
            </w:pPr>
            <w:r w:rsidRPr="0034464F">
              <w:rPr>
                <w:rFonts w:ascii="Garamond" w:hAnsi="Garamond"/>
                <w:b/>
                <w:sz w:val="24"/>
                <w:szCs w:val="24"/>
              </w:rPr>
              <w:t>15</w:t>
            </w:r>
          </w:p>
        </w:tc>
      </w:tr>
    </w:tbl>
    <w:p w14:paraId="0C14089D" w14:textId="77777777" w:rsidR="00F052F6" w:rsidRPr="003D5CE4" w:rsidRDefault="00F052F6" w:rsidP="00F052F6">
      <w:pPr>
        <w:spacing w:after="0" w:line="240" w:lineRule="auto"/>
        <w:ind w:firstLine="284"/>
        <w:jc w:val="both"/>
        <w:rPr>
          <w:rFonts w:ascii="Garamond" w:hAnsi="Garamond"/>
          <w:sz w:val="24"/>
          <w:szCs w:val="24"/>
        </w:rPr>
      </w:pPr>
    </w:p>
    <w:p w14:paraId="779B2D73" w14:textId="77777777" w:rsidR="00F052F6" w:rsidRPr="003D5CE4" w:rsidRDefault="00F052F6" w:rsidP="00F052F6">
      <w:pPr>
        <w:pStyle w:val="Heading2"/>
        <w:numPr>
          <w:ilvl w:val="0"/>
          <w:numId w:val="3"/>
        </w:numPr>
        <w:spacing w:after="0" w:line="240" w:lineRule="auto"/>
        <w:ind w:left="0" w:firstLine="284"/>
        <w:jc w:val="both"/>
        <w:rPr>
          <w:rFonts w:ascii="Garamond" w:hAnsi="Garamond"/>
          <w:szCs w:val="24"/>
        </w:rPr>
      </w:pPr>
      <w:r w:rsidRPr="003D5CE4">
        <w:rPr>
          <w:rFonts w:ascii="Garamond" w:hAnsi="Garamond"/>
          <w:szCs w:val="24"/>
        </w:rPr>
        <w:t xml:space="preserve">Aftësia për të bashkëpunuar me kolegët (25 pikë) </w:t>
      </w:r>
    </w:p>
    <w:p w14:paraId="47968FCE" w14:textId="77777777" w:rsidR="002E4866" w:rsidRDefault="002E4866" w:rsidP="00F052F6">
      <w:pPr>
        <w:pStyle w:val="AAAAAAAAAAAAAAAAAATEEEEEXXX"/>
        <w:rPr>
          <w:b/>
          <w:szCs w:val="24"/>
        </w:rPr>
      </w:pPr>
    </w:p>
    <w:p w14:paraId="172B7A62" w14:textId="77777777" w:rsidR="00F052F6" w:rsidRPr="003D5CE4" w:rsidRDefault="00F052F6" w:rsidP="00F052F6">
      <w:pPr>
        <w:pStyle w:val="AAAAAAAAAAAAAAAAAATEEEEEXXX"/>
        <w:rPr>
          <w:b/>
          <w:szCs w:val="24"/>
        </w:rPr>
      </w:pPr>
      <w:r w:rsidRPr="003D5CE4">
        <w:rPr>
          <w:b/>
          <w:szCs w:val="24"/>
        </w:rPr>
        <w:t xml:space="preserve">a) Shkalla e komunikimit dhe bashkëpunimit me kolegët, duke përfshirë shkëmbimin e njohurive dhe përvojës profesionale me ta (15 pikë) </w:t>
      </w:r>
    </w:p>
    <w:p w14:paraId="7A02C0C3"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Si burime vlerësimi lidhur me këtë tregues shërbejnë të dhënat për verifikimin e ankesave të paraqitura ndaj prokurorit gjatë periudhës së vlerësimit, si dhe formulari i integruar i vlerësimit të prokurorit.</w:t>
      </w:r>
    </w:p>
    <w:p w14:paraId="56A9FDC3" w14:textId="77777777" w:rsidR="00F052F6" w:rsidRPr="00DB634E" w:rsidRDefault="00F052F6" w:rsidP="00F052F6">
      <w:pPr>
        <w:spacing w:after="0" w:line="240" w:lineRule="auto"/>
        <w:ind w:firstLine="284"/>
        <w:jc w:val="both"/>
        <w:rPr>
          <w:rFonts w:ascii="Garamond" w:hAnsi="Garamond"/>
          <w:color w:val="000000"/>
          <w:sz w:val="24"/>
          <w:szCs w:val="24"/>
        </w:rPr>
      </w:pPr>
      <w:r w:rsidRPr="00DB634E">
        <w:rPr>
          <w:rFonts w:ascii="Garamond" w:hAnsi="Garamond"/>
          <w:color w:val="000000"/>
          <w:sz w:val="24"/>
          <w:szCs w:val="24"/>
        </w:rPr>
        <w:t xml:space="preserve">Prokurori duhet të ketë aftësinë dhe gatishmërinë për të bashkëpunuar me kolegët, pa cenuar pavarësinë e tij në vendimmarrje. </w:t>
      </w:r>
    </w:p>
    <w:p w14:paraId="527904AB" w14:textId="77777777" w:rsidR="00F052F6" w:rsidRPr="00DB634E" w:rsidRDefault="00F052F6" w:rsidP="00F052F6">
      <w:pPr>
        <w:spacing w:after="0" w:line="240" w:lineRule="auto"/>
        <w:ind w:firstLine="284"/>
        <w:jc w:val="both"/>
        <w:rPr>
          <w:rFonts w:ascii="Garamond" w:hAnsi="Garamond"/>
          <w:color w:val="000000"/>
          <w:sz w:val="24"/>
          <w:szCs w:val="24"/>
        </w:rPr>
      </w:pPr>
      <w:r w:rsidRPr="00DB634E">
        <w:rPr>
          <w:rFonts w:ascii="Garamond" w:hAnsi="Garamond"/>
          <w:color w:val="000000"/>
          <w:sz w:val="24"/>
          <w:szCs w:val="24"/>
        </w:rPr>
        <w:t>Vlerësimi i këtij treguesi do të bazohet në elementët e mëposhtëm:</w:t>
      </w:r>
    </w:p>
    <w:p w14:paraId="07B5045E"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Angazhimi në ngritjen e problematikave mbi çështje të caktuara juridike, përmirësimet e legjislacionit, diskutimin rreth zbatimit të vendimeve njësuese, hartimin e modeleve të unifikuara të akteve procedurale,  dhe në çdo çështje tjetër që lidhet me veprimtarinë e prokurorisë; </w:t>
      </w:r>
    </w:p>
    <w:p w14:paraId="4675415F" w14:textId="77777777" w:rsidR="00F052F6" w:rsidRPr="003D5CE4" w:rsidRDefault="00F052F6" w:rsidP="00F052F6">
      <w:pPr>
        <w:pStyle w:val="AAAAAAAAAAAAAAAAAATEEEEEXXX"/>
        <w:rPr>
          <w:szCs w:val="24"/>
        </w:rPr>
      </w:pPr>
      <w:r w:rsidRPr="003D5CE4">
        <w:rPr>
          <w:color w:val="auto"/>
          <w:szCs w:val="24"/>
        </w:rPr>
        <w:t xml:space="preserve">- </w:t>
      </w:r>
      <w:r w:rsidRPr="003D5CE4">
        <w:rPr>
          <w:szCs w:val="24"/>
        </w:rPr>
        <w:t xml:space="preserve">Gatishmëria për të ndarë me kolegët përvojën e përftuar në aktivitetet e ndryshme trajnuese. </w:t>
      </w:r>
    </w:p>
    <w:p w14:paraId="1B59AE55" w14:textId="77777777" w:rsidR="00F052F6" w:rsidRPr="006A013F" w:rsidRDefault="00F052F6" w:rsidP="00F052F6">
      <w:pPr>
        <w:pStyle w:val="AAAAAAAAAAAAAAAAAATEEEEEXXX"/>
        <w:rPr>
          <w:sz w:val="14"/>
          <w:szCs w:val="24"/>
        </w:rPr>
      </w:pPr>
      <w:r w:rsidRPr="006A013F">
        <w:rPr>
          <w:sz w:val="14"/>
          <w:szCs w:val="24"/>
        </w:rPr>
        <w:t xml:space="preserve"> </w:t>
      </w:r>
    </w:p>
    <w:tbl>
      <w:tblPr>
        <w:tblW w:w="8318" w:type="dxa"/>
        <w:tblInd w:w="182" w:type="dxa"/>
        <w:tblCellMar>
          <w:top w:w="7" w:type="dxa"/>
          <w:left w:w="107" w:type="dxa"/>
          <w:right w:w="115" w:type="dxa"/>
        </w:tblCellMar>
        <w:tblLook w:val="04A0" w:firstRow="1" w:lastRow="0" w:firstColumn="1" w:lastColumn="0" w:noHBand="0" w:noVBand="1"/>
      </w:tblPr>
      <w:tblGrid>
        <w:gridCol w:w="4066"/>
        <w:gridCol w:w="4252"/>
      </w:tblGrid>
      <w:tr w:rsidR="00F052F6" w:rsidRPr="003D5CE4" w14:paraId="21410EC6" w14:textId="77777777" w:rsidTr="003464CC">
        <w:trPr>
          <w:trHeight w:val="46"/>
        </w:trPr>
        <w:tc>
          <w:tcPr>
            <w:tcW w:w="4066" w:type="dxa"/>
            <w:tcBorders>
              <w:top w:val="single" w:sz="4" w:space="0" w:color="000000"/>
              <w:left w:val="single" w:sz="4" w:space="0" w:color="000000"/>
              <w:bottom w:val="single" w:sz="4" w:space="0" w:color="000000"/>
              <w:right w:val="single" w:sz="4" w:space="0" w:color="000000"/>
            </w:tcBorders>
            <w:shd w:val="clear" w:color="auto" w:fill="B4C6E7"/>
          </w:tcPr>
          <w:p w14:paraId="5A81BE08"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Shkalla e komunikimit </w:t>
            </w:r>
          </w:p>
        </w:tc>
        <w:tc>
          <w:tcPr>
            <w:tcW w:w="4252" w:type="dxa"/>
            <w:tcBorders>
              <w:top w:val="single" w:sz="4" w:space="0" w:color="000000"/>
              <w:left w:val="single" w:sz="4" w:space="0" w:color="000000"/>
              <w:bottom w:val="single" w:sz="4" w:space="0" w:color="000000"/>
              <w:right w:val="single" w:sz="4" w:space="0" w:color="000000"/>
            </w:tcBorders>
            <w:shd w:val="clear" w:color="auto" w:fill="B4C6E7"/>
          </w:tcPr>
          <w:p w14:paraId="3E6419DD"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Nr. i pikëve</w:t>
            </w:r>
          </w:p>
        </w:tc>
      </w:tr>
      <w:tr w:rsidR="00F052F6" w:rsidRPr="003D5CE4" w14:paraId="68A261AF" w14:textId="77777777" w:rsidTr="003464CC">
        <w:trPr>
          <w:trHeight w:val="46"/>
        </w:trPr>
        <w:tc>
          <w:tcPr>
            <w:tcW w:w="4066" w:type="dxa"/>
            <w:tcBorders>
              <w:top w:val="single" w:sz="4" w:space="0" w:color="000000"/>
              <w:left w:val="single" w:sz="4" w:space="0" w:color="000000"/>
              <w:bottom w:val="single" w:sz="4" w:space="0" w:color="000000"/>
              <w:right w:val="nil"/>
            </w:tcBorders>
          </w:tcPr>
          <w:p w14:paraId="57E09373"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4252" w:type="dxa"/>
            <w:tcBorders>
              <w:top w:val="single" w:sz="4" w:space="0" w:color="000000"/>
              <w:left w:val="single" w:sz="4" w:space="0" w:color="000000"/>
              <w:bottom w:val="single" w:sz="4" w:space="0" w:color="000000"/>
              <w:right w:val="single" w:sz="4" w:space="0" w:color="000000"/>
            </w:tcBorders>
          </w:tcPr>
          <w:p w14:paraId="5D859498"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3</w:t>
            </w:r>
          </w:p>
        </w:tc>
      </w:tr>
      <w:tr w:rsidR="00F052F6" w:rsidRPr="003D5CE4" w14:paraId="2B3FD3C5" w14:textId="77777777" w:rsidTr="003464CC">
        <w:trPr>
          <w:trHeight w:val="46"/>
        </w:trPr>
        <w:tc>
          <w:tcPr>
            <w:tcW w:w="4066" w:type="dxa"/>
            <w:tcBorders>
              <w:top w:val="single" w:sz="4" w:space="0" w:color="000000"/>
              <w:left w:val="single" w:sz="4" w:space="0" w:color="000000"/>
              <w:bottom w:val="single" w:sz="4" w:space="0" w:color="000000"/>
              <w:right w:val="nil"/>
            </w:tcBorders>
          </w:tcPr>
          <w:p w14:paraId="388A67F1"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4252" w:type="dxa"/>
            <w:tcBorders>
              <w:top w:val="single" w:sz="4" w:space="0" w:color="000000"/>
              <w:left w:val="single" w:sz="4" w:space="0" w:color="000000"/>
              <w:bottom w:val="single" w:sz="4" w:space="0" w:color="000000"/>
              <w:right w:val="single" w:sz="4" w:space="0" w:color="000000"/>
            </w:tcBorders>
          </w:tcPr>
          <w:p w14:paraId="30C25B93"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6</w:t>
            </w:r>
          </w:p>
        </w:tc>
      </w:tr>
      <w:tr w:rsidR="00F052F6" w:rsidRPr="003D5CE4" w14:paraId="27F04FC3" w14:textId="77777777" w:rsidTr="003464CC">
        <w:trPr>
          <w:trHeight w:val="46"/>
        </w:trPr>
        <w:tc>
          <w:tcPr>
            <w:tcW w:w="4066" w:type="dxa"/>
            <w:tcBorders>
              <w:top w:val="single" w:sz="4" w:space="0" w:color="000000"/>
              <w:left w:val="single" w:sz="4" w:space="0" w:color="000000"/>
              <w:bottom w:val="single" w:sz="4" w:space="0" w:color="000000"/>
              <w:right w:val="nil"/>
            </w:tcBorders>
          </w:tcPr>
          <w:p w14:paraId="4AABFD57"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4252" w:type="dxa"/>
            <w:tcBorders>
              <w:top w:val="single" w:sz="4" w:space="0" w:color="000000"/>
              <w:left w:val="single" w:sz="4" w:space="0" w:color="000000"/>
              <w:bottom w:val="single" w:sz="4" w:space="0" w:color="000000"/>
              <w:right w:val="single" w:sz="4" w:space="0" w:color="000000"/>
            </w:tcBorders>
          </w:tcPr>
          <w:p w14:paraId="4322C51A"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9</w:t>
            </w:r>
          </w:p>
        </w:tc>
      </w:tr>
      <w:tr w:rsidR="00F052F6" w:rsidRPr="003D5CE4" w14:paraId="5DACA39B" w14:textId="77777777" w:rsidTr="003464CC">
        <w:trPr>
          <w:trHeight w:val="46"/>
        </w:trPr>
        <w:tc>
          <w:tcPr>
            <w:tcW w:w="4066" w:type="dxa"/>
            <w:tcBorders>
              <w:top w:val="single" w:sz="4" w:space="0" w:color="000000"/>
              <w:left w:val="single" w:sz="4" w:space="0" w:color="000000"/>
              <w:bottom w:val="single" w:sz="4" w:space="0" w:color="000000"/>
              <w:right w:val="nil"/>
            </w:tcBorders>
          </w:tcPr>
          <w:p w14:paraId="4930B319"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4252" w:type="dxa"/>
            <w:tcBorders>
              <w:top w:val="single" w:sz="4" w:space="0" w:color="000000"/>
              <w:left w:val="single" w:sz="4" w:space="0" w:color="000000"/>
              <w:bottom w:val="single" w:sz="4" w:space="0" w:color="000000"/>
              <w:right w:val="single" w:sz="4" w:space="0" w:color="000000"/>
            </w:tcBorders>
          </w:tcPr>
          <w:p w14:paraId="6C5395F4"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12</w:t>
            </w:r>
          </w:p>
        </w:tc>
      </w:tr>
      <w:tr w:rsidR="00F052F6" w:rsidRPr="003D5CE4" w14:paraId="4628582F" w14:textId="77777777" w:rsidTr="003464CC">
        <w:trPr>
          <w:trHeight w:val="46"/>
        </w:trPr>
        <w:tc>
          <w:tcPr>
            <w:tcW w:w="4066" w:type="dxa"/>
            <w:tcBorders>
              <w:top w:val="single" w:sz="4" w:space="0" w:color="000000"/>
              <w:left w:val="single" w:sz="4" w:space="0" w:color="000000"/>
              <w:bottom w:val="single" w:sz="4" w:space="0" w:color="000000"/>
              <w:right w:val="nil"/>
            </w:tcBorders>
          </w:tcPr>
          <w:p w14:paraId="430D55CA"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4252" w:type="dxa"/>
            <w:tcBorders>
              <w:top w:val="single" w:sz="4" w:space="0" w:color="000000"/>
              <w:left w:val="single" w:sz="4" w:space="0" w:color="000000"/>
              <w:bottom w:val="single" w:sz="4" w:space="0" w:color="000000"/>
              <w:right w:val="single" w:sz="4" w:space="0" w:color="000000"/>
            </w:tcBorders>
          </w:tcPr>
          <w:p w14:paraId="71A0F01C"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15</w:t>
            </w:r>
          </w:p>
        </w:tc>
      </w:tr>
    </w:tbl>
    <w:p w14:paraId="14CBE037" w14:textId="77777777" w:rsidR="00F052F6" w:rsidRPr="006A013F" w:rsidRDefault="00F052F6" w:rsidP="00F052F6">
      <w:pPr>
        <w:spacing w:after="0" w:line="240" w:lineRule="auto"/>
        <w:ind w:firstLine="284"/>
        <w:jc w:val="both"/>
        <w:rPr>
          <w:rFonts w:ascii="Garamond" w:hAnsi="Garamond"/>
          <w:sz w:val="14"/>
          <w:szCs w:val="24"/>
        </w:rPr>
      </w:pPr>
    </w:p>
    <w:p w14:paraId="6C6548FD" w14:textId="77777777" w:rsidR="00F052F6" w:rsidRPr="003D5CE4" w:rsidRDefault="00F052F6" w:rsidP="00F052F6">
      <w:pPr>
        <w:pStyle w:val="AAAAAAAAAAAAAAAAAATEEEEEXXX"/>
        <w:rPr>
          <w:b/>
          <w:szCs w:val="24"/>
        </w:rPr>
      </w:pPr>
      <w:r w:rsidRPr="003D5CE4">
        <w:rPr>
          <w:b/>
          <w:szCs w:val="24"/>
        </w:rPr>
        <w:t xml:space="preserve">b) Shkalla e komunikimit dhe e bashkëpunimit me administratën (10 pikë) </w:t>
      </w:r>
    </w:p>
    <w:p w14:paraId="04ADF5CB"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Si burime vlerësimi lidhur me këtë tregues shërbejnë të dhënat për verifikimin e ankesave të paraqitura ndaj prokurorit gjatë periudhës së vlerësimit, si dhe formulari i integruar i vlerësimit të prokurorit.. </w:t>
      </w:r>
    </w:p>
    <w:p w14:paraId="20BB252B" w14:textId="77777777" w:rsidR="00F052F6" w:rsidRPr="003D5CE4" w:rsidRDefault="00F052F6" w:rsidP="00F052F6">
      <w:pPr>
        <w:spacing w:after="0" w:line="240" w:lineRule="auto"/>
        <w:ind w:firstLine="284"/>
        <w:jc w:val="both"/>
        <w:rPr>
          <w:rFonts w:ascii="Garamond" w:hAnsi="Garamond"/>
          <w:color w:val="222222"/>
          <w:sz w:val="24"/>
          <w:szCs w:val="24"/>
        </w:rPr>
      </w:pPr>
      <w:r w:rsidRPr="003D5CE4">
        <w:rPr>
          <w:rFonts w:ascii="Garamond" w:hAnsi="Garamond"/>
          <w:sz w:val="24"/>
          <w:szCs w:val="24"/>
        </w:rPr>
        <w:t xml:space="preserve">Prokurorët e të gjitha niveleve ndërveprojnë rregullisht me personelin e prokurorisë. Nxitja </w:t>
      </w:r>
      <w:r w:rsidRPr="003D5CE4">
        <w:rPr>
          <w:rFonts w:ascii="Garamond" w:hAnsi="Garamond"/>
          <w:color w:val="222222"/>
          <w:sz w:val="24"/>
          <w:szCs w:val="24"/>
        </w:rPr>
        <w:t xml:space="preserve">e marrëdhënieve bashkëpunuese me personelin e prokurorisë krijon një ambient pune harmonik dhe produktiv. </w:t>
      </w:r>
      <w:r w:rsidRPr="003D5CE4">
        <w:rPr>
          <w:rFonts w:ascii="Garamond" w:hAnsi="Garamond"/>
          <w:sz w:val="24"/>
          <w:szCs w:val="24"/>
        </w:rPr>
        <w:t>Këshilli do të vlerësojë, nëse nga burimet e vlerësimit rezultojnë të dhëna mbi shfaqjen e mungesës së respektit ndaj punonjësve të administratës së prokurorisë, keqtrajtimin progresiv dhe sistematik të tyre, nëpërmjet përdorimit të fjalorit të papërshtatshëm, thashethemeve, përjashtimit social etj.</w:t>
      </w:r>
    </w:p>
    <w:p w14:paraId="468DB3D8" w14:textId="77777777" w:rsidR="00F052F6" w:rsidRPr="006A013F" w:rsidRDefault="00F052F6" w:rsidP="00F052F6">
      <w:pPr>
        <w:spacing w:after="0" w:line="240" w:lineRule="auto"/>
        <w:ind w:firstLine="284"/>
        <w:jc w:val="both"/>
        <w:rPr>
          <w:rFonts w:ascii="Garamond" w:hAnsi="Garamond"/>
          <w:sz w:val="14"/>
          <w:szCs w:val="24"/>
        </w:rPr>
      </w:pPr>
    </w:p>
    <w:tbl>
      <w:tblPr>
        <w:tblW w:w="8505" w:type="dxa"/>
        <w:tblInd w:w="-5" w:type="dxa"/>
        <w:tblCellMar>
          <w:top w:w="7" w:type="dxa"/>
          <w:left w:w="107" w:type="dxa"/>
          <w:right w:w="115" w:type="dxa"/>
        </w:tblCellMar>
        <w:tblLook w:val="04A0" w:firstRow="1" w:lastRow="0" w:firstColumn="1" w:lastColumn="0" w:noHBand="0" w:noVBand="1"/>
      </w:tblPr>
      <w:tblGrid>
        <w:gridCol w:w="4536"/>
        <w:gridCol w:w="3969"/>
      </w:tblGrid>
      <w:tr w:rsidR="00F052F6" w:rsidRPr="003D5CE4" w14:paraId="54281296" w14:textId="77777777" w:rsidTr="003464CC">
        <w:trPr>
          <w:trHeight w:val="46"/>
        </w:trPr>
        <w:tc>
          <w:tcPr>
            <w:tcW w:w="4536" w:type="dxa"/>
            <w:tcBorders>
              <w:top w:val="single" w:sz="4" w:space="0" w:color="000000"/>
              <w:left w:val="single" w:sz="4" w:space="0" w:color="000000"/>
              <w:bottom w:val="single" w:sz="4" w:space="0" w:color="000000"/>
              <w:right w:val="single" w:sz="4" w:space="0" w:color="000000"/>
            </w:tcBorders>
            <w:shd w:val="clear" w:color="auto" w:fill="B4C6E7"/>
          </w:tcPr>
          <w:p w14:paraId="45393B69"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b/>
                <w:sz w:val="24"/>
                <w:szCs w:val="24"/>
              </w:rPr>
              <w:t xml:space="preserve">Shkalla e komunikimit </w:t>
            </w:r>
          </w:p>
        </w:tc>
        <w:tc>
          <w:tcPr>
            <w:tcW w:w="3969" w:type="dxa"/>
            <w:tcBorders>
              <w:top w:val="single" w:sz="4" w:space="0" w:color="000000"/>
              <w:left w:val="single" w:sz="4" w:space="0" w:color="000000"/>
              <w:bottom w:val="single" w:sz="4" w:space="0" w:color="000000"/>
              <w:right w:val="single" w:sz="4" w:space="0" w:color="000000"/>
            </w:tcBorders>
            <w:shd w:val="clear" w:color="auto" w:fill="B4C6E7"/>
            <w:vAlign w:val="center"/>
          </w:tcPr>
          <w:p w14:paraId="3FA91219"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Nr. i pikëve</w:t>
            </w:r>
          </w:p>
        </w:tc>
      </w:tr>
      <w:tr w:rsidR="00F052F6" w:rsidRPr="003D5CE4" w14:paraId="5FC5FE01" w14:textId="77777777" w:rsidTr="003464CC">
        <w:trPr>
          <w:trHeight w:val="46"/>
        </w:trPr>
        <w:tc>
          <w:tcPr>
            <w:tcW w:w="4536" w:type="dxa"/>
            <w:tcBorders>
              <w:top w:val="single" w:sz="4" w:space="0" w:color="000000"/>
              <w:left w:val="single" w:sz="4" w:space="0" w:color="000000"/>
              <w:bottom w:val="single" w:sz="4" w:space="0" w:color="000000"/>
              <w:right w:val="nil"/>
            </w:tcBorders>
          </w:tcPr>
          <w:p w14:paraId="205DE59A"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E dobët</w:t>
            </w:r>
          </w:p>
        </w:tc>
        <w:tc>
          <w:tcPr>
            <w:tcW w:w="3969" w:type="dxa"/>
            <w:tcBorders>
              <w:top w:val="single" w:sz="4" w:space="0" w:color="000000"/>
              <w:left w:val="single" w:sz="4" w:space="0" w:color="000000"/>
              <w:bottom w:val="single" w:sz="4" w:space="0" w:color="000000"/>
              <w:right w:val="single" w:sz="4" w:space="0" w:color="000000"/>
            </w:tcBorders>
            <w:vAlign w:val="center"/>
          </w:tcPr>
          <w:p w14:paraId="4D3E0801"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2</w:t>
            </w:r>
          </w:p>
        </w:tc>
      </w:tr>
      <w:tr w:rsidR="00F052F6" w:rsidRPr="003D5CE4" w14:paraId="650E8F9E" w14:textId="77777777" w:rsidTr="003464CC">
        <w:trPr>
          <w:trHeight w:val="46"/>
        </w:trPr>
        <w:tc>
          <w:tcPr>
            <w:tcW w:w="4536" w:type="dxa"/>
            <w:tcBorders>
              <w:top w:val="single" w:sz="4" w:space="0" w:color="000000"/>
              <w:left w:val="single" w:sz="4" w:space="0" w:color="000000"/>
              <w:bottom w:val="single" w:sz="4" w:space="0" w:color="000000"/>
              <w:right w:val="nil"/>
            </w:tcBorders>
          </w:tcPr>
          <w:p w14:paraId="49AE5EEE"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Nën mesataren</w:t>
            </w:r>
          </w:p>
        </w:tc>
        <w:tc>
          <w:tcPr>
            <w:tcW w:w="3969" w:type="dxa"/>
            <w:tcBorders>
              <w:top w:val="single" w:sz="4" w:space="0" w:color="000000"/>
              <w:left w:val="single" w:sz="4" w:space="0" w:color="000000"/>
              <w:bottom w:val="single" w:sz="4" w:space="0" w:color="000000"/>
              <w:right w:val="single" w:sz="4" w:space="0" w:color="000000"/>
            </w:tcBorders>
            <w:vAlign w:val="center"/>
          </w:tcPr>
          <w:p w14:paraId="417C9FE3"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4</w:t>
            </w:r>
          </w:p>
        </w:tc>
      </w:tr>
      <w:tr w:rsidR="00F052F6" w:rsidRPr="003D5CE4" w14:paraId="4E6B6258" w14:textId="77777777" w:rsidTr="003464CC">
        <w:trPr>
          <w:trHeight w:val="46"/>
        </w:trPr>
        <w:tc>
          <w:tcPr>
            <w:tcW w:w="4536" w:type="dxa"/>
            <w:tcBorders>
              <w:top w:val="single" w:sz="4" w:space="0" w:color="000000"/>
              <w:left w:val="single" w:sz="4" w:space="0" w:color="000000"/>
              <w:bottom w:val="single" w:sz="4" w:space="0" w:color="000000"/>
              <w:right w:val="nil"/>
            </w:tcBorders>
          </w:tcPr>
          <w:p w14:paraId="7AA89D87"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Mesatare</w:t>
            </w:r>
          </w:p>
        </w:tc>
        <w:tc>
          <w:tcPr>
            <w:tcW w:w="3969" w:type="dxa"/>
            <w:tcBorders>
              <w:top w:val="single" w:sz="4" w:space="0" w:color="000000"/>
              <w:left w:val="single" w:sz="4" w:space="0" w:color="000000"/>
              <w:bottom w:val="single" w:sz="4" w:space="0" w:color="000000"/>
              <w:right w:val="single" w:sz="4" w:space="0" w:color="000000"/>
            </w:tcBorders>
            <w:vAlign w:val="center"/>
          </w:tcPr>
          <w:p w14:paraId="31B02AEC"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6</w:t>
            </w:r>
          </w:p>
        </w:tc>
      </w:tr>
      <w:tr w:rsidR="00F052F6" w:rsidRPr="003D5CE4" w14:paraId="6F01549C" w14:textId="77777777" w:rsidTr="003464CC">
        <w:trPr>
          <w:trHeight w:val="46"/>
        </w:trPr>
        <w:tc>
          <w:tcPr>
            <w:tcW w:w="4536" w:type="dxa"/>
            <w:tcBorders>
              <w:top w:val="single" w:sz="4" w:space="0" w:color="000000"/>
              <w:left w:val="single" w:sz="4" w:space="0" w:color="000000"/>
              <w:bottom w:val="single" w:sz="4" w:space="0" w:color="000000"/>
              <w:right w:val="nil"/>
            </w:tcBorders>
          </w:tcPr>
          <w:p w14:paraId="08A8B62B"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 xml:space="preserve">Mbi mesataren </w:t>
            </w:r>
          </w:p>
        </w:tc>
        <w:tc>
          <w:tcPr>
            <w:tcW w:w="3969" w:type="dxa"/>
            <w:tcBorders>
              <w:top w:val="single" w:sz="4" w:space="0" w:color="000000"/>
              <w:left w:val="single" w:sz="4" w:space="0" w:color="000000"/>
              <w:bottom w:val="single" w:sz="4" w:space="0" w:color="000000"/>
              <w:right w:val="single" w:sz="4" w:space="0" w:color="000000"/>
            </w:tcBorders>
            <w:vAlign w:val="center"/>
          </w:tcPr>
          <w:p w14:paraId="4B614E30"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8</w:t>
            </w:r>
          </w:p>
        </w:tc>
      </w:tr>
      <w:tr w:rsidR="00F052F6" w:rsidRPr="003D5CE4" w14:paraId="695A8796" w14:textId="77777777" w:rsidTr="003464CC">
        <w:trPr>
          <w:trHeight w:val="46"/>
        </w:trPr>
        <w:tc>
          <w:tcPr>
            <w:tcW w:w="4536" w:type="dxa"/>
            <w:tcBorders>
              <w:top w:val="single" w:sz="4" w:space="0" w:color="000000"/>
              <w:left w:val="single" w:sz="4" w:space="0" w:color="000000"/>
              <w:bottom w:val="single" w:sz="4" w:space="0" w:color="000000"/>
              <w:right w:val="nil"/>
            </w:tcBorders>
          </w:tcPr>
          <w:p w14:paraId="2117E853" w14:textId="77777777" w:rsidR="00F052F6" w:rsidRPr="003D5CE4" w:rsidRDefault="00F052F6" w:rsidP="003464CC">
            <w:pPr>
              <w:spacing w:after="0" w:line="240" w:lineRule="auto"/>
              <w:jc w:val="both"/>
              <w:rPr>
                <w:rFonts w:ascii="Garamond" w:hAnsi="Garamond"/>
                <w:sz w:val="24"/>
                <w:szCs w:val="24"/>
              </w:rPr>
            </w:pPr>
            <w:r w:rsidRPr="003D5CE4">
              <w:rPr>
                <w:rFonts w:ascii="Garamond" w:hAnsi="Garamond"/>
                <w:sz w:val="24"/>
                <w:szCs w:val="24"/>
              </w:rPr>
              <w:t>Shumë e lartë</w:t>
            </w:r>
          </w:p>
        </w:tc>
        <w:tc>
          <w:tcPr>
            <w:tcW w:w="3969" w:type="dxa"/>
            <w:tcBorders>
              <w:top w:val="single" w:sz="4" w:space="0" w:color="000000"/>
              <w:left w:val="single" w:sz="4" w:space="0" w:color="000000"/>
              <w:bottom w:val="single" w:sz="4" w:space="0" w:color="000000"/>
              <w:right w:val="single" w:sz="4" w:space="0" w:color="000000"/>
            </w:tcBorders>
            <w:vAlign w:val="center"/>
          </w:tcPr>
          <w:p w14:paraId="2D38712D" w14:textId="77777777" w:rsidR="00F052F6" w:rsidRPr="003D5CE4" w:rsidRDefault="00F052F6" w:rsidP="003464CC">
            <w:pPr>
              <w:spacing w:after="0" w:line="240" w:lineRule="auto"/>
              <w:jc w:val="both"/>
              <w:rPr>
                <w:rFonts w:ascii="Garamond" w:hAnsi="Garamond"/>
                <w:b/>
                <w:sz w:val="24"/>
                <w:szCs w:val="24"/>
              </w:rPr>
            </w:pPr>
            <w:r w:rsidRPr="003D5CE4">
              <w:rPr>
                <w:rFonts w:ascii="Garamond" w:hAnsi="Garamond"/>
                <w:b/>
                <w:sz w:val="24"/>
                <w:szCs w:val="24"/>
              </w:rPr>
              <w:t>10</w:t>
            </w:r>
          </w:p>
        </w:tc>
      </w:tr>
    </w:tbl>
    <w:p w14:paraId="51108731" w14:textId="77777777" w:rsidR="00F052F6" w:rsidRPr="003D5CE4" w:rsidRDefault="00F052F6" w:rsidP="00F052F6">
      <w:pPr>
        <w:spacing w:after="0" w:line="240" w:lineRule="auto"/>
        <w:ind w:firstLine="284"/>
        <w:jc w:val="both"/>
        <w:rPr>
          <w:rFonts w:ascii="Garamond" w:hAnsi="Garamond"/>
          <w:sz w:val="24"/>
          <w:szCs w:val="24"/>
        </w:rPr>
      </w:pPr>
    </w:p>
    <w:p w14:paraId="021F4CC1" w14:textId="77777777" w:rsidR="00F052F6" w:rsidRPr="003D5CE4" w:rsidRDefault="00F052F6" w:rsidP="00F052F6">
      <w:pPr>
        <w:pBdr>
          <w:top w:val="single" w:sz="4" w:space="0" w:color="000000"/>
          <w:left w:val="single" w:sz="4" w:space="0" w:color="000000"/>
          <w:bottom w:val="single" w:sz="4" w:space="0" w:color="000000"/>
          <w:right w:val="single" w:sz="4" w:space="0" w:color="000000"/>
        </w:pBdr>
        <w:shd w:val="clear" w:color="auto" w:fill="D9E2F3"/>
        <w:spacing w:after="0" w:line="240" w:lineRule="auto"/>
        <w:ind w:firstLine="284"/>
        <w:jc w:val="both"/>
        <w:rPr>
          <w:rFonts w:ascii="Garamond" w:hAnsi="Garamond"/>
          <w:sz w:val="24"/>
          <w:szCs w:val="24"/>
        </w:rPr>
      </w:pPr>
      <w:r w:rsidRPr="003D5CE4">
        <w:rPr>
          <w:rFonts w:ascii="Garamond" w:hAnsi="Garamond"/>
          <w:b/>
          <w:sz w:val="24"/>
          <w:szCs w:val="24"/>
        </w:rPr>
        <w:t>C.</w:t>
      </w:r>
      <w:r w:rsidRPr="003D5CE4">
        <w:rPr>
          <w:rFonts w:ascii="Garamond" w:eastAsia="Arial" w:hAnsi="Garamond"/>
          <w:b/>
          <w:sz w:val="24"/>
          <w:szCs w:val="24"/>
        </w:rPr>
        <w:t xml:space="preserve"> </w:t>
      </w:r>
      <w:r w:rsidRPr="003D5CE4">
        <w:rPr>
          <w:rFonts w:ascii="Garamond" w:hAnsi="Garamond"/>
          <w:b/>
          <w:sz w:val="24"/>
          <w:szCs w:val="24"/>
        </w:rPr>
        <w:t xml:space="preserve">Gatishmëria e prokurorit për t’u angazhuar në veprimtari të tjera (35 pikë) </w:t>
      </w:r>
    </w:p>
    <w:p w14:paraId="05D03573" w14:textId="77777777" w:rsidR="00F052F6" w:rsidRPr="002E1092" w:rsidRDefault="00F052F6" w:rsidP="00F052F6">
      <w:pPr>
        <w:spacing w:after="0" w:line="240" w:lineRule="auto"/>
        <w:ind w:firstLine="284"/>
        <w:jc w:val="both"/>
        <w:rPr>
          <w:rFonts w:ascii="Garamond" w:hAnsi="Garamond"/>
          <w:b/>
          <w:sz w:val="24"/>
          <w:szCs w:val="24"/>
        </w:rPr>
      </w:pPr>
      <w:r w:rsidRPr="002E1092">
        <w:rPr>
          <w:rFonts w:ascii="Garamond" w:hAnsi="Garamond"/>
          <w:b/>
          <w:sz w:val="28"/>
          <w:szCs w:val="24"/>
        </w:rPr>
        <w:t xml:space="preserve"> </w:t>
      </w:r>
      <w:r w:rsidRPr="002E1092">
        <w:rPr>
          <w:rFonts w:ascii="Garamond" w:hAnsi="Garamond"/>
          <w:b/>
          <w:sz w:val="24"/>
          <w:szCs w:val="24"/>
        </w:rPr>
        <w:t xml:space="preserve">a) Pjesëmarrja e prokurorit në programet e formimit vazhdues të Shkollës së Magjistraturës dhe në trajnime të tjera profesionale (20 pikë)  </w:t>
      </w:r>
    </w:p>
    <w:p w14:paraId="1F9F2C23" w14:textId="77777777" w:rsidR="00F052F6" w:rsidRPr="003D5CE4" w:rsidRDefault="00F052F6" w:rsidP="00F052F6">
      <w:pPr>
        <w:spacing w:after="0" w:line="240" w:lineRule="auto"/>
        <w:ind w:firstLine="284"/>
        <w:jc w:val="both"/>
        <w:rPr>
          <w:rFonts w:ascii="Garamond" w:hAnsi="Garamond"/>
          <w:color w:val="222222"/>
          <w:sz w:val="24"/>
          <w:szCs w:val="24"/>
        </w:rPr>
      </w:pPr>
      <w:r w:rsidRPr="003D5CE4">
        <w:rPr>
          <w:rFonts w:ascii="Garamond" w:hAnsi="Garamond"/>
          <w:sz w:val="24"/>
          <w:szCs w:val="24"/>
        </w:rPr>
        <w:t>Një nga objektivat e vlerësimit të veprimtarisë profesionale është edhe identifikimi i nevojave për trajnim, duke i dhënë mundësi prokurorit t’i kushtojë kohë vetë-përmirësimit, në lidhje me njohjen dhe zbatimin e ligjit, jurisprudencës dhe doktrinës. Me qëllim n</w:t>
      </w:r>
      <w:r w:rsidRPr="003D5CE4">
        <w:rPr>
          <w:rFonts w:ascii="Garamond" w:hAnsi="Garamond"/>
          <w:color w:val="222222"/>
          <w:sz w:val="24"/>
          <w:szCs w:val="24"/>
        </w:rPr>
        <w:t xml:space="preserve">gritjen e tyre profesionale, prokurorët kanë detyrimin ligjor të ndjekin programin e formimit vazhdues të Shkollës së Magjistraturës. Prokurori duhet t'i kushtojë kohë zhvillimit të mendimit juridik dhe jurisprudencës dhe të ndjekë programe trajnimi që nxitin specializimin e tij, të organizuara edhe nga institucione </w:t>
      </w:r>
      <w:r w:rsidRPr="003D5CE4">
        <w:rPr>
          <w:rFonts w:ascii="Garamond" w:hAnsi="Garamond"/>
          <w:sz w:val="24"/>
          <w:szCs w:val="24"/>
        </w:rPr>
        <w:t xml:space="preserve">të tjera trajnimi në nivel kombëtar ose ndërkombëtar, </w:t>
      </w:r>
      <w:r w:rsidRPr="003D5CE4">
        <w:rPr>
          <w:rFonts w:ascii="Garamond" w:hAnsi="Garamond"/>
          <w:color w:val="222222"/>
          <w:sz w:val="24"/>
          <w:szCs w:val="24"/>
        </w:rPr>
        <w:t xml:space="preserve">të njohura nga Këshilli.  </w:t>
      </w:r>
    </w:p>
    <w:p w14:paraId="386CFD64"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Në lidhje me pikëzimin e aftësisë së prokurorit për t’u angazhuar në veprimtari të tjera, treguesi i pjesëmarrjes në programin e formimit vazhdues të Shkollës së Magjistraturës, matet duke u bazuar në informacionin me shkrim që përcillet nga Shkolla e Magjistraturës, i cili vërteton pjesëmarrjen dhe përfshirjen e prokurorit në trajnime. Pjesëmarrja e prokurorit në trajnime të tjera vlerësohet bazuar në dokumente të dorëzuara prej tij që tregojnë ngritjen profesionale.  </w:t>
      </w:r>
    </w:p>
    <w:p w14:paraId="4841C93F"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Pikëzimi i këtij treguesi bëhet referuar numrit të trajnimeve, kohëzgjatjes tërësore të tyre në raport me një temë të caktuar. Këshilli konsideron vlerë të shtuar për ngritjen profesionale, trajnimet afatgjata, përfshirë edhe trajnimet afatshkurtra të specializuara në një fushë të caktuar, të organizuara në periudha kohore të ndërprera. </w:t>
      </w:r>
    </w:p>
    <w:p w14:paraId="1ED244DD" w14:textId="35C7A68D" w:rsidR="00F052F6" w:rsidRPr="003D5CE4" w:rsidRDefault="00F052F6" w:rsidP="00F052F6">
      <w:pPr>
        <w:pStyle w:val="AAAAAAAAAAAAAAAAAATEEEEEXXX"/>
        <w:rPr>
          <w:b/>
          <w:szCs w:val="24"/>
        </w:rPr>
      </w:pPr>
      <w:r w:rsidRPr="00DB634E">
        <w:rPr>
          <w:b/>
          <w:noProof/>
          <w:szCs w:val="24"/>
          <w:lang w:val="en-US" w:eastAsia="en-US"/>
        </w:rPr>
        <w:drawing>
          <wp:inline distT="0" distB="0" distL="0" distR="0" wp14:anchorId="2EC2074C" wp14:editId="555EED6F">
            <wp:extent cx="5939790" cy="1623695"/>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1623695"/>
                    </a:xfrm>
                    <a:prstGeom prst="rect">
                      <a:avLst/>
                    </a:prstGeom>
                    <a:noFill/>
                    <a:ln>
                      <a:noFill/>
                    </a:ln>
                  </pic:spPr>
                </pic:pic>
              </a:graphicData>
            </a:graphic>
          </wp:inline>
        </w:drawing>
      </w:r>
    </w:p>
    <w:p w14:paraId="03A89700" w14:textId="77777777" w:rsidR="00F052F6" w:rsidRPr="003D5CE4" w:rsidRDefault="00F052F6" w:rsidP="00F052F6">
      <w:pPr>
        <w:pStyle w:val="AAAAAAAAAAAAAAAAAATEEEEEXXX"/>
        <w:rPr>
          <w:b/>
          <w:szCs w:val="24"/>
        </w:rPr>
      </w:pPr>
      <w:r w:rsidRPr="003D5CE4">
        <w:rPr>
          <w:b/>
          <w:szCs w:val="24"/>
        </w:rPr>
        <w:t xml:space="preserve">b) Disponueshmëria e prokurorit për të udhëhequr kandidatët për prokurorë gjatë stazhit profesional dhe/ose për trajnimin e prokurorëve (5 pikë) </w:t>
      </w:r>
    </w:p>
    <w:p w14:paraId="75B57DC4"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Burim vlerësimi për këtë kriter është dosja personale e prokurorit dhe informacioni me shkrim që përcillet nga Shkolla e Magjistraturës ose institucione të tjera, i cili vërteton pjesëmarrjen dhe përfshirjen e prokurorit në veprimtaritë trajnuese.  </w:t>
      </w:r>
    </w:p>
    <w:p w14:paraId="4EA6ACD5"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Me anë të këtij kriteri, Këshilli konsideron vlerë të shtuar për prokurorin, gatishmërinë e tij për të kontribuar si prokuror udhëheqës në praktikën profesionale të kandidatëve për prokurorë, dhe/ose si ekspert/lehtësues në trajnimin fillestar apo vazhdues të Shkollës së Magjistraturës, apo në trajnime të organizuara nga institucione të tjera.</w:t>
      </w:r>
    </w:p>
    <w:p w14:paraId="6B413F1E"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Duke marrë parasysh se pjesëmarrja në veprimtari të tilla nuk është gjithmonë në varësi të vullnetit të prokurorit, të gjithë prokurorët e fillojnë vlerësimin për këtë tregues me 3 pikë. Dy pikë të tjera iu shtohen në vlerësim prokurorëve që e kryejnë këtë veprimtari njëkohësisht me veprimtarinë hetimore, pavarësisht nga frekuenca e angazhimit.   </w:t>
      </w:r>
    </w:p>
    <w:p w14:paraId="411F56A3" w14:textId="77777777" w:rsidR="00F052F6" w:rsidRPr="003D5CE4" w:rsidRDefault="00F052F6" w:rsidP="00F052F6">
      <w:pPr>
        <w:pStyle w:val="AAAAAAAAAAAAAAAAAATEEEEEXXX"/>
        <w:rPr>
          <w:b/>
          <w:szCs w:val="24"/>
        </w:rPr>
      </w:pPr>
      <w:r w:rsidRPr="003D5CE4">
        <w:rPr>
          <w:b/>
          <w:szCs w:val="24"/>
        </w:rPr>
        <w:t>c</w:t>
      </w:r>
      <w:r>
        <w:rPr>
          <w:b/>
          <w:szCs w:val="24"/>
        </w:rPr>
        <w:t>)</w:t>
      </w:r>
      <w:r w:rsidRPr="003D5CE4">
        <w:rPr>
          <w:b/>
          <w:szCs w:val="24"/>
        </w:rPr>
        <w:t xml:space="preserve"> Pjesëmarrja e prokurorit në veprimtari ndërinstitucionale për përmirësimin e sistemit të drejtësisë dhe në veprimtaritë për marrëdhëniet me publikun (5 pikë) </w:t>
      </w:r>
    </w:p>
    <w:p w14:paraId="6A4B850D"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Si burime për pikëzimin shërbejnë formulari i integruar i vlerësimit të prokurorit, të dhënat e dosjes personale të prokurorit, si dhe çdo e dhënë tjetër që tregon ngritjen profesionale të prokurorit.  </w:t>
      </w:r>
    </w:p>
    <w:p w14:paraId="6E3C3BC1"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Prokurori mund të dedikojë kohë dhe përpjekje për të përmirësuar sistemin e drejtësisë në mënyra të ndryshme. Këto përfshijnë veprimtari jashtë funksionit, me ose pa pagesë, të tilla si: fjalime publike; prezantime në konferenca shkencore kombëtare dhe ndërkombëtare; pjesëmarrja në programet e edukimit të komunitetit; bashkëpunimi me Këshillin për përmirësimin e programeve të formimit vazhdues; angazhimi si ekspert në punët e Këshillit për përgatitjen e formave standarde me qëllim rritjen e efikasitetit; kontribute në hartimin e legjislacionit; aktivitete mësimdhënëse për çështje ligjore; bashkëpunimi me grupe e ndryshme të interesit me qëllim rritjen e cilësisë së sistemit të prokurorisë dhe ndërgjegjësimin e publikut për forcën e zbatimit të ligjit, si edhe çdo veprimtari tjetër e ngjashme në fushën juridike.  </w:t>
      </w:r>
    </w:p>
    <w:p w14:paraId="17CD5ADE"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Duke marrë parasysh se pjesëmarrja në veprimtari të tilla nuk është gjithmonë në varësi të vullnetit të prokurorit, të gjithë prokurorët e fillojnë vlerësimin për këtë tregues me 3 pikë. Një ose dy pikë të tjera iu shtohen në vlerësim prokurorëve që kryejnë këto veprimtari njëkohësisht me veprimtarinë hetimore, duke marrë parasysh sasinë dhe cilësinë e angazhimit, shkallën e pjesëmarrjes së prokurorit, ndikimin në veprimtarinë specifike dhe shtrirjen ndërkombëtare të angazhimit, si dhe çdo të dhënë tjetër që del nga burimet e vlerësimit të këtij treguesi.  </w:t>
      </w:r>
    </w:p>
    <w:p w14:paraId="3C23C4F3" w14:textId="77777777" w:rsidR="00F052F6" w:rsidRPr="003D5CE4" w:rsidRDefault="00F052F6" w:rsidP="00F052F6">
      <w:pPr>
        <w:pStyle w:val="AAAAAAAAAAAAAAAAAATEEEEEXXX"/>
        <w:rPr>
          <w:b/>
          <w:szCs w:val="24"/>
        </w:rPr>
      </w:pPr>
      <w:r w:rsidRPr="003D5CE4">
        <w:rPr>
          <w:b/>
          <w:szCs w:val="24"/>
        </w:rPr>
        <w:t>ç</w:t>
      </w:r>
      <w:r>
        <w:rPr>
          <w:b/>
          <w:szCs w:val="24"/>
        </w:rPr>
        <w:t>)</w:t>
      </w:r>
      <w:r w:rsidRPr="003D5CE4">
        <w:rPr>
          <w:b/>
          <w:szCs w:val="24"/>
        </w:rPr>
        <w:t xml:space="preserve"> Publikimet ligjore akademike (5 pikë) </w:t>
      </w:r>
    </w:p>
    <w:p w14:paraId="43477100"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Si burim vlerësimi shërbejnë dosja personale e prokurorit dhe çdo e dhënë tjetër, që tregon ngritjen profesionale të tij, të cilat japin të dhëna për sasinë, tipologjinë dhe impaktin e punimeve dhe publikimeve ligjore akademike.  </w:t>
      </w:r>
    </w:p>
    <w:p w14:paraId="26C6D4DC"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Me anë të këtij kriteri, Këshilli konsideron vlerë të shtuar për prokurorin, publikime ligjore akademike me qëllim dhënien e kontributit për zhvillimin e doktrinës. Nga 1 deri në 5 pikë caktohen për publikimet ligjore akademike, ku përfshihen artikuj, kapituj, monografi, ose publikime shkencore të tjera, të botuara brenda dhe jashtë vendit, të shoqëruara me numër identifikimi (ISBN, ISSN). </w:t>
      </w:r>
    </w:p>
    <w:p w14:paraId="34E0B6D1" w14:textId="77777777" w:rsidR="00F052F6" w:rsidRPr="001D6A75" w:rsidRDefault="00F052F6" w:rsidP="00F052F6">
      <w:pPr>
        <w:spacing w:after="0" w:line="240" w:lineRule="auto"/>
        <w:ind w:firstLine="284"/>
        <w:jc w:val="both"/>
        <w:rPr>
          <w:rFonts w:ascii="Garamond" w:hAnsi="Garamond"/>
          <w:sz w:val="24"/>
          <w:szCs w:val="24"/>
        </w:rPr>
      </w:pPr>
      <w:r w:rsidRPr="001D6A75">
        <w:rPr>
          <w:rFonts w:ascii="Garamond" w:hAnsi="Garamond"/>
          <w:sz w:val="24"/>
          <w:szCs w:val="24"/>
        </w:rPr>
        <w:t xml:space="preserve">BURIMET E VLERËSIMIT  </w:t>
      </w:r>
    </w:p>
    <w:p w14:paraId="2BD240ED"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Vlerësimi i prokurorëve bazohet në këto burime:</w:t>
      </w:r>
    </w:p>
    <w:p w14:paraId="3C118523"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a) dosja personale e prokurorit;</w:t>
      </w:r>
    </w:p>
    <w:p w14:paraId="072D5CAC"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b) të dhënat statistikore, sipas përcaktimeve të parashikuara në nenin 90, të ligjit për statusin;</w:t>
      </w:r>
    </w:p>
    <w:p w14:paraId="7248D480"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c) dosjet e përzgjedhura me short për vlerësim, sipas nenit 91, të ligjit për statusin, duke përfshirë edhe regjistrimet e seancave me mjete audio ose video;</w:t>
      </w:r>
    </w:p>
    <w:p w14:paraId="6F0D1E2B"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ç)  formulari i integruar i vlerësimit të prokurorit dhe aktet e përzgjedhura prej tij;  </w:t>
      </w:r>
    </w:p>
    <w:p w14:paraId="654B5892"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d) të dhënat për verifikimin e ankesave të paraqitura ndaj prokurorit gjatë periudhës së vlerësimit;</w:t>
      </w:r>
    </w:p>
    <w:p w14:paraId="1691CA1C" w14:textId="77777777" w:rsidR="00F052F6"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dh) informacioni me shkrim që përcillet nga Shkolla e Magjistraturës ose institucione të tjera, i cili vërteton pjesëmarrjen dhe përfshirjen e prokurorit në veprimtaritë trajnuese; </w:t>
      </w:r>
    </w:p>
    <w:p w14:paraId="72034B51" w14:textId="77777777" w:rsidR="00F052F6"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e)  vendimet përfundimtare për masat disiplinore ndaj prokurorit që janë dhënë gjatë periudhës së vlerësimit, në mënyrë të pavarur, nëse masa disiplinore është shuar ose jo; </w:t>
      </w:r>
    </w:p>
    <w:p w14:paraId="036D56A5"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ë)</w:t>
      </w:r>
      <w:r>
        <w:rPr>
          <w:rFonts w:ascii="Garamond" w:hAnsi="Garamond"/>
          <w:sz w:val="24"/>
          <w:szCs w:val="24"/>
        </w:rPr>
        <w:t xml:space="preserve"> </w:t>
      </w:r>
      <w:r w:rsidRPr="003D5CE4">
        <w:rPr>
          <w:rFonts w:ascii="Garamond" w:hAnsi="Garamond"/>
          <w:sz w:val="24"/>
          <w:szCs w:val="24"/>
        </w:rPr>
        <w:t>raportet e kërkuara nga Inspektorati i Lartë i Deklarimit dhe Kontrollit të Pasurive dhe Konfliktit të Interesave ose institucione të tjera audituese ose kontrolluese;</w:t>
      </w:r>
    </w:p>
    <w:p w14:paraId="14A1A0EE" w14:textId="77777777" w:rsidR="00F052F6" w:rsidRPr="003D5CE4" w:rsidRDefault="00F052F6" w:rsidP="00F052F6">
      <w:pPr>
        <w:spacing w:after="0" w:line="240" w:lineRule="auto"/>
        <w:ind w:firstLine="284"/>
        <w:jc w:val="both"/>
        <w:rPr>
          <w:rFonts w:ascii="Garamond" w:hAnsi="Garamond"/>
          <w:sz w:val="24"/>
          <w:szCs w:val="24"/>
        </w:rPr>
      </w:pPr>
      <w:r w:rsidRPr="003D5CE4">
        <w:rPr>
          <w:rFonts w:ascii="Garamond" w:hAnsi="Garamond"/>
          <w:sz w:val="24"/>
          <w:szCs w:val="24"/>
        </w:rPr>
        <w:t xml:space="preserve">f) kundërshtimet e prokurorit dhe çdo procesverbal ose dokument i seancës dëgjimore gjatë procesit të vlerësimit;  </w:t>
      </w:r>
    </w:p>
    <w:p w14:paraId="17A78BA7" w14:textId="77777777" w:rsidR="00F052F6" w:rsidRPr="003D5CE4" w:rsidRDefault="00F052F6" w:rsidP="00F052F6">
      <w:pPr>
        <w:spacing w:after="0" w:line="240" w:lineRule="auto"/>
        <w:ind w:firstLine="284"/>
        <w:rPr>
          <w:rFonts w:ascii="Garamond" w:hAnsi="Garamond"/>
          <w:sz w:val="24"/>
          <w:szCs w:val="24"/>
        </w:rPr>
      </w:pPr>
      <w:r w:rsidRPr="003D5CE4">
        <w:rPr>
          <w:rFonts w:ascii="Garamond" w:hAnsi="Garamond"/>
          <w:sz w:val="24"/>
          <w:szCs w:val="24"/>
        </w:rPr>
        <w:t>g) çdo e dhënë tjetër, që tregon ngritjen profesionale të prokurorit.</w:t>
      </w:r>
    </w:p>
    <w:p w14:paraId="11A53A32" w14:textId="77777777" w:rsidR="00F052F6" w:rsidRPr="003D5CE4" w:rsidRDefault="00F052F6" w:rsidP="00F052F6">
      <w:pPr>
        <w:autoSpaceDE w:val="0"/>
        <w:autoSpaceDN w:val="0"/>
        <w:adjustRightInd w:val="0"/>
        <w:spacing w:after="0" w:line="240" w:lineRule="auto"/>
        <w:ind w:firstLine="284"/>
        <w:rPr>
          <w:rFonts w:ascii="Garamond" w:hAnsi="Garamond" w:cs="Times New Roman"/>
          <w:sz w:val="24"/>
          <w:szCs w:val="24"/>
        </w:rPr>
      </w:pPr>
    </w:p>
    <w:tbl>
      <w:tblPr>
        <w:tblW w:w="7620" w:type="dxa"/>
        <w:jc w:val="center"/>
        <w:tblLook w:val="04A0" w:firstRow="1" w:lastRow="0" w:firstColumn="1" w:lastColumn="0" w:noHBand="0" w:noVBand="1"/>
      </w:tblPr>
      <w:tblGrid>
        <w:gridCol w:w="2000"/>
        <w:gridCol w:w="3780"/>
        <w:gridCol w:w="1840"/>
      </w:tblGrid>
      <w:tr w:rsidR="00F052F6" w:rsidRPr="003D5CE4" w14:paraId="0F338666" w14:textId="77777777" w:rsidTr="003464CC">
        <w:trPr>
          <w:trHeight w:val="315"/>
          <w:jc w:val="center"/>
        </w:trPr>
        <w:tc>
          <w:tcPr>
            <w:tcW w:w="7620" w:type="dxa"/>
            <w:gridSpan w:val="3"/>
            <w:tcBorders>
              <w:top w:val="nil"/>
              <w:left w:val="nil"/>
              <w:bottom w:val="nil"/>
              <w:right w:val="nil"/>
            </w:tcBorders>
            <w:shd w:val="clear" w:color="auto" w:fill="auto"/>
            <w:noWrap/>
            <w:vAlign w:val="bottom"/>
            <w:hideMark/>
          </w:tcPr>
          <w:p w14:paraId="0AB6504E" w14:textId="77777777" w:rsidR="00F052F6" w:rsidRPr="001F50E8" w:rsidRDefault="00F052F6" w:rsidP="003464CC">
            <w:pPr>
              <w:spacing w:after="0" w:line="240" w:lineRule="auto"/>
              <w:jc w:val="center"/>
              <w:rPr>
                <w:rFonts w:ascii="Garamond" w:eastAsia="Times New Roman" w:hAnsi="Garamond" w:cs="Calibri"/>
                <w:bCs/>
                <w:color w:val="000000"/>
                <w:sz w:val="24"/>
                <w:szCs w:val="24"/>
                <w:lang w:eastAsia="sq-AL"/>
              </w:rPr>
            </w:pPr>
            <w:r w:rsidRPr="001F50E8">
              <w:rPr>
                <w:rFonts w:ascii="Garamond" w:eastAsia="Times New Roman" w:hAnsi="Garamond" w:cs="Calibri"/>
                <w:bCs/>
                <w:color w:val="000000"/>
                <w:sz w:val="24"/>
                <w:szCs w:val="24"/>
                <w:lang w:eastAsia="sq-AL"/>
              </w:rPr>
              <w:t>ANEKSI NR.</w:t>
            </w:r>
            <w:r>
              <w:rPr>
                <w:rFonts w:ascii="Garamond" w:eastAsia="Times New Roman" w:hAnsi="Garamond" w:cs="Calibri"/>
                <w:bCs/>
                <w:color w:val="000000"/>
                <w:sz w:val="24"/>
                <w:szCs w:val="24"/>
                <w:lang w:eastAsia="sq-AL"/>
              </w:rPr>
              <w:t xml:space="preserve"> </w:t>
            </w:r>
            <w:r w:rsidRPr="001F50E8">
              <w:rPr>
                <w:rFonts w:ascii="Garamond" w:eastAsia="Times New Roman" w:hAnsi="Garamond" w:cs="Calibri"/>
                <w:bCs/>
                <w:color w:val="000000"/>
                <w:sz w:val="24"/>
                <w:szCs w:val="24"/>
                <w:lang w:eastAsia="sq-AL"/>
              </w:rPr>
              <w:t>2</w:t>
            </w:r>
          </w:p>
        </w:tc>
      </w:tr>
      <w:tr w:rsidR="00F052F6" w:rsidRPr="003D5CE4" w14:paraId="3B06B0F3" w14:textId="77777777" w:rsidTr="003464CC">
        <w:trPr>
          <w:trHeight w:val="315"/>
          <w:jc w:val="center"/>
        </w:trPr>
        <w:tc>
          <w:tcPr>
            <w:tcW w:w="5780" w:type="dxa"/>
            <w:gridSpan w:val="2"/>
            <w:tcBorders>
              <w:top w:val="nil"/>
              <w:left w:val="nil"/>
              <w:bottom w:val="nil"/>
              <w:right w:val="nil"/>
            </w:tcBorders>
            <w:shd w:val="clear" w:color="auto" w:fill="auto"/>
            <w:noWrap/>
            <w:vAlign w:val="bottom"/>
            <w:hideMark/>
          </w:tcPr>
          <w:p w14:paraId="46B7A429" w14:textId="77777777" w:rsidR="00F052F6" w:rsidRPr="001F50E8" w:rsidRDefault="00F052F6" w:rsidP="003464CC">
            <w:pPr>
              <w:spacing w:after="0" w:line="240" w:lineRule="auto"/>
              <w:rPr>
                <w:rFonts w:ascii="Garamond" w:eastAsia="Times New Roman" w:hAnsi="Garamond" w:cs="Calibri"/>
                <w:bCs/>
                <w:i/>
                <w:iCs/>
                <w:color w:val="000000"/>
                <w:sz w:val="24"/>
                <w:szCs w:val="24"/>
                <w:lang w:eastAsia="sq-AL"/>
              </w:rPr>
            </w:pPr>
            <w:r w:rsidRPr="001F50E8">
              <w:rPr>
                <w:rFonts w:ascii="Garamond" w:eastAsia="Times New Roman" w:hAnsi="Garamond" w:cs="Calibri"/>
                <w:bCs/>
                <w:i/>
                <w:iCs/>
                <w:color w:val="000000"/>
                <w:sz w:val="24"/>
                <w:szCs w:val="24"/>
                <w:lang w:eastAsia="sq-AL"/>
              </w:rPr>
              <w:t>Tabela nr.</w:t>
            </w:r>
            <w:r>
              <w:rPr>
                <w:rFonts w:ascii="Garamond" w:eastAsia="Times New Roman" w:hAnsi="Garamond" w:cs="Calibri"/>
                <w:bCs/>
                <w:i/>
                <w:iCs/>
                <w:color w:val="000000"/>
                <w:sz w:val="24"/>
                <w:szCs w:val="24"/>
                <w:lang w:eastAsia="sq-AL"/>
              </w:rPr>
              <w:t xml:space="preserve"> </w:t>
            </w:r>
            <w:r w:rsidRPr="001F50E8">
              <w:rPr>
                <w:rFonts w:ascii="Garamond" w:eastAsia="Times New Roman" w:hAnsi="Garamond" w:cs="Calibri"/>
                <w:bCs/>
                <w:i/>
                <w:iCs/>
                <w:color w:val="000000"/>
                <w:sz w:val="24"/>
                <w:szCs w:val="24"/>
                <w:lang w:eastAsia="sq-AL"/>
              </w:rPr>
              <w:t>14</w:t>
            </w:r>
          </w:p>
        </w:tc>
        <w:tc>
          <w:tcPr>
            <w:tcW w:w="1840" w:type="dxa"/>
            <w:tcBorders>
              <w:top w:val="nil"/>
              <w:left w:val="nil"/>
              <w:bottom w:val="nil"/>
              <w:right w:val="nil"/>
            </w:tcBorders>
            <w:shd w:val="clear" w:color="auto" w:fill="auto"/>
            <w:noWrap/>
            <w:vAlign w:val="bottom"/>
            <w:hideMark/>
          </w:tcPr>
          <w:p w14:paraId="0E21A013"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p>
        </w:tc>
      </w:tr>
      <w:tr w:rsidR="00F052F6" w:rsidRPr="003D5CE4" w14:paraId="637BBD5D" w14:textId="77777777" w:rsidTr="003464CC">
        <w:trPr>
          <w:trHeight w:val="330"/>
          <w:jc w:val="center"/>
        </w:trPr>
        <w:tc>
          <w:tcPr>
            <w:tcW w:w="7620" w:type="dxa"/>
            <w:gridSpan w:val="3"/>
            <w:tcBorders>
              <w:top w:val="single" w:sz="8" w:space="0" w:color="auto"/>
              <w:left w:val="single" w:sz="8" w:space="0" w:color="auto"/>
              <w:bottom w:val="single" w:sz="8" w:space="0" w:color="auto"/>
              <w:right w:val="single" w:sz="8" w:space="0" w:color="000000"/>
            </w:tcBorders>
            <w:shd w:val="clear" w:color="auto" w:fill="auto"/>
            <w:vAlign w:val="bottom"/>
            <w:hideMark/>
          </w:tcPr>
          <w:p w14:paraId="0ABF2F06" w14:textId="77777777" w:rsidR="00F052F6" w:rsidRPr="003D5CE4" w:rsidRDefault="00F052F6" w:rsidP="003464CC">
            <w:pPr>
              <w:spacing w:after="0" w:line="240" w:lineRule="auto"/>
              <w:jc w:val="center"/>
              <w:rPr>
                <w:rFonts w:ascii="Garamond" w:eastAsia="Times New Roman" w:hAnsi="Garamond" w:cs="Calibri"/>
                <w:b/>
                <w:bCs/>
                <w:color w:val="000000"/>
                <w:sz w:val="24"/>
                <w:szCs w:val="24"/>
                <w:lang w:eastAsia="sq-AL"/>
              </w:rPr>
            </w:pPr>
            <w:r w:rsidRPr="003D5CE4">
              <w:rPr>
                <w:rFonts w:ascii="Garamond" w:eastAsia="Times New Roman" w:hAnsi="Garamond" w:cs="Calibri"/>
                <w:b/>
                <w:bCs/>
                <w:color w:val="000000"/>
                <w:sz w:val="24"/>
                <w:szCs w:val="24"/>
                <w:lang w:eastAsia="sq-AL"/>
              </w:rPr>
              <w:t>Tabela për çështje, për të cilat është vendosur apo është përfunduar jashtë afatit ligjor</w:t>
            </w:r>
          </w:p>
        </w:tc>
      </w:tr>
      <w:tr w:rsidR="00F052F6" w:rsidRPr="003D5CE4" w14:paraId="09DF7725" w14:textId="77777777" w:rsidTr="003464CC">
        <w:trPr>
          <w:trHeight w:val="330"/>
          <w:jc w:val="center"/>
        </w:trPr>
        <w:tc>
          <w:tcPr>
            <w:tcW w:w="2000" w:type="dxa"/>
            <w:tcBorders>
              <w:top w:val="nil"/>
              <w:left w:val="single" w:sz="8" w:space="0" w:color="auto"/>
              <w:bottom w:val="single" w:sz="8" w:space="0" w:color="auto"/>
              <w:right w:val="single" w:sz="4" w:space="0" w:color="auto"/>
            </w:tcBorders>
            <w:shd w:val="clear" w:color="auto" w:fill="auto"/>
            <w:noWrap/>
            <w:vAlign w:val="bottom"/>
            <w:hideMark/>
          </w:tcPr>
          <w:p w14:paraId="1D1C7DDE" w14:textId="77777777" w:rsidR="00F052F6" w:rsidRPr="003D5CE4" w:rsidRDefault="00F052F6" w:rsidP="003464CC">
            <w:pPr>
              <w:spacing w:after="0" w:line="240" w:lineRule="auto"/>
              <w:rPr>
                <w:rFonts w:ascii="Garamond" w:eastAsia="Times New Roman" w:hAnsi="Garamond" w:cs="Calibri"/>
                <w:b/>
                <w:bCs/>
                <w:color w:val="000000"/>
                <w:sz w:val="24"/>
                <w:szCs w:val="24"/>
                <w:lang w:eastAsia="sq-AL"/>
              </w:rPr>
            </w:pPr>
            <w:r w:rsidRPr="003D5CE4">
              <w:rPr>
                <w:rFonts w:ascii="Garamond" w:eastAsia="Times New Roman" w:hAnsi="Garamond" w:cs="Calibri"/>
                <w:b/>
                <w:bCs/>
                <w:color w:val="000000"/>
                <w:sz w:val="24"/>
                <w:szCs w:val="24"/>
                <w:lang w:eastAsia="sq-AL"/>
              </w:rPr>
              <w:t xml:space="preserve">Nr. </w:t>
            </w:r>
            <w:r>
              <w:rPr>
                <w:rFonts w:ascii="Garamond" w:eastAsia="Times New Roman" w:hAnsi="Garamond" w:cs="Calibri"/>
                <w:b/>
                <w:bCs/>
                <w:color w:val="000000"/>
                <w:sz w:val="24"/>
                <w:szCs w:val="24"/>
                <w:lang w:eastAsia="sq-AL"/>
              </w:rPr>
              <w:t>r</w:t>
            </w:r>
            <w:r w:rsidRPr="003D5CE4">
              <w:rPr>
                <w:rFonts w:ascii="Garamond" w:eastAsia="Times New Roman" w:hAnsi="Garamond" w:cs="Calibri"/>
                <w:b/>
                <w:bCs/>
                <w:color w:val="000000"/>
                <w:sz w:val="24"/>
                <w:szCs w:val="24"/>
                <w:lang w:eastAsia="sq-AL"/>
              </w:rPr>
              <w:t>endor</w:t>
            </w:r>
          </w:p>
        </w:tc>
        <w:tc>
          <w:tcPr>
            <w:tcW w:w="3780" w:type="dxa"/>
            <w:tcBorders>
              <w:top w:val="nil"/>
              <w:left w:val="nil"/>
              <w:bottom w:val="single" w:sz="8" w:space="0" w:color="auto"/>
              <w:right w:val="single" w:sz="4" w:space="0" w:color="auto"/>
            </w:tcBorders>
            <w:shd w:val="clear" w:color="auto" w:fill="auto"/>
            <w:noWrap/>
            <w:vAlign w:val="bottom"/>
            <w:hideMark/>
          </w:tcPr>
          <w:p w14:paraId="69156265" w14:textId="77777777" w:rsidR="00F052F6" w:rsidRPr="003D5CE4" w:rsidRDefault="00F052F6" w:rsidP="003464CC">
            <w:pPr>
              <w:spacing w:after="0" w:line="240" w:lineRule="auto"/>
              <w:rPr>
                <w:rFonts w:ascii="Garamond" w:eastAsia="Times New Roman" w:hAnsi="Garamond" w:cs="Calibri"/>
                <w:b/>
                <w:bCs/>
                <w:color w:val="000000"/>
                <w:sz w:val="24"/>
                <w:szCs w:val="24"/>
                <w:lang w:eastAsia="sq-AL"/>
              </w:rPr>
            </w:pPr>
            <w:r w:rsidRPr="003D5CE4">
              <w:rPr>
                <w:rFonts w:ascii="Garamond" w:eastAsia="Times New Roman" w:hAnsi="Garamond" w:cs="Calibri"/>
                <w:b/>
                <w:bCs/>
                <w:color w:val="000000"/>
                <w:sz w:val="24"/>
                <w:szCs w:val="24"/>
                <w:lang w:eastAsia="sq-AL"/>
              </w:rPr>
              <w:t xml:space="preserve">Nr. </w:t>
            </w:r>
            <w:r>
              <w:rPr>
                <w:rFonts w:ascii="Garamond" w:eastAsia="Times New Roman" w:hAnsi="Garamond" w:cs="Calibri"/>
                <w:b/>
                <w:bCs/>
                <w:color w:val="000000"/>
                <w:sz w:val="24"/>
                <w:szCs w:val="24"/>
                <w:lang w:eastAsia="sq-AL"/>
              </w:rPr>
              <w:t>k</w:t>
            </w:r>
            <w:r w:rsidRPr="003D5CE4">
              <w:rPr>
                <w:rFonts w:ascii="Garamond" w:eastAsia="Times New Roman" w:hAnsi="Garamond" w:cs="Calibri"/>
                <w:b/>
                <w:bCs/>
                <w:color w:val="000000"/>
                <w:sz w:val="24"/>
                <w:szCs w:val="24"/>
                <w:lang w:eastAsia="sq-AL"/>
              </w:rPr>
              <w:t>allëzimi</w:t>
            </w:r>
          </w:p>
        </w:tc>
        <w:tc>
          <w:tcPr>
            <w:tcW w:w="1840" w:type="dxa"/>
            <w:tcBorders>
              <w:top w:val="nil"/>
              <w:left w:val="nil"/>
              <w:bottom w:val="single" w:sz="8" w:space="0" w:color="auto"/>
              <w:right w:val="single" w:sz="8" w:space="0" w:color="auto"/>
            </w:tcBorders>
            <w:shd w:val="clear" w:color="auto" w:fill="auto"/>
            <w:noWrap/>
            <w:vAlign w:val="bottom"/>
            <w:hideMark/>
          </w:tcPr>
          <w:p w14:paraId="746CB818" w14:textId="77777777" w:rsidR="00F052F6" w:rsidRPr="003D5CE4" w:rsidRDefault="00F052F6" w:rsidP="003464CC">
            <w:pPr>
              <w:spacing w:after="0" w:line="240" w:lineRule="auto"/>
              <w:rPr>
                <w:rFonts w:ascii="Garamond" w:eastAsia="Times New Roman" w:hAnsi="Garamond" w:cs="Calibri"/>
                <w:b/>
                <w:bCs/>
                <w:color w:val="000000"/>
                <w:sz w:val="24"/>
                <w:szCs w:val="24"/>
                <w:lang w:eastAsia="sq-AL"/>
              </w:rPr>
            </w:pPr>
            <w:r w:rsidRPr="003D5CE4">
              <w:rPr>
                <w:rFonts w:ascii="Garamond" w:eastAsia="Times New Roman" w:hAnsi="Garamond" w:cs="Calibri"/>
                <w:b/>
                <w:bCs/>
                <w:color w:val="000000"/>
                <w:sz w:val="24"/>
                <w:szCs w:val="24"/>
                <w:lang w:eastAsia="sq-AL"/>
              </w:rPr>
              <w:t>Datë</w:t>
            </w:r>
          </w:p>
        </w:tc>
      </w:tr>
      <w:tr w:rsidR="00F052F6" w:rsidRPr="003D5CE4" w14:paraId="766CE766" w14:textId="77777777" w:rsidTr="003464CC">
        <w:trPr>
          <w:trHeight w:val="315"/>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EA74D2"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3780" w:type="dxa"/>
            <w:tcBorders>
              <w:top w:val="nil"/>
              <w:left w:val="nil"/>
              <w:bottom w:val="single" w:sz="4" w:space="0" w:color="auto"/>
              <w:right w:val="single" w:sz="4" w:space="0" w:color="auto"/>
            </w:tcBorders>
            <w:shd w:val="clear" w:color="auto" w:fill="auto"/>
            <w:noWrap/>
            <w:vAlign w:val="bottom"/>
            <w:hideMark/>
          </w:tcPr>
          <w:p w14:paraId="299086D7"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1840" w:type="dxa"/>
            <w:tcBorders>
              <w:top w:val="nil"/>
              <w:left w:val="nil"/>
              <w:bottom w:val="single" w:sz="4" w:space="0" w:color="auto"/>
              <w:right w:val="single" w:sz="4" w:space="0" w:color="auto"/>
            </w:tcBorders>
            <w:shd w:val="clear" w:color="auto" w:fill="auto"/>
            <w:noWrap/>
            <w:vAlign w:val="bottom"/>
            <w:hideMark/>
          </w:tcPr>
          <w:p w14:paraId="2891A4D2"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r>
      <w:tr w:rsidR="00F052F6" w:rsidRPr="003D5CE4" w14:paraId="6B682DCD" w14:textId="77777777" w:rsidTr="003464CC">
        <w:trPr>
          <w:trHeight w:val="315"/>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AF62F76"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3780" w:type="dxa"/>
            <w:tcBorders>
              <w:top w:val="nil"/>
              <w:left w:val="nil"/>
              <w:bottom w:val="single" w:sz="4" w:space="0" w:color="auto"/>
              <w:right w:val="single" w:sz="4" w:space="0" w:color="auto"/>
            </w:tcBorders>
            <w:shd w:val="clear" w:color="auto" w:fill="auto"/>
            <w:noWrap/>
            <w:vAlign w:val="bottom"/>
            <w:hideMark/>
          </w:tcPr>
          <w:p w14:paraId="6187A200"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1840" w:type="dxa"/>
            <w:tcBorders>
              <w:top w:val="nil"/>
              <w:left w:val="nil"/>
              <w:bottom w:val="single" w:sz="4" w:space="0" w:color="auto"/>
              <w:right w:val="single" w:sz="4" w:space="0" w:color="auto"/>
            </w:tcBorders>
            <w:shd w:val="clear" w:color="auto" w:fill="auto"/>
            <w:noWrap/>
            <w:vAlign w:val="bottom"/>
            <w:hideMark/>
          </w:tcPr>
          <w:p w14:paraId="2B5EB590"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r>
      <w:tr w:rsidR="00F052F6" w:rsidRPr="003D5CE4" w14:paraId="646C59E5" w14:textId="77777777" w:rsidTr="003464CC">
        <w:trPr>
          <w:trHeight w:val="330"/>
          <w:jc w:val="center"/>
        </w:trPr>
        <w:tc>
          <w:tcPr>
            <w:tcW w:w="2000" w:type="dxa"/>
            <w:tcBorders>
              <w:top w:val="nil"/>
              <w:left w:val="single" w:sz="4" w:space="0" w:color="auto"/>
              <w:bottom w:val="nil"/>
              <w:right w:val="single" w:sz="4" w:space="0" w:color="auto"/>
            </w:tcBorders>
            <w:shd w:val="clear" w:color="auto" w:fill="auto"/>
            <w:noWrap/>
            <w:vAlign w:val="bottom"/>
            <w:hideMark/>
          </w:tcPr>
          <w:p w14:paraId="16B1FF2C"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3780" w:type="dxa"/>
            <w:tcBorders>
              <w:top w:val="nil"/>
              <w:left w:val="nil"/>
              <w:bottom w:val="nil"/>
              <w:right w:val="single" w:sz="4" w:space="0" w:color="auto"/>
            </w:tcBorders>
            <w:shd w:val="clear" w:color="auto" w:fill="auto"/>
            <w:noWrap/>
            <w:vAlign w:val="bottom"/>
            <w:hideMark/>
          </w:tcPr>
          <w:p w14:paraId="4596EB77"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1840" w:type="dxa"/>
            <w:tcBorders>
              <w:top w:val="nil"/>
              <w:left w:val="nil"/>
              <w:bottom w:val="nil"/>
              <w:right w:val="single" w:sz="4" w:space="0" w:color="auto"/>
            </w:tcBorders>
            <w:shd w:val="clear" w:color="auto" w:fill="auto"/>
            <w:noWrap/>
            <w:vAlign w:val="bottom"/>
            <w:hideMark/>
          </w:tcPr>
          <w:p w14:paraId="49D3FBB6"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r>
      <w:tr w:rsidR="00F052F6" w:rsidRPr="003D5CE4" w14:paraId="49602B97" w14:textId="77777777" w:rsidTr="003464CC">
        <w:trPr>
          <w:trHeight w:val="43"/>
          <w:jc w:val="center"/>
        </w:trPr>
        <w:tc>
          <w:tcPr>
            <w:tcW w:w="20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BC18BCC" w14:textId="77777777" w:rsidR="00F052F6" w:rsidRPr="003D5CE4" w:rsidRDefault="00F052F6" w:rsidP="003464CC">
            <w:pPr>
              <w:spacing w:after="0" w:line="240" w:lineRule="auto"/>
              <w:rPr>
                <w:rFonts w:ascii="Garamond" w:eastAsia="Times New Roman" w:hAnsi="Garamond" w:cs="Calibri"/>
                <w:b/>
                <w:bCs/>
                <w:color w:val="000000"/>
                <w:sz w:val="24"/>
                <w:szCs w:val="24"/>
                <w:lang w:eastAsia="sq-AL"/>
              </w:rPr>
            </w:pPr>
            <w:r w:rsidRPr="003D5CE4">
              <w:rPr>
                <w:rFonts w:ascii="Garamond" w:eastAsia="Times New Roman" w:hAnsi="Garamond" w:cs="Calibri"/>
                <w:b/>
                <w:bCs/>
                <w:color w:val="000000"/>
                <w:sz w:val="24"/>
                <w:szCs w:val="24"/>
                <w:lang w:eastAsia="sq-AL"/>
              </w:rPr>
              <w:t xml:space="preserve">Nr. </w:t>
            </w:r>
            <w:r>
              <w:rPr>
                <w:rFonts w:ascii="Garamond" w:eastAsia="Times New Roman" w:hAnsi="Garamond" w:cs="Calibri"/>
                <w:b/>
                <w:bCs/>
                <w:color w:val="000000"/>
                <w:sz w:val="24"/>
                <w:szCs w:val="24"/>
                <w:lang w:eastAsia="sq-AL"/>
              </w:rPr>
              <w:t>r</w:t>
            </w:r>
            <w:r w:rsidRPr="003D5CE4">
              <w:rPr>
                <w:rFonts w:ascii="Garamond" w:eastAsia="Times New Roman" w:hAnsi="Garamond" w:cs="Calibri"/>
                <w:b/>
                <w:bCs/>
                <w:color w:val="000000"/>
                <w:sz w:val="24"/>
                <w:szCs w:val="24"/>
                <w:lang w:eastAsia="sq-AL"/>
              </w:rPr>
              <w:t>endor</w:t>
            </w:r>
          </w:p>
        </w:tc>
        <w:tc>
          <w:tcPr>
            <w:tcW w:w="3780" w:type="dxa"/>
            <w:tcBorders>
              <w:top w:val="single" w:sz="8" w:space="0" w:color="auto"/>
              <w:left w:val="nil"/>
              <w:bottom w:val="single" w:sz="8" w:space="0" w:color="auto"/>
              <w:right w:val="single" w:sz="4" w:space="0" w:color="auto"/>
            </w:tcBorders>
            <w:shd w:val="clear" w:color="auto" w:fill="auto"/>
            <w:vAlign w:val="bottom"/>
            <w:hideMark/>
          </w:tcPr>
          <w:p w14:paraId="3B1CD046" w14:textId="77777777" w:rsidR="00F052F6" w:rsidRPr="003D5CE4" w:rsidRDefault="00F052F6" w:rsidP="003464CC">
            <w:pPr>
              <w:spacing w:after="0" w:line="240" w:lineRule="auto"/>
              <w:rPr>
                <w:rFonts w:ascii="Garamond" w:eastAsia="Times New Roman" w:hAnsi="Garamond" w:cs="Calibri"/>
                <w:b/>
                <w:bCs/>
                <w:color w:val="000000"/>
                <w:sz w:val="24"/>
                <w:szCs w:val="24"/>
                <w:lang w:eastAsia="sq-AL"/>
              </w:rPr>
            </w:pPr>
            <w:r w:rsidRPr="003D5CE4">
              <w:rPr>
                <w:rFonts w:ascii="Garamond" w:eastAsia="Times New Roman" w:hAnsi="Garamond" w:cs="Calibri"/>
                <w:b/>
                <w:bCs/>
                <w:color w:val="000000"/>
                <w:sz w:val="24"/>
                <w:szCs w:val="24"/>
                <w:lang w:eastAsia="sq-AL"/>
              </w:rPr>
              <w:t xml:space="preserve">Nr. </w:t>
            </w:r>
            <w:r>
              <w:rPr>
                <w:rFonts w:ascii="Garamond" w:eastAsia="Times New Roman" w:hAnsi="Garamond" w:cs="Calibri"/>
                <w:b/>
                <w:bCs/>
                <w:color w:val="000000"/>
                <w:sz w:val="24"/>
                <w:szCs w:val="24"/>
                <w:lang w:eastAsia="sq-AL"/>
              </w:rPr>
              <w:t>p</w:t>
            </w:r>
            <w:r w:rsidRPr="003D5CE4">
              <w:rPr>
                <w:rFonts w:ascii="Garamond" w:eastAsia="Times New Roman" w:hAnsi="Garamond" w:cs="Calibri"/>
                <w:b/>
                <w:bCs/>
                <w:color w:val="000000"/>
                <w:sz w:val="24"/>
                <w:szCs w:val="24"/>
                <w:lang w:eastAsia="sq-AL"/>
              </w:rPr>
              <w:t>rocedimi (me autor të njohur)</w:t>
            </w:r>
          </w:p>
        </w:tc>
        <w:tc>
          <w:tcPr>
            <w:tcW w:w="1840" w:type="dxa"/>
            <w:tcBorders>
              <w:top w:val="single" w:sz="8" w:space="0" w:color="auto"/>
              <w:left w:val="nil"/>
              <w:bottom w:val="single" w:sz="8" w:space="0" w:color="auto"/>
              <w:right w:val="single" w:sz="8" w:space="0" w:color="auto"/>
            </w:tcBorders>
            <w:shd w:val="clear" w:color="auto" w:fill="auto"/>
            <w:noWrap/>
            <w:vAlign w:val="bottom"/>
            <w:hideMark/>
          </w:tcPr>
          <w:p w14:paraId="5B6EEBFD" w14:textId="77777777" w:rsidR="00F052F6" w:rsidRPr="003D5CE4" w:rsidRDefault="00F052F6" w:rsidP="003464CC">
            <w:pPr>
              <w:spacing w:after="0" w:line="240" w:lineRule="auto"/>
              <w:rPr>
                <w:rFonts w:ascii="Garamond" w:eastAsia="Times New Roman" w:hAnsi="Garamond" w:cs="Calibri"/>
                <w:b/>
                <w:bCs/>
                <w:color w:val="000000"/>
                <w:sz w:val="24"/>
                <w:szCs w:val="24"/>
                <w:lang w:eastAsia="sq-AL"/>
              </w:rPr>
            </w:pPr>
            <w:r w:rsidRPr="003D5CE4">
              <w:rPr>
                <w:rFonts w:ascii="Garamond" w:eastAsia="Times New Roman" w:hAnsi="Garamond" w:cs="Calibri"/>
                <w:b/>
                <w:bCs/>
                <w:color w:val="000000"/>
                <w:sz w:val="24"/>
                <w:szCs w:val="24"/>
                <w:lang w:eastAsia="sq-AL"/>
              </w:rPr>
              <w:t>Datë</w:t>
            </w:r>
          </w:p>
        </w:tc>
      </w:tr>
      <w:tr w:rsidR="00F052F6" w:rsidRPr="003D5CE4" w14:paraId="7BEF3323" w14:textId="77777777" w:rsidTr="003464CC">
        <w:trPr>
          <w:trHeight w:val="315"/>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975222A"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3780" w:type="dxa"/>
            <w:tcBorders>
              <w:top w:val="nil"/>
              <w:left w:val="nil"/>
              <w:bottom w:val="single" w:sz="4" w:space="0" w:color="auto"/>
              <w:right w:val="single" w:sz="4" w:space="0" w:color="auto"/>
            </w:tcBorders>
            <w:shd w:val="clear" w:color="auto" w:fill="auto"/>
            <w:noWrap/>
            <w:vAlign w:val="bottom"/>
            <w:hideMark/>
          </w:tcPr>
          <w:p w14:paraId="6DAC64B8"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1840" w:type="dxa"/>
            <w:tcBorders>
              <w:top w:val="nil"/>
              <w:left w:val="nil"/>
              <w:bottom w:val="single" w:sz="4" w:space="0" w:color="auto"/>
              <w:right w:val="single" w:sz="4" w:space="0" w:color="auto"/>
            </w:tcBorders>
            <w:shd w:val="clear" w:color="auto" w:fill="auto"/>
            <w:noWrap/>
            <w:vAlign w:val="bottom"/>
            <w:hideMark/>
          </w:tcPr>
          <w:p w14:paraId="09A0E148"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r>
      <w:tr w:rsidR="00F052F6" w:rsidRPr="003D5CE4" w14:paraId="2A330DD7" w14:textId="77777777" w:rsidTr="003464CC">
        <w:trPr>
          <w:trHeight w:val="315"/>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289B775"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3780" w:type="dxa"/>
            <w:tcBorders>
              <w:top w:val="nil"/>
              <w:left w:val="nil"/>
              <w:bottom w:val="single" w:sz="4" w:space="0" w:color="auto"/>
              <w:right w:val="single" w:sz="4" w:space="0" w:color="auto"/>
            </w:tcBorders>
            <w:shd w:val="clear" w:color="auto" w:fill="auto"/>
            <w:noWrap/>
            <w:vAlign w:val="bottom"/>
            <w:hideMark/>
          </w:tcPr>
          <w:p w14:paraId="184FD328"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1840" w:type="dxa"/>
            <w:tcBorders>
              <w:top w:val="nil"/>
              <w:left w:val="nil"/>
              <w:bottom w:val="single" w:sz="4" w:space="0" w:color="auto"/>
              <w:right w:val="single" w:sz="4" w:space="0" w:color="auto"/>
            </w:tcBorders>
            <w:shd w:val="clear" w:color="auto" w:fill="auto"/>
            <w:noWrap/>
            <w:vAlign w:val="bottom"/>
            <w:hideMark/>
          </w:tcPr>
          <w:p w14:paraId="49645C3B"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r>
      <w:tr w:rsidR="00F052F6" w:rsidRPr="003D5CE4" w14:paraId="2B2910D6" w14:textId="77777777" w:rsidTr="003464CC">
        <w:trPr>
          <w:trHeight w:val="330"/>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3A6B2BF"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3780" w:type="dxa"/>
            <w:tcBorders>
              <w:top w:val="nil"/>
              <w:left w:val="nil"/>
              <w:bottom w:val="single" w:sz="4" w:space="0" w:color="auto"/>
              <w:right w:val="single" w:sz="4" w:space="0" w:color="auto"/>
            </w:tcBorders>
            <w:shd w:val="clear" w:color="auto" w:fill="auto"/>
            <w:noWrap/>
            <w:vAlign w:val="bottom"/>
            <w:hideMark/>
          </w:tcPr>
          <w:p w14:paraId="2D24015C"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1840" w:type="dxa"/>
            <w:tcBorders>
              <w:top w:val="nil"/>
              <w:left w:val="nil"/>
              <w:bottom w:val="single" w:sz="4" w:space="0" w:color="auto"/>
              <w:right w:val="single" w:sz="4" w:space="0" w:color="auto"/>
            </w:tcBorders>
            <w:shd w:val="clear" w:color="auto" w:fill="auto"/>
            <w:noWrap/>
            <w:vAlign w:val="bottom"/>
            <w:hideMark/>
          </w:tcPr>
          <w:p w14:paraId="5954F432"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r>
      <w:tr w:rsidR="00F052F6" w:rsidRPr="003D5CE4" w14:paraId="25785319" w14:textId="77777777" w:rsidTr="003464CC">
        <w:trPr>
          <w:trHeight w:val="330"/>
          <w:jc w:val="center"/>
        </w:trPr>
        <w:tc>
          <w:tcPr>
            <w:tcW w:w="20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177A015" w14:textId="77777777" w:rsidR="00F052F6" w:rsidRPr="003D5CE4" w:rsidRDefault="00F052F6" w:rsidP="003464CC">
            <w:pPr>
              <w:spacing w:after="0" w:line="240" w:lineRule="auto"/>
              <w:rPr>
                <w:rFonts w:ascii="Garamond" w:eastAsia="Times New Roman" w:hAnsi="Garamond" w:cs="Calibri"/>
                <w:b/>
                <w:bCs/>
                <w:color w:val="000000"/>
                <w:sz w:val="24"/>
                <w:szCs w:val="24"/>
                <w:lang w:eastAsia="sq-AL"/>
              </w:rPr>
            </w:pPr>
            <w:r w:rsidRPr="003D5CE4">
              <w:rPr>
                <w:rFonts w:ascii="Garamond" w:eastAsia="Times New Roman" w:hAnsi="Garamond" w:cs="Calibri"/>
                <w:b/>
                <w:bCs/>
                <w:color w:val="000000"/>
                <w:sz w:val="24"/>
                <w:szCs w:val="24"/>
                <w:lang w:eastAsia="sq-AL"/>
              </w:rPr>
              <w:t xml:space="preserve">Nr. </w:t>
            </w:r>
            <w:r>
              <w:rPr>
                <w:rFonts w:ascii="Garamond" w:eastAsia="Times New Roman" w:hAnsi="Garamond" w:cs="Calibri"/>
                <w:b/>
                <w:bCs/>
                <w:color w:val="000000"/>
                <w:sz w:val="24"/>
                <w:szCs w:val="24"/>
                <w:lang w:eastAsia="sq-AL"/>
              </w:rPr>
              <w:t>r</w:t>
            </w:r>
            <w:r w:rsidRPr="003D5CE4">
              <w:rPr>
                <w:rFonts w:ascii="Garamond" w:eastAsia="Times New Roman" w:hAnsi="Garamond" w:cs="Calibri"/>
                <w:b/>
                <w:bCs/>
                <w:color w:val="000000"/>
                <w:sz w:val="24"/>
                <w:szCs w:val="24"/>
                <w:lang w:eastAsia="sq-AL"/>
              </w:rPr>
              <w:t>endor</w:t>
            </w:r>
          </w:p>
        </w:tc>
        <w:tc>
          <w:tcPr>
            <w:tcW w:w="3780" w:type="dxa"/>
            <w:tcBorders>
              <w:top w:val="single" w:sz="8" w:space="0" w:color="auto"/>
              <w:left w:val="nil"/>
              <w:bottom w:val="single" w:sz="8" w:space="0" w:color="auto"/>
              <w:right w:val="single" w:sz="4" w:space="0" w:color="auto"/>
            </w:tcBorders>
            <w:shd w:val="clear" w:color="auto" w:fill="auto"/>
            <w:noWrap/>
            <w:vAlign w:val="bottom"/>
            <w:hideMark/>
          </w:tcPr>
          <w:p w14:paraId="45452443" w14:textId="77777777" w:rsidR="00F052F6" w:rsidRPr="003D5CE4" w:rsidRDefault="00F052F6" w:rsidP="003464CC">
            <w:pPr>
              <w:spacing w:after="0" w:line="240" w:lineRule="auto"/>
              <w:rPr>
                <w:rFonts w:ascii="Garamond" w:eastAsia="Times New Roman" w:hAnsi="Garamond" w:cs="Calibri"/>
                <w:b/>
                <w:bCs/>
                <w:color w:val="000000"/>
                <w:sz w:val="24"/>
                <w:szCs w:val="24"/>
                <w:lang w:eastAsia="sq-AL"/>
              </w:rPr>
            </w:pPr>
            <w:r w:rsidRPr="003D5CE4">
              <w:rPr>
                <w:rFonts w:ascii="Garamond" w:eastAsia="Times New Roman" w:hAnsi="Garamond" w:cs="Calibri"/>
                <w:b/>
                <w:bCs/>
                <w:color w:val="000000"/>
                <w:sz w:val="24"/>
                <w:szCs w:val="24"/>
                <w:lang w:eastAsia="sq-AL"/>
              </w:rPr>
              <w:t xml:space="preserve">Nr. </w:t>
            </w:r>
            <w:r>
              <w:rPr>
                <w:rFonts w:ascii="Garamond" w:eastAsia="Times New Roman" w:hAnsi="Garamond" w:cs="Calibri"/>
                <w:b/>
                <w:bCs/>
                <w:color w:val="000000"/>
                <w:sz w:val="24"/>
                <w:szCs w:val="24"/>
                <w:lang w:eastAsia="sq-AL"/>
              </w:rPr>
              <w:t>p</w:t>
            </w:r>
            <w:r w:rsidRPr="003D5CE4">
              <w:rPr>
                <w:rFonts w:ascii="Garamond" w:eastAsia="Times New Roman" w:hAnsi="Garamond" w:cs="Calibri"/>
                <w:b/>
                <w:bCs/>
                <w:color w:val="000000"/>
                <w:sz w:val="24"/>
                <w:szCs w:val="24"/>
                <w:lang w:eastAsia="sq-AL"/>
              </w:rPr>
              <w:t>rocedimi (pa autor)</w:t>
            </w:r>
          </w:p>
        </w:tc>
        <w:tc>
          <w:tcPr>
            <w:tcW w:w="1840" w:type="dxa"/>
            <w:tcBorders>
              <w:top w:val="single" w:sz="8" w:space="0" w:color="auto"/>
              <w:left w:val="nil"/>
              <w:bottom w:val="single" w:sz="8" w:space="0" w:color="auto"/>
              <w:right w:val="single" w:sz="8" w:space="0" w:color="auto"/>
            </w:tcBorders>
            <w:shd w:val="clear" w:color="auto" w:fill="auto"/>
            <w:noWrap/>
            <w:vAlign w:val="bottom"/>
            <w:hideMark/>
          </w:tcPr>
          <w:p w14:paraId="088D07FE" w14:textId="77777777" w:rsidR="00F052F6" w:rsidRPr="003D5CE4" w:rsidRDefault="00F052F6" w:rsidP="003464CC">
            <w:pPr>
              <w:spacing w:after="0" w:line="240" w:lineRule="auto"/>
              <w:rPr>
                <w:rFonts w:ascii="Garamond" w:eastAsia="Times New Roman" w:hAnsi="Garamond" w:cs="Calibri"/>
                <w:b/>
                <w:bCs/>
                <w:color w:val="000000"/>
                <w:sz w:val="24"/>
                <w:szCs w:val="24"/>
                <w:lang w:eastAsia="sq-AL"/>
              </w:rPr>
            </w:pPr>
            <w:r w:rsidRPr="003D5CE4">
              <w:rPr>
                <w:rFonts w:ascii="Garamond" w:eastAsia="Times New Roman" w:hAnsi="Garamond" w:cs="Calibri"/>
                <w:b/>
                <w:bCs/>
                <w:color w:val="000000"/>
                <w:sz w:val="24"/>
                <w:szCs w:val="24"/>
                <w:lang w:eastAsia="sq-AL"/>
              </w:rPr>
              <w:t>Datë</w:t>
            </w:r>
          </w:p>
        </w:tc>
      </w:tr>
      <w:tr w:rsidR="00F052F6" w:rsidRPr="003D5CE4" w14:paraId="57ACA4D9" w14:textId="77777777" w:rsidTr="003464CC">
        <w:trPr>
          <w:trHeight w:val="43"/>
          <w:jc w:val="center"/>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8A5ED"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3780" w:type="dxa"/>
            <w:tcBorders>
              <w:top w:val="single" w:sz="4" w:space="0" w:color="auto"/>
              <w:left w:val="nil"/>
              <w:bottom w:val="single" w:sz="4" w:space="0" w:color="auto"/>
              <w:right w:val="single" w:sz="4" w:space="0" w:color="auto"/>
            </w:tcBorders>
            <w:shd w:val="clear" w:color="auto" w:fill="auto"/>
            <w:noWrap/>
            <w:vAlign w:val="bottom"/>
            <w:hideMark/>
          </w:tcPr>
          <w:p w14:paraId="10A21F49"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14:paraId="3696F11D"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r>
      <w:tr w:rsidR="00F052F6" w:rsidRPr="003D5CE4" w14:paraId="26F25B73" w14:textId="77777777" w:rsidTr="003464CC">
        <w:trPr>
          <w:trHeight w:val="315"/>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53D0555"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3780" w:type="dxa"/>
            <w:tcBorders>
              <w:top w:val="nil"/>
              <w:left w:val="nil"/>
              <w:bottom w:val="single" w:sz="4" w:space="0" w:color="auto"/>
              <w:right w:val="single" w:sz="4" w:space="0" w:color="auto"/>
            </w:tcBorders>
            <w:shd w:val="clear" w:color="auto" w:fill="auto"/>
            <w:noWrap/>
            <w:vAlign w:val="bottom"/>
            <w:hideMark/>
          </w:tcPr>
          <w:p w14:paraId="610241F4"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1840" w:type="dxa"/>
            <w:tcBorders>
              <w:top w:val="nil"/>
              <w:left w:val="nil"/>
              <w:bottom w:val="single" w:sz="4" w:space="0" w:color="auto"/>
              <w:right w:val="single" w:sz="4" w:space="0" w:color="auto"/>
            </w:tcBorders>
            <w:shd w:val="clear" w:color="auto" w:fill="auto"/>
            <w:noWrap/>
            <w:vAlign w:val="bottom"/>
            <w:hideMark/>
          </w:tcPr>
          <w:p w14:paraId="2EA910B2"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r>
      <w:tr w:rsidR="00F052F6" w:rsidRPr="003D5CE4" w14:paraId="4B125B5E" w14:textId="77777777" w:rsidTr="003464CC">
        <w:trPr>
          <w:trHeight w:val="330"/>
          <w:jc w:val="center"/>
        </w:trPr>
        <w:tc>
          <w:tcPr>
            <w:tcW w:w="2000" w:type="dxa"/>
            <w:tcBorders>
              <w:top w:val="nil"/>
              <w:left w:val="single" w:sz="4" w:space="0" w:color="auto"/>
              <w:bottom w:val="nil"/>
              <w:right w:val="single" w:sz="4" w:space="0" w:color="auto"/>
            </w:tcBorders>
            <w:shd w:val="clear" w:color="auto" w:fill="auto"/>
            <w:noWrap/>
            <w:vAlign w:val="bottom"/>
            <w:hideMark/>
          </w:tcPr>
          <w:p w14:paraId="3AAB1C00"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3780" w:type="dxa"/>
            <w:tcBorders>
              <w:top w:val="nil"/>
              <w:left w:val="nil"/>
              <w:bottom w:val="nil"/>
              <w:right w:val="single" w:sz="4" w:space="0" w:color="auto"/>
            </w:tcBorders>
            <w:shd w:val="clear" w:color="auto" w:fill="auto"/>
            <w:noWrap/>
            <w:vAlign w:val="bottom"/>
            <w:hideMark/>
          </w:tcPr>
          <w:p w14:paraId="515E01F1"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1840" w:type="dxa"/>
            <w:tcBorders>
              <w:top w:val="nil"/>
              <w:left w:val="nil"/>
              <w:bottom w:val="nil"/>
              <w:right w:val="single" w:sz="4" w:space="0" w:color="auto"/>
            </w:tcBorders>
            <w:shd w:val="clear" w:color="auto" w:fill="auto"/>
            <w:noWrap/>
            <w:vAlign w:val="bottom"/>
            <w:hideMark/>
          </w:tcPr>
          <w:p w14:paraId="1E7D6181"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r>
      <w:tr w:rsidR="00F052F6" w:rsidRPr="003D5CE4" w14:paraId="5F3C4235" w14:textId="77777777" w:rsidTr="003464CC">
        <w:trPr>
          <w:trHeight w:val="43"/>
          <w:jc w:val="center"/>
        </w:trPr>
        <w:tc>
          <w:tcPr>
            <w:tcW w:w="20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1A480642" w14:textId="77777777" w:rsidR="00F052F6" w:rsidRPr="003D5CE4" w:rsidRDefault="00F052F6" w:rsidP="003464CC">
            <w:pPr>
              <w:spacing w:after="0" w:line="240" w:lineRule="auto"/>
              <w:rPr>
                <w:rFonts w:ascii="Garamond" w:eastAsia="Times New Roman" w:hAnsi="Garamond" w:cs="Calibri"/>
                <w:b/>
                <w:bCs/>
                <w:color w:val="000000"/>
                <w:sz w:val="24"/>
                <w:szCs w:val="24"/>
                <w:lang w:eastAsia="sq-AL"/>
              </w:rPr>
            </w:pPr>
            <w:r w:rsidRPr="003D5CE4">
              <w:rPr>
                <w:rFonts w:ascii="Garamond" w:eastAsia="Times New Roman" w:hAnsi="Garamond" w:cs="Calibri"/>
                <w:b/>
                <w:bCs/>
                <w:color w:val="000000"/>
                <w:sz w:val="24"/>
                <w:szCs w:val="24"/>
                <w:lang w:eastAsia="sq-AL"/>
              </w:rPr>
              <w:t xml:space="preserve">Nr. </w:t>
            </w:r>
            <w:r>
              <w:rPr>
                <w:rFonts w:ascii="Garamond" w:eastAsia="Times New Roman" w:hAnsi="Garamond" w:cs="Calibri"/>
                <w:b/>
                <w:bCs/>
                <w:color w:val="000000"/>
                <w:sz w:val="24"/>
                <w:szCs w:val="24"/>
                <w:lang w:eastAsia="sq-AL"/>
              </w:rPr>
              <w:t>r</w:t>
            </w:r>
            <w:r w:rsidRPr="003D5CE4">
              <w:rPr>
                <w:rFonts w:ascii="Garamond" w:eastAsia="Times New Roman" w:hAnsi="Garamond" w:cs="Calibri"/>
                <w:b/>
                <w:bCs/>
                <w:color w:val="000000"/>
                <w:sz w:val="24"/>
                <w:szCs w:val="24"/>
                <w:lang w:eastAsia="sq-AL"/>
              </w:rPr>
              <w:t>endor</w:t>
            </w:r>
          </w:p>
        </w:tc>
        <w:tc>
          <w:tcPr>
            <w:tcW w:w="3780" w:type="dxa"/>
            <w:tcBorders>
              <w:top w:val="single" w:sz="8" w:space="0" w:color="auto"/>
              <w:left w:val="nil"/>
              <w:bottom w:val="single" w:sz="8" w:space="0" w:color="auto"/>
              <w:right w:val="single" w:sz="4" w:space="0" w:color="auto"/>
            </w:tcBorders>
            <w:shd w:val="clear" w:color="auto" w:fill="auto"/>
            <w:vAlign w:val="bottom"/>
            <w:hideMark/>
          </w:tcPr>
          <w:p w14:paraId="5824D509" w14:textId="77777777" w:rsidR="00F052F6" w:rsidRPr="003D5CE4" w:rsidRDefault="00F052F6" w:rsidP="003464CC">
            <w:pPr>
              <w:spacing w:after="0" w:line="240" w:lineRule="auto"/>
              <w:rPr>
                <w:rFonts w:ascii="Garamond" w:eastAsia="Times New Roman" w:hAnsi="Garamond" w:cs="Calibri"/>
                <w:b/>
                <w:bCs/>
                <w:color w:val="000000"/>
                <w:sz w:val="24"/>
                <w:szCs w:val="24"/>
                <w:lang w:eastAsia="sq-AL"/>
              </w:rPr>
            </w:pPr>
            <w:r w:rsidRPr="003D5CE4">
              <w:rPr>
                <w:rFonts w:ascii="Garamond" w:eastAsia="Times New Roman" w:hAnsi="Garamond" w:cs="Calibri"/>
                <w:b/>
                <w:bCs/>
                <w:color w:val="000000"/>
                <w:sz w:val="24"/>
                <w:szCs w:val="24"/>
                <w:lang w:eastAsia="sq-AL"/>
              </w:rPr>
              <w:t xml:space="preserve">Lloji i </w:t>
            </w:r>
            <w:r>
              <w:rPr>
                <w:rFonts w:ascii="Garamond" w:eastAsia="Times New Roman" w:hAnsi="Garamond" w:cs="Calibri"/>
                <w:b/>
                <w:bCs/>
                <w:color w:val="000000"/>
                <w:sz w:val="24"/>
                <w:szCs w:val="24"/>
                <w:lang w:eastAsia="sq-AL"/>
              </w:rPr>
              <w:t>p</w:t>
            </w:r>
            <w:r w:rsidRPr="003D5CE4">
              <w:rPr>
                <w:rFonts w:ascii="Garamond" w:eastAsia="Times New Roman" w:hAnsi="Garamond" w:cs="Calibri"/>
                <w:b/>
                <w:bCs/>
                <w:color w:val="000000"/>
                <w:sz w:val="24"/>
                <w:szCs w:val="24"/>
                <w:lang w:eastAsia="sq-AL"/>
              </w:rPr>
              <w:t xml:space="preserve">raktikës (nr. </w:t>
            </w:r>
            <w:r>
              <w:rPr>
                <w:rFonts w:ascii="Garamond" w:eastAsia="Times New Roman" w:hAnsi="Garamond" w:cs="Calibri"/>
                <w:b/>
                <w:bCs/>
                <w:color w:val="000000"/>
                <w:sz w:val="24"/>
                <w:szCs w:val="24"/>
                <w:lang w:eastAsia="sq-AL"/>
              </w:rPr>
              <w:t>p</w:t>
            </w:r>
            <w:r w:rsidRPr="003D5CE4">
              <w:rPr>
                <w:rFonts w:ascii="Garamond" w:eastAsia="Times New Roman" w:hAnsi="Garamond" w:cs="Calibri"/>
                <w:b/>
                <w:bCs/>
                <w:color w:val="000000"/>
                <w:sz w:val="24"/>
                <w:szCs w:val="24"/>
                <w:lang w:eastAsia="sq-AL"/>
              </w:rPr>
              <w:t>rot/nr. Urdhër ekzekutimi/etj</w:t>
            </w:r>
            <w:r>
              <w:rPr>
                <w:rFonts w:ascii="Garamond" w:eastAsia="Times New Roman" w:hAnsi="Garamond" w:cs="Calibri"/>
                <w:b/>
                <w:bCs/>
                <w:color w:val="000000"/>
                <w:sz w:val="24"/>
                <w:szCs w:val="24"/>
                <w:lang w:eastAsia="sq-AL"/>
              </w:rPr>
              <w:t>.</w:t>
            </w:r>
            <w:r w:rsidRPr="003D5CE4">
              <w:rPr>
                <w:rFonts w:ascii="Garamond" w:eastAsia="Times New Roman" w:hAnsi="Garamond" w:cs="Calibri"/>
                <w:b/>
                <w:bCs/>
                <w:color w:val="000000"/>
                <w:sz w:val="24"/>
                <w:szCs w:val="24"/>
                <w:lang w:eastAsia="sq-AL"/>
              </w:rPr>
              <w:t>)</w:t>
            </w:r>
          </w:p>
        </w:tc>
        <w:tc>
          <w:tcPr>
            <w:tcW w:w="1840" w:type="dxa"/>
            <w:tcBorders>
              <w:top w:val="single" w:sz="8" w:space="0" w:color="auto"/>
              <w:left w:val="nil"/>
              <w:bottom w:val="single" w:sz="8" w:space="0" w:color="auto"/>
              <w:right w:val="single" w:sz="8" w:space="0" w:color="auto"/>
            </w:tcBorders>
            <w:shd w:val="clear" w:color="auto" w:fill="auto"/>
            <w:noWrap/>
            <w:vAlign w:val="bottom"/>
            <w:hideMark/>
          </w:tcPr>
          <w:p w14:paraId="180DA9EA" w14:textId="77777777" w:rsidR="00F052F6" w:rsidRPr="003D5CE4" w:rsidRDefault="00F052F6" w:rsidP="003464CC">
            <w:pPr>
              <w:spacing w:after="0" w:line="240" w:lineRule="auto"/>
              <w:rPr>
                <w:rFonts w:ascii="Garamond" w:eastAsia="Times New Roman" w:hAnsi="Garamond" w:cs="Calibri"/>
                <w:b/>
                <w:bCs/>
                <w:color w:val="000000"/>
                <w:sz w:val="24"/>
                <w:szCs w:val="24"/>
                <w:lang w:eastAsia="sq-AL"/>
              </w:rPr>
            </w:pPr>
            <w:r w:rsidRPr="003D5CE4">
              <w:rPr>
                <w:rFonts w:ascii="Garamond" w:eastAsia="Times New Roman" w:hAnsi="Garamond" w:cs="Calibri"/>
                <w:b/>
                <w:bCs/>
                <w:color w:val="000000"/>
                <w:sz w:val="24"/>
                <w:szCs w:val="24"/>
                <w:lang w:eastAsia="sq-AL"/>
              </w:rPr>
              <w:t xml:space="preserve">Datë </w:t>
            </w:r>
          </w:p>
        </w:tc>
      </w:tr>
      <w:tr w:rsidR="00F052F6" w:rsidRPr="003D5CE4" w14:paraId="2DF8B0B4" w14:textId="77777777" w:rsidTr="003464CC">
        <w:trPr>
          <w:trHeight w:val="315"/>
          <w:jc w:val="center"/>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5C4E10B"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3780" w:type="dxa"/>
            <w:tcBorders>
              <w:top w:val="nil"/>
              <w:left w:val="nil"/>
              <w:bottom w:val="single" w:sz="4" w:space="0" w:color="auto"/>
              <w:right w:val="single" w:sz="4" w:space="0" w:color="auto"/>
            </w:tcBorders>
            <w:shd w:val="clear" w:color="auto" w:fill="auto"/>
            <w:noWrap/>
            <w:vAlign w:val="bottom"/>
            <w:hideMark/>
          </w:tcPr>
          <w:p w14:paraId="0CFA2B28"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c>
          <w:tcPr>
            <w:tcW w:w="1840" w:type="dxa"/>
            <w:tcBorders>
              <w:top w:val="nil"/>
              <w:left w:val="nil"/>
              <w:bottom w:val="single" w:sz="4" w:space="0" w:color="auto"/>
              <w:right w:val="single" w:sz="4" w:space="0" w:color="auto"/>
            </w:tcBorders>
            <w:shd w:val="clear" w:color="auto" w:fill="auto"/>
            <w:noWrap/>
            <w:vAlign w:val="bottom"/>
            <w:hideMark/>
          </w:tcPr>
          <w:p w14:paraId="74564DEF" w14:textId="77777777" w:rsidR="00F052F6" w:rsidRPr="003D5CE4" w:rsidRDefault="00F052F6" w:rsidP="003464CC">
            <w:pPr>
              <w:spacing w:after="0" w:line="240" w:lineRule="auto"/>
              <w:rPr>
                <w:rFonts w:ascii="Garamond" w:eastAsia="Times New Roman" w:hAnsi="Garamond" w:cs="Calibri"/>
                <w:color w:val="000000"/>
                <w:sz w:val="24"/>
                <w:szCs w:val="24"/>
                <w:lang w:eastAsia="sq-AL"/>
              </w:rPr>
            </w:pPr>
            <w:r w:rsidRPr="003D5CE4">
              <w:rPr>
                <w:rFonts w:ascii="Garamond" w:eastAsia="Times New Roman" w:hAnsi="Garamond" w:cs="Calibri"/>
                <w:color w:val="000000"/>
                <w:sz w:val="24"/>
                <w:szCs w:val="24"/>
                <w:lang w:eastAsia="sq-AL"/>
              </w:rPr>
              <w:t> </w:t>
            </w:r>
          </w:p>
        </w:tc>
      </w:tr>
    </w:tbl>
    <w:p w14:paraId="389FAC01" w14:textId="77777777" w:rsidR="00F052F6" w:rsidRPr="003D5CE4" w:rsidRDefault="00F052F6" w:rsidP="00F052F6">
      <w:pPr>
        <w:autoSpaceDE w:val="0"/>
        <w:autoSpaceDN w:val="0"/>
        <w:adjustRightInd w:val="0"/>
        <w:spacing w:after="0" w:line="240" w:lineRule="auto"/>
        <w:ind w:firstLine="284"/>
        <w:rPr>
          <w:rFonts w:ascii="Garamond" w:hAnsi="Garamond"/>
          <w:sz w:val="24"/>
          <w:szCs w:val="24"/>
        </w:rPr>
      </w:pPr>
    </w:p>
    <w:p w14:paraId="60966832" w14:textId="58C9119C" w:rsidR="00F052F6" w:rsidRPr="003D5CE4" w:rsidRDefault="00F052F6" w:rsidP="00F052F6">
      <w:pPr>
        <w:autoSpaceDE w:val="0"/>
        <w:autoSpaceDN w:val="0"/>
        <w:adjustRightInd w:val="0"/>
        <w:spacing w:after="0" w:line="240" w:lineRule="auto"/>
        <w:ind w:firstLine="284"/>
        <w:rPr>
          <w:rFonts w:ascii="Garamond" w:hAnsi="Garamond"/>
          <w:sz w:val="24"/>
          <w:szCs w:val="24"/>
        </w:rPr>
      </w:pPr>
      <w:r w:rsidRPr="00DB634E">
        <w:rPr>
          <w:rFonts w:ascii="Garamond" w:hAnsi="Garamond"/>
          <w:noProof/>
          <w:sz w:val="24"/>
          <w:szCs w:val="24"/>
          <w:lang w:val="en-US"/>
        </w:rPr>
        <w:drawing>
          <wp:inline distT="0" distB="0" distL="0" distR="0" wp14:anchorId="649EB2CB" wp14:editId="29A923A4">
            <wp:extent cx="5947410" cy="7695565"/>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373DFAD3" wp14:editId="4E92E33E">
            <wp:extent cx="5947410" cy="7695565"/>
            <wp:effectExtent l="0" t="0" r="0" b="63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5FCC4BC3" wp14:editId="1D1F421F">
            <wp:extent cx="5947410" cy="7695565"/>
            <wp:effectExtent l="0" t="0" r="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3B83733F" wp14:editId="69DCD35C">
            <wp:extent cx="5947410" cy="7695565"/>
            <wp:effectExtent l="0" t="0" r="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3CE917F2" wp14:editId="08EB6BDC">
            <wp:extent cx="5947410" cy="7695565"/>
            <wp:effectExtent l="0" t="0" r="0" b="63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55487382" wp14:editId="2A90F916">
            <wp:extent cx="5947410" cy="7695565"/>
            <wp:effectExtent l="0" t="0" r="0" b="63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57841ED6" wp14:editId="5BDB8250">
            <wp:extent cx="5947410" cy="7695565"/>
            <wp:effectExtent l="0" t="0" r="0" b="63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029FE511" wp14:editId="44CB9DFF">
            <wp:extent cx="5947410" cy="7695565"/>
            <wp:effectExtent l="0" t="0" r="0"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4B23712D" wp14:editId="3D67C56F">
            <wp:extent cx="5947410" cy="7695565"/>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29B9A770" wp14:editId="19AFF2F1">
            <wp:extent cx="5947410" cy="7695565"/>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5259473B" wp14:editId="5EBFBDBE">
            <wp:extent cx="5947410" cy="7695565"/>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460E9094" wp14:editId="5F65118F">
            <wp:extent cx="5947410" cy="7695565"/>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37CD580E" wp14:editId="774AE863">
            <wp:extent cx="5947410" cy="7695565"/>
            <wp:effectExtent l="0" t="0" r="0" b="63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5BB7E634" wp14:editId="38266324">
            <wp:extent cx="5947410" cy="7695565"/>
            <wp:effectExtent l="0" t="0" r="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39073FEB" wp14:editId="4B6C5ED0">
            <wp:extent cx="5947410" cy="7695565"/>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662BEAD8" wp14:editId="265FF44B">
            <wp:extent cx="5947410" cy="7695565"/>
            <wp:effectExtent l="0" t="0" r="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3DDD3D75" wp14:editId="71C9E1B1">
            <wp:extent cx="5947410" cy="7695565"/>
            <wp:effectExtent l="0" t="0" r="0" b="63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6B8B74F0" wp14:editId="4234FF8D">
            <wp:extent cx="5947410" cy="7695565"/>
            <wp:effectExtent l="0" t="0" r="0" b="6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6012074F" wp14:editId="365FE6DF">
            <wp:extent cx="5947410" cy="7695565"/>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2EAF3FBC" wp14:editId="490AFFB4">
            <wp:extent cx="5947410" cy="7695565"/>
            <wp:effectExtent l="0" t="0" r="0"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142CE791" wp14:editId="4F03E3ED">
            <wp:extent cx="5947410" cy="7695565"/>
            <wp:effectExtent l="0" t="0" r="0"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19BC581B" wp14:editId="37EC2D65">
            <wp:extent cx="5947410" cy="7695565"/>
            <wp:effectExtent l="0" t="0" r="0" b="6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698CC0A6" wp14:editId="230B6C55">
            <wp:extent cx="5947410" cy="769556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r w:rsidRPr="00DB634E">
        <w:rPr>
          <w:rFonts w:ascii="Garamond" w:hAnsi="Garamond"/>
          <w:noProof/>
          <w:sz w:val="24"/>
          <w:szCs w:val="24"/>
          <w:lang w:val="en-US"/>
        </w:rPr>
        <w:drawing>
          <wp:inline distT="0" distB="0" distL="0" distR="0" wp14:anchorId="57C78D06" wp14:editId="71054BEC">
            <wp:extent cx="5947410" cy="769556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7410" cy="7695565"/>
                    </a:xfrm>
                    <a:prstGeom prst="rect">
                      <a:avLst/>
                    </a:prstGeom>
                    <a:noFill/>
                    <a:ln>
                      <a:noFill/>
                    </a:ln>
                  </pic:spPr>
                </pic:pic>
              </a:graphicData>
            </a:graphic>
          </wp:inline>
        </w:drawing>
      </w:r>
    </w:p>
    <w:p w14:paraId="4F29C4DD" w14:textId="77777777" w:rsidR="00CE654F" w:rsidRDefault="00CE654F" w:rsidP="00F052F6">
      <w:pPr>
        <w:spacing w:after="0" w:line="240" w:lineRule="auto"/>
        <w:ind w:firstLine="284"/>
        <w:jc w:val="center"/>
        <w:rPr>
          <w:rFonts w:ascii="Garamond" w:hAnsi="Garamond" w:cs="Times New Roman"/>
          <w:sz w:val="24"/>
          <w:szCs w:val="24"/>
        </w:rPr>
      </w:pPr>
    </w:p>
    <w:p w14:paraId="107231E6" w14:textId="77777777" w:rsidR="00CE654F" w:rsidRDefault="00CE654F" w:rsidP="00F052F6">
      <w:pPr>
        <w:spacing w:after="0" w:line="240" w:lineRule="auto"/>
        <w:ind w:firstLine="284"/>
        <w:jc w:val="center"/>
        <w:rPr>
          <w:rFonts w:ascii="Garamond" w:hAnsi="Garamond" w:cs="Times New Roman"/>
          <w:sz w:val="24"/>
          <w:szCs w:val="24"/>
        </w:rPr>
      </w:pPr>
    </w:p>
    <w:p w14:paraId="07F0EF58" w14:textId="77777777" w:rsidR="00CE654F" w:rsidRDefault="00CE654F" w:rsidP="00F052F6">
      <w:pPr>
        <w:spacing w:after="0" w:line="240" w:lineRule="auto"/>
        <w:ind w:firstLine="284"/>
        <w:jc w:val="center"/>
        <w:rPr>
          <w:rFonts w:ascii="Garamond" w:hAnsi="Garamond" w:cs="Times New Roman"/>
          <w:sz w:val="24"/>
          <w:szCs w:val="24"/>
        </w:rPr>
      </w:pPr>
    </w:p>
    <w:p w14:paraId="05282B19" w14:textId="77777777" w:rsidR="00F052F6" w:rsidRPr="001F50E8" w:rsidRDefault="00F052F6" w:rsidP="00F052F6">
      <w:pPr>
        <w:spacing w:after="0" w:line="240" w:lineRule="auto"/>
        <w:ind w:firstLine="284"/>
        <w:jc w:val="center"/>
        <w:rPr>
          <w:rFonts w:ascii="Garamond" w:hAnsi="Garamond" w:cs="Times New Roman"/>
          <w:sz w:val="24"/>
          <w:szCs w:val="24"/>
        </w:rPr>
      </w:pPr>
      <w:r w:rsidRPr="001F50E8">
        <w:rPr>
          <w:rFonts w:ascii="Garamond" w:hAnsi="Garamond" w:cs="Times New Roman"/>
          <w:sz w:val="24"/>
          <w:szCs w:val="24"/>
        </w:rPr>
        <w:t>ANEKSI NR. 4</w:t>
      </w:r>
    </w:p>
    <w:p w14:paraId="710A04E4" w14:textId="77777777" w:rsidR="00F052F6" w:rsidRPr="001F50E8" w:rsidRDefault="00F052F6" w:rsidP="00F052F6">
      <w:pPr>
        <w:spacing w:after="0" w:line="240" w:lineRule="auto"/>
        <w:ind w:firstLine="284"/>
        <w:jc w:val="center"/>
        <w:rPr>
          <w:rFonts w:ascii="Garamond" w:hAnsi="Garamond" w:cs="Times New Roman"/>
          <w:sz w:val="24"/>
          <w:szCs w:val="24"/>
        </w:rPr>
      </w:pPr>
      <w:r w:rsidRPr="001F50E8">
        <w:rPr>
          <w:rFonts w:ascii="Garamond" w:hAnsi="Garamond" w:cs="Times New Roman"/>
          <w:sz w:val="24"/>
          <w:szCs w:val="24"/>
        </w:rPr>
        <w:t xml:space="preserve">PROCESVERBAL </w:t>
      </w:r>
    </w:p>
    <w:p w14:paraId="286AA27B" w14:textId="77777777" w:rsidR="00F052F6" w:rsidRPr="003D5CE4" w:rsidRDefault="00F052F6" w:rsidP="00F052F6">
      <w:pPr>
        <w:spacing w:after="0" w:line="240" w:lineRule="auto"/>
        <w:ind w:firstLine="284"/>
        <w:jc w:val="center"/>
        <w:rPr>
          <w:rFonts w:ascii="Garamond" w:hAnsi="Garamond" w:cs="Times New Roman"/>
          <w:i/>
          <w:sz w:val="24"/>
          <w:szCs w:val="24"/>
        </w:rPr>
      </w:pPr>
      <w:r w:rsidRPr="001F50E8">
        <w:rPr>
          <w:rFonts w:ascii="Garamond" w:hAnsi="Garamond" w:cs="Times New Roman"/>
          <w:sz w:val="24"/>
          <w:szCs w:val="24"/>
        </w:rPr>
        <w:t>PËR PASQYRIMIN E VEPRIMEVE QË KRYHEN GJATË PROCEDURËS SË PËRZGJEDHJES ME SHORT TË ÇËSHTJEVE NË PROCESIN E VLERËSIMIT ETIK DHE PROFESIONAL TË PROKURORIT</w:t>
      </w:r>
      <w:r w:rsidRPr="003D5CE4">
        <w:rPr>
          <w:rFonts w:ascii="Garamond" w:hAnsi="Garamond" w:cs="Times New Roman"/>
          <w:b/>
          <w:sz w:val="24"/>
          <w:szCs w:val="24"/>
        </w:rPr>
        <w:t xml:space="preserve"> </w:t>
      </w:r>
      <w:r w:rsidRPr="003D5CE4">
        <w:rPr>
          <w:rFonts w:ascii="Garamond" w:hAnsi="Garamond" w:cs="Times New Roman"/>
          <w:sz w:val="24"/>
          <w:szCs w:val="24"/>
        </w:rPr>
        <w:t xml:space="preserve">_________________ </w:t>
      </w:r>
      <w:r w:rsidRPr="003D5CE4">
        <w:rPr>
          <w:rFonts w:ascii="Garamond" w:hAnsi="Garamond" w:cs="Times New Roman"/>
          <w:i/>
          <w:sz w:val="24"/>
          <w:szCs w:val="24"/>
        </w:rPr>
        <w:t>(emri/mbiemri i prokurorit)</w:t>
      </w:r>
    </w:p>
    <w:p w14:paraId="1DE801B5" w14:textId="77777777" w:rsidR="00F052F6" w:rsidRPr="003D5CE4" w:rsidRDefault="00F052F6" w:rsidP="00F052F6">
      <w:pPr>
        <w:spacing w:after="0" w:line="240" w:lineRule="auto"/>
        <w:ind w:firstLine="284"/>
        <w:jc w:val="center"/>
        <w:rPr>
          <w:rFonts w:ascii="Garamond" w:hAnsi="Garamond" w:cs="Times New Roman"/>
          <w:i/>
          <w:sz w:val="24"/>
          <w:szCs w:val="24"/>
        </w:rPr>
      </w:pPr>
    </w:p>
    <w:p w14:paraId="689638FE" w14:textId="77777777" w:rsidR="00F052F6" w:rsidRPr="003D5CE4" w:rsidRDefault="00F052F6" w:rsidP="00F052F6">
      <w:pPr>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Sot, më datë ___.___.____, ora ___</w:t>
      </w:r>
      <w:r>
        <w:rPr>
          <w:rFonts w:ascii="Garamond" w:hAnsi="Garamond" w:cs="Times New Roman"/>
          <w:sz w:val="24"/>
          <w:szCs w:val="24"/>
        </w:rPr>
        <w:t>:</w:t>
      </w:r>
      <w:r w:rsidRPr="003D5CE4">
        <w:rPr>
          <w:rFonts w:ascii="Garamond" w:hAnsi="Garamond" w:cs="Times New Roman"/>
          <w:sz w:val="24"/>
          <w:szCs w:val="24"/>
        </w:rPr>
        <w:t>___, në ambientet e Prokurorisë pranë Gjykatës së Shkallës së Parë ____________, mbahet ky procesverbal për të dokumentuar të gjitha veprimet që kryhen gjatë procedurës së përzgjedhjes me short të çështjeve për vlerësimin etik dhe profesional të prokurorit _______________.</w:t>
      </w:r>
    </w:p>
    <w:p w14:paraId="661569F9" w14:textId="77777777" w:rsidR="00F052F6" w:rsidRPr="002F5D3C" w:rsidRDefault="00F052F6" w:rsidP="00F052F6">
      <w:pPr>
        <w:spacing w:after="0" w:line="240" w:lineRule="auto"/>
        <w:ind w:firstLine="284"/>
        <w:rPr>
          <w:rFonts w:ascii="Garamond" w:hAnsi="Garamond" w:cs="Times New Roman"/>
          <w:sz w:val="14"/>
          <w:szCs w:val="24"/>
        </w:rPr>
      </w:pPr>
    </w:p>
    <w:p w14:paraId="5E8F5F67" w14:textId="77777777" w:rsidR="00F052F6" w:rsidRPr="003D5CE4" w:rsidRDefault="00F052F6" w:rsidP="00F052F6">
      <w:pPr>
        <w:spacing w:after="0" w:line="240" w:lineRule="auto"/>
        <w:ind w:firstLine="284"/>
        <w:rPr>
          <w:rFonts w:ascii="Garamond" w:hAnsi="Garamond" w:cs="Times New Roman"/>
          <w:b/>
          <w:sz w:val="24"/>
          <w:szCs w:val="24"/>
        </w:rPr>
      </w:pPr>
      <w:r w:rsidRPr="003D5CE4">
        <w:rPr>
          <w:rFonts w:ascii="Garamond" w:hAnsi="Garamond" w:cs="Times New Roman"/>
          <w:b/>
          <w:sz w:val="24"/>
          <w:szCs w:val="24"/>
        </w:rPr>
        <w:t>Në procedurën e përzgjedhjes së çështjeve me short marrin pjesë:</w:t>
      </w:r>
    </w:p>
    <w:p w14:paraId="3D4BEC7A" w14:textId="77777777" w:rsidR="00F052F6" w:rsidRPr="003D5CE4" w:rsidRDefault="00F052F6" w:rsidP="00F052F6">
      <w:pPr>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Z/Znj.______ - Këshilltar përgjegjës për vlerësimin pranë Komisionit të Vlerësimit të Veprimtarisë Etike dhe Profesionale në Këshillin e Lartë të Prokurorisë;</w:t>
      </w:r>
    </w:p>
    <w:p w14:paraId="24BBDA0A" w14:textId="77777777" w:rsidR="00F052F6" w:rsidRPr="003D5CE4" w:rsidRDefault="00F052F6" w:rsidP="00F052F6">
      <w:pPr>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Z/Znj._______ - Kancelar i Prokurorisë; </w:t>
      </w:r>
    </w:p>
    <w:p w14:paraId="55A883AE" w14:textId="77777777" w:rsidR="00F052F6" w:rsidRPr="003D5CE4" w:rsidRDefault="00F052F6" w:rsidP="00F052F6">
      <w:pPr>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Z/Znj._______ - Sekretare në Prokurori;</w:t>
      </w:r>
    </w:p>
    <w:p w14:paraId="3CD08014" w14:textId="77777777" w:rsidR="00F052F6" w:rsidRPr="003D5CE4" w:rsidRDefault="00F052F6" w:rsidP="00F052F6">
      <w:pPr>
        <w:spacing w:after="0" w:line="240" w:lineRule="auto"/>
        <w:ind w:firstLine="284"/>
        <w:jc w:val="both"/>
        <w:rPr>
          <w:rFonts w:ascii="Garamond" w:hAnsi="Garamond" w:cs="Times New Roman"/>
          <w:sz w:val="24"/>
          <w:szCs w:val="24"/>
        </w:rPr>
      </w:pPr>
      <w:r w:rsidRPr="003D5CE4">
        <w:rPr>
          <w:rFonts w:ascii="Garamond" w:hAnsi="Garamond" w:cs="Times New Roman"/>
          <w:sz w:val="24"/>
          <w:szCs w:val="24"/>
        </w:rPr>
        <w:t xml:space="preserve">Z/Znj._______ - Punonjës përgjegjës për teknologjinë e informacionit në Prokurori;              </w:t>
      </w:r>
    </w:p>
    <w:p w14:paraId="25CE5F40" w14:textId="77777777" w:rsidR="00F052F6" w:rsidRPr="002F5D3C"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14"/>
          <w:szCs w:val="24"/>
          <w:lang w:eastAsia="sq-AL"/>
        </w:rPr>
      </w:pPr>
    </w:p>
    <w:p w14:paraId="7928E7DF" w14:textId="77777777" w:rsidR="00F052F6" w:rsidRPr="003D5CE4"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z w:val="24"/>
          <w:szCs w:val="24"/>
          <w:lang w:eastAsia="sq-AL"/>
        </w:rPr>
        <w:t>Të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pr</w:t>
      </w:r>
      <w:r w:rsidRPr="003D5CE4">
        <w:rPr>
          <w:rFonts w:ascii="Garamond" w:eastAsia="Times New Roman" w:hAnsi="Garamond" w:cs="Times New Roman"/>
          <w:color w:val="000000"/>
          <w:spacing w:val="-2"/>
          <w:sz w:val="24"/>
          <w:szCs w:val="24"/>
          <w:lang w:eastAsia="sq-AL"/>
        </w:rPr>
        <w:t>a</w:t>
      </w:r>
      <w:r w:rsidRPr="003D5CE4">
        <w:rPr>
          <w:rFonts w:ascii="Garamond" w:eastAsia="Times New Roman" w:hAnsi="Garamond" w:cs="Times New Roman"/>
          <w:color w:val="000000"/>
          <w:sz w:val="24"/>
          <w:szCs w:val="24"/>
          <w:lang w:eastAsia="sq-AL"/>
        </w:rPr>
        <w:t>nishëm në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pacing w:val="2"/>
          <w:sz w:val="24"/>
          <w:szCs w:val="24"/>
          <w:lang w:eastAsia="sq-AL"/>
        </w:rPr>
        <w:t>p</w:t>
      </w:r>
      <w:r w:rsidRPr="003D5CE4">
        <w:rPr>
          <w:rFonts w:ascii="Garamond" w:eastAsia="Times New Roman" w:hAnsi="Garamond" w:cs="Times New Roman"/>
          <w:color w:val="000000"/>
          <w:sz w:val="24"/>
          <w:szCs w:val="24"/>
          <w:lang w:eastAsia="sq-AL"/>
        </w:rPr>
        <w:t>roc</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pacing w:val="1"/>
          <w:sz w:val="24"/>
          <w:szCs w:val="24"/>
          <w:lang w:eastAsia="sq-AL"/>
        </w:rPr>
        <w:t>d</w:t>
      </w:r>
      <w:r w:rsidRPr="003D5CE4">
        <w:rPr>
          <w:rFonts w:ascii="Garamond" w:eastAsia="Times New Roman" w:hAnsi="Garamond" w:cs="Times New Roman"/>
          <w:color w:val="000000"/>
          <w:spacing w:val="2"/>
          <w:sz w:val="24"/>
          <w:szCs w:val="24"/>
          <w:lang w:eastAsia="sq-AL"/>
        </w:rPr>
        <w:t>u</w:t>
      </w:r>
      <w:r w:rsidRPr="003D5CE4">
        <w:rPr>
          <w:rFonts w:ascii="Garamond" w:eastAsia="Times New Roman" w:hAnsi="Garamond" w:cs="Times New Roman"/>
          <w:color w:val="000000"/>
          <w:sz w:val="24"/>
          <w:szCs w:val="24"/>
          <w:lang w:eastAsia="sq-AL"/>
        </w:rPr>
        <w:t>r</w:t>
      </w:r>
      <w:r w:rsidRPr="003D5CE4">
        <w:rPr>
          <w:rFonts w:ascii="Garamond" w:eastAsia="Times New Roman" w:hAnsi="Garamond" w:cs="Times New Roman"/>
          <w:color w:val="000000"/>
          <w:spacing w:val="-2"/>
          <w:sz w:val="24"/>
          <w:szCs w:val="24"/>
          <w:lang w:eastAsia="sq-AL"/>
        </w:rPr>
        <w:t>ë</w:t>
      </w:r>
      <w:r w:rsidRPr="003D5CE4">
        <w:rPr>
          <w:rFonts w:ascii="Garamond" w:eastAsia="Times New Roman" w:hAnsi="Garamond" w:cs="Times New Roman"/>
          <w:color w:val="000000"/>
          <w:sz w:val="24"/>
          <w:szCs w:val="24"/>
          <w:lang w:eastAsia="sq-AL"/>
        </w:rPr>
        <w:t>n e</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rz</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jedh</w:t>
      </w:r>
      <w:r w:rsidRPr="003D5CE4">
        <w:rPr>
          <w:rFonts w:ascii="Garamond" w:eastAsia="Times New Roman" w:hAnsi="Garamond" w:cs="Times New Roman"/>
          <w:color w:val="000000"/>
          <w:spacing w:val="2"/>
          <w:sz w:val="24"/>
          <w:szCs w:val="24"/>
          <w:lang w:eastAsia="sq-AL"/>
        </w:rPr>
        <w:t>j</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 xml:space="preserve">s së </w:t>
      </w:r>
      <w:r w:rsidRPr="003D5CE4">
        <w:rPr>
          <w:rFonts w:ascii="Garamond" w:eastAsia="Times New Roman" w:hAnsi="Garamond" w:cs="Times New Roman"/>
          <w:color w:val="000000"/>
          <w:spacing w:val="1"/>
          <w:sz w:val="24"/>
          <w:szCs w:val="24"/>
          <w:lang w:eastAsia="sq-AL"/>
        </w:rPr>
        <w:t>ç</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sht</w:t>
      </w:r>
      <w:r w:rsidRPr="003D5CE4">
        <w:rPr>
          <w:rFonts w:ascii="Garamond" w:eastAsia="Times New Roman" w:hAnsi="Garamond" w:cs="Times New Roman"/>
          <w:color w:val="000000"/>
          <w:spacing w:val="1"/>
          <w:sz w:val="24"/>
          <w:szCs w:val="24"/>
          <w:lang w:eastAsia="sq-AL"/>
        </w:rPr>
        <w:t>j</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ve</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me sho</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z w:val="24"/>
          <w:szCs w:val="24"/>
          <w:lang w:eastAsia="sq-AL"/>
        </w:rPr>
        <w:t>t</w:t>
      </w:r>
      <w:r>
        <w:rPr>
          <w:rFonts w:ascii="Garamond" w:eastAsia="Times New Roman" w:hAnsi="Garamond" w:cs="Times New Roman"/>
          <w:color w:val="000000"/>
          <w:spacing w:val="1"/>
          <w:sz w:val="24"/>
          <w:szCs w:val="24"/>
          <w:lang w:eastAsia="sq-AL"/>
        </w:rPr>
        <w:t>:</w:t>
      </w:r>
    </w:p>
    <w:p w14:paraId="31545D1C" w14:textId="77777777" w:rsidR="00F052F6" w:rsidRPr="003D5CE4"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pacing w:val="-3"/>
          <w:sz w:val="24"/>
          <w:szCs w:val="24"/>
          <w:lang w:eastAsia="sq-AL"/>
        </w:rPr>
        <w:t>Z</w:t>
      </w:r>
      <w:r w:rsidRPr="003D5CE4">
        <w:rPr>
          <w:rFonts w:ascii="Garamond" w:eastAsia="Times New Roman" w:hAnsi="Garamond" w:cs="Times New Roman"/>
          <w:color w:val="000000"/>
          <w:spacing w:val="3"/>
          <w:sz w:val="24"/>
          <w:szCs w:val="24"/>
          <w:lang w:eastAsia="sq-AL"/>
        </w:rPr>
        <w:t>/</w:t>
      </w:r>
      <w:r w:rsidRPr="003D5CE4">
        <w:rPr>
          <w:rFonts w:ascii="Garamond" w:eastAsia="Times New Roman" w:hAnsi="Garamond" w:cs="Times New Roman"/>
          <w:color w:val="000000"/>
          <w:spacing w:val="-3"/>
          <w:sz w:val="24"/>
          <w:szCs w:val="24"/>
          <w:lang w:eastAsia="sq-AL"/>
        </w:rPr>
        <w:t>Z</w:t>
      </w:r>
      <w:r w:rsidRPr="003D5CE4">
        <w:rPr>
          <w:rFonts w:ascii="Garamond" w:eastAsia="Times New Roman" w:hAnsi="Garamond" w:cs="Times New Roman"/>
          <w:color w:val="000000"/>
          <w:sz w:val="24"/>
          <w:szCs w:val="24"/>
          <w:lang w:eastAsia="sq-AL"/>
        </w:rPr>
        <w:t>n</w:t>
      </w:r>
      <w:r w:rsidRPr="003D5CE4">
        <w:rPr>
          <w:rFonts w:ascii="Garamond" w:eastAsia="Times New Roman" w:hAnsi="Garamond" w:cs="Times New Roman"/>
          <w:color w:val="000000"/>
          <w:spacing w:val="1"/>
          <w:sz w:val="24"/>
          <w:szCs w:val="24"/>
          <w:lang w:eastAsia="sq-AL"/>
        </w:rPr>
        <w:t>j</w:t>
      </w:r>
      <w:r w:rsidRPr="003D5CE4">
        <w:rPr>
          <w:rFonts w:ascii="Garamond" w:eastAsia="Times New Roman" w:hAnsi="Garamond" w:cs="Times New Roman"/>
          <w:color w:val="000000"/>
          <w:sz w:val="24"/>
          <w:szCs w:val="24"/>
          <w:lang w:eastAsia="sq-AL"/>
        </w:rPr>
        <w:t>.________ -</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A</w:t>
      </w:r>
      <w:r w:rsidRPr="003D5CE4">
        <w:rPr>
          <w:rFonts w:ascii="Garamond" w:eastAsia="Times New Roman" w:hAnsi="Garamond" w:cs="Times New Roman"/>
          <w:color w:val="000000"/>
          <w:spacing w:val="2"/>
          <w:sz w:val="24"/>
          <w:szCs w:val="24"/>
          <w:lang w:eastAsia="sq-AL"/>
        </w:rPr>
        <w:t>n</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ta</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pacing w:val="1"/>
          <w:sz w:val="24"/>
          <w:szCs w:val="24"/>
          <w:lang w:eastAsia="sq-AL"/>
        </w:rPr>
        <w:t>/</w:t>
      </w:r>
      <w:r w:rsidRPr="003D5CE4">
        <w:rPr>
          <w:rFonts w:ascii="Garamond" w:eastAsia="Times New Roman" w:hAnsi="Garamond" w:cs="Times New Roman"/>
          <w:color w:val="000000"/>
          <w:sz w:val="24"/>
          <w:szCs w:val="24"/>
          <w:lang w:eastAsia="sq-AL"/>
        </w:rPr>
        <w:t>e</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i KVVE</w:t>
      </w:r>
      <w:r w:rsidRPr="003D5CE4">
        <w:rPr>
          <w:rFonts w:ascii="Garamond" w:eastAsia="Times New Roman" w:hAnsi="Garamond" w:cs="Times New Roman"/>
          <w:color w:val="000000"/>
          <w:spacing w:val="1"/>
          <w:sz w:val="24"/>
          <w:szCs w:val="24"/>
          <w:lang w:eastAsia="sq-AL"/>
        </w:rPr>
        <w:t>P</w:t>
      </w:r>
      <w:r w:rsidRPr="003D5CE4">
        <w:rPr>
          <w:rFonts w:ascii="Garamond" w:eastAsia="Times New Roman" w:hAnsi="Garamond" w:cs="Times New Roman"/>
          <w:color w:val="000000"/>
          <w:sz w:val="24"/>
          <w:szCs w:val="24"/>
          <w:lang w:eastAsia="sq-AL"/>
        </w:rPr>
        <w:t xml:space="preserve">; </w:t>
      </w:r>
    </w:p>
    <w:p w14:paraId="0C84C1D5" w14:textId="77777777" w:rsidR="00F052F6" w:rsidRPr="003D5CE4"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pacing w:val="-3"/>
          <w:sz w:val="24"/>
          <w:szCs w:val="24"/>
          <w:lang w:eastAsia="sq-AL"/>
        </w:rPr>
        <w:t>Z</w:t>
      </w:r>
      <w:r w:rsidRPr="003D5CE4">
        <w:rPr>
          <w:rFonts w:ascii="Garamond" w:eastAsia="Times New Roman" w:hAnsi="Garamond" w:cs="Times New Roman"/>
          <w:color w:val="000000"/>
          <w:spacing w:val="3"/>
          <w:sz w:val="24"/>
          <w:szCs w:val="24"/>
          <w:lang w:eastAsia="sq-AL"/>
        </w:rPr>
        <w:t>/</w:t>
      </w:r>
      <w:r w:rsidRPr="003D5CE4">
        <w:rPr>
          <w:rFonts w:ascii="Garamond" w:eastAsia="Times New Roman" w:hAnsi="Garamond" w:cs="Times New Roman"/>
          <w:color w:val="000000"/>
          <w:spacing w:val="-3"/>
          <w:sz w:val="24"/>
          <w:szCs w:val="24"/>
          <w:lang w:eastAsia="sq-AL"/>
        </w:rPr>
        <w:t>Z</w:t>
      </w:r>
      <w:r w:rsidRPr="003D5CE4">
        <w:rPr>
          <w:rFonts w:ascii="Garamond" w:eastAsia="Times New Roman" w:hAnsi="Garamond" w:cs="Times New Roman"/>
          <w:color w:val="000000"/>
          <w:sz w:val="24"/>
          <w:szCs w:val="24"/>
          <w:lang w:eastAsia="sq-AL"/>
        </w:rPr>
        <w:t>n</w:t>
      </w:r>
      <w:r w:rsidRPr="003D5CE4">
        <w:rPr>
          <w:rFonts w:ascii="Garamond" w:eastAsia="Times New Roman" w:hAnsi="Garamond" w:cs="Times New Roman"/>
          <w:color w:val="000000"/>
          <w:spacing w:val="1"/>
          <w:sz w:val="24"/>
          <w:szCs w:val="24"/>
          <w:lang w:eastAsia="sq-AL"/>
        </w:rPr>
        <w:t>j</w:t>
      </w:r>
      <w:r w:rsidRPr="003D5CE4">
        <w:rPr>
          <w:rFonts w:ascii="Garamond" w:eastAsia="Times New Roman" w:hAnsi="Garamond" w:cs="Times New Roman"/>
          <w:color w:val="000000"/>
          <w:sz w:val="24"/>
          <w:szCs w:val="24"/>
          <w:lang w:eastAsia="sq-AL"/>
        </w:rPr>
        <w:t>.________ -</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Prokurori/ja subjekt vle</w:t>
      </w:r>
      <w:r w:rsidRPr="003D5CE4">
        <w:rPr>
          <w:rFonts w:ascii="Garamond" w:eastAsia="Times New Roman" w:hAnsi="Garamond" w:cs="Times New Roman"/>
          <w:color w:val="000000"/>
          <w:spacing w:val="-1"/>
          <w:sz w:val="24"/>
          <w:szCs w:val="24"/>
          <w:lang w:eastAsia="sq-AL"/>
        </w:rPr>
        <w:t>rë</w:t>
      </w:r>
      <w:r w:rsidRPr="003D5CE4">
        <w:rPr>
          <w:rFonts w:ascii="Garamond" w:eastAsia="Times New Roman" w:hAnsi="Garamond" w:cs="Times New Roman"/>
          <w:color w:val="000000"/>
          <w:sz w:val="24"/>
          <w:szCs w:val="24"/>
          <w:lang w:eastAsia="sq-AL"/>
        </w:rPr>
        <w:t>si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i;</w:t>
      </w:r>
    </w:p>
    <w:p w14:paraId="5C0CC6DE" w14:textId="77777777" w:rsidR="00F052F6" w:rsidRPr="003D5CE4"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pacing w:val="-3"/>
          <w:sz w:val="24"/>
          <w:szCs w:val="24"/>
          <w:lang w:eastAsia="sq-AL"/>
        </w:rPr>
        <w:t>Z</w:t>
      </w:r>
      <w:r w:rsidRPr="003D5CE4">
        <w:rPr>
          <w:rFonts w:ascii="Garamond" w:eastAsia="Times New Roman" w:hAnsi="Garamond" w:cs="Times New Roman"/>
          <w:color w:val="000000"/>
          <w:spacing w:val="3"/>
          <w:sz w:val="24"/>
          <w:szCs w:val="24"/>
          <w:lang w:eastAsia="sq-AL"/>
        </w:rPr>
        <w:t>/</w:t>
      </w:r>
      <w:r w:rsidRPr="003D5CE4">
        <w:rPr>
          <w:rFonts w:ascii="Garamond" w:eastAsia="Times New Roman" w:hAnsi="Garamond" w:cs="Times New Roman"/>
          <w:color w:val="000000"/>
          <w:spacing w:val="-3"/>
          <w:sz w:val="24"/>
          <w:szCs w:val="24"/>
          <w:lang w:eastAsia="sq-AL"/>
        </w:rPr>
        <w:t>Z</w:t>
      </w:r>
      <w:r w:rsidRPr="003D5CE4">
        <w:rPr>
          <w:rFonts w:ascii="Garamond" w:eastAsia="Times New Roman" w:hAnsi="Garamond" w:cs="Times New Roman"/>
          <w:color w:val="000000"/>
          <w:sz w:val="24"/>
          <w:szCs w:val="24"/>
          <w:lang w:eastAsia="sq-AL"/>
        </w:rPr>
        <w:t>n</w:t>
      </w:r>
      <w:r w:rsidRPr="003D5CE4">
        <w:rPr>
          <w:rFonts w:ascii="Garamond" w:eastAsia="Times New Roman" w:hAnsi="Garamond" w:cs="Times New Roman"/>
          <w:color w:val="000000"/>
          <w:spacing w:val="1"/>
          <w:sz w:val="24"/>
          <w:szCs w:val="24"/>
          <w:lang w:eastAsia="sq-AL"/>
        </w:rPr>
        <w:t>j</w:t>
      </w:r>
      <w:r w:rsidRPr="003D5CE4">
        <w:rPr>
          <w:rFonts w:ascii="Garamond" w:eastAsia="Times New Roman" w:hAnsi="Garamond" w:cs="Times New Roman"/>
          <w:color w:val="000000"/>
          <w:sz w:val="24"/>
          <w:szCs w:val="24"/>
          <w:lang w:eastAsia="sq-AL"/>
        </w:rPr>
        <w:t>.________ -</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pacing w:val="1"/>
          <w:sz w:val="24"/>
          <w:szCs w:val="24"/>
          <w:lang w:eastAsia="sq-AL"/>
        </w:rPr>
        <w:t>P</w:t>
      </w:r>
      <w:r w:rsidRPr="003D5CE4">
        <w:rPr>
          <w:rFonts w:ascii="Garamond" w:eastAsia="Times New Roman" w:hAnsi="Garamond" w:cs="Times New Roman"/>
          <w:color w:val="000000"/>
          <w:sz w:val="24"/>
          <w:szCs w:val="24"/>
          <w:lang w:eastAsia="sq-AL"/>
        </w:rPr>
        <w:t>unonj</w:t>
      </w:r>
      <w:r w:rsidRPr="003D5CE4">
        <w:rPr>
          <w:rFonts w:ascii="Garamond" w:eastAsia="Times New Roman" w:hAnsi="Garamond" w:cs="Times New Roman"/>
          <w:color w:val="000000"/>
          <w:spacing w:val="2"/>
          <w:sz w:val="24"/>
          <w:szCs w:val="24"/>
          <w:lang w:eastAsia="sq-AL"/>
        </w:rPr>
        <w:t>ë</w:t>
      </w:r>
      <w:r w:rsidRPr="003D5CE4">
        <w:rPr>
          <w:rFonts w:ascii="Garamond" w:eastAsia="Times New Roman" w:hAnsi="Garamond" w:cs="Times New Roman"/>
          <w:color w:val="000000"/>
          <w:sz w:val="24"/>
          <w:szCs w:val="24"/>
          <w:lang w:eastAsia="sq-AL"/>
        </w:rPr>
        <w:t>s 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w:t>
      </w:r>
      <w:r w:rsidRPr="003D5CE4">
        <w:rPr>
          <w:rFonts w:ascii="Garamond" w:eastAsia="Times New Roman" w:hAnsi="Garamond" w:cs="Times New Roman"/>
          <w:color w:val="000000"/>
          <w:spacing w:val="2"/>
          <w:sz w:val="24"/>
          <w:szCs w:val="24"/>
          <w:lang w:eastAsia="sq-AL"/>
        </w:rPr>
        <w:t>e</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jës 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 t</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knol</w:t>
      </w:r>
      <w:r w:rsidRPr="003D5CE4">
        <w:rPr>
          <w:rFonts w:ascii="Garamond" w:eastAsia="Times New Roman" w:hAnsi="Garamond" w:cs="Times New Roman"/>
          <w:color w:val="000000"/>
          <w:spacing w:val="3"/>
          <w:sz w:val="24"/>
          <w:szCs w:val="24"/>
          <w:lang w:eastAsia="sq-AL"/>
        </w:rPr>
        <w:t>o</w:t>
      </w:r>
      <w:r w:rsidRPr="003D5CE4">
        <w:rPr>
          <w:rFonts w:ascii="Garamond" w:eastAsia="Times New Roman" w:hAnsi="Garamond" w:cs="Times New Roman"/>
          <w:color w:val="000000"/>
          <w:sz w:val="24"/>
          <w:szCs w:val="24"/>
          <w:lang w:eastAsia="sq-AL"/>
        </w:rPr>
        <w:t>gj</w:t>
      </w:r>
      <w:r w:rsidRPr="003D5CE4">
        <w:rPr>
          <w:rFonts w:ascii="Garamond" w:eastAsia="Times New Roman" w:hAnsi="Garamond" w:cs="Times New Roman"/>
          <w:color w:val="000000"/>
          <w:spacing w:val="1"/>
          <w:sz w:val="24"/>
          <w:szCs w:val="24"/>
          <w:lang w:eastAsia="sq-AL"/>
        </w:rPr>
        <w:t>i</w:t>
      </w:r>
      <w:r w:rsidRPr="003D5CE4">
        <w:rPr>
          <w:rFonts w:ascii="Garamond" w:eastAsia="Times New Roman" w:hAnsi="Garamond" w:cs="Times New Roman"/>
          <w:color w:val="000000"/>
          <w:sz w:val="24"/>
          <w:szCs w:val="24"/>
          <w:lang w:eastAsia="sq-AL"/>
        </w:rPr>
        <w:t>në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e</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info</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z w:val="24"/>
          <w:szCs w:val="24"/>
          <w:lang w:eastAsia="sq-AL"/>
        </w:rPr>
        <w:t>ma</w:t>
      </w:r>
      <w:r w:rsidRPr="003D5CE4">
        <w:rPr>
          <w:rFonts w:ascii="Garamond" w:eastAsia="Times New Roman" w:hAnsi="Garamond" w:cs="Times New Roman"/>
          <w:color w:val="000000"/>
          <w:spacing w:val="-1"/>
          <w:sz w:val="24"/>
          <w:szCs w:val="24"/>
          <w:lang w:eastAsia="sq-AL"/>
        </w:rPr>
        <w:t>c</w:t>
      </w:r>
      <w:r w:rsidRPr="003D5CE4">
        <w:rPr>
          <w:rFonts w:ascii="Garamond" w:eastAsia="Times New Roman" w:hAnsi="Garamond" w:cs="Times New Roman"/>
          <w:color w:val="000000"/>
          <w:sz w:val="24"/>
          <w:szCs w:val="24"/>
          <w:lang w:eastAsia="sq-AL"/>
        </w:rPr>
        <w:t>ion</w:t>
      </w:r>
      <w:r w:rsidRPr="003D5CE4">
        <w:rPr>
          <w:rFonts w:ascii="Garamond" w:eastAsia="Times New Roman" w:hAnsi="Garamond" w:cs="Times New Roman"/>
          <w:color w:val="000000"/>
          <w:spacing w:val="1"/>
          <w:sz w:val="24"/>
          <w:szCs w:val="24"/>
          <w:lang w:eastAsia="sq-AL"/>
        </w:rPr>
        <w:t>i</w:t>
      </w:r>
      <w:r w:rsidRPr="003D5CE4">
        <w:rPr>
          <w:rFonts w:ascii="Garamond" w:eastAsia="Times New Roman" w:hAnsi="Garamond" w:cs="Times New Roman"/>
          <w:color w:val="000000"/>
          <w:sz w:val="24"/>
          <w:szCs w:val="24"/>
          <w:lang w:eastAsia="sq-AL"/>
        </w:rPr>
        <w:t xml:space="preserve">t në </w:t>
      </w:r>
      <w:r w:rsidRPr="003D5CE4">
        <w:rPr>
          <w:rFonts w:ascii="Garamond" w:eastAsia="Times New Roman" w:hAnsi="Garamond" w:cs="Times New Roman"/>
          <w:color w:val="000000"/>
          <w:spacing w:val="2"/>
          <w:sz w:val="24"/>
          <w:szCs w:val="24"/>
          <w:lang w:eastAsia="sq-AL"/>
        </w:rPr>
        <w:t>Këshillin e Lartë të Prokurorisë</w:t>
      </w:r>
      <w:r w:rsidRPr="003D5CE4">
        <w:rPr>
          <w:rFonts w:ascii="Garamond" w:eastAsia="Times New Roman" w:hAnsi="Garamond" w:cs="Times New Roman"/>
          <w:color w:val="000000"/>
          <w:sz w:val="24"/>
          <w:szCs w:val="24"/>
          <w:lang w:eastAsia="sq-AL"/>
        </w:rPr>
        <w:t xml:space="preserve">; </w:t>
      </w:r>
    </w:p>
    <w:p w14:paraId="71361F38" w14:textId="77777777" w:rsidR="00F052F6" w:rsidRPr="002F5D3C"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pacing w:val="2"/>
          <w:sz w:val="14"/>
          <w:szCs w:val="24"/>
          <w:lang w:eastAsia="sq-AL"/>
        </w:rPr>
      </w:pPr>
    </w:p>
    <w:p w14:paraId="445888C0" w14:textId="77777777" w:rsidR="00F052F6" w:rsidRPr="003D5CE4"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pacing w:val="2"/>
          <w:sz w:val="24"/>
          <w:szCs w:val="24"/>
          <w:lang w:eastAsia="sq-AL"/>
        </w:rPr>
        <w:t>K</w:t>
      </w:r>
      <w:r w:rsidRPr="003D5CE4">
        <w:rPr>
          <w:rFonts w:ascii="Garamond" w:eastAsia="Times New Roman" w:hAnsi="Garamond" w:cs="Times New Roman"/>
          <w:color w:val="000000"/>
          <w:sz w:val="24"/>
          <w:szCs w:val="24"/>
          <w:lang w:eastAsia="sq-AL"/>
        </w:rPr>
        <w:t>y</w:t>
      </w:r>
      <w:r w:rsidRPr="003D5CE4">
        <w:rPr>
          <w:rFonts w:ascii="Garamond" w:eastAsia="Times New Roman" w:hAnsi="Garamond" w:cs="Times New Roman"/>
          <w:color w:val="000000"/>
          <w:spacing w:val="-5"/>
          <w:sz w:val="24"/>
          <w:szCs w:val="24"/>
          <w:lang w:eastAsia="sq-AL"/>
        </w:rPr>
        <w:t xml:space="preserve"> </w:t>
      </w:r>
      <w:r w:rsidRPr="003D5CE4">
        <w:rPr>
          <w:rFonts w:ascii="Garamond" w:eastAsia="Times New Roman" w:hAnsi="Garamond" w:cs="Times New Roman"/>
          <w:color w:val="000000"/>
          <w:spacing w:val="2"/>
          <w:sz w:val="24"/>
          <w:szCs w:val="24"/>
          <w:lang w:eastAsia="sq-AL"/>
        </w:rPr>
        <w:t>p</w:t>
      </w:r>
      <w:r w:rsidRPr="003D5CE4">
        <w:rPr>
          <w:rFonts w:ascii="Garamond" w:eastAsia="Times New Roman" w:hAnsi="Garamond" w:cs="Times New Roman"/>
          <w:color w:val="000000"/>
          <w:sz w:val="24"/>
          <w:szCs w:val="24"/>
          <w:lang w:eastAsia="sq-AL"/>
        </w:rPr>
        <w:t>ro</w:t>
      </w:r>
      <w:r w:rsidRPr="003D5CE4">
        <w:rPr>
          <w:rFonts w:ascii="Garamond" w:eastAsia="Times New Roman" w:hAnsi="Garamond" w:cs="Times New Roman"/>
          <w:color w:val="000000"/>
          <w:spacing w:val="-2"/>
          <w:sz w:val="24"/>
          <w:szCs w:val="24"/>
          <w:lang w:eastAsia="sq-AL"/>
        </w:rPr>
        <w:t>c</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s</w:t>
      </w:r>
      <w:r w:rsidRPr="003D5CE4">
        <w:rPr>
          <w:rFonts w:ascii="Garamond" w:eastAsia="Times New Roman" w:hAnsi="Garamond" w:cs="Times New Roman"/>
          <w:color w:val="000000"/>
          <w:spacing w:val="2"/>
          <w:sz w:val="24"/>
          <w:szCs w:val="24"/>
          <w:lang w:eastAsia="sq-AL"/>
        </w:rPr>
        <w:t>v</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rb</w:t>
      </w:r>
      <w:r w:rsidRPr="003D5CE4">
        <w:rPr>
          <w:rFonts w:ascii="Garamond" w:eastAsia="Times New Roman" w:hAnsi="Garamond" w:cs="Times New Roman"/>
          <w:color w:val="000000"/>
          <w:spacing w:val="-2"/>
          <w:sz w:val="24"/>
          <w:szCs w:val="24"/>
          <w:lang w:eastAsia="sq-AL"/>
        </w:rPr>
        <w:t>a</w:t>
      </w:r>
      <w:r w:rsidRPr="003D5CE4">
        <w:rPr>
          <w:rFonts w:ascii="Garamond" w:eastAsia="Times New Roman" w:hAnsi="Garamond" w:cs="Times New Roman"/>
          <w:color w:val="000000"/>
          <w:sz w:val="24"/>
          <w:szCs w:val="24"/>
          <w:lang w:eastAsia="sq-AL"/>
        </w:rPr>
        <w:t xml:space="preserve">l </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b</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pacing w:val="2"/>
          <w:sz w:val="24"/>
          <w:szCs w:val="24"/>
          <w:lang w:eastAsia="sq-AL"/>
        </w:rPr>
        <w:t>h</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t n</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a</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pacing w:val="2"/>
          <w:sz w:val="24"/>
          <w:szCs w:val="24"/>
          <w:lang w:eastAsia="sq-AL"/>
        </w:rPr>
        <w:t>s</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kr</w:t>
      </w:r>
      <w:r w:rsidRPr="003D5CE4">
        <w:rPr>
          <w:rFonts w:ascii="Garamond" w:eastAsia="Times New Roman" w:hAnsi="Garamond" w:cs="Times New Roman"/>
          <w:color w:val="000000"/>
          <w:spacing w:val="-2"/>
          <w:sz w:val="24"/>
          <w:szCs w:val="24"/>
          <w:lang w:eastAsia="sq-AL"/>
        </w:rPr>
        <w:t>e</w:t>
      </w:r>
      <w:r w:rsidRPr="003D5CE4">
        <w:rPr>
          <w:rFonts w:ascii="Garamond" w:eastAsia="Times New Roman" w:hAnsi="Garamond" w:cs="Times New Roman"/>
          <w:color w:val="000000"/>
          <w:spacing w:val="3"/>
          <w:sz w:val="24"/>
          <w:szCs w:val="24"/>
          <w:lang w:eastAsia="sq-AL"/>
        </w:rPr>
        <w:t>t</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rja</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pacing w:val="-2"/>
          <w:sz w:val="24"/>
          <w:szCs w:val="24"/>
          <w:lang w:eastAsia="sq-AL"/>
        </w:rPr>
        <w:t>e Prokurorisë</w:t>
      </w:r>
      <w:r w:rsidRPr="003D5CE4">
        <w:rPr>
          <w:rFonts w:ascii="Garamond" w:eastAsia="Times New Roman" w:hAnsi="Garamond" w:cs="Times New Roman"/>
          <w:color w:val="000000"/>
          <w:spacing w:val="5"/>
          <w:sz w:val="24"/>
          <w:szCs w:val="24"/>
          <w:lang w:eastAsia="sq-AL"/>
        </w:rPr>
        <w:t xml:space="preserve"> </w:t>
      </w:r>
      <w:r w:rsidRPr="003D5CE4">
        <w:rPr>
          <w:rFonts w:ascii="Garamond" w:eastAsia="Times New Roman" w:hAnsi="Garamond" w:cs="Times New Roman"/>
          <w:color w:val="000000"/>
          <w:spacing w:val="-3"/>
          <w:sz w:val="24"/>
          <w:szCs w:val="24"/>
          <w:lang w:eastAsia="sq-AL"/>
        </w:rPr>
        <w:t>Z</w:t>
      </w:r>
      <w:r w:rsidRPr="003D5CE4">
        <w:rPr>
          <w:rFonts w:ascii="Garamond" w:eastAsia="Times New Roman" w:hAnsi="Garamond" w:cs="Times New Roman"/>
          <w:color w:val="000000"/>
          <w:spacing w:val="3"/>
          <w:sz w:val="24"/>
          <w:szCs w:val="24"/>
          <w:lang w:eastAsia="sq-AL"/>
        </w:rPr>
        <w:t>/</w:t>
      </w:r>
      <w:r w:rsidRPr="003D5CE4">
        <w:rPr>
          <w:rFonts w:ascii="Garamond" w:eastAsia="Times New Roman" w:hAnsi="Garamond" w:cs="Times New Roman"/>
          <w:color w:val="000000"/>
          <w:spacing w:val="-3"/>
          <w:sz w:val="24"/>
          <w:szCs w:val="24"/>
          <w:lang w:eastAsia="sq-AL"/>
        </w:rPr>
        <w:t>Z</w:t>
      </w:r>
      <w:r w:rsidRPr="003D5CE4">
        <w:rPr>
          <w:rFonts w:ascii="Garamond" w:eastAsia="Times New Roman" w:hAnsi="Garamond" w:cs="Times New Roman"/>
          <w:color w:val="000000"/>
          <w:sz w:val="24"/>
          <w:szCs w:val="24"/>
          <w:lang w:eastAsia="sq-AL"/>
        </w:rPr>
        <w:t>n</w:t>
      </w:r>
      <w:r w:rsidRPr="003D5CE4">
        <w:rPr>
          <w:rFonts w:ascii="Garamond" w:eastAsia="Times New Roman" w:hAnsi="Garamond" w:cs="Times New Roman"/>
          <w:color w:val="000000"/>
          <w:spacing w:val="1"/>
          <w:sz w:val="24"/>
          <w:szCs w:val="24"/>
          <w:lang w:eastAsia="sq-AL"/>
        </w:rPr>
        <w:t>j</w:t>
      </w:r>
      <w:r w:rsidRPr="003D5CE4">
        <w:rPr>
          <w:rFonts w:ascii="Garamond" w:eastAsia="Times New Roman" w:hAnsi="Garamond" w:cs="Times New Roman"/>
          <w:color w:val="000000"/>
          <w:sz w:val="24"/>
          <w:szCs w:val="24"/>
          <w:lang w:eastAsia="sq-AL"/>
        </w:rPr>
        <w:t>.___________.</w:t>
      </w:r>
    </w:p>
    <w:p w14:paraId="13830CB0" w14:textId="77777777" w:rsidR="00F052F6" w:rsidRPr="002F5D3C" w:rsidRDefault="00F052F6" w:rsidP="00F052F6">
      <w:pPr>
        <w:widowControl w:val="0"/>
        <w:autoSpaceDE w:val="0"/>
        <w:autoSpaceDN w:val="0"/>
        <w:adjustRightInd w:val="0"/>
        <w:spacing w:after="0" w:line="240" w:lineRule="auto"/>
        <w:ind w:firstLine="284"/>
        <w:rPr>
          <w:rFonts w:ascii="Garamond" w:eastAsia="Times New Roman" w:hAnsi="Garamond" w:cs="Times New Roman"/>
          <w:b/>
          <w:bCs/>
          <w:color w:val="000000"/>
          <w:sz w:val="14"/>
          <w:szCs w:val="24"/>
          <w:lang w:eastAsia="sq-AL"/>
        </w:rPr>
      </w:pPr>
    </w:p>
    <w:p w14:paraId="258A74BC" w14:textId="77777777" w:rsidR="00F052F6" w:rsidRPr="003D5CE4" w:rsidRDefault="00F052F6" w:rsidP="00F052F6">
      <w:pPr>
        <w:widowControl w:val="0"/>
        <w:autoSpaceDE w:val="0"/>
        <w:autoSpaceDN w:val="0"/>
        <w:adjustRightInd w:val="0"/>
        <w:spacing w:after="0" w:line="240" w:lineRule="auto"/>
        <w:ind w:firstLine="284"/>
        <w:jc w:val="both"/>
        <w:rPr>
          <w:rFonts w:ascii="Garamond" w:eastAsia="Times New Roman" w:hAnsi="Garamond" w:cs="Times New Roman"/>
          <w:b/>
          <w:bCs/>
          <w:color w:val="000000"/>
          <w:sz w:val="24"/>
          <w:szCs w:val="24"/>
          <w:lang w:eastAsia="sq-AL"/>
        </w:rPr>
      </w:pPr>
      <w:r w:rsidRPr="003D5CE4">
        <w:rPr>
          <w:rFonts w:ascii="Garamond" w:eastAsia="Times New Roman" w:hAnsi="Garamond" w:cs="Times New Roman"/>
          <w:b/>
          <w:bCs/>
          <w:color w:val="000000"/>
          <w:sz w:val="24"/>
          <w:szCs w:val="24"/>
          <w:lang w:eastAsia="sq-AL"/>
        </w:rPr>
        <w:t>Ba</w:t>
      </w:r>
      <w:r w:rsidRPr="003D5CE4">
        <w:rPr>
          <w:rFonts w:ascii="Garamond" w:eastAsia="Times New Roman" w:hAnsi="Garamond" w:cs="Times New Roman"/>
          <w:b/>
          <w:bCs/>
          <w:color w:val="000000"/>
          <w:spacing w:val="-1"/>
          <w:sz w:val="24"/>
          <w:szCs w:val="24"/>
          <w:lang w:eastAsia="sq-AL"/>
        </w:rPr>
        <w:t>z</w:t>
      </w:r>
      <w:r w:rsidRPr="003D5CE4">
        <w:rPr>
          <w:rFonts w:ascii="Garamond" w:eastAsia="Times New Roman" w:hAnsi="Garamond" w:cs="Times New Roman"/>
          <w:b/>
          <w:bCs/>
          <w:color w:val="000000"/>
          <w:spacing w:val="1"/>
          <w:sz w:val="24"/>
          <w:szCs w:val="24"/>
          <w:lang w:eastAsia="sq-AL"/>
        </w:rPr>
        <w:t>u</w:t>
      </w:r>
      <w:r w:rsidRPr="003D5CE4">
        <w:rPr>
          <w:rFonts w:ascii="Garamond" w:eastAsia="Times New Roman" w:hAnsi="Garamond" w:cs="Times New Roman"/>
          <w:b/>
          <w:bCs/>
          <w:color w:val="000000"/>
          <w:sz w:val="24"/>
          <w:szCs w:val="24"/>
          <w:lang w:eastAsia="sq-AL"/>
        </w:rPr>
        <w:t>ar</w:t>
      </w:r>
      <w:r w:rsidRPr="003D5CE4">
        <w:rPr>
          <w:rFonts w:ascii="Garamond" w:eastAsia="Times New Roman" w:hAnsi="Garamond" w:cs="Times New Roman"/>
          <w:b/>
          <w:bCs/>
          <w:color w:val="000000"/>
          <w:spacing w:val="-13"/>
          <w:sz w:val="24"/>
          <w:szCs w:val="24"/>
          <w:lang w:eastAsia="sq-AL"/>
        </w:rPr>
        <w:t xml:space="preserve"> </w:t>
      </w:r>
      <w:r w:rsidRPr="003D5CE4">
        <w:rPr>
          <w:rFonts w:ascii="Garamond" w:eastAsia="Times New Roman" w:hAnsi="Garamond" w:cs="Times New Roman"/>
          <w:b/>
          <w:bCs/>
          <w:color w:val="000000"/>
          <w:spacing w:val="1"/>
          <w:sz w:val="24"/>
          <w:szCs w:val="24"/>
          <w:lang w:eastAsia="sq-AL"/>
        </w:rPr>
        <w:t>n</w:t>
      </w:r>
      <w:r w:rsidRPr="003D5CE4">
        <w:rPr>
          <w:rFonts w:ascii="Garamond" w:eastAsia="Times New Roman" w:hAnsi="Garamond" w:cs="Times New Roman"/>
          <w:b/>
          <w:bCs/>
          <w:color w:val="000000"/>
          <w:sz w:val="24"/>
          <w:szCs w:val="24"/>
          <w:lang w:eastAsia="sq-AL"/>
        </w:rPr>
        <w:t>ë</w:t>
      </w:r>
      <w:r w:rsidRPr="003D5CE4">
        <w:rPr>
          <w:rFonts w:ascii="Garamond" w:eastAsia="Times New Roman" w:hAnsi="Garamond" w:cs="Times New Roman"/>
          <w:b/>
          <w:bCs/>
          <w:color w:val="000000"/>
          <w:spacing w:val="-13"/>
          <w:sz w:val="24"/>
          <w:szCs w:val="24"/>
          <w:lang w:eastAsia="sq-AL"/>
        </w:rPr>
        <w:t xml:space="preserve"> </w:t>
      </w:r>
      <w:r w:rsidRPr="003D5CE4">
        <w:rPr>
          <w:rFonts w:ascii="Garamond" w:eastAsia="Times New Roman" w:hAnsi="Garamond" w:cs="Times New Roman"/>
          <w:b/>
          <w:bCs/>
          <w:color w:val="000000"/>
          <w:sz w:val="24"/>
          <w:szCs w:val="24"/>
          <w:lang w:eastAsia="sq-AL"/>
        </w:rPr>
        <w:t>v</w:t>
      </w:r>
      <w:r w:rsidRPr="003D5CE4">
        <w:rPr>
          <w:rFonts w:ascii="Garamond" w:eastAsia="Times New Roman" w:hAnsi="Garamond" w:cs="Times New Roman"/>
          <w:b/>
          <w:bCs/>
          <w:color w:val="000000"/>
          <w:spacing w:val="-1"/>
          <w:sz w:val="24"/>
          <w:szCs w:val="24"/>
          <w:lang w:eastAsia="sq-AL"/>
        </w:rPr>
        <w:t>e</w:t>
      </w:r>
      <w:r w:rsidRPr="003D5CE4">
        <w:rPr>
          <w:rFonts w:ascii="Garamond" w:eastAsia="Times New Roman" w:hAnsi="Garamond" w:cs="Times New Roman"/>
          <w:b/>
          <w:bCs/>
          <w:color w:val="000000"/>
          <w:spacing w:val="1"/>
          <w:sz w:val="24"/>
          <w:szCs w:val="24"/>
          <w:lang w:eastAsia="sq-AL"/>
        </w:rPr>
        <w:t>nd</w:t>
      </w:r>
      <w:r w:rsidRPr="003D5CE4">
        <w:rPr>
          <w:rFonts w:ascii="Garamond" w:eastAsia="Times New Roman" w:hAnsi="Garamond" w:cs="Times New Roman"/>
          <w:b/>
          <w:bCs/>
          <w:color w:val="000000"/>
          <w:spacing w:val="3"/>
          <w:sz w:val="24"/>
          <w:szCs w:val="24"/>
          <w:lang w:eastAsia="sq-AL"/>
        </w:rPr>
        <w:t>i</w:t>
      </w:r>
      <w:r w:rsidRPr="003D5CE4">
        <w:rPr>
          <w:rFonts w:ascii="Garamond" w:eastAsia="Times New Roman" w:hAnsi="Garamond" w:cs="Times New Roman"/>
          <w:b/>
          <w:bCs/>
          <w:color w:val="000000"/>
          <w:spacing w:val="-3"/>
          <w:sz w:val="24"/>
          <w:szCs w:val="24"/>
          <w:lang w:eastAsia="sq-AL"/>
        </w:rPr>
        <w:t>m</w:t>
      </w:r>
      <w:r w:rsidRPr="003D5CE4">
        <w:rPr>
          <w:rFonts w:ascii="Garamond" w:eastAsia="Times New Roman" w:hAnsi="Garamond" w:cs="Times New Roman"/>
          <w:b/>
          <w:bCs/>
          <w:color w:val="000000"/>
          <w:sz w:val="24"/>
          <w:szCs w:val="24"/>
          <w:lang w:eastAsia="sq-AL"/>
        </w:rPr>
        <w:t>in</w:t>
      </w:r>
      <w:r w:rsidRPr="003D5CE4">
        <w:rPr>
          <w:rFonts w:ascii="Garamond" w:eastAsia="Times New Roman" w:hAnsi="Garamond" w:cs="Times New Roman"/>
          <w:b/>
          <w:bCs/>
          <w:color w:val="000000"/>
          <w:spacing w:val="-11"/>
          <w:sz w:val="24"/>
          <w:szCs w:val="24"/>
          <w:lang w:eastAsia="sq-AL"/>
        </w:rPr>
        <w:t xml:space="preserve"> </w:t>
      </w:r>
      <w:r w:rsidRPr="003D5CE4">
        <w:rPr>
          <w:rFonts w:ascii="Garamond" w:eastAsia="Times New Roman" w:hAnsi="Garamond" w:cs="Times New Roman"/>
          <w:b/>
          <w:bCs/>
          <w:color w:val="000000"/>
          <w:sz w:val="24"/>
          <w:szCs w:val="24"/>
          <w:lang w:eastAsia="sq-AL"/>
        </w:rPr>
        <w:t>e</w:t>
      </w:r>
      <w:r w:rsidRPr="003D5CE4">
        <w:rPr>
          <w:rFonts w:ascii="Garamond" w:eastAsia="Times New Roman" w:hAnsi="Garamond" w:cs="Times New Roman"/>
          <w:b/>
          <w:bCs/>
          <w:color w:val="000000"/>
          <w:spacing w:val="-9"/>
          <w:sz w:val="24"/>
          <w:szCs w:val="24"/>
          <w:lang w:eastAsia="sq-AL"/>
        </w:rPr>
        <w:t xml:space="preserve"> </w:t>
      </w:r>
      <w:r w:rsidRPr="003D5CE4">
        <w:rPr>
          <w:rFonts w:ascii="Garamond" w:eastAsia="Times New Roman" w:hAnsi="Garamond" w:cs="Times New Roman"/>
          <w:b/>
          <w:bCs/>
          <w:color w:val="000000"/>
          <w:spacing w:val="1"/>
          <w:sz w:val="24"/>
          <w:szCs w:val="24"/>
          <w:lang w:eastAsia="sq-AL"/>
        </w:rPr>
        <w:t>r</w:t>
      </w:r>
      <w:r w:rsidRPr="003D5CE4">
        <w:rPr>
          <w:rFonts w:ascii="Garamond" w:eastAsia="Times New Roman" w:hAnsi="Garamond" w:cs="Times New Roman"/>
          <w:b/>
          <w:bCs/>
          <w:color w:val="000000"/>
          <w:spacing w:val="-1"/>
          <w:sz w:val="24"/>
          <w:szCs w:val="24"/>
          <w:lang w:eastAsia="sq-AL"/>
        </w:rPr>
        <w:t>e</w:t>
      </w:r>
      <w:r w:rsidRPr="003D5CE4">
        <w:rPr>
          <w:rFonts w:ascii="Garamond" w:eastAsia="Times New Roman" w:hAnsi="Garamond" w:cs="Times New Roman"/>
          <w:b/>
          <w:bCs/>
          <w:color w:val="000000"/>
          <w:sz w:val="24"/>
          <w:szCs w:val="24"/>
          <w:lang w:eastAsia="sq-AL"/>
        </w:rPr>
        <w:t>lato</w:t>
      </w:r>
      <w:r w:rsidRPr="003D5CE4">
        <w:rPr>
          <w:rFonts w:ascii="Garamond" w:eastAsia="Times New Roman" w:hAnsi="Garamond" w:cs="Times New Roman"/>
          <w:b/>
          <w:bCs/>
          <w:color w:val="000000"/>
          <w:spacing w:val="-1"/>
          <w:sz w:val="24"/>
          <w:szCs w:val="24"/>
          <w:lang w:eastAsia="sq-AL"/>
        </w:rPr>
        <w:t>r</w:t>
      </w:r>
      <w:r w:rsidRPr="003D5CE4">
        <w:rPr>
          <w:rFonts w:ascii="Garamond" w:eastAsia="Times New Roman" w:hAnsi="Garamond" w:cs="Times New Roman"/>
          <w:b/>
          <w:bCs/>
          <w:color w:val="000000"/>
          <w:sz w:val="24"/>
          <w:szCs w:val="24"/>
          <w:lang w:eastAsia="sq-AL"/>
        </w:rPr>
        <w:t>it</w:t>
      </w:r>
      <w:r w:rsidRPr="003D5CE4">
        <w:rPr>
          <w:rFonts w:ascii="Garamond" w:eastAsia="Times New Roman" w:hAnsi="Garamond" w:cs="Times New Roman"/>
          <w:b/>
          <w:bCs/>
          <w:color w:val="000000"/>
          <w:spacing w:val="-10"/>
          <w:sz w:val="24"/>
          <w:szCs w:val="24"/>
          <w:lang w:eastAsia="sq-AL"/>
        </w:rPr>
        <w:t xml:space="preserve"> </w:t>
      </w:r>
      <w:r w:rsidRPr="003D5CE4">
        <w:rPr>
          <w:rFonts w:ascii="Garamond" w:eastAsia="Times New Roman" w:hAnsi="Garamond" w:cs="Times New Roman"/>
          <w:b/>
          <w:bCs/>
          <w:color w:val="000000"/>
          <w:spacing w:val="-1"/>
          <w:sz w:val="24"/>
          <w:szCs w:val="24"/>
          <w:lang w:eastAsia="sq-AL"/>
        </w:rPr>
        <w:t>z</w:t>
      </w:r>
      <w:r w:rsidRPr="003D5CE4">
        <w:rPr>
          <w:rFonts w:ascii="Garamond" w:eastAsia="Times New Roman" w:hAnsi="Garamond" w:cs="Times New Roman"/>
          <w:b/>
          <w:bCs/>
          <w:color w:val="000000"/>
          <w:sz w:val="24"/>
          <w:szCs w:val="24"/>
          <w:lang w:eastAsia="sq-AL"/>
        </w:rPr>
        <w:t>/znj ______,</w:t>
      </w:r>
      <w:r w:rsidRPr="003D5CE4">
        <w:rPr>
          <w:rFonts w:ascii="Garamond" w:eastAsia="Times New Roman" w:hAnsi="Garamond" w:cs="Times New Roman"/>
          <w:b/>
          <w:bCs/>
          <w:color w:val="000000"/>
          <w:spacing w:val="-10"/>
          <w:sz w:val="24"/>
          <w:szCs w:val="24"/>
          <w:lang w:eastAsia="sq-AL"/>
        </w:rPr>
        <w:t xml:space="preserve"> </w:t>
      </w:r>
      <w:r w:rsidRPr="003D5CE4">
        <w:rPr>
          <w:rFonts w:ascii="Garamond" w:eastAsia="Times New Roman" w:hAnsi="Garamond" w:cs="Times New Roman"/>
          <w:b/>
          <w:bCs/>
          <w:color w:val="000000"/>
          <w:sz w:val="24"/>
          <w:szCs w:val="24"/>
          <w:lang w:eastAsia="sq-AL"/>
        </w:rPr>
        <w:t>të</w:t>
      </w:r>
      <w:r w:rsidRPr="003D5CE4">
        <w:rPr>
          <w:rFonts w:ascii="Garamond" w:eastAsia="Times New Roman" w:hAnsi="Garamond" w:cs="Times New Roman"/>
          <w:b/>
          <w:bCs/>
          <w:color w:val="000000"/>
          <w:spacing w:val="-11"/>
          <w:sz w:val="24"/>
          <w:szCs w:val="24"/>
          <w:lang w:eastAsia="sq-AL"/>
        </w:rPr>
        <w:t xml:space="preserve"> </w:t>
      </w:r>
      <w:r w:rsidRPr="003D5CE4">
        <w:rPr>
          <w:rFonts w:ascii="Garamond" w:eastAsia="Times New Roman" w:hAnsi="Garamond" w:cs="Times New Roman"/>
          <w:b/>
          <w:bCs/>
          <w:color w:val="000000"/>
          <w:spacing w:val="1"/>
          <w:sz w:val="24"/>
          <w:szCs w:val="24"/>
          <w:lang w:eastAsia="sq-AL"/>
        </w:rPr>
        <w:t>d</w:t>
      </w:r>
      <w:r w:rsidRPr="003D5CE4">
        <w:rPr>
          <w:rFonts w:ascii="Garamond" w:eastAsia="Times New Roman" w:hAnsi="Garamond" w:cs="Times New Roman"/>
          <w:b/>
          <w:bCs/>
          <w:color w:val="000000"/>
          <w:sz w:val="24"/>
          <w:szCs w:val="24"/>
          <w:lang w:eastAsia="sq-AL"/>
        </w:rPr>
        <w:t>at</w:t>
      </w:r>
      <w:r w:rsidRPr="003D5CE4">
        <w:rPr>
          <w:rFonts w:ascii="Garamond" w:eastAsia="Times New Roman" w:hAnsi="Garamond" w:cs="Times New Roman"/>
          <w:b/>
          <w:bCs/>
          <w:color w:val="000000"/>
          <w:spacing w:val="-1"/>
          <w:sz w:val="24"/>
          <w:szCs w:val="24"/>
          <w:lang w:eastAsia="sq-AL"/>
        </w:rPr>
        <w:t>ë</w:t>
      </w:r>
      <w:r w:rsidRPr="003D5CE4">
        <w:rPr>
          <w:rFonts w:ascii="Garamond" w:eastAsia="Times New Roman" w:hAnsi="Garamond" w:cs="Times New Roman"/>
          <w:b/>
          <w:bCs/>
          <w:color w:val="000000"/>
          <w:sz w:val="24"/>
          <w:szCs w:val="24"/>
          <w:lang w:eastAsia="sq-AL"/>
        </w:rPr>
        <w:t>s___.____._______,</w:t>
      </w:r>
      <w:r w:rsidRPr="003D5CE4">
        <w:rPr>
          <w:rFonts w:ascii="Garamond" w:eastAsia="Times New Roman" w:hAnsi="Garamond" w:cs="Times New Roman"/>
          <w:b/>
          <w:bCs/>
          <w:color w:val="000000"/>
          <w:spacing w:val="-12"/>
          <w:sz w:val="24"/>
          <w:szCs w:val="24"/>
          <w:lang w:eastAsia="sq-AL"/>
        </w:rPr>
        <w:t xml:space="preserve"> </w:t>
      </w:r>
      <w:r w:rsidRPr="003D5CE4">
        <w:rPr>
          <w:rFonts w:ascii="Garamond" w:eastAsia="Times New Roman" w:hAnsi="Garamond" w:cs="Times New Roman"/>
          <w:b/>
          <w:bCs/>
          <w:color w:val="000000"/>
          <w:spacing w:val="1"/>
          <w:sz w:val="24"/>
          <w:szCs w:val="24"/>
          <w:lang w:eastAsia="sq-AL"/>
        </w:rPr>
        <w:t>f</w:t>
      </w:r>
      <w:r w:rsidRPr="003D5CE4">
        <w:rPr>
          <w:rFonts w:ascii="Garamond" w:eastAsia="Times New Roman" w:hAnsi="Garamond" w:cs="Times New Roman"/>
          <w:b/>
          <w:bCs/>
          <w:color w:val="000000"/>
          <w:sz w:val="24"/>
          <w:szCs w:val="24"/>
          <w:lang w:eastAsia="sq-AL"/>
        </w:rPr>
        <w:t>i</w:t>
      </w:r>
      <w:r w:rsidRPr="003D5CE4">
        <w:rPr>
          <w:rFonts w:ascii="Garamond" w:eastAsia="Times New Roman" w:hAnsi="Garamond" w:cs="Times New Roman"/>
          <w:b/>
          <w:bCs/>
          <w:color w:val="000000"/>
          <w:spacing w:val="1"/>
          <w:sz w:val="24"/>
          <w:szCs w:val="24"/>
          <w:lang w:eastAsia="sq-AL"/>
        </w:rPr>
        <w:t>l</w:t>
      </w:r>
      <w:r w:rsidRPr="003D5CE4">
        <w:rPr>
          <w:rFonts w:ascii="Garamond" w:eastAsia="Times New Roman" w:hAnsi="Garamond" w:cs="Times New Roman"/>
          <w:b/>
          <w:bCs/>
          <w:color w:val="000000"/>
          <w:sz w:val="24"/>
          <w:szCs w:val="24"/>
          <w:lang w:eastAsia="sq-AL"/>
        </w:rPr>
        <w:t>lon</w:t>
      </w:r>
      <w:r w:rsidRPr="003D5CE4">
        <w:rPr>
          <w:rFonts w:ascii="Garamond" w:eastAsia="Times New Roman" w:hAnsi="Garamond" w:cs="Times New Roman"/>
          <w:b/>
          <w:bCs/>
          <w:color w:val="000000"/>
          <w:spacing w:val="-11"/>
          <w:sz w:val="24"/>
          <w:szCs w:val="24"/>
          <w:lang w:eastAsia="sq-AL"/>
        </w:rPr>
        <w:t xml:space="preserve"> </w:t>
      </w:r>
      <w:r w:rsidRPr="003D5CE4">
        <w:rPr>
          <w:rFonts w:ascii="Garamond" w:eastAsia="Times New Roman" w:hAnsi="Garamond" w:cs="Times New Roman"/>
          <w:b/>
          <w:bCs/>
          <w:color w:val="000000"/>
          <w:spacing w:val="-1"/>
          <w:sz w:val="24"/>
          <w:szCs w:val="24"/>
          <w:lang w:eastAsia="sq-AL"/>
        </w:rPr>
        <w:t>pr</w:t>
      </w:r>
      <w:r w:rsidRPr="003D5CE4">
        <w:rPr>
          <w:rFonts w:ascii="Garamond" w:eastAsia="Times New Roman" w:hAnsi="Garamond" w:cs="Times New Roman"/>
          <w:b/>
          <w:bCs/>
          <w:color w:val="000000"/>
          <w:sz w:val="24"/>
          <w:szCs w:val="24"/>
          <w:lang w:eastAsia="sq-AL"/>
        </w:rPr>
        <w:t>o</w:t>
      </w:r>
      <w:r w:rsidRPr="003D5CE4">
        <w:rPr>
          <w:rFonts w:ascii="Garamond" w:eastAsia="Times New Roman" w:hAnsi="Garamond" w:cs="Times New Roman"/>
          <w:b/>
          <w:bCs/>
          <w:color w:val="000000"/>
          <w:spacing w:val="-1"/>
          <w:sz w:val="24"/>
          <w:szCs w:val="24"/>
          <w:lang w:eastAsia="sq-AL"/>
        </w:rPr>
        <w:t>ce</w:t>
      </w:r>
      <w:r w:rsidRPr="003D5CE4">
        <w:rPr>
          <w:rFonts w:ascii="Garamond" w:eastAsia="Times New Roman" w:hAnsi="Garamond" w:cs="Times New Roman"/>
          <w:b/>
          <w:bCs/>
          <w:color w:val="000000"/>
          <w:spacing w:val="1"/>
          <w:sz w:val="24"/>
          <w:szCs w:val="24"/>
          <w:lang w:eastAsia="sq-AL"/>
        </w:rPr>
        <w:t>du</w:t>
      </w:r>
      <w:r w:rsidRPr="003D5CE4">
        <w:rPr>
          <w:rFonts w:ascii="Garamond" w:eastAsia="Times New Roman" w:hAnsi="Garamond" w:cs="Times New Roman"/>
          <w:b/>
          <w:bCs/>
          <w:color w:val="000000"/>
          <w:spacing w:val="-1"/>
          <w:sz w:val="24"/>
          <w:szCs w:val="24"/>
          <w:lang w:eastAsia="sq-AL"/>
        </w:rPr>
        <w:t>r</w:t>
      </w:r>
      <w:r w:rsidRPr="003D5CE4">
        <w:rPr>
          <w:rFonts w:ascii="Garamond" w:eastAsia="Times New Roman" w:hAnsi="Garamond" w:cs="Times New Roman"/>
          <w:b/>
          <w:bCs/>
          <w:color w:val="000000"/>
          <w:sz w:val="24"/>
          <w:szCs w:val="24"/>
          <w:lang w:eastAsia="sq-AL"/>
        </w:rPr>
        <w:t>a</w:t>
      </w:r>
      <w:r w:rsidRPr="003D5CE4">
        <w:rPr>
          <w:rFonts w:ascii="Garamond" w:eastAsia="Times New Roman" w:hAnsi="Garamond" w:cs="Times New Roman"/>
          <w:b/>
          <w:bCs/>
          <w:color w:val="000000"/>
          <w:spacing w:val="-10"/>
          <w:sz w:val="24"/>
          <w:szCs w:val="24"/>
          <w:lang w:eastAsia="sq-AL"/>
        </w:rPr>
        <w:t xml:space="preserve"> </w:t>
      </w:r>
      <w:r w:rsidRPr="003D5CE4">
        <w:rPr>
          <w:rFonts w:ascii="Garamond" w:eastAsia="Times New Roman" w:hAnsi="Garamond" w:cs="Times New Roman"/>
          <w:b/>
          <w:bCs/>
          <w:color w:val="000000"/>
          <w:sz w:val="24"/>
          <w:szCs w:val="24"/>
          <w:lang w:eastAsia="sq-AL"/>
        </w:rPr>
        <w:t>e</w:t>
      </w:r>
      <w:r w:rsidRPr="003D5CE4">
        <w:rPr>
          <w:rFonts w:ascii="Garamond" w:eastAsia="Times New Roman" w:hAnsi="Garamond" w:cs="Times New Roman"/>
          <w:b/>
          <w:bCs/>
          <w:color w:val="000000"/>
          <w:spacing w:val="-13"/>
          <w:sz w:val="24"/>
          <w:szCs w:val="24"/>
          <w:lang w:eastAsia="sq-AL"/>
        </w:rPr>
        <w:t xml:space="preserve"> </w:t>
      </w:r>
      <w:r w:rsidRPr="003D5CE4">
        <w:rPr>
          <w:rFonts w:ascii="Garamond" w:eastAsia="Times New Roman" w:hAnsi="Garamond" w:cs="Times New Roman"/>
          <w:b/>
          <w:bCs/>
          <w:color w:val="000000"/>
          <w:sz w:val="24"/>
          <w:szCs w:val="24"/>
          <w:lang w:eastAsia="sq-AL"/>
        </w:rPr>
        <w:t>s</w:t>
      </w:r>
      <w:r w:rsidRPr="003D5CE4">
        <w:rPr>
          <w:rFonts w:ascii="Garamond" w:eastAsia="Times New Roman" w:hAnsi="Garamond" w:cs="Times New Roman"/>
          <w:b/>
          <w:bCs/>
          <w:color w:val="000000"/>
          <w:spacing w:val="1"/>
          <w:sz w:val="24"/>
          <w:szCs w:val="24"/>
          <w:lang w:eastAsia="sq-AL"/>
        </w:rPr>
        <w:t>h</w:t>
      </w:r>
      <w:r w:rsidRPr="003D5CE4">
        <w:rPr>
          <w:rFonts w:ascii="Garamond" w:eastAsia="Times New Roman" w:hAnsi="Garamond" w:cs="Times New Roman"/>
          <w:b/>
          <w:bCs/>
          <w:color w:val="000000"/>
          <w:sz w:val="24"/>
          <w:szCs w:val="24"/>
          <w:lang w:eastAsia="sq-AL"/>
        </w:rPr>
        <w:t>o</w:t>
      </w:r>
      <w:r w:rsidRPr="003D5CE4">
        <w:rPr>
          <w:rFonts w:ascii="Garamond" w:eastAsia="Times New Roman" w:hAnsi="Garamond" w:cs="Times New Roman"/>
          <w:b/>
          <w:bCs/>
          <w:color w:val="000000"/>
          <w:spacing w:val="-1"/>
          <w:sz w:val="24"/>
          <w:szCs w:val="24"/>
          <w:lang w:eastAsia="sq-AL"/>
        </w:rPr>
        <w:t>r</w:t>
      </w:r>
      <w:r w:rsidRPr="003D5CE4">
        <w:rPr>
          <w:rFonts w:ascii="Garamond" w:eastAsia="Times New Roman" w:hAnsi="Garamond" w:cs="Times New Roman"/>
          <w:b/>
          <w:bCs/>
          <w:color w:val="000000"/>
          <w:sz w:val="24"/>
          <w:szCs w:val="24"/>
          <w:lang w:eastAsia="sq-AL"/>
        </w:rPr>
        <w:t>tit</w:t>
      </w:r>
      <w:r w:rsidRPr="003D5CE4">
        <w:rPr>
          <w:rFonts w:ascii="Garamond" w:eastAsia="Times New Roman" w:hAnsi="Garamond" w:cs="Times New Roman"/>
          <w:b/>
          <w:bCs/>
          <w:color w:val="000000"/>
          <w:spacing w:val="-11"/>
          <w:sz w:val="24"/>
          <w:szCs w:val="24"/>
          <w:lang w:eastAsia="sq-AL"/>
        </w:rPr>
        <w:t xml:space="preserve"> </w:t>
      </w:r>
      <w:r w:rsidRPr="003D5CE4">
        <w:rPr>
          <w:rFonts w:ascii="Garamond" w:eastAsia="Times New Roman" w:hAnsi="Garamond" w:cs="Times New Roman"/>
          <w:b/>
          <w:bCs/>
          <w:color w:val="000000"/>
          <w:spacing w:val="3"/>
          <w:sz w:val="24"/>
          <w:szCs w:val="24"/>
          <w:lang w:eastAsia="sq-AL"/>
        </w:rPr>
        <w:t>p</w:t>
      </w:r>
      <w:r w:rsidRPr="003D5CE4">
        <w:rPr>
          <w:rFonts w:ascii="Garamond" w:eastAsia="Times New Roman" w:hAnsi="Garamond" w:cs="Times New Roman"/>
          <w:b/>
          <w:bCs/>
          <w:color w:val="000000"/>
          <w:spacing w:val="-1"/>
          <w:sz w:val="24"/>
          <w:szCs w:val="24"/>
          <w:lang w:eastAsia="sq-AL"/>
        </w:rPr>
        <w:t>ë</w:t>
      </w:r>
      <w:r w:rsidRPr="003D5CE4">
        <w:rPr>
          <w:rFonts w:ascii="Garamond" w:eastAsia="Times New Roman" w:hAnsi="Garamond" w:cs="Times New Roman"/>
          <w:b/>
          <w:bCs/>
          <w:color w:val="000000"/>
          <w:sz w:val="24"/>
          <w:szCs w:val="24"/>
          <w:lang w:eastAsia="sq-AL"/>
        </w:rPr>
        <w:t xml:space="preserve">r </w:t>
      </w:r>
      <w:r w:rsidRPr="003D5CE4">
        <w:rPr>
          <w:rFonts w:ascii="Garamond" w:eastAsia="Times New Roman" w:hAnsi="Garamond" w:cs="Times New Roman"/>
          <w:b/>
          <w:bCs/>
          <w:color w:val="000000"/>
          <w:spacing w:val="1"/>
          <w:sz w:val="24"/>
          <w:szCs w:val="24"/>
          <w:lang w:eastAsia="sq-AL"/>
        </w:rPr>
        <w:t>p</w:t>
      </w:r>
      <w:r w:rsidRPr="003D5CE4">
        <w:rPr>
          <w:rFonts w:ascii="Garamond" w:eastAsia="Times New Roman" w:hAnsi="Garamond" w:cs="Times New Roman"/>
          <w:b/>
          <w:bCs/>
          <w:color w:val="000000"/>
          <w:spacing w:val="-1"/>
          <w:sz w:val="24"/>
          <w:szCs w:val="24"/>
          <w:lang w:eastAsia="sq-AL"/>
        </w:rPr>
        <w:t>ërz</w:t>
      </w:r>
      <w:r w:rsidRPr="003D5CE4">
        <w:rPr>
          <w:rFonts w:ascii="Garamond" w:eastAsia="Times New Roman" w:hAnsi="Garamond" w:cs="Times New Roman"/>
          <w:b/>
          <w:bCs/>
          <w:color w:val="000000"/>
          <w:sz w:val="24"/>
          <w:szCs w:val="24"/>
          <w:lang w:eastAsia="sq-AL"/>
        </w:rPr>
        <w:t>gj</w:t>
      </w:r>
      <w:r w:rsidRPr="003D5CE4">
        <w:rPr>
          <w:rFonts w:ascii="Garamond" w:eastAsia="Times New Roman" w:hAnsi="Garamond" w:cs="Times New Roman"/>
          <w:b/>
          <w:bCs/>
          <w:color w:val="000000"/>
          <w:spacing w:val="-2"/>
          <w:sz w:val="24"/>
          <w:szCs w:val="24"/>
          <w:lang w:eastAsia="sq-AL"/>
        </w:rPr>
        <w:t>e</w:t>
      </w:r>
      <w:r w:rsidRPr="003D5CE4">
        <w:rPr>
          <w:rFonts w:ascii="Garamond" w:eastAsia="Times New Roman" w:hAnsi="Garamond" w:cs="Times New Roman"/>
          <w:b/>
          <w:bCs/>
          <w:color w:val="000000"/>
          <w:spacing w:val="1"/>
          <w:sz w:val="24"/>
          <w:szCs w:val="24"/>
          <w:lang w:eastAsia="sq-AL"/>
        </w:rPr>
        <w:t>dh</w:t>
      </w:r>
      <w:r w:rsidRPr="003D5CE4">
        <w:rPr>
          <w:rFonts w:ascii="Garamond" w:eastAsia="Times New Roman" w:hAnsi="Garamond" w:cs="Times New Roman"/>
          <w:b/>
          <w:bCs/>
          <w:color w:val="000000"/>
          <w:sz w:val="24"/>
          <w:szCs w:val="24"/>
          <w:lang w:eastAsia="sq-AL"/>
        </w:rPr>
        <w:t>j</w:t>
      </w:r>
      <w:r w:rsidRPr="003D5CE4">
        <w:rPr>
          <w:rFonts w:ascii="Garamond" w:eastAsia="Times New Roman" w:hAnsi="Garamond" w:cs="Times New Roman"/>
          <w:b/>
          <w:bCs/>
          <w:color w:val="000000"/>
          <w:spacing w:val="-2"/>
          <w:sz w:val="24"/>
          <w:szCs w:val="24"/>
          <w:lang w:eastAsia="sq-AL"/>
        </w:rPr>
        <w:t>e</w:t>
      </w:r>
      <w:r w:rsidRPr="003D5CE4">
        <w:rPr>
          <w:rFonts w:ascii="Garamond" w:eastAsia="Times New Roman" w:hAnsi="Garamond" w:cs="Times New Roman"/>
          <w:b/>
          <w:bCs/>
          <w:color w:val="000000"/>
          <w:sz w:val="24"/>
          <w:szCs w:val="24"/>
          <w:lang w:eastAsia="sq-AL"/>
        </w:rPr>
        <w:t>n</w:t>
      </w:r>
      <w:r w:rsidRPr="003D5CE4">
        <w:rPr>
          <w:rFonts w:ascii="Garamond" w:eastAsia="Times New Roman" w:hAnsi="Garamond" w:cs="Times New Roman"/>
          <w:b/>
          <w:bCs/>
          <w:color w:val="000000"/>
          <w:spacing w:val="1"/>
          <w:sz w:val="24"/>
          <w:szCs w:val="24"/>
          <w:lang w:eastAsia="sq-AL"/>
        </w:rPr>
        <w:t xml:space="preserve"> </w:t>
      </w:r>
      <w:r w:rsidRPr="003D5CE4">
        <w:rPr>
          <w:rFonts w:ascii="Garamond" w:eastAsia="Times New Roman" w:hAnsi="Garamond" w:cs="Times New Roman"/>
          <w:b/>
          <w:bCs/>
          <w:color w:val="000000"/>
          <w:sz w:val="24"/>
          <w:szCs w:val="24"/>
          <w:lang w:eastAsia="sq-AL"/>
        </w:rPr>
        <w:t>e</w:t>
      </w:r>
      <w:r w:rsidRPr="003D5CE4">
        <w:rPr>
          <w:rFonts w:ascii="Garamond" w:eastAsia="Times New Roman" w:hAnsi="Garamond" w:cs="Times New Roman"/>
          <w:b/>
          <w:bCs/>
          <w:color w:val="000000"/>
          <w:spacing w:val="1"/>
          <w:sz w:val="24"/>
          <w:szCs w:val="24"/>
          <w:lang w:eastAsia="sq-AL"/>
        </w:rPr>
        <w:t xml:space="preserve"> </w:t>
      </w:r>
      <w:r w:rsidRPr="003D5CE4">
        <w:rPr>
          <w:rFonts w:ascii="Garamond" w:eastAsia="Times New Roman" w:hAnsi="Garamond" w:cs="Times New Roman"/>
          <w:b/>
          <w:bCs/>
          <w:color w:val="000000"/>
          <w:sz w:val="24"/>
          <w:szCs w:val="24"/>
          <w:lang w:eastAsia="sq-AL"/>
        </w:rPr>
        <w:t>ç</w:t>
      </w:r>
      <w:r w:rsidRPr="003D5CE4">
        <w:rPr>
          <w:rFonts w:ascii="Garamond" w:eastAsia="Times New Roman" w:hAnsi="Garamond" w:cs="Times New Roman"/>
          <w:b/>
          <w:bCs/>
          <w:color w:val="000000"/>
          <w:spacing w:val="-1"/>
          <w:sz w:val="24"/>
          <w:szCs w:val="24"/>
          <w:lang w:eastAsia="sq-AL"/>
        </w:rPr>
        <w:t>ë</w:t>
      </w:r>
      <w:r w:rsidRPr="003D5CE4">
        <w:rPr>
          <w:rFonts w:ascii="Garamond" w:eastAsia="Times New Roman" w:hAnsi="Garamond" w:cs="Times New Roman"/>
          <w:b/>
          <w:bCs/>
          <w:color w:val="000000"/>
          <w:sz w:val="24"/>
          <w:szCs w:val="24"/>
          <w:lang w:eastAsia="sq-AL"/>
        </w:rPr>
        <w:t>s</w:t>
      </w:r>
      <w:r w:rsidRPr="003D5CE4">
        <w:rPr>
          <w:rFonts w:ascii="Garamond" w:eastAsia="Times New Roman" w:hAnsi="Garamond" w:cs="Times New Roman"/>
          <w:b/>
          <w:bCs/>
          <w:color w:val="000000"/>
          <w:spacing w:val="1"/>
          <w:sz w:val="24"/>
          <w:szCs w:val="24"/>
          <w:lang w:eastAsia="sq-AL"/>
        </w:rPr>
        <w:t>h</w:t>
      </w:r>
      <w:r w:rsidRPr="003D5CE4">
        <w:rPr>
          <w:rFonts w:ascii="Garamond" w:eastAsia="Times New Roman" w:hAnsi="Garamond" w:cs="Times New Roman"/>
          <w:b/>
          <w:bCs/>
          <w:color w:val="000000"/>
          <w:sz w:val="24"/>
          <w:szCs w:val="24"/>
          <w:lang w:eastAsia="sq-AL"/>
        </w:rPr>
        <w:t>t</w:t>
      </w:r>
      <w:r w:rsidRPr="003D5CE4">
        <w:rPr>
          <w:rFonts w:ascii="Garamond" w:eastAsia="Times New Roman" w:hAnsi="Garamond" w:cs="Times New Roman"/>
          <w:b/>
          <w:bCs/>
          <w:color w:val="000000"/>
          <w:spacing w:val="1"/>
          <w:sz w:val="24"/>
          <w:szCs w:val="24"/>
          <w:lang w:eastAsia="sq-AL"/>
        </w:rPr>
        <w:t>j</w:t>
      </w:r>
      <w:r w:rsidRPr="003D5CE4">
        <w:rPr>
          <w:rFonts w:ascii="Garamond" w:eastAsia="Times New Roman" w:hAnsi="Garamond" w:cs="Times New Roman"/>
          <w:b/>
          <w:bCs/>
          <w:color w:val="000000"/>
          <w:spacing w:val="-1"/>
          <w:sz w:val="24"/>
          <w:szCs w:val="24"/>
          <w:lang w:eastAsia="sq-AL"/>
        </w:rPr>
        <w:t>e</w:t>
      </w:r>
      <w:r w:rsidRPr="003D5CE4">
        <w:rPr>
          <w:rFonts w:ascii="Garamond" w:eastAsia="Times New Roman" w:hAnsi="Garamond" w:cs="Times New Roman"/>
          <w:b/>
          <w:bCs/>
          <w:color w:val="000000"/>
          <w:spacing w:val="2"/>
          <w:sz w:val="24"/>
          <w:szCs w:val="24"/>
          <w:lang w:eastAsia="sq-AL"/>
        </w:rPr>
        <w:t>v</w:t>
      </w:r>
      <w:r w:rsidRPr="003D5CE4">
        <w:rPr>
          <w:rFonts w:ascii="Garamond" w:eastAsia="Times New Roman" w:hAnsi="Garamond" w:cs="Times New Roman"/>
          <w:b/>
          <w:bCs/>
          <w:color w:val="000000"/>
          <w:spacing w:val="-1"/>
          <w:sz w:val="24"/>
          <w:szCs w:val="24"/>
          <w:lang w:eastAsia="sq-AL"/>
        </w:rPr>
        <w:t>e</w:t>
      </w:r>
      <w:r w:rsidRPr="003D5CE4">
        <w:rPr>
          <w:rFonts w:ascii="Garamond" w:eastAsia="Times New Roman" w:hAnsi="Garamond" w:cs="Times New Roman"/>
          <w:b/>
          <w:bCs/>
          <w:color w:val="000000"/>
          <w:sz w:val="24"/>
          <w:szCs w:val="24"/>
          <w:lang w:eastAsia="sq-AL"/>
        </w:rPr>
        <w:t>,</w:t>
      </w:r>
      <w:r w:rsidRPr="003D5CE4">
        <w:rPr>
          <w:rFonts w:ascii="Garamond" w:eastAsia="Times New Roman" w:hAnsi="Garamond" w:cs="Times New Roman"/>
          <w:b/>
          <w:bCs/>
          <w:color w:val="000000"/>
          <w:spacing w:val="1"/>
          <w:sz w:val="24"/>
          <w:szCs w:val="24"/>
          <w:lang w:eastAsia="sq-AL"/>
        </w:rPr>
        <w:t xml:space="preserve"> </w:t>
      </w:r>
      <w:r w:rsidRPr="003D5CE4">
        <w:rPr>
          <w:rFonts w:ascii="Garamond" w:eastAsia="Times New Roman" w:hAnsi="Garamond" w:cs="Times New Roman"/>
          <w:b/>
          <w:bCs/>
          <w:color w:val="000000"/>
          <w:sz w:val="24"/>
          <w:szCs w:val="24"/>
          <w:lang w:eastAsia="sq-AL"/>
        </w:rPr>
        <w:t>si</w:t>
      </w:r>
      <w:r w:rsidRPr="003D5CE4">
        <w:rPr>
          <w:rFonts w:ascii="Garamond" w:eastAsia="Times New Roman" w:hAnsi="Garamond" w:cs="Times New Roman"/>
          <w:b/>
          <w:bCs/>
          <w:color w:val="000000"/>
          <w:spacing w:val="1"/>
          <w:sz w:val="24"/>
          <w:szCs w:val="24"/>
          <w:lang w:eastAsia="sq-AL"/>
        </w:rPr>
        <w:t>p</w:t>
      </w:r>
      <w:r w:rsidRPr="003D5CE4">
        <w:rPr>
          <w:rFonts w:ascii="Garamond" w:eastAsia="Times New Roman" w:hAnsi="Garamond" w:cs="Times New Roman"/>
          <w:b/>
          <w:bCs/>
          <w:color w:val="000000"/>
          <w:sz w:val="24"/>
          <w:szCs w:val="24"/>
          <w:lang w:eastAsia="sq-AL"/>
        </w:rPr>
        <w:t xml:space="preserve">as </w:t>
      </w:r>
      <w:r w:rsidRPr="003D5CE4">
        <w:rPr>
          <w:rFonts w:ascii="Garamond" w:eastAsia="Times New Roman" w:hAnsi="Garamond" w:cs="Times New Roman"/>
          <w:b/>
          <w:bCs/>
          <w:color w:val="000000"/>
          <w:spacing w:val="-1"/>
          <w:sz w:val="24"/>
          <w:szCs w:val="24"/>
          <w:lang w:eastAsia="sq-AL"/>
        </w:rPr>
        <w:t>re</w:t>
      </w:r>
      <w:r w:rsidRPr="003D5CE4">
        <w:rPr>
          <w:rFonts w:ascii="Garamond" w:eastAsia="Times New Roman" w:hAnsi="Garamond" w:cs="Times New Roman"/>
          <w:b/>
          <w:bCs/>
          <w:color w:val="000000"/>
          <w:spacing w:val="1"/>
          <w:sz w:val="24"/>
          <w:szCs w:val="24"/>
          <w:lang w:eastAsia="sq-AL"/>
        </w:rPr>
        <w:t>nd</w:t>
      </w:r>
      <w:r w:rsidRPr="003D5CE4">
        <w:rPr>
          <w:rFonts w:ascii="Garamond" w:eastAsia="Times New Roman" w:hAnsi="Garamond" w:cs="Times New Roman"/>
          <w:b/>
          <w:bCs/>
          <w:color w:val="000000"/>
          <w:sz w:val="24"/>
          <w:szCs w:val="24"/>
          <w:lang w:eastAsia="sq-AL"/>
        </w:rPr>
        <w:t>it</w:t>
      </w:r>
      <w:r w:rsidRPr="003D5CE4">
        <w:rPr>
          <w:rFonts w:ascii="Garamond" w:eastAsia="Times New Roman" w:hAnsi="Garamond" w:cs="Times New Roman"/>
          <w:b/>
          <w:bCs/>
          <w:color w:val="000000"/>
          <w:spacing w:val="-1"/>
          <w:sz w:val="24"/>
          <w:szCs w:val="24"/>
          <w:lang w:eastAsia="sq-AL"/>
        </w:rPr>
        <w:t>je</w:t>
      </w:r>
      <w:r w:rsidRPr="003D5CE4">
        <w:rPr>
          <w:rFonts w:ascii="Garamond" w:eastAsia="Times New Roman" w:hAnsi="Garamond" w:cs="Times New Roman"/>
          <w:b/>
          <w:bCs/>
          <w:color w:val="000000"/>
          <w:sz w:val="24"/>
          <w:szCs w:val="24"/>
          <w:lang w:eastAsia="sq-AL"/>
        </w:rPr>
        <w:t>s së</w:t>
      </w:r>
      <w:r w:rsidRPr="003D5CE4">
        <w:rPr>
          <w:rFonts w:ascii="Garamond" w:eastAsia="Times New Roman" w:hAnsi="Garamond" w:cs="Times New Roman"/>
          <w:b/>
          <w:bCs/>
          <w:color w:val="000000"/>
          <w:spacing w:val="2"/>
          <w:sz w:val="24"/>
          <w:szCs w:val="24"/>
          <w:lang w:eastAsia="sq-AL"/>
        </w:rPr>
        <w:t xml:space="preserve"> </w:t>
      </w:r>
      <w:r w:rsidRPr="003D5CE4">
        <w:rPr>
          <w:rFonts w:ascii="Garamond" w:eastAsia="Times New Roman" w:hAnsi="Garamond" w:cs="Times New Roman"/>
          <w:b/>
          <w:bCs/>
          <w:color w:val="000000"/>
          <w:spacing w:val="-3"/>
          <w:sz w:val="24"/>
          <w:szCs w:val="24"/>
          <w:lang w:eastAsia="sq-AL"/>
        </w:rPr>
        <w:t>m</w:t>
      </w:r>
      <w:r w:rsidRPr="003D5CE4">
        <w:rPr>
          <w:rFonts w:ascii="Garamond" w:eastAsia="Times New Roman" w:hAnsi="Garamond" w:cs="Times New Roman"/>
          <w:b/>
          <w:bCs/>
          <w:color w:val="000000"/>
          <w:spacing w:val="1"/>
          <w:sz w:val="24"/>
          <w:szCs w:val="24"/>
          <w:lang w:eastAsia="sq-AL"/>
        </w:rPr>
        <w:t>ëp</w:t>
      </w:r>
      <w:r w:rsidRPr="003D5CE4">
        <w:rPr>
          <w:rFonts w:ascii="Garamond" w:eastAsia="Times New Roman" w:hAnsi="Garamond" w:cs="Times New Roman"/>
          <w:b/>
          <w:bCs/>
          <w:color w:val="000000"/>
          <w:sz w:val="24"/>
          <w:szCs w:val="24"/>
          <w:lang w:eastAsia="sq-AL"/>
        </w:rPr>
        <w:t>os</w:t>
      </w:r>
      <w:r w:rsidRPr="003D5CE4">
        <w:rPr>
          <w:rFonts w:ascii="Garamond" w:eastAsia="Times New Roman" w:hAnsi="Garamond" w:cs="Times New Roman"/>
          <w:b/>
          <w:bCs/>
          <w:color w:val="000000"/>
          <w:spacing w:val="1"/>
          <w:sz w:val="24"/>
          <w:szCs w:val="24"/>
          <w:lang w:eastAsia="sq-AL"/>
        </w:rPr>
        <w:t>h</w:t>
      </w:r>
      <w:r w:rsidRPr="003D5CE4">
        <w:rPr>
          <w:rFonts w:ascii="Garamond" w:eastAsia="Times New Roman" w:hAnsi="Garamond" w:cs="Times New Roman"/>
          <w:b/>
          <w:bCs/>
          <w:color w:val="000000"/>
          <w:sz w:val="24"/>
          <w:szCs w:val="24"/>
          <w:lang w:eastAsia="sq-AL"/>
        </w:rPr>
        <w:t>t</w:t>
      </w:r>
      <w:r w:rsidRPr="003D5CE4">
        <w:rPr>
          <w:rFonts w:ascii="Garamond" w:eastAsia="Times New Roman" w:hAnsi="Garamond" w:cs="Times New Roman"/>
          <w:b/>
          <w:bCs/>
          <w:color w:val="000000"/>
          <w:spacing w:val="-4"/>
          <w:sz w:val="24"/>
          <w:szCs w:val="24"/>
          <w:lang w:eastAsia="sq-AL"/>
        </w:rPr>
        <w:t>m</w:t>
      </w:r>
      <w:r w:rsidRPr="003D5CE4">
        <w:rPr>
          <w:rFonts w:ascii="Garamond" w:eastAsia="Times New Roman" w:hAnsi="Garamond" w:cs="Times New Roman"/>
          <w:b/>
          <w:bCs/>
          <w:color w:val="000000"/>
          <w:spacing w:val="1"/>
          <w:sz w:val="24"/>
          <w:szCs w:val="24"/>
          <w:lang w:eastAsia="sq-AL"/>
        </w:rPr>
        <w:t>e</w:t>
      </w:r>
      <w:r w:rsidRPr="003D5CE4">
        <w:rPr>
          <w:rFonts w:ascii="Garamond" w:eastAsia="Times New Roman" w:hAnsi="Garamond" w:cs="Times New Roman"/>
          <w:b/>
          <w:bCs/>
          <w:color w:val="000000"/>
          <w:sz w:val="24"/>
          <w:szCs w:val="24"/>
          <w:lang w:eastAsia="sq-AL"/>
        </w:rPr>
        <w:t>:</w:t>
      </w:r>
    </w:p>
    <w:p w14:paraId="4BAD1DFF" w14:textId="77777777" w:rsidR="00F052F6" w:rsidRPr="002F5D3C"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14"/>
          <w:szCs w:val="24"/>
          <w:lang w:eastAsia="sq-AL"/>
        </w:rPr>
      </w:pPr>
    </w:p>
    <w:p w14:paraId="4B64A756" w14:textId="77777777" w:rsidR="00F052F6" w:rsidRPr="003D5CE4" w:rsidRDefault="00F052F6" w:rsidP="00F052F6">
      <w:pPr>
        <w:spacing w:after="0" w:line="240" w:lineRule="auto"/>
        <w:ind w:firstLine="284"/>
        <w:rPr>
          <w:rFonts w:ascii="Garamond" w:hAnsi="Garamond" w:cs="Times New Roman"/>
          <w:sz w:val="24"/>
          <w:szCs w:val="24"/>
        </w:rPr>
      </w:pPr>
      <w:r w:rsidRPr="003D5CE4">
        <w:rPr>
          <w:rFonts w:ascii="Garamond" w:hAnsi="Garamond" w:cs="Times New Roman"/>
          <w:b/>
          <w:bCs/>
          <w:color w:val="000000"/>
          <w:sz w:val="24"/>
          <w:szCs w:val="24"/>
        </w:rPr>
        <w:t>Ha</w:t>
      </w:r>
      <w:r w:rsidRPr="003D5CE4">
        <w:rPr>
          <w:rFonts w:ascii="Garamond" w:hAnsi="Garamond" w:cs="Times New Roman"/>
          <w:b/>
          <w:bCs/>
          <w:color w:val="000000"/>
          <w:spacing w:val="1"/>
          <w:sz w:val="24"/>
          <w:szCs w:val="24"/>
        </w:rPr>
        <w:t>p</w:t>
      </w:r>
      <w:r w:rsidRPr="003D5CE4">
        <w:rPr>
          <w:rFonts w:ascii="Garamond" w:hAnsi="Garamond" w:cs="Times New Roman"/>
          <w:b/>
          <w:bCs/>
          <w:color w:val="000000"/>
          <w:sz w:val="24"/>
          <w:szCs w:val="24"/>
        </w:rPr>
        <w:t>i</w:t>
      </w:r>
      <w:r w:rsidRPr="003D5CE4">
        <w:rPr>
          <w:rFonts w:ascii="Garamond" w:hAnsi="Garamond" w:cs="Times New Roman"/>
          <w:b/>
          <w:bCs/>
          <w:color w:val="000000"/>
          <w:spacing w:val="20"/>
          <w:sz w:val="24"/>
          <w:szCs w:val="24"/>
        </w:rPr>
        <w:t xml:space="preserve"> </w:t>
      </w:r>
      <w:r w:rsidRPr="003D5CE4">
        <w:rPr>
          <w:rFonts w:ascii="Garamond" w:hAnsi="Garamond" w:cs="Times New Roman"/>
          <w:b/>
          <w:bCs/>
          <w:color w:val="000000"/>
          <w:sz w:val="24"/>
          <w:szCs w:val="24"/>
        </w:rPr>
        <w:t>1</w:t>
      </w:r>
      <w:r>
        <w:rPr>
          <w:rFonts w:ascii="Garamond" w:hAnsi="Garamond" w:cs="Times New Roman"/>
          <w:color w:val="000000"/>
          <w:sz w:val="24"/>
          <w:szCs w:val="24"/>
        </w:rPr>
        <w:t>.</w:t>
      </w:r>
      <w:r w:rsidRPr="003D5CE4">
        <w:rPr>
          <w:rFonts w:ascii="Garamond" w:hAnsi="Garamond" w:cs="Times New Roman"/>
          <w:color w:val="000000"/>
          <w:spacing w:val="17"/>
          <w:sz w:val="24"/>
          <w:szCs w:val="24"/>
        </w:rPr>
        <w:t xml:space="preserve"> </w:t>
      </w:r>
      <w:r w:rsidRPr="003D5CE4">
        <w:rPr>
          <w:rFonts w:ascii="Garamond" w:hAnsi="Garamond" w:cs="Times New Roman"/>
          <w:b/>
          <w:bCs/>
          <w:color w:val="000000"/>
          <w:spacing w:val="-3"/>
          <w:sz w:val="24"/>
          <w:szCs w:val="24"/>
        </w:rPr>
        <w:t>P</w:t>
      </w:r>
      <w:r w:rsidRPr="003D5CE4">
        <w:rPr>
          <w:rFonts w:ascii="Garamond" w:hAnsi="Garamond" w:cs="Times New Roman"/>
          <w:b/>
          <w:bCs/>
          <w:color w:val="000000"/>
          <w:spacing w:val="-1"/>
          <w:sz w:val="24"/>
          <w:szCs w:val="24"/>
        </w:rPr>
        <w:t>ërz</w:t>
      </w:r>
      <w:r w:rsidRPr="003D5CE4">
        <w:rPr>
          <w:rFonts w:ascii="Garamond" w:hAnsi="Garamond" w:cs="Times New Roman"/>
          <w:b/>
          <w:bCs/>
          <w:color w:val="000000"/>
          <w:spacing w:val="2"/>
          <w:sz w:val="24"/>
          <w:szCs w:val="24"/>
        </w:rPr>
        <w:t>g</w:t>
      </w:r>
      <w:r w:rsidRPr="003D5CE4">
        <w:rPr>
          <w:rFonts w:ascii="Garamond" w:hAnsi="Garamond" w:cs="Times New Roman"/>
          <w:b/>
          <w:bCs/>
          <w:color w:val="000000"/>
          <w:sz w:val="24"/>
          <w:szCs w:val="24"/>
        </w:rPr>
        <w:t>j</w:t>
      </w:r>
      <w:r w:rsidRPr="003D5CE4">
        <w:rPr>
          <w:rFonts w:ascii="Garamond" w:hAnsi="Garamond" w:cs="Times New Roman"/>
          <w:b/>
          <w:bCs/>
          <w:color w:val="000000"/>
          <w:spacing w:val="-2"/>
          <w:sz w:val="24"/>
          <w:szCs w:val="24"/>
        </w:rPr>
        <w:t>e</w:t>
      </w:r>
      <w:r w:rsidRPr="003D5CE4">
        <w:rPr>
          <w:rFonts w:ascii="Garamond" w:hAnsi="Garamond" w:cs="Times New Roman"/>
          <w:b/>
          <w:bCs/>
          <w:color w:val="000000"/>
          <w:spacing w:val="1"/>
          <w:sz w:val="24"/>
          <w:szCs w:val="24"/>
        </w:rPr>
        <w:t>dh</w:t>
      </w:r>
      <w:r w:rsidRPr="003D5CE4">
        <w:rPr>
          <w:rFonts w:ascii="Garamond" w:hAnsi="Garamond" w:cs="Times New Roman"/>
          <w:b/>
          <w:bCs/>
          <w:color w:val="000000"/>
          <w:sz w:val="24"/>
          <w:szCs w:val="24"/>
        </w:rPr>
        <w:t>ja</w:t>
      </w:r>
      <w:r w:rsidRPr="003D5CE4">
        <w:rPr>
          <w:rFonts w:ascii="Garamond" w:hAnsi="Garamond" w:cs="Times New Roman"/>
          <w:b/>
          <w:bCs/>
          <w:color w:val="000000"/>
          <w:spacing w:val="18"/>
          <w:sz w:val="24"/>
          <w:szCs w:val="24"/>
        </w:rPr>
        <w:t xml:space="preserve"> </w:t>
      </w:r>
      <w:r w:rsidRPr="003D5CE4">
        <w:rPr>
          <w:rFonts w:ascii="Garamond" w:hAnsi="Garamond" w:cs="Times New Roman"/>
          <w:b/>
          <w:bCs/>
          <w:color w:val="000000"/>
          <w:spacing w:val="-1"/>
          <w:sz w:val="24"/>
          <w:szCs w:val="24"/>
        </w:rPr>
        <w:t>m</w:t>
      </w:r>
      <w:r w:rsidRPr="003D5CE4">
        <w:rPr>
          <w:rFonts w:ascii="Garamond" w:hAnsi="Garamond" w:cs="Times New Roman"/>
          <w:b/>
          <w:bCs/>
          <w:color w:val="000000"/>
          <w:sz w:val="24"/>
          <w:szCs w:val="24"/>
        </w:rPr>
        <w:t>e</w:t>
      </w:r>
      <w:r w:rsidRPr="003D5CE4">
        <w:rPr>
          <w:rFonts w:ascii="Garamond" w:hAnsi="Garamond" w:cs="Times New Roman"/>
          <w:b/>
          <w:bCs/>
          <w:color w:val="000000"/>
          <w:spacing w:val="18"/>
          <w:sz w:val="24"/>
          <w:szCs w:val="24"/>
        </w:rPr>
        <w:t xml:space="preserve"> </w:t>
      </w:r>
      <w:r w:rsidRPr="003D5CE4">
        <w:rPr>
          <w:rFonts w:ascii="Garamond" w:hAnsi="Garamond" w:cs="Times New Roman"/>
          <w:b/>
          <w:bCs/>
          <w:color w:val="000000"/>
          <w:sz w:val="24"/>
          <w:szCs w:val="24"/>
        </w:rPr>
        <w:t>s</w:t>
      </w:r>
      <w:r w:rsidRPr="003D5CE4">
        <w:rPr>
          <w:rFonts w:ascii="Garamond" w:hAnsi="Garamond" w:cs="Times New Roman"/>
          <w:b/>
          <w:bCs/>
          <w:color w:val="000000"/>
          <w:spacing w:val="1"/>
          <w:sz w:val="24"/>
          <w:szCs w:val="24"/>
        </w:rPr>
        <w:t>h</w:t>
      </w:r>
      <w:r w:rsidRPr="003D5CE4">
        <w:rPr>
          <w:rFonts w:ascii="Garamond" w:hAnsi="Garamond" w:cs="Times New Roman"/>
          <w:b/>
          <w:bCs/>
          <w:color w:val="000000"/>
          <w:sz w:val="24"/>
          <w:szCs w:val="24"/>
        </w:rPr>
        <w:t>o</w:t>
      </w:r>
      <w:r w:rsidRPr="003D5CE4">
        <w:rPr>
          <w:rFonts w:ascii="Garamond" w:hAnsi="Garamond" w:cs="Times New Roman"/>
          <w:b/>
          <w:bCs/>
          <w:color w:val="000000"/>
          <w:spacing w:val="-1"/>
          <w:sz w:val="24"/>
          <w:szCs w:val="24"/>
        </w:rPr>
        <w:t>r</w:t>
      </w:r>
      <w:r w:rsidRPr="003D5CE4">
        <w:rPr>
          <w:rFonts w:ascii="Garamond" w:hAnsi="Garamond" w:cs="Times New Roman"/>
          <w:b/>
          <w:bCs/>
          <w:color w:val="000000"/>
          <w:sz w:val="24"/>
          <w:szCs w:val="24"/>
        </w:rPr>
        <w:t>t</w:t>
      </w:r>
      <w:r w:rsidRPr="003D5CE4">
        <w:rPr>
          <w:rFonts w:ascii="Garamond" w:hAnsi="Garamond" w:cs="Times New Roman"/>
          <w:b/>
          <w:bCs/>
          <w:color w:val="000000"/>
          <w:spacing w:val="18"/>
          <w:sz w:val="24"/>
          <w:szCs w:val="24"/>
        </w:rPr>
        <w:t xml:space="preserve"> </w:t>
      </w:r>
      <w:r w:rsidRPr="00CE654F">
        <w:rPr>
          <w:rFonts w:ascii="Garamond" w:hAnsi="Garamond" w:cs="Times New Roman"/>
          <w:b/>
          <w:bCs/>
          <w:color w:val="000000"/>
          <w:sz w:val="24"/>
          <w:szCs w:val="24"/>
        </w:rPr>
        <w:t>e</w:t>
      </w:r>
      <w:r w:rsidRPr="00CE654F">
        <w:rPr>
          <w:rFonts w:ascii="Garamond" w:hAnsi="Garamond" w:cs="Times New Roman"/>
          <w:b/>
          <w:bCs/>
          <w:color w:val="000000"/>
          <w:spacing w:val="18"/>
          <w:sz w:val="24"/>
          <w:szCs w:val="24"/>
        </w:rPr>
        <w:t xml:space="preserve"> </w:t>
      </w:r>
      <w:r w:rsidRPr="00CE654F">
        <w:rPr>
          <w:rFonts w:ascii="Garamond" w:hAnsi="Garamond" w:cs="Times New Roman"/>
          <w:b/>
          <w:bCs/>
          <w:color w:val="000000"/>
          <w:spacing w:val="-1"/>
          <w:sz w:val="24"/>
          <w:szCs w:val="24"/>
        </w:rPr>
        <w:t>çë</w:t>
      </w:r>
      <w:r w:rsidRPr="00CE654F">
        <w:rPr>
          <w:rFonts w:ascii="Garamond" w:hAnsi="Garamond" w:cs="Times New Roman"/>
          <w:b/>
          <w:bCs/>
          <w:color w:val="000000"/>
          <w:sz w:val="24"/>
          <w:szCs w:val="24"/>
        </w:rPr>
        <w:t>s</w:t>
      </w:r>
      <w:r w:rsidRPr="00CE654F">
        <w:rPr>
          <w:rFonts w:ascii="Garamond" w:hAnsi="Garamond" w:cs="Times New Roman"/>
          <w:b/>
          <w:bCs/>
          <w:color w:val="000000"/>
          <w:spacing w:val="1"/>
          <w:sz w:val="24"/>
          <w:szCs w:val="24"/>
        </w:rPr>
        <w:t>h</w:t>
      </w:r>
      <w:r w:rsidRPr="00CE654F">
        <w:rPr>
          <w:rFonts w:ascii="Garamond" w:hAnsi="Garamond" w:cs="Times New Roman"/>
          <w:b/>
          <w:bCs/>
          <w:color w:val="000000"/>
          <w:sz w:val="24"/>
          <w:szCs w:val="24"/>
        </w:rPr>
        <w:t>t</w:t>
      </w:r>
      <w:r w:rsidRPr="00CE654F">
        <w:rPr>
          <w:rFonts w:ascii="Garamond" w:hAnsi="Garamond" w:cs="Times New Roman"/>
          <w:b/>
          <w:bCs/>
          <w:color w:val="000000"/>
          <w:spacing w:val="-1"/>
          <w:sz w:val="24"/>
          <w:szCs w:val="24"/>
        </w:rPr>
        <w:t>je</w:t>
      </w:r>
      <w:r w:rsidRPr="00CE654F">
        <w:rPr>
          <w:rFonts w:ascii="Garamond" w:hAnsi="Garamond" w:cs="Times New Roman"/>
          <w:b/>
          <w:bCs/>
          <w:color w:val="000000"/>
          <w:sz w:val="24"/>
          <w:szCs w:val="24"/>
        </w:rPr>
        <w:t>ve</w:t>
      </w:r>
      <w:r w:rsidRPr="00CE654F">
        <w:rPr>
          <w:rFonts w:ascii="Garamond" w:hAnsi="Garamond" w:cs="Times New Roman"/>
          <w:b/>
          <w:bCs/>
          <w:color w:val="000000"/>
          <w:spacing w:val="18"/>
          <w:sz w:val="24"/>
          <w:szCs w:val="24"/>
        </w:rPr>
        <w:t xml:space="preserve"> </w:t>
      </w:r>
      <w:r w:rsidRPr="00CE654F">
        <w:rPr>
          <w:rFonts w:ascii="Garamond" w:hAnsi="Garamond" w:cs="Times New Roman"/>
          <w:b/>
          <w:bCs/>
          <w:color w:val="000000"/>
          <w:spacing w:val="1"/>
          <w:sz w:val="24"/>
          <w:szCs w:val="24"/>
        </w:rPr>
        <w:t>t</w:t>
      </w:r>
      <w:r w:rsidRPr="00CE654F">
        <w:rPr>
          <w:rFonts w:ascii="Garamond" w:hAnsi="Garamond" w:cs="Times New Roman"/>
          <w:b/>
          <w:bCs/>
          <w:color w:val="000000"/>
          <w:sz w:val="24"/>
          <w:szCs w:val="24"/>
        </w:rPr>
        <w:t>ë</w:t>
      </w:r>
      <w:r w:rsidRPr="00CE654F">
        <w:rPr>
          <w:rFonts w:ascii="Garamond" w:hAnsi="Garamond" w:cs="Times New Roman"/>
          <w:b/>
          <w:bCs/>
          <w:color w:val="000000"/>
          <w:spacing w:val="18"/>
          <w:sz w:val="24"/>
          <w:szCs w:val="24"/>
        </w:rPr>
        <w:t xml:space="preserve"> </w:t>
      </w:r>
      <w:r w:rsidRPr="003D5CE4">
        <w:rPr>
          <w:rFonts w:ascii="Garamond" w:hAnsi="Garamond" w:cs="Times New Roman"/>
          <w:b/>
          <w:bCs/>
          <w:color w:val="000000"/>
          <w:sz w:val="24"/>
          <w:szCs w:val="24"/>
        </w:rPr>
        <w:t>hetuara/verifikuara</w:t>
      </w:r>
      <w:r w:rsidRPr="003D5CE4">
        <w:rPr>
          <w:rFonts w:ascii="Garamond" w:hAnsi="Garamond" w:cs="Times New Roman"/>
          <w:b/>
          <w:bCs/>
          <w:color w:val="000000"/>
          <w:spacing w:val="19"/>
          <w:sz w:val="24"/>
          <w:szCs w:val="24"/>
        </w:rPr>
        <w:t xml:space="preserve"> </w:t>
      </w:r>
      <w:r w:rsidRPr="003D5CE4">
        <w:rPr>
          <w:rFonts w:ascii="Garamond" w:hAnsi="Garamond" w:cs="Times New Roman"/>
          <w:b/>
          <w:bCs/>
          <w:color w:val="000000"/>
          <w:spacing w:val="1"/>
          <w:sz w:val="24"/>
          <w:szCs w:val="24"/>
        </w:rPr>
        <w:t>p</w:t>
      </w:r>
      <w:r w:rsidRPr="003D5CE4">
        <w:rPr>
          <w:rFonts w:ascii="Garamond" w:hAnsi="Garamond" w:cs="Times New Roman"/>
          <w:b/>
          <w:bCs/>
          <w:color w:val="000000"/>
          <w:spacing w:val="4"/>
          <w:sz w:val="24"/>
          <w:szCs w:val="24"/>
        </w:rPr>
        <w:t>ë</w:t>
      </w:r>
      <w:r w:rsidRPr="003D5CE4">
        <w:rPr>
          <w:rFonts w:ascii="Garamond" w:hAnsi="Garamond" w:cs="Times New Roman"/>
          <w:b/>
          <w:bCs/>
          <w:color w:val="000000"/>
          <w:spacing w:val="-1"/>
          <w:sz w:val="24"/>
          <w:szCs w:val="24"/>
        </w:rPr>
        <w:t>r</w:t>
      </w:r>
      <w:r w:rsidRPr="003D5CE4">
        <w:rPr>
          <w:rFonts w:ascii="Garamond" w:hAnsi="Garamond" w:cs="Times New Roman"/>
          <w:b/>
          <w:bCs/>
          <w:color w:val="000000"/>
          <w:sz w:val="24"/>
          <w:szCs w:val="24"/>
        </w:rPr>
        <w:t>t</w:t>
      </w:r>
      <w:r w:rsidRPr="003D5CE4">
        <w:rPr>
          <w:rFonts w:ascii="Garamond" w:hAnsi="Garamond" w:cs="Times New Roman"/>
          <w:b/>
          <w:bCs/>
          <w:color w:val="000000"/>
          <w:spacing w:val="-2"/>
          <w:sz w:val="24"/>
          <w:szCs w:val="24"/>
        </w:rPr>
        <w:t>e</w:t>
      </w:r>
      <w:r w:rsidRPr="003D5CE4">
        <w:rPr>
          <w:rFonts w:ascii="Garamond" w:hAnsi="Garamond" w:cs="Times New Roman"/>
          <w:b/>
          <w:bCs/>
          <w:color w:val="000000"/>
          <w:sz w:val="24"/>
          <w:szCs w:val="24"/>
        </w:rPr>
        <w:t>j</w:t>
      </w:r>
      <w:r w:rsidRPr="003D5CE4">
        <w:rPr>
          <w:rFonts w:ascii="Garamond" w:hAnsi="Garamond" w:cs="Times New Roman"/>
          <w:b/>
          <w:bCs/>
          <w:color w:val="000000"/>
          <w:spacing w:val="18"/>
          <w:sz w:val="24"/>
          <w:szCs w:val="24"/>
        </w:rPr>
        <w:t xml:space="preserve"> </w:t>
      </w:r>
      <w:r w:rsidRPr="003D5CE4">
        <w:rPr>
          <w:rFonts w:ascii="Garamond" w:hAnsi="Garamond" w:cs="Times New Roman"/>
          <w:b/>
          <w:bCs/>
          <w:color w:val="000000"/>
          <w:sz w:val="24"/>
          <w:szCs w:val="24"/>
        </w:rPr>
        <w:t>a</w:t>
      </w:r>
      <w:r w:rsidRPr="003D5CE4">
        <w:rPr>
          <w:rFonts w:ascii="Garamond" w:hAnsi="Garamond" w:cs="Times New Roman"/>
          <w:b/>
          <w:bCs/>
          <w:color w:val="000000"/>
          <w:spacing w:val="1"/>
          <w:sz w:val="24"/>
          <w:szCs w:val="24"/>
        </w:rPr>
        <w:t>f</w:t>
      </w:r>
      <w:r w:rsidRPr="003D5CE4">
        <w:rPr>
          <w:rFonts w:ascii="Garamond" w:hAnsi="Garamond" w:cs="Times New Roman"/>
          <w:b/>
          <w:bCs/>
          <w:color w:val="000000"/>
          <w:sz w:val="24"/>
          <w:szCs w:val="24"/>
        </w:rPr>
        <w:t>at</w:t>
      </w:r>
      <w:r w:rsidRPr="003D5CE4">
        <w:rPr>
          <w:rFonts w:ascii="Garamond" w:hAnsi="Garamond" w:cs="Times New Roman"/>
          <w:b/>
          <w:bCs/>
          <w:color w:val="000000"/>
          <w:spacing w:val="-2"/>
          <w:sz w:val="24"/>
          <w:szCs w:val="24"/>
        </w:rPr>
        <w:t>e</w:t>
      </w:r>
      <w:r w:rsidRPr="003D5CE4">
        <w:rPr>
          <w:rFonts w:ascii="Garamond" w:hAnsi="Garamond" w:cs="Times New Roman"/>
          <w:b/>
          <w:bCs/>
          <w:color w:val="000000"/>
          <w:sz w:val="24"/>
          <w:szCs w:val="24"/>
        </w:rPr>
        <w:t>ve</w:t>
      </w:r>
      <w:r w:rsidRPr="003D5CE4">
        <w:rPr>
          <w:rFonts w:ascii="Garamond" w:hAnsi="Garamond" w:cs="Times New Roman"/>
          <w:b/>
          <w:bCs/>
          <w:color w:val="000000"/>
          <w:spacing w:val="18"/>
          <w:sz w:val="24"/>
          <w:szCs w:val="24"/>
        </w:rPr>
        <w:t xml:space="preserve"> </w:t>
      </w:r>
      <w:r w:rsidRPr="003D5CE4">
        <w:rPr>
          <w:rFonts w:ascii="Garamond" w:hAnsi="Garamond" w:cs="Times New Roman"/>
          <w:b/>
          <w:bCs/>
          <w:color w:val="000000"/>
          <w:spacing w:val="2"/>
          <w:sz w:val="24"/>
          <w:szCs w:val="24"/>
        </w:rPr>
        <w:t>s</w:t>
      </w:r>
      <w:r w:rsidRPr="003D5CE4">
        <w:rPr>
          <w:rFonts w:ascii="Garamond" w:hAnsi="Garamond" w:cs="Times New Roman"/>
          <w:b/>
          <w:bCs/>
          <w:color w:val="000000"/>
          <w:sz w:val="24"/>
          <w:szCs w:val="24"/>
        </w:rPr>
        <w:t>tan</w:t>
      </w:r>
      <w:r w:rsidRPr="003D5CE4">
        <w:rPr>
          <w:rFonts w:ascii="Garamond" w:hAnsi="Garamond" w:cs="Times New Roman"/>
          <w:b/>
          <w:bCs/>
          <w:color w:val="000000"/>
          <w:spacing w:val="1"/>
          <w:sz w:val="24"/>
          <w:szCs w:val="24"/>
        </w:rPr>
        <w:t>d</w:t>
      </w:r>
      <w:r w:rsidRPr="003D5CE4">
        <w:rPr>
          <w:rFonts w:ascii="Garamond" w:hAnsi="Garamond" w:cs="Times New Roman"/>
          <w:b/>
          <w:bCs/>
          <w:color w:val="000000"/>
          <w:sz w:val="24"/>
          <w:szCs w:val="24"/>
        </w:rPr>
        <w:t>a</w:t>
      </w:r>
      <w:r w:rsidRPr="003D5CE4">
        <w:rPr>
          <w:rFonts w:ascii="Garamond" w:hAnsi="Garamond" w:cs="Times New Roman"/>
          <w:b/>
          <w:bCs/>
          <w:color w:val="000000"/>
          <w:spacing w:val="-1"/>
          <w:sz w:val="24"/>
          <w:szCs w:val="24"/>
        </w:rPr>
        <w:t>r</w:t>
      </w:r>
      <w:r w:rsidRPr="003D5CE4">
        <w:rPr>
          <w:rFonts w:ascii="Garamond" w:hAnsi="Garamond" w:cs="Times New Roman"/>
          <w:b/>
          <w:bCs/>
          <w:color w:val="000000"/>
          <w:spacing w:val="1"/>
          <w:sz w:val="24"/>
          <w:szCs w:val="24"/>
        </w:rPr>
        <w:t>d</w:t>
      </w:r>
      <w:r w:rsidRPr="003D5CE4">
        <w:rPr>
          <w:rFonts w:ascii="Garamond" w:hAnsi="Garamond" w:cs="Times New Roman"/>
          <w:b/>
          <w:bCs/>
          <w:color w:val="000000"/>
          <w:sz w:val="24"/>
          <w:szCs w:val="24"/>
        </w:rPr>
        <w:t>e</w:t>
      </w:r>
      <w:r w:rsidRPr="003D5CE4">
        <w:rPr>
          <w:rFonts w:ascii="Garamond" w:hAnsi="Garamond" w:cs="Times New Roman"/>
          <w:b/>
          <w:bCs/>
          <w:color w:val="000000"/>
          <w:spacing w:val="18"/>
          <w:sz w:val="24"/>
          <w:szCs w:val="24"/>
        </w:rPr>
        <w:t xml:space="preserve"> </w:t>
      </w:r>
      <w:r w:rsidRPr="003D5CE4">
        <w:rPr>
          <w:rFonts w:ascii="Garamond" w:hAnsi="Garamond" w:cs="Times New Roman"/>
          <w:b/>
          <w:bCs/>
          <w:color w:val="000000"/>
          <w:sz w:val="24"/>
          <w:szCs w:val="24"/>
        </w:rPr>
        <w:t>(a</w:t>
      </w:r>
      <w:r w:rsidRPr="003D5CE4">
        <w:rPr>
          <w:rFonts w:ascii="Garamond" w:hAnsi="Garamond" w:cs="Times New Roman"/>
          <w:b/>
          <w:bCs/>
          <w:color w:val="000000"/>
          <w:spacing w:val="1"/>
          <w:sz w:val="24"/>
          <w:szCs w:val="24"/>
        </w:rPr>
        <w:t>f</w:t>
      </w:r>
      <w:r w:rsidRPr="003D5CE4">
        <w:rPr>
          <w:rFonts w:ascii="Garamond" w:hAnsi="Garamond" w:cs="Times New Roman"/>
          <w:b/>
          <w:bCs/>
          <w:color w:val="000000"/>
          <w:sz w:val="24"/>
          <w:szCs w:val="24"/>
        </w:rPr>
        <w:t>at</w:t>
      </w:r>
      <w:r w:rsidRPr="003D5CE4">
        <w:rPr>
          <w:rFonts w:ascii="Garamond" w:hAnsi="Garamond" w:cs="Times New Roman"/>
          <w:b/>
          <w:bCs/>
          <w:color w:val="000000"/>
          <w:spacing w:val="18"/>
          <w:sz w:val="24"/>
          <w:szCs w:val="24"/>
        </w:rPr>
        <w:t xml:space="preserve"> </w:t>
      </w:r>
      <w:r w:rsidRPr="003D5CE4">
        <w:rPr>
          <w:rFonts w:ascii="Garamond" w:hAnsi="Garamond" w:cs="Times New Roman"/>
          <w:b/>
          <w:bCs/>
          <w:color w:val="000000"/>
          <w:spacing w:val="-2"/>
          <w:sz w:val="24"/>
          <w:szCs w:val="24"/>
        </w:rPr>
        <w:t>l</w:t>
      </w:r>
      <w:r w:rsidRPr="003D5CE4">
        <w:rPr>
          <w:rFonts w:ascii="Garamond" w:hAnsi="Garamond" w:cs="Times New Roman"/>
          <w:b/>
          <w:bCs/>
          <w:color w:val="000000"/>
          <w:sz w:val="24"/>
          <w:szCs w:val="24"/>
        </w:rPr>
        <w:t>igjor)</w:t>
      </w:r>
      <w:r w:rsidRPr="003D5CE4">
        <w:rPr>
          <w:rFonts w:ascii="Garamond" w:hAnsi="Garamond" w:cs="Times New Roman"/>
          <w:b/>
          <w:bCs/>
          <w:color w:val="000000"/>
          <w:spacing w:val="2"/>
          <w:sz w:val="24"/>
          <w:szCs w:val="24"/>
        </w:rPr>
        <w:t xml:space="preserve"> </w:t>
      </w:r>
      <w:r w:rsidRPr="003D5CE4">
        <w:rPr>
          <w:rFonts w:ascii="Garamond" w:hAnsi="Garamond" w:cs="Times New Roman"/>
          <w:b/>
          <w:bCs/>
          <w:color w:val="000000"/>
          <w:spacing w:val="1"/>
          <w:sz w:val="24"/>
          <w:szCs w:val="24"/>
        </w:rPr>
        <w:t>n</w:t>
      </w:r>
      <w:r w:rsidRPr="003D5CE4">
        <w:rPr>
          <w:rFonts w:ascii="Garamond" w:hAnsi="Garamond" w:cs="Times New Roman"/>
          <w:b/>
          <w:bCs/>
          <w:color w:val="000000"/>
          <w:spacing w:val="-1"/>
          <w:sz w:val="24"/>
          <w:szCs w:val="24"/>
        </w:rPr>
        <w:t>ë</w:t>
      </w:r>
      <w:r w:rsidRPr="003D5CE4">
        <w:rPr>
          <w:rFonts w:ascii="Garamond" w:hAnsi="Garamond" w:cs="Times New Roman"/>
          <w:b/>
          <w:bCs/>
          <w:color w:val="000000"/>
          <w:sz w:val="24"/>
          <w:szCs w:val="24"/>
        </w:rPr>
        <w:t>se</w:t>
      </w:r>
      <w:r w:rsidRPr="003D5CE4">
        <w:rPr>
          <w:rFonts w:ascii="Garamond" w:hAnsi="Garamond" w:cs="Times New Roman"/>
          <w:b/>
          <w:bCs/>
          <w:color w:val="000000"/>
          <w:spacing w:val="-1"/>
          <w:sz w:val="24"/>
          <w:szCs w:val="24"/>
        </w:rPr>
        <w:t xml:space="preserve"> </w:t>
      </w:r>
      <w:r w:rsidRPr="003D5CE4">
        <w:rPr>
          <w:rFonts w:ascii="Garamond" w:hAnsi="Garamond" w:cs="Times New Roman"/>
          <w:b/>
          <w:bCs/>
          <w:color w:val="000000"/>
          <w:spacing w:val="1"/>
          <w:sz w:val="24"/>
          <w:szCs w:val="24"/>
        </w:rPr>
        <w:t>k</w:t>
      </w:r>
      <w:r w:rsidRPr="003D5CE4">
        <w:rPr>
          <w:rFonts w:ascii="Garamond" w:hAnsi="Garamond" w:cs="Times New Roman"/>
          <w:b/>
          <w:bCs/>
          <w:color w:val="000000"/>
          <w:sz w:val="24"/>
          <w:szCs w:val="24"/>
        </w:rPr>
        <w:t>a të</w:t>
      </w:r>
      <w:r w:rsidRPr="003D5CE4">
        <w:rPr>
          <w:rFonts w:ascii="Garamond" w:hAnsi="Garamond" w:cs="Times New Roman"/>
          <w:b/>
          <w:bCs/>
          <w:color w:val="000000"/>
          <w:spacing w:val="-2"/>
          <w:sz w:val="24"/>
          <w:szCs w:val="24"/>
        </w:rPr>
        <w:t xml:space="preserve"> </w:t>
      </w:r>
      <w:r w:rsidRPr="003D5CE4">
        <w:rPr>
          <w:rFonts w:ascii="Garamond" w:hAnsi="Garamond" w:cs="Times New Roman"/>
          <w:b/>
          <w:bCs/>
          <w:color w:val="000000"/>
          <w:sz w:val="24"/>
          <w:szCs w:val="24"/>
        </w:rPr>
        <w:t>tilla të</w:t>
      </w:r>
      <w:r w:rsidRPr="003D5CE4">
        <w:rPr>
          <w:rFonts w:ascii="Garamond" w:hAnsi="Garamond" w:cs="Times New Roman"/>
          <w:b/>
          <w:bCs/>
          <w:color w:val="000000"/>
          <w:spacing w:val="-2"/>
          <w:sz w:val="24"/>
          <w:szCs w:val="24"/>
        </w:rPr>
        <w:t xml:space="preserve"> </w:t>
      </w:r>
      <w:r w:rsidRPr="003D5CE4">
        <w:rPr>
          <w:rFonts w:ascii="Garamond" w:hAnsi="Garamond" w:cs="Times New Roman"/>
          <w:b/>
          <w:bCs/>
          <w:color w:val="000000"/>
          <w:spacing w:val="1"/>
          <w:sz w:val="24"/>
          <w:szCs w:val="24"/>
        </w:rPr>
        <w:t>p</w:t>
      </w:r>
      <w:r w:rsidRPr="003D5CE4">
        <w:rPr>
          <w:rFonts w:ascii="Garamond" w:hAnsi="Garamond" w:cs="Times New Roman"/>
          <w:b/>
          <w:bCs/>
          <w:color w:val="000000"/>
          <w:spacing w:val="-1"/>
          <w:sz w:val="24"/>
          <w:szCs w:val="24"/>
        </w:rPr>
        <w:t>ë</w:t>
      </w:r>
      <w:r w:rsidRPr="003D5CE4">
        <w:rPr>
          <w:rFonts w:ascii="Garamond" w:hAnsi="Garamond" w:cs="Times New Roman"/>
          <w:b/>
          <w:bCs/>
          <w:color w:val="000000"/>
          <w:spacing w:val="1"/>
          <w:sz w:val="24"/>
          <w:szCs w:val="24"/>
        </w:rPr>
        <w:t>r</w:t>
      </w:r>
      <w:r w:rsidRPr="003D5CE4">
        <w:rPr>
          <w:rFonts w:ascii="Garamond" w:hAnsi="Garamond" w:cs="Times New Roman"/>
          <w:b/>
          <w:bCs/>
          <w:color w:val="000000"/>
          <w:spacing w:val="-1"/>
          <w:sz w:val="24"/>
          <w:szCs w:val="24"/>
        </w:rPr>
        <w:t>c</w:t>
      </w:r>
      <w:r w:rsidRPr="003D5CE4">
        <w:rPr>
          <w:rFonts w:ascii="Garamond" w:hAnsi="Garamond" w:cs="Times New Roman"/>
          <w:b/>
          <w:bCs/>
          <w:color w:val="000000"/>
          <w:spacing w:val="2"/>
          <w:sz w:val="24"/>
          <w:szCs w:val="24"/>
        </w:rPr>
        <w:t>a</w:t>
      </w:r>
      <w:r w:rsidRPr="003D5CE4">
        <w:rPr>
          <w:rFonts w:ascii="Garamond" w:hAnsi="Garamond" w:cs="Times New Roman"/>
          <w:b/>
          <w:bCs/>
          <w:color w:val="000000"/>
          <w:spacing w:val="1"/>
          <w:sz w:val="24"/>
          <w:szCs w:val="24"/>
        </w:rPr>
        <w:t>k</w:t>
      </w:r>
      <w:r w:rsidRPr="003D5CE4">
        <w:rPr>
          <w:rFonts w:ascii="Garamond" w:hAnsi="Garamond" w:cs="Times New Roman"/>
          <w:b/>
          <w:bCs/>
          <w:color w:val="000000"/>
          <w:sz w:val="24"/>
          <w:szCs w:val="24"/>
        </w:rPr>
        <w:t>tua</w:t>
      </w:r>
      <w:r w:rsidRPr="003D5CE4">
        <w:rPr>
          <w:rFonts w:ascii="Garamond" w:hAnsi="Garamond" w:cs="Times New Roman"/>
          <w:b/>
          <w:bCs/>
          <w:color w:val="000000"/>
          <w:spacing w:val="-1"/>
          <w:sz w:val="24"/>
          <w:szCs w:val="24"/>
        </w:rPr>
        <w:t>r</w:t>
      </w:r>
      <w:r w:rsidRPr="003D5CE4">
        <w:rPr>
          <w:rFonts w:ascii="Garamond" w:hAnsi="Garamond" w:cs="Times New Roman"/>
          <w:b/>
          <w:bCs/>
          <w:color w:val="000000"/>
          <w:sz w:val="24"/>
          <w:szCs w:val="24"/>
        </w:rPr>
        <w:t xml:space="preserve">a </w:t>
      </w:r>
      <w:r w:rsidRPr="003D5CE4">
        <w:rPr>
          <w:rFonts w:ascii="Garamond" w:hAnsi="Garamond" w:cs="Times New Roman"/>
          <w:b/>
          <w:bCs/>
          <w:color w:val="000000"/>
          <w:spacing w:val="1"/>
          <w:sz w:val="24"/>
          <w:szCs w:val="24"/>
        </w:rPr>
        <w:t>n</w:t>
      </w:r>
      <w:r w:rsidRPr="003D5CE4">
        <w:rPr>
          <w:rFonts w:ascii="Garamond" w:hAnsi="Garamond" w:cs="Times New Roman"/>
          <w:b/>
          <w:bCs/>
          <w:color w:val="000000"/>
          <w:sz w:val="24"/>
          <w:szCs w:val="24"/>
        </w:rPr>
        <w:t>ë</w:t>
      </w:r>
      <w:r w:rsidRPr="003D5CE4">
        <w:rPr>
          <w:rFonts w:ascii="Garamond" w:hAnsi="Garamond" w:cs="Times New Roman"/>
          <w:b/>
          <w:bCs/>
          <w:color w:val="000000"/>
          <w:spacing w:val="-1"/>
          <w:sz w:val="24"/>
          <w:szCs w:val="24"/>
        </w:rPr>
        <w:t xml:space="preserve"> </w:t>
      </w:r>
      <w:r w:rsidRPr="003D5CE4">
        <w:rPr>
          <w:rFonts w:ascii="Garamond" w:hAnsi="Garamond" w:cs="Times New Roman"/>
          <w:b/>
          <w:bCs/>
          <w:color w:val="000000"/>
          <w:sz w:val="24"/>
          <w:szCs w:val="24"/>
        </w:rPr>
        <w:t>v</w:t>
      </w:r>
      <w:r w:rsidRPr="003D5CE4">
        <w:rPr>
          <w:rFonts w:ascii="Garamond" w:hAnsi="Garamond" w:cs="Times New Roman"/>
          <w:b/>
          <w:bCs/>
          <w:color w:val="000000"/>
          <w:spacing w:val="-1"/>
          <w:sz w:val="24"/>
          <w:szCs w:val="24"/>
        </w:rPr>
        <w:t>e</w:t>
      </w:r>
      <w:r w:rsidRPr="003D5CE4">
        <w:rPr>
          <w:rFonts w:ascii="Garamond" w:hAnsi="Garamond" w:cs="Times New Roman"/>
          <w:b/>
          <w:bCs/>
          <w:color w:val="000000"/>
          <w:spacing w:val="1"/>
          <w:sz w:val="24"/>
          <w:szCs w:val="24"/>
        </w:rPr>
        <w:t>nd</w:t>
      </w:r>
      <w:r w:rsidRPr="003D5CE4">
        <w:rPr>
          <w:rFonts w:ascii="Garamond" w:hAnsi="Garamond" w:cs="Times New Roman"/>
          <w:b/>
          <w:bCs/>
          <w:color w:val="000000"/>
          <w:sz w:val="24"/>
          <w:szCs w:val="24"/>
        </w:rPr>
        <w:t>i</w:t>
      </w:r>
      <w:r w:rsidRPr="003D5CE4">
        <w:rPr>
          <w:rFonts w:ascii="Garamond" w:hAnsi="Garamond" w:cs="Times New Roman"/>
          <w:b/>
          <w:bCs/>
          <w:color w:val="000000"/>
          <w:spacing w:val="-3"/>
          <w:sz w:val="24"/>
          <w:szCs w:val="24"/>
        </w:rPr>
        <w:t>m</w:t>
      </w:r>
      <w:r w:rsidRPr="003D5CE4">
        <w:rPr>
          <w:rFonts w:ascii="Garamond" w:hAnsi="Garamond" w:cs="Times New Roman"/>
          <w:b/>
          <w:bCs/>
          <w:color w:val="000000"/>
          <w:sz w:val="24"/>
          <w:szCs w:val="24"/>
        </w:rPr>
        <w:t>in</w:t>
      </w:r>
      <w:r w:rsidRPr="003D5CE4">
        <w:rPr>
          <w:rFonts w:ascii="Garamond" w:hAnsi="Garamond" w:cs="Times New Roman"/>
          <w:b/>
          <w:bCs/>
          <w:color w:val="000000"/>
          <w:spacing w:val="1"/>
          <w:sz w:val="24"/>
          <w:szCs w:val="24"/>
        </w:rPr>
        <w:t xml:space="preserve"> </w:t>
      </w:r>
      <w:r w:rsidRPr="003D5CE4">
        <w:rPr>
          <w:rFonts w:ascii="Garamond" w:hAnsi="Garamond" w:cs="Times New Roman"/>
          <w:b/>
          <w:bCs/>
          <w:color w:val="000000"/>
          <w:sz w:val="24"/>
          <w:szCs w:val="24"/>
        </w:rPr>
        <w:t>e</w:t>
      </w:r>
      <w:r w:rsidRPr="003D5CE4">
        <w:rPr>
          <w:rFonts w:ascii="Garamond" w:hAnsi="Garamond" w:cs="Times New Roman"/>
          <w:b/>
          <w:bCs/>
          <w:color w:val="000000"/>
          <w:spacing w:val="-1"/>
          <w:sz w:val="24"/>
          <w:szCs w:val="24"/>
        </w:rPr>
        <w:t xml:space="preserve"> r</w:t>
      </w:r>
      <w:r w:rsidRPr="003D5CE4">
        <w:rPr>
          <w:rFonts w:ascii="Garamond" w:hAnsi="Garamond" w:cs="Times New Roman"/>
          <w:b/>
          <w:bCs/>
          <w:color w:val="000000"/>
          <w:spacing w:val="1"/>
          <w:sz w:val="24"/>
          <w:szCs w:val="24"/>
        </w:rPr>
        <w:t>e</w:t>
      </w:r>
      <w:r w:rsidRPr="003D5CE4">
        <w:rPr>
          <w:rFonts w:ascii="Garamond" w:hAnsi="Garamond" w:cs="Times New Roman"/>
          <w:b/>
          <w:bCs/>
          <w:color w:val="000000"/>
          <w:sz w:val="24"/>
          <w:szCs w:val="24"/>
        </w:rPr>
        <w:t>lato</w:t>
      </w:r>
      <w:r w:rsidRPr="003D5CE4">
        <w:rPr>
          <w:rFonts w:ascii="Garamond" w:hAnsi="Garamond" w:cs="Times New Roman"/>
          <w:b/>
          <w:bCs/>
          <w:color w:val="000000"/>
          <w:spacing w:val="-1"/>
          <w:sz w:val="24"/>
          <w:szCs w:val="24"/>
        </w:rPr>
        <w:t>r</w:t>
      </w:r>
      <w:r w:rsidRPr="003D5CE4">
        <w:rPr>
          <w:rFonts w:ascii="Garamond" w:hAnsi="Garamond" w:cs="Times New Roman"/>
          <w:b/>
          <w:bCs/>
          <w:color w:val="000000"/>
          <w:sz w:val="24"/>
          <w:szCs w:val="24"/>
        </w:rPr>
        <w:t>it.</w:t>
      </w:r>
    </w:p>
    <w:p w14:paraId="6F747710" w14:textId="77777777" w:rsidR="00F052F6" w:rsidRPr="002F5D3C" w:rsidRDefault="00F052F6" w:rsidP="00F052F6">
      <w:pPr>
        <w:widowControl w:val="0"/>
        <w:autoSpaceDE w:val="0"/>
        <w:autoSpaceDN w:val="0"/>
        <w:adjustRightInd w:val="0"/>
        <w:spacing w:after="0" w:line="240" w:lineRule="auto"/>
        <w:ind w:firstLine="284"/>
        <w:jc w:val="both"/>
        <w:rPr>
          <w:rFonts w:ascii="Garamond" w:eastAsia="Times New Roman" w:hAnsi="Garamond" w:cs="Times New Roman"/>
          <w:color w:val="000000"/>
          <w:sz w:val="14"/>
          <w:szCs w:val="24"/>
          <w:lang w:eastAsia="sq-AL"/>
        </w:rPr>
      </w:pPr>
      <w:r w:rsidRPr="003D5CE4">
        <w:rPr>
          <w:rFonts w:ascii="Garamond" w:eastAsia="Times New Roman" w:hAnsi="Garamond" w:cs="Times New Roman"/>
          <w:color w:val="000000"/>
          <w:spacing w:val="1"/>
          <w:sz w:val="24"/>
          <w:szCs w:val="24"/>
          <w:lang w:eastAsia="sq-AL"/>
        </w:rPr>
        <w:t>S</w:t>
      </w:r>
      <w:r w:rsidRPr="003D5CE4">
        <w:rPr>
          <w:rFonts w:ascii="Garamond" w:eastAsia="Times New Roman" w:hAnsi="Garamond" w:cs="Times New Roman"/>
          <w:color w:val="000000"/>
          <w:sz w:val="24"/>
          <w:szCs w:val="24"/>
          <w:lang w:eastAsia="sq-AL"/>
        </w:rPr>
        <w:t>ipas</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tab</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lës</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me</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të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dh</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na</w:t>
      </w:r>
      <w:r w:rsidRPr="003D5CE4">
        <w:rPr>
          <w:rFonts w:ascii="Garamond" w:eastAsia="Times New Roman" w:hAnsi="Garamond" w:cs="Times New Roman"/>
          <w:color w:val="000000"/>
          <w:spacing w:val="2"/>
          <w:sz w:val="24"/>
          <w:szCs w:val="24"/>
          <w:lang w:eastAsia="sq-AL"/>
        </w:rPr>
        <w:t xml:space="preserve"> </w:t>
      </w:r>
      <w:r w:rsidRPr="003D5CE4">
        <w:rPr>
          <w:rFonts w:ascii="Garamond" w:eastAsia="Times New Roman" w:hAnsi="Garamond" w:cs="Times New Roman"/>
          <w:color w:val="000000"/>
          <w:sz w:val="24"/>
          <w:szCs w:val="24"/>
          <w:lang w:eastAsia="sq-AL"/>
        </w:rPr>
        <w:t>stati</w:t>
      </w:r>
      <w:r w:rsidRPr="003D5CE4">
        <w:rPr>
          <w:rFonts w:ascii="Garamond" w:eastAsia="Times New Roman" w:hAnsi="Garamond" w:cs="Times New Roman"/>
          <w:color w:val="000000"/>
          <w:spacing w:val="1"/>
          <w:sz w:val="24"/>
          <w:szCs w:val="24"/>
          <w:lang w:eastAsia="sq-AL"/>
        </w:rPr>
        <w:t>s</w:t>
      </w:r>
      <w:r w:rsidRPr="003D5CE4">
        <w:rPr>
          <w:rFonts w:ascii="Garamond" w:eastAsia="Times New Roman" w:hAnsi="Garamond" w:cs="Times New Roman"/>
          <w:color w:val="000000"/>
          <w:sz w:val="24"/>
          <w:szCs w:val="24"/>
          <w:lang w:eastAsia="sq-AL"/>
        </w:rPr>
        <w:t>t</w:t>
      </w:r>
      <w:r w:rsidRPr="003D5CE4">
        <w:rPr>
          <w:rFonts w:ascii="Garamond" w:eastAsia="Times New Roman" w:hAnsi="Garamond" w:cs="Times New Roman"/>
          <w:color w:val="000000"/>
          <w:spacing w:val="1"/>
          <w:sz w:val="24"/>
          <w:szCs w:val="24"/>
          <w:lang w:eastAsia="sq-AL"/>
        </w:rPr>
        <w:t>i</w:t>
      </w:r>
      <w:r w:rsidRPr="003D5CE4">
        <w:rPr>
          <w:rFonts w:ascii="Garamond" w:eastAsia="Times New Roman" w:hAnsi="Garamond" w:cs="Times New Roman"/>
          <w:color w:val="000000"/>
          <w:sz w:val="24"/>
          <w:szCs w:val="24"/>
          <w:lang w:eastAsia="sq-AL"/>
        </w:rPr>
        <w:t>kore 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 xml:space="preserve">r </w:t>
      </w:r>
      <w:r w:rsidRPr="003D5CE4">
        <w:rPr>
          <w:rFonts w:ascii="Garamond" w:eastAsia="Times New Roman" w:hAnsi="Garamond" w:cs="Times New Roman"/>
          <w:color w:val="000000"/>
          <w:spacing w:val="-1"/>
          <w:sz w:val="24"/>
          <w:szCs w:val="24"/>
          <w:lang w:eastAsia="sq-AL"/>
        </w:rPr>
        <w:t>çë</w:t>
      </w:r>
      <w:r w:rsidRPr="003D5CE4">
        <w:rPr>
          <w:rFonts w:ascii="Garamond" w:eastAsia="Times New Roman" w:hAnsi="Garamond" w:cs="Times New Roman"/>
          <w:color w:val="000000"/>
          <w:sz w:val="24"/>
          <w:szCs w:val="24"/>
          <w:lang w:eastAsia="sq-AL"/>
        </w:rPr>
        <w:t>sh</w:t>
      </w:r>
      <w:r w:rsidRPr="003D5CE4">
        <w:rPr>
          <w:rFonts w:ascii="Garamond" w:eastAsia="Times New Roman" w:hAnsi="Garamond" w:cs="Times New Roman"/>
          <w:color w:val="000000"/>
          <w:spacing w:val="3"/>
          <w:sz w:val="24"/>
          <w:szCs w:val="24"/>
          <w:lang w:eastAsia="sq-AL"/>
        </w:rPr>
        <w:t>t</w:t>
      </w:r>
      <w:r w:rsidRPr="003D5CE4">
        <w:rPr>
          <w:rFonts w:ascii="Garamond" w:eastAsia="Times New Roman" w:hAnsi="Garamond" w:cs="Times New Roman"/>
          <w:color w:val="000000"/>
          <w:sz w:val="24"/>
          <w:szCs w:val="24"/>
          <w:lang w:eastAsia="sq-AL"/>
        </w:rPr>
        <w:t>jet</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 të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pacing w:val="-1"/>
          <w:sz w:val="24"/>
          <w:szCs w:val="24"/>
          <w:lang w:eastAsia="sq-AL"/>
        </w:rPr>
        <w:t>c</w:t>
      </w:r>
      <w:r w:rsidRPr="003D5CE4">
        <w:rPr>
          <w:rFonts w:ascii="Garamond" w:eastAsia="Times New Roman" w:hAnsi="Garamond" w:cs="Times New Roman"/>
          <w:color w:val="000000"/>
          <w:sz w:val="24"/>
          <w:szCs w:val="24"/>
          <w:lang w:eastAsia="sq-AL"/>
        </w:rPr>
        <w:t>i</w:t>
      </w:r>
      <w:r w:rsidRPr="003D5CE4">
        <w:rPr>
          <w:rFonts w:ascii="Garamond" w:eastAsia="Times New Roman" w:hAnsi="Garamond" w:cs="Times New Roman"/>
          <w:color w:val="000000"/>
          <w:spacing w:val="1"/>
          <w:sz w:val="24"/>
          <w:szCs w:val="24"/>
          <w:lang w:eastAsia="sq-AL"/>
        </w:rPr>
        <w:t>l</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t</w:t>
      </w:r>
      <w:r w:rsidRPr="003D5CE4">
        <w:rPr>
          <w:rFonts w:ascii="Garamond" w:eastAsia="Times New Roman" w:hAnsi="Garamond" w:cs="Times New Roman"/>
          <w:color w:val="000000"/>
          <w:spacing w:val="2"/>
          <w:sz w:val="24"/>
          <w:szCs w:val="24"/>
          <w:lang w:eastAsia="sq-AL"/>
        </w:rPr>
        <w:t xml:space="preserve"> </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shtë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v</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ndosur</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rt</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j</w:t>
      </w:r>
      <w:r w:rsidRPr="003D5CE4">
        <w:rPr>
          <w:rFonts w:ascii="Garamond" w:eastAsia="Times New Roman" w:hAnsi="Garamond" w:cs="Times New Roman"/>
          <w:color w:val="000000"/>
          <w:spacing w:val="2"/>
          <w:sz w:val="24"/>
          <w:szCs w:val="24"/>
          <w:lang w:eastAsia="sq-AL"/>
        </w:rPr>
        <w:t xml:space="preserve"> </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f</w:t>
      </w:r>
      <w:r w:rsidRPr="003D5CE4">
        <w:rPr>
          <w:rFonts w:ascii="Garamond" w:eastAsia="Times New Roman" w:hAnsi="Garamond" w:cs="Times New Roman"/>
          <w:color w:val="000000"/>
          <w:spacing w:val="-2"/>
          <w:sz w:val="24"/>
          <w:szCs w:val="24"/>
          <w:lang w:eastAsia="sq-AL"/>
        </w:rPr>
        <w:t>a</w:t>
      </w:r>
      <w:r w:rsidRPr="003D5CE4">
        <w:rPr>
          <w:rFonts w:ascii="Garamond" w:eastAsia="Times New Roman" w:hAnsi="Garamond" w:cs="Times New Roman"/>
          <w:color w:val="000000"/>
          <w:spacing w:val="3"/>
          <w:sz w:val="24"/>
          <w:szCs w:val="24"/>
          <w:lang w:eastAsia="sq-AL"/>
        </w:rPr>
        <w:t>t</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ve stand</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rd</w:t>
      </w:r>
      <w:r w:rsidRPr="003D5CE4">
        <w:rPr>
          <w:rFonts w:ascii="Garamond" w:eastAsia="Times New Roman" w:hAnsi="Garamond" w:cs="Times New Roman"/>
          <w:color w:val="000000"/>
          <w:spacing w:val="-2"/>
          <w:sz w:val="24"/>
          <w:szCs w:val="24"/>
          <w:lang w:eastAsia="sq-AL"/>
        </w:rPr>
        <w:t>e</w:t>
      </w:r>
      <w:r w:rsidRPr="003D5CE4">
        <w:rPr>
          <w:rFonts w:ascii="Garamond" w:eastAsia="Times New Roman" w:hAnsi="Garamond" w:cs="Times New Roman"/>
          <w:color w:val="000000"/>
          <w:sz w:val="24"/>
          <w:szCs w:val="24"/>
          <w:lang w:eastAsia="sq-AL"/>
        </w:rPr>
        <w:t>,</w:t>
      </w:r>
      <w:r w:rsidRPr="003D5CE4">
        <w:rPr>
          <w:rFonts w:ascii="Garamond" w:eastAsia="Times New Roman" w:hAnsi="Garamond" w:cs="Times New Roman"/>
          <w:color w:val="000000"/>
          <w:spacing w:val="-10"/>
          <w:sz w:val="24"/>
          <w:szCs w:val="24"/>
          <w:lang w:eastAsia="sq-AL"/>
        </w:rPr>
        <w:t xml:space="preserve"> </w:t>
      </w:r>
      <w:r w:rsidRPr="003D5CE4">
        <w:rPr>
          <w:rFonts w:ascii="Garamond" w:eastAsia="Times New Roman" w:hAnsi="Garamond" w:cs="Times New Roman"/>
          <w:color w:val="000000"/>
          <w:spacing w:val="1"/>
          <w:sz w:val="24"/>
          <w:szCs w:val="24"/>
          <w:lang w:eastAsia="sq-AL"/>
        </w:rPr>
        <w:t>z</w:t>
      </w:r>
      <w:r w:rsidRPr="003D5CE4">
        <w:rPr>
          <w:rFonts w:ascii="Garamond" w:eastAsia="Times New Roman" w:hAnsi="Garamond" w:cs="Times New Roman"/>
          <w:color w:val="000000"/>
          <w:sz w:val="24"/>
          <w:szCs w:val="24"/>
          <w:lang w:eastAsia="sq-AL"/>
        </w:rPr>
        <w:t>hvi</w:t>
      </w:r>
      <w:r w:rsidRPr="003D5CE4">
        <w:rPr>
          <w:rFonts w:ascii="Garamond" w:eastAsia="Times New Roman" w:hAnsi="Garamond" w:cs="Times New Roman"/>
          <w:color w:val="000000"/>
          <w:spacing w:val="1"/>
          <w:sz w:val="24"/>
          <w:szCs w:val="24"/>
          <w:lang w:eastAsia="sq-AL"/>
        </w:rPr>
        <w:t>l</w:t>
      </w:r>
      <w:r w:rsidRPr="003D5CE4">
        <w:rPr>
          <w:rFonts w:ascii="Garamond" w:eastAsia="Times New Roman" w:hAnsi="Garamond" w:cs="Times New Roman"/>
          <w:color w:val="000000"/>
          <w:sz w:val="24"/>
          <w:szCs w:val="24"/>
          <w:lang w:eastAsia="sq-AL"/>
        </w:rPr>
        <w:t>lohet</w:t>
      </w:r>
      <w:r w:rsidRPr="003D5CE4">
        <w:rPr>
          <w:rFonts w:ascii="Garamond" w:eastAsia="Times New Roman" w:hAnsi="Garamond" w:cs="Times New Roman"/>
          <w:color w:val="000000"/>
          <w:spacing w:val="-12"/>
          <w:sz w:val="24"/>
          <w:szCs w:val="24"/>
          <w:lang w:eastAsia="sq-AL"/>
        </w:rPr>
        <w:t xml:space="preserve"> </w:t>
      </w:r>
      <w:r w:rsidRPr="003D5CE4">
        <w:rPr>
          <w:rFonts w:ascii="Garamond" w:eastAsia="Times New Roman" w:hAnsi="Garamond" w:cs="Times New Roman"/>
          <w:color w:val="000000"/>
          <w:sz w:val="24"/>
          <w:szCs w:val="24"/>
          <w:lang w:eastAsia="sq-AL"/>
        </w:rPr>
        <w:t>pro</w:t>
      </w:r>
      <w:r w:rsidRPr="003D5CE4">
        <w:rPr>
          <w:rFonts w:ascii="Garamond" w:eastAsia="Times New Roman" w:hAnsi="Garamond" w:cs="Times New Roman"/>
          <w:color w:val="000000"/>
          <w:spacing w:val="-2"/>
          <w:sz w:val="24"/>
          <w:szCs w:val="24"/>
          <w:lang w:eastAsia="sq-AL"/>
        </w:rPr>
        <w:t>c</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dura</w:t>
      </w:r>
      <w:r w:rsidRPr="003D5CE4">
        <w:rPr>
          <w:rFonts w:ascii="Garamond" w:eastAsia="Times New Roman" w:hAnsi="Garamond" w:cs="Times New Roman"/>
          <w:color w:val="000000"/>
          <w:spacing w:val="-12"/>
          <w:sz w:val="24"/>
          <w:szCs w:val="24"/>
          <w:lang w:eastAsia="sq-AL"/>
        </w:rPr>
        <w:t xml:space="preserve"> </w:t>
      </w:r>
      <w:r w:rsidRPr="003D5CE4">
        <w:rPr>
          <w:rFonts w:ascii="Garamond" w:eastAsia="Times New Roman" w:hAnsi="Garamond" w:cs="Times New Roman"/>
          <w:color w:val="000000"/>
          <w:sz w:val="24"/>
          <w:szCs w:val="24"/>
          <w:lang w:eastAsia="sq-AL"/>
        </w:rPr>
        <w:t>e</w:t>
      </w:r>
      <w:r w:rsidRPr="003D5CE4">
        <w:rPr>
          <w:rFonts w:ascii="Garamond" w:eastAsia="Times New Roman" w:hAnsi="Garamond" w:cs="Times New Roman"/>
          <w:color w:val="000000"/>
          <w:spacing w:val="-11"/>
          <w:sz w:val="24"/>
          <w:szCs w:val="24"/>
          <w:lang w:eastAsia="sq-AL"/>
        </w:rPr>
        <w:t xml:space="preserve"> </w:t>
      </w:r>
      <w:r w:rsidRPr="003D5CE4">
        <w:rPr>
          <w:rFonts w:ascii="Garamond" w:eastAsia="Times New Roman" w:hAnsi="Garamond" w:cs="Times New Roman"/>
          <w:color w:val="000000"/>
          <w:sz w:val="24"/>
          <w:szCs w:val="24"/>
          <w:lang w:eastAsia="sq-AL"/>
        </w:rPr>
        <w:t>shortit</w:t>
      </w:r>
      <w:r w:rsidRPr="003D5CE4">
        <w:rPr>
          <w:rFonts w:ascii="Garamond" w:eastAsia="Times New Roman" w:hAnsi="Garamond" w:cs="Times New Roman"/>
          <w:color w:val="000000"/>
          <w:spacing w:val="-11"/>
          <w:sz w:val="24"/>
          <w:szCs w:val="24"/>
          <w:lang w:eastAsia="sq-AL"/>
        </w:rPr>
        <w:t xml:space="preserve"> </w:t>
      </w:r>
      <w:r w:rsidRPr="003D5CE4">
        <w:rPr>
          <w:rFonts w:ascii="Garamond" w:eastAsia="Times New Roman" w:hAnsi="Garamond" w:cs="Times New Roman"/>
          <w:color w:val="000000"/>
          <w:spacing w:val="2"/>
          <w:sz w:val="24"/>
          <w:szCs w:val="24"/>
          <w:lang w:eastAsia="sq-AL"/>
        </w:rPr>
        <w:t>n</w:t>
      </w:r>
      <w:r w:rsidRPr="003D5CE4">
        <w:rPr>
          <w:rFonts w:ascii="Garamond" w:eastAsia="Times New Roman" w:hAnsi="Garamond" w:cs="Times New Roman"/>
          <w:color w:val="000000"/>
          <w:sz w:val="24"/>
          <w:szCs w:val="24"/>
          <w:lang w:eastAsia="sq-AL"/>
        </w:rPr>
        <w:t>ë</w:t>
      </w:r>
      <w:r w:rsidRPr="003D5CE4">
        <w:rPr>
          <w:rFonts w:ascii="Garamond" w:eastAsia="Times New Roman" w:hAnsi="Garamond" w:cs="Times New Roman"/>
          <w:color w:val="000000"/>
          <w:spacing w:val="-13"/>
          <w:sz w:val="24"/>
          <w:szCs w:val="24"/>
          <w:lang w:eastAsia="sq-AL"/>
        </w:rPr>
        <w:t xml:space="preserve"> </w:t>
      </w:r>
      <w:r w:rsidRPr="003D5CE4">
        <w:rPr>
          <w:rFonts w:ascii="Garamond" w:eastAsia="Times New Roman" w:hAnsi="Garamond" w:cs="Times New Roman"/>
          <w:color w:val="000000"/>
          <w:spacing w:val="2"/>
          <w:sz w:val="24"/>
          <w:szCs w:val="24"/>
          <w:lang w:eastAsia="sq-AL"/>
        </w:rPr>
        <w:t>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w:t>
      </w:r>
      <w:r w:rsidRPr="003D5CE4">
        <w:rPr>
          <w:rFonts w:ascii="Garamond" w:eastAsia="Times New Roman" w:hAnsi="Garamond" w:cs="Times New Roman"/>
          <w:color w:val="000000"/>
          <w:spacing w:val="-1"/>
          <w:sz w:val="24"/>
          <w:szCs w:val="24"/>
          <w:lang w:eastAsia="sq-AL"/>
        </w:rPr>
        <w:t>f</w:t>
      </w:r>
      <w:r w:rsidRPr="003D5CE4">
        <w:rPr>
          <w:rFonts w:ascii="Garamond" w:eastAsia="Times New Roman" w:hAnsi="Garamond" w:cs="Times New Roman"/>
          <w:color w:val="000000"/>
          <w:sz w:val="24"/>
          <w:szCs w:val="24"/>
          <w:lang w:eastAsia="sq-AL"/>
        </w:rPr>
        <w:t>u</w:t>
      </w:r>
      <w:r w:rsidRPr="003D5CE4">
        <w:rPr>
          <w:rFonts w:ascii="Garamond" w:eastAsia="Times New Roman" w:hAnsi="Garamond" w:cs="Times New Roman"/>
          <w:color w:val="000000"/>
          <w:spacing w:val="2"/>
          <w:sz w:val="24"/>
          <w:szCs w:val="24"/>
          <w:lang w:eastAsia="sq-AL"/>
        </w:rPr>
        <w:t>n</w:t>
      </w:r>
      <w:r w:rsidRPr="003D5CE4">
        <w:rPr>
          <w:rFonts w:ascii="Garamond" w:eastAsia="Times New Roman" w:hAnsi="Garamond" w:cs="Times New Roman"/>
          <w:color w:val="000000"/>
          <w:sz w:val="24"/>
          <w:szCs w:val="24"/>
          <w:lang w:eastAsia="sq-AL"/>
        </w:rPr>
        <w:t>dim</w:t>
      </w:r>
      <w:r w:rsidRPr="003D5CE4">
        <w:rPr>
          <w:rFonts w:ascii="Garamond" w:eastAsia="Times New Roman" w:hAnsi="Garamond" w:cs="Times New Roman"/>
          <w:color w:val="000000"/>
          <w:spacing w:val="-11"/>
          <w:sz w:val="24"/>
          <w:szCs w:val="24"/>
          <w:lang w:eastAsia="sq-AL"/>
        </w:rPr>
        <w:t xml:space="preserve"> </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pacing w:val="-1"/>
          <w:sz w:val="24"/>
          <w:szCs w:val="24"/>
          <w:lang w:eastAsia="sq-AL"/>
        </w:rPr>
        <w:t xml:space="preserve">ë </w:t>
      </w:r>
      <w:r>
        <w:rPr>
          <w:rFonts w:ascii="Garamond" w:eastAsia="Times New Roman" w:hAnsi="Garamond" w:cs="Times New Roman"/>
          <w:color w:val="000000"/>
          <w:sz w:val="24"/>
          <w:szCs w:val="24"/>
          <w:lang w:eastAsia="sq-AL"/>
        </w:rPr>
        <w:t>s</w:t>
      </w:r>
      <w:r w:rsidRPr="003D5CE4">
        <w:rPr>
          <w:rFonts w:ascii="Garamond" w:eastAsia="Times New Roman" w:hAnsi="Garamond" w:cs="Times New Roman"/>
          <w:color w:val="000000"/>
          <w:sz w:val="24"/>
          <w:szCs w:val="24"/>
          <w:lang w:eastAsia="sq-AL"/>
        </w:rPr>
        <w:t>ë</w:t>
      </w:r>
      <w:r w:rsidRPr="003D5CE4">
        <w:rPr>
          <w:rFonts w:ascii="Garamond" w:eastAsia="Times New Roman" w:hAnsi="Garamond" w:cs="Times New Roman"/>
          <w:color w:val="000000"/>
          <w:spacing w:val="-13"/>
          <w:sz w:val="24"/>
          <w:szCs w:val="24"/>
          <w:lang w:eastAsia="sq-AL"/>
        </w:rPr>
        <w:t xml:space="preserve"> </w:t>
      </w:r>
      <w:r w:rsidRPr="003D5CE4">
        <w:rPr>
          <w:rFonts w:ascii="Garamond" w:eastAsia="Times New Roman" w:hAnsi="Garamond" w:cs="Times New Roman"/>
          <w:color w:val="000000"/>
          <w:spacing w:val="-1"/>
          <w:sz w:val="24"/>
          <w:szCs w:val="24"/>
          <w:lang w:eastAsia="sq-AL"/>
        </w:rPr>
        <w:t>c</w:t>
      </w:r>
      <w:r w:rsidRPr="003D5CE4">
        <w:rPr>
          <w:rFonts w:ascii="Garamond" w:eastAsia="Times New Roman" w:hAnsi="Garamond" w:cs="Times New Roman"/>
          <w:color w:val="000000"/>
          <w:sz w:val="24"/>
          <w:szCs w:val="24"/>
          <w:lang w:eastAsia="sq-AL"/>
        </w:rPr>
        <w:t>i</w:t>
      </w:r>
      <w:r w:rsidRPr="003D5CE4">
        <w:rPr>
          <w:rFonts w:ascii="Garamond" w:eastAsia="Times New Roman" w:hAnsi="Garamond" w:cs="Times New Roman"/>
          <w:color w:val="000000"/>
          <w:spacing w:val="1"/>
          <w:sz w:val="24"/>
          <w:szCs w:val="24"/>
          <w:lang w:eastAsia="sq-AL"/>
        </w:rPr>
        <w:t>l</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s,</w:t>
      </w:r>
      <w:r w:rsidRPr="003D5CE4">
        <w:rPr>
          <w:rFonts w:ascii="Garamond" w:eastAsia="Times New Roman" w:hAnsi="Garamond" w:cs="Times New Roman"/>
          <w:color w:val="000000"/>
          <w:spacing w:val="-12"/>
          <w:sz w:val="24"/>
          <w:szCs w:val="24"/>
          <w:lang w:eastAsia="sq-AL"/>
        </w:rPr>
        <w:t xml:space="preserve"> </w:t>
      </w:r>
      <w:r w:rsidRPr="003D5CE4">
        <w:rPr>
          <w:rFonts w:ascii="Garamond" w:eastAsia="Times New Roman" w:hAnsi="Garamond" w:cs="Times New Roman"/>
          <w:color w:val="000000"/>
          <w:spacing w:val="2"/>
          <w:sz w:val="24"/>
          <w:szCs w:val="24"/>
          <w:lang w:eastAsia="sq-AL"/>
        </w:rPr>
        <w:t>p</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si</w:t>
      </w:r>
      <w:r w:rsidRPr="003D5CE4">
        <w:rPr>
          <w:rFonts w:ascii="Garamond" w:eastAsia="Times New Roman" w:hAnsi="Garamond" w:cs="Times New Roman"/>
          <w:color w:val="000000"/>
          <w:spacing w:val="-11"/>
          <w:sz w:val="24"/>
          <w:szCs w:val="24"/>
          <w:lang w:eastAsia="sq-AL"/>
        </w:rPr>
        <w:t xml:space="preserve"> </w:t>
      </w:r>
      <w:r w:rsidRPr="003D5CE4">
        <w:rPr>
          <w:rFonts w:ascii="Garamond" w:eastAsia="Times New Roman" w:hAnsi="Garamond" w:cs="Times New Roman"/>
          <w:color w:val="000000"/>
          <w:sz w:val="24"/>
          <w:szCs w:val="24"/>
          <w:lang w:eastAsia="sq-AL"/>
        </w:rPr>
        <w:t>u</w:t>
      </w:r>
      <w:r w:rsidRPr="003D5CE4">
        <w:rPr>
          <w:rFonts w:ascii="Garamond" w:eastAsia="Times New Roman" w:hAnsi="Garamond" w:cs="Times New Roman"/>
          <w:color w:val="000000"/>
          <w:spacing w:val="-12"/>
          <w:sz w:val="24"/>
          <w:szCs w:val="24"/>
          <w:lang w:eastAsia="sq-AL"/>
        </w:rPr>
        <w:t xml:space="preserve"> </w:t>
      </w:r>
      <w:r w:rsidRPr="003D5CE4">
        <w:rPr>
          <w:rFonts w:ascii="Garamond" w:eastAsia="Times New Roman" w:hAnsi="Garamond" w:cs="Times New Roman"/>
          <w:color w:val="000000"/>
          <w:spacing w:val="2"/>
          <w:sz w:val="24"/>
          <w:szCs w:val="24"/>
          <w:lang w:eastAsia="sq-AL"/>
        </w:rPr>
        <w:t>k</w:t>
      </w:r>
      <w:r w:rsidRPr="003D5CE4">
        <w:rPr>
          <w:rFonts w:ascii="Garamond" w:eastAsia="Times New Roman" w:hAnsi="Garamond" w:cs="Times New Roman"/>
          <w:color w:val="000000"/>
          <w:spacing w:val="4"/>
          <w:sz w:val="24"/>
          <w:szCs w:val="24"/>
          <w:lang w:eastAsia="sq-AL"/>
        </w:rPr>
        <w:t>r</w:t>
      </w:r>
      <w:r w:rsidRPr="003D5CE4">
        <w:rPr>
          <w:rFonts w:ascii="Garamond" w:eastAsia="Times New Roman" w:hAnsi="Garamond" w:cs="Times New Roman"/>
          <w:color w:val="000000"/>
          <w:spacing w:val="-5"/>
          <w:sz w:val="24"/>
          <w:szCs w:val="24"/>
          <w:lang w:eastAsia="sq-AL"/>
        </w:rPr>
        <w:t>y</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n</w:t>
      </w:r>
      <w:r w:rsidRPr="003D5CE4">
        <w:rPr>
          <w:rFonts w:ascii="Garamond" w:eastAsia="Times New Roman" w:hAnsi="Garamond" w:cs="Times New Roman"/>
          <w:color w:val="000000"/>
          <w:spacing w:val="-12"/>
          <w:sz w:val="24"/>
          <w:szCs w:val="24"/>
          <w:lang w:eastAsia="sq-AL"/>
        </w:rPr>
        <w:t xml:space="preserve"> </w:t>
      </w:r>
      <w:r w:rsidRPr="003D5CE4">
        <w:rPr>
          <w:rFonts w:ascii="Garamond" w:eastAsia="Times New Roman" w:hAnsi="Garamond" w:cs="Times New Roman"/>
          <w:color w:val="000000"/>
          <w:sz w:val="24"/>
          <w:szCs w:val="24"/>
          <w:lang w:eastAsia="sq-AL"/>
        </w:rPr>
        <w:t>v</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prim</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t</w:t>
      </w:r>
      <w:r w:rsidRPr="003D5CE4">
        <w:rPr>
          <w:rFonts w:ascii="Garamond" w:eastAsia="Times New Roman" w:hAnsi="Garamond" w:cs="Times New Roman"/>
          <w:color w:val="000000"/>
          <w:spacing w:val="-12"/>
          <w:sz w:val="24"/>
          <w:szCs w:val="24"/>
          <w:lang w:eastAsia="sq-AL"/>
        </w:rPr>
        <w:t xml:space="preserve"> </w:t>
      </w:r>
      <w:r w:rsidRPr="003D5CE4">
        <w:rPr>
          <w:rFonts w:ascii="Garamond" w:eastAsia="Times New Roman" w:hAnsi="Garamond" w:cs="Times New Roman"/>
          <w:color w:val="000000"/>
          <w:spacing w:val="2"/>
          <w:sz w:val="24"/>
          <w:szCs w:val="24"/>
          <w:lang w:eastAsia="sq-AL"/>
        </w:rPr>
        <w:t>v</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ri</w:t>
      </w:r>
      <w:r w:rsidRPr="003D5CE4">
        <w:rPr>
          <w:rFonts w:ascii="Garamond" w:eastAsia="Times New Roman" w:hAnsi="Garamond" w:cs="Times New Roman"/>
          <w:color w:val="000000"/>
          <w:spacing w:val="1"/>
          <w:sz w:val="24"/>
          <w:szCs w:val="24"/>
          <w:lang w:eastAsia="sq-AL"/>
        </w:rPr>
        <w:t>f</w:t>
      </w:r>
      <w:r w:rsidRPr="003D5CE4">
        <w:rPr>
          <w:rFonts w:ascii="Garamond" w:eastAsia="Times New Roman" w:hAnsi="Garamond" w:cs="Times New Roman"/>
          <w:color w:val="000000"/>
          <w:sz w:val="24"/>
          <w:szCs w:val="24"/>
          <w:lang w:eastAsia="sq-AL"/>
        </w:rPr>
        <w:t>ikue</w:t>
      </w:r>
      <w:r w:rsidRPr="003D5CE4">
        <w:rPr>
          <w:rFonts w:ascii="Garamond" w:eastAsia="Times New Roman" w:hAnsi="Garamond" w:cs="Times New Roman"/>
          <w:color w:val="000000"/>
          <w:spacing w:val="2"/>
          <w:sz w:val="24"/>
          <w:szCs w:val="24"/>
          <w:lang w:eastAsia="sq-AL"/>
        </w:rPr>
        <w:t>s</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 u 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rz</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jod</w:t>
      </w:r>
      <w:r w:rsidRPr="003D5CE4">
        <w:rPr>
          <w:rFonts w:ascii="Garamond" w:eastAsia="Times New Roman" w:hAnsi="Garamond" w:cs="Times New Roman"/>
          <w:color w:val="000000"/>
          <w:spacing w:val="1"/>
          <w:sz w:val="24"/>
          <w:szCs w:val="24"/>
          <w:lang w:eastAsia="sq-AL"/>
        </w:rPr>
        <w:t>h</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 xml:space="preserve">n ____ </w:t>
      </w:r>
      <w:r w:rsidRPr="003D5CE4">
        <w:rPr>
          <w:rFonts w:ascii="Garamond" w:eastAsia="Times New Roman" w:hAnsi="Garamond" w:cs="Times New Roman"/>
          <w:color w:val="000000"/>
          <w:spacing w:val="-1"/>
          <w:sz w:val="24"/>
          <w:szCs w:val="24"/>
          <w:lang w:eastAsia="sq-AL"/>
        </w:rPr>
        <w:t>çë</w:t>
      </w:r>
      <w:r w:rsidRPr="003D5CE4">
        <w:rPr>
          <w:rFonts w:ascii="Garamond" w:eastAsia="Times New Roman" w:hAnsi="Garamond" w:cs="Times New Roman"/>
          <w:color w:val="000000"/>
          <w:sz w:val="24"/>
          <w:szCs w:val="24"/>
          <w:lang w:eastAsia="sq-AL"/>
        </w:rPr>
        <w:t>sht</w:t>
      </w:r>
      <w:r w:rsidRPr="003D5CE4">
        <w:rPr>
          <w:rFonts w:ascii="Garamond" w:eastAsia="Times New Roman" w:hAnsi="Garamond" w:cs="Times New Roman"/>
          <w:color w:val="000000"/>
          <w:spacing w:val="3"/>
          <w:sz w:val="24"/>
          <w:szCs w:val="24"/>
          <w:lang w:eastAsia="sq-AL"/>
        </w:rPr>
        <w:t>j</w:t>
      </w:r>
      <w:r w:rsidRPr="003D5CE4">
        <w:rPr>
          <w:rFonts w:ascii="Garamond" w:eastAsia="Times New Roman" w:hAnsi="Garamond" w:cs="Times New Roman"/>
          <w:color w:val="000000"/>
          <w:sz w:val="24"/>
          <w:szCs w:val="24"/>
          <w:lang w:eastAsia="sq-AL"/>
        </w:rPr>
        <w:t xml:space="preserve">et si </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posh</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w:t>
      </w:r>
    </w:p>
    <w:p w14:paraId="6208A56F" w14:textId="77777777" w:rsidR="00F052F6" w:rsidRPr="003D5CE4" w:rsidRDefault="00F052F6" w:rsidP="00F052F6">
      <w:pPr>
        <w:widowControl w:val="0"/>
        <w:autoSpaceDE w:val="0"/>
        <w:autoSpaceDN w:val="0"/>
        <w:adjustRightInd w:val="0"/>
        <w:spacing w:after="0" w:line="240" w:lineRule="auto"/>
        <w:ind w:firstLine="284"/>
        <w:jc w:val="both"/>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z w:val="24"/>
          <w:szCs w:val="24"/>
          <w:lang w:eastAsia="sq-AL"/>
        </w:rPr>
        <w:t xml:space="preserve">1.   </w:t>
      </w:r>
      <w:r w:rsidRPr="003D5CE4">
        <w:rPr>
          <w:rFonts w:ascii="Garamond" w:eastAsia="Times New Roman" w:hAnsi="Garamond" w:cs="Times New Roman"/>
          <w:color w:val="000000"/>
          <w:spacing w:val="1"/>
          <w:sz w:val="24"/>
          <w:szCs w:val="24"/>
          <w:lang w:eastAsia="sq-AL"/>
        </w:rPr>
        <w:t>Ç</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sht</w:t>
      </w:r>
      <w:r w:rsidRPr="003D5CE4">
        <w:rPr>
          <w:rFonts w:ascii="Garamond" w:eastAsia="Times New Roman" w:hAnsi="Garamond" w:cs="Times New Roman"/>
          <w:color w:val="000000"/>
          <w:spacing w:val="1"/>
          <w:sz w:val="24"/>
          <w:szCs w:val="24"/>
          <w:lang w:eastAsia="sq-AL"/>
        </w:rPr>
        <w:t>j</w:t>
      </w:r>
      <w:r w:rsidRPr="003D5CE4">
        <w:rPr>
          <w:rFonts w:ascii="Garamond" w:eastAsia="Times New Roman" w:hAnsi="Garamond" w:cs="Times New Roman"/>
          <w:color w:val="000000"/>
          <w:sz w:val="24"/>
          <w:szCs w:val="24"/>
          <w:lang w:eastAsia="sq-AL"/>
        </w:rPr>
        <w:t>a</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me n</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z w:val="24"/>
          <w:szCs w:val="24"/>
          <w:lang w:eastAsia="sq-AL"/>
        </w:rPr>
        <w:t>. kallëzimi/procedimi</w:t>
      </w:r>
      <w:r w:rsidRPr="003D5CE4">
        <w:rPr>
          <w:rFonts w:ascii="Garamond" w:eastAsia="Times New Roman" w:hAnsi="Garamond" w:cs="Times New Roman"/>
          <w:color w:val="000000"/>
          <w:spacing w:val="2"/>
          <w:sz w:val="24"/>
          <w:szCs w:val="24"/>
          <w:lang w:eastAsia="sq-AL"/>
        </w:rPr>
        <w:t xml:space="preserve"> </w:t>
      </w:r>
      <w:r w:rsidRPr="003D5CE4">
        <w:rPr>
          <w:rFonts w:ascii="Garamond" w:eastAsia="Times New Roman" w:hAnsi="Garamond" w:cs="Times New Roman"/>
          <w:color w:val="000000"/>
          <w:sz w:val="24"/>
          <w:szCs w:val="24"/>
          <w:u w:val="single"/>
          <w:lang w:eastAsia="sq-AL"/>
        </w:rPr>
        <w:t xml:space="preserve">      </w:t>
      </w:r>
      <w:r>
        <w:rPr>
          <w:rFonts w:ascii="Garamond" w:eastAsia="Times New Roman" w:hAnsi="Garamond" w:cs="Times New Roman"/>
          <w:color w:val="000000"/>
          <w:sz w:val="24"/>
          <w:szCs w:val="24"/>
          <w:u w:val="single"/>
          <w:lang w:eastAsia="sq-AL"/>
        </w:rPr>
        <w:t>,</w:t>
      </w:r>
      <w:r w:rsidRPr="003D5CE4">
        <w:rPr>
          <w:rFonts w:ascii="Garamond" w:eastAsia="Times New Roman" w:hAnsi="Garamond" w:cs="Times New Roman"/>
          <w:color w:val="000000"/>
          <w:sz w:val="24"/>
          <w:szCs w:val="24"/>
          <w:lang w:eastAsia="sq-AL"/>
        </w:rPr>
        <w:t xml:space="preserve"> d</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z w:val="24"/>
          <w:szCs w:val="24"/>
          <w:lang w:eastAsia="sq-AL"/>
        </w:rPr>
        <w:t>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re</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w:t>
      </w:r>
      <w:r w:rsidRPr="003D5CE4">
        <w:rPr>
          <w:rFonts w:ascii="Garamond" w:eastAsia="Times New Roman" w:hAnsi="Garamond" w:cs="Times New Roman"/>
          <w:color w:val="000000"/>
          <w:spacing w:val="1"/>
          <w:sz w:val="24"/>
          <w:szCs w:val="24"/>
          <w:lang w:eastAsia="sq-AL"/>
        </w:rPr>
        <w:t>i</w:t>
      </w:r>
      <w:r w:rsidRPr="003D5CE4">
        <w:rPr>
          <w:rFonts w:ascii="Garamond" w:eastAsia="Times New Roman" w:hAnsi="Garamond" w:cs="Times New Roman"/>
          <w:color w:val="000000"/>
          <w:sz w:val="24"/>
          <w:szCs w:val="24"/>
          <w:lang w:eastAsia="sq-AL"/>
        </w:rPr>
        <w:t>stri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 xml:space="preserve">i </w:t>
      </w:r>
      <w:r w:rsidRPr="003D5CE4">
        <w:rPr>
          <w:rFonts w:ascii="Garamond" w:eastAsia="Times New Roman" w:hAnsi="Garamond" w:cs="Times New Roman"/>
          <w:color w:val="000000"/>
          <w:sz w:val="24"/>
          <w:szCs w:val="24"/>
          <w:u w:val="single"/>
          <w:lang w:eastAsia="sq-AL"/>
        </w:rPr>
        <w:t xml:space="preserve">      </w:t>
      </w:r>
      <w:r>
        <w:rPr>
          <w:rFonts w:ascii="Garamond" w:eastAsia="Times New Roman" w:hAnsi="Garamond" w:cs="Times New Roman"/>
          <w:color w:val="000000"/>
          <w:spacing w:val="-58"/>
          <w:sz w:val="24"/>
          <w:szCs w:val="24"/>
          <w:lang w:eastAsia="sq-AL"/>
        </w:rPr>
        <w:t>,</w:t>
      </w:r>
      <w:r w:rsidRPr="003D5CE4">
        <w:rPr>
          <w:rFonts w:ascii="Garamond" w:eastAsia="Times New Roman" w:hAnsi="Garamond" w:cs="Times New Roman"/>
          <w:color w:val="000000"/>
          <w:sz w:val="24"/>
          <w:szCs w:val="24"/>
          <w:lang w:eastAsia="sq-AL"/>
        </w:rPr>
        <w:t xml:space="preserve"> d</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z w:val="24"/>
          <w:szCs w:val="24"/>
          <w:lang w:eastAsia="sq-AL"/>
        </w:rPr>
        <w:t>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v</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ndi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 xml:space="preserve">i </w:t>
      </w:r>
      <w:r w:rsidRPr="003D5CE4">
        <w:rPr>
          <w:rFonts w:ascii="Garamond" w:eastAsia="Times New Roman" w:hAnsi="Garamond" w:cs="Times New Roman"/>
          <w:color w:val="000000"/>
          <w:sz w:val="24"/>
          <w:szCs w:val="24"/>
          <w:u w:val="single"/>
          <w:lang w:eastAsia="sq-AL"/>
        </w:rPr>
        <w:t xml:space="preserve">          </w:t>
      </w:r>
      <w:r>
        <w:rPr>
          <w:rFonts w:ascii="Garamond" w:eastAsia="Times New Roman" w:hAnsi="Garamond" w:cs="Times New Roman"/>
          <w:color w:val="000000"/>
          <w:spacing w:val="-59"/>
          <w:sz w:val="24"/>
          <w:szCs w:val="24"/>
          <w:lang w:eastAsia="sq-AL"/>
        </w:rPr>
        <w:t>;</w:t>
      </w:r>
    </w:p>
    <w:p w14:paraId="00BF80A6" w14:textId="77777777" w:rsidR="00F052F6" w:rsidRPr="003D5CE4" w:rsidRDefault="00F052F6" w:rsidP="00F052F6">
      <w:pPr>
        <w:widowControl w:val="0"/>
        <w:autoSpaceDE w:val="0"/>
        <w:autoSpaceDN w:val="0"/>
        <w:adjustRightInd w:val="0"/>
        <w:spacing w:after="0" w:line="240" w:lineRule="auto"/>
        <w:ind w:firstLine="284"/>
        <w:jc w:val="both"/>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z w:val="24"/>
          <w:szCs w:val="24"/>
          <w:lang w:eastAsia="sq-AL"/>
        </w:rPr>
        <w:t xml:space="preserve">2.   </w:t>
      </w:r>
      <w:r w:rsidRPr="003D5CE4">
        <w:rPr>
          <w:rFonts w:ascii="Garamond" w:eastAsia="Times New Roman" w:hAnsi="Garamond" w:cs="Times New Roman"/>
          <w:color w:val="000000"/>
          <w:spacing w:val="1"/>
          <w:sz w:val="24"/>
          <w:szCs w:val="24"/>
          <w:lang w:eastAsia="sq-AL"/>
        </w:rPr>
        <w:t>Ç</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sht</w:t>
      </w:r>
      <w:r w:rsidRPr="003D5CE4">
        <w:rPr>
          <w:rFonts w:ascii="Garamond" w:eastAsia="Times New Roman" w:hAnsi="Garamond" w:cs="Times New Roman"/>
          <w:color w:val="000000"/>
          <w:spacing w:val="1"/>
          <w:sz w:val="24"/>
          <w:szCs w:val="24"/>
          <w:lang w:eastAsia="sq-AL"/>
        </w:rPr>
        <w:t>j</w:t>
      </w:r>
      <w:r w:rsidRPr="003D5CE4">
        <w:rPr>
          <w:rFonts w:ascii="Garamond" w:eastAsia="Times New Roman" w:hAnsi="Garamond" w:cs="Times New Roman"/>
          <w:color w:val="000000"/>
          <w:sz w:val="24"/>
          <w:szCs w:val="24"/>
          <w:lang w:eastAsia="sq-AL"/>
        </w:rPr>
        <w:t>a</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me n</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z w:val="24"/>
          <w:szCs w:val="24"/>
          <w:lang w:eastAsia="sq-AL"/>
        </w:rPr>
        <w:t>. kallëzimi/procedimi</w:t>
      </w:r>
      <w:r w:rsidRPr="003D5CE4">
        <w:rPr>
          <w:rFonts w:ascii="Garamond" w:eastAsia="Times New Roman" w:hAnsi="Garamond" w:cs="Times New Roman"/>
          <w:color w:val="000000"/>
          <w:spacing w:val="2"/>
          <w:sz w:val="24"/>
          <w:szCs w:val="24"/>
          <w:lang w:eastAsia="sq-AL"/>
        </w:rPr>
        <w:t xml:space="preserve"> </w:t>
      </w:r>
      <w:r w:rsidRPr="003D5CE4">
        <w:rPr>
          <w:rFonts w:ascii="Garamond" w:eastAsia="Times New Roman" w:hAnsi="Garamond" w:cs="Times New Roman"/>
          <w:color w:val="000000"/>
          <w:sz w:val="24"/>
          <w:szCs w:val="24"/>
          <w:u w:val="single"/>
          <w:lang w:eastAsia="sq-AL"/>
        </w:rPr>
        <w:t xml:space="preserve">      </w:t>
      </w:r>
      <w:r>
        <w:rPr>
          <w:rFonts w:ascii="Garamond" w:eastAsia="Times New Roman" w:hAnsi="Garamond" w:cs="Times New Roman"/>
          <w:color w:val="000000"/>
          <w:sz w:val="24"/>
          <w:szCs w:val="24"/>
          <w:u w:val="single"/>
          <w:lang w:eastAsia="sq-AL"/>
        </w:rPr>
        <w:t>,</w:t>
      </w:r>
      <w:r w:rsidRPr="003D5CE4">
        <w:rPr>
          <w:rFonts w:ascii="Garamond" w:eastAsia="Times New Roman" w:hAnsi="Garamond" w:cs="Times New Roman"/>
          <w:color w:val="000000"/>
          <w:sz w:val="24"/>
          <w:szCs w:val="24"/>
          <w:lang w:eastAsia="sq-AL"/>
        </w:rPr>
        <w:t xml:space="preserve"> d</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z w:val="24"/>
          <w:szCs w:val="24"/>
          <w:lang w:eastAsia="sq-AL"/>
        </w:rPr>
        <w:t>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re</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w:t>
      </w:r>
      <w:r w:rsidRPr="003D5CE4">
        <w:rPr>
          <w:rFonts w:ascii="Garamond" w:eastAsia="Times New Roman" w:hAnsi="Garamond" w:cs="Times New Roman"/>
          <w:color w:val="000000"/>
          <w:spacing w:val="1"/>
          <w:sz w:val="24"/>
          <w:szCs w:val="24"/>
          <w:lang w:eastAsia="sq-AL"/>
        </w:rPr>
        <w:t>i</w:t>
      </w:r>
      <w:r w:rsidRPr="003D5CE4">
        <w:rPr>
          <w:rFonts w:ascii="Garamond" w:eastAsia="Times New Roman" w:hAnsi="Garamond" w:cs="Times New Roman"/>
          <w:color w:val="000000"/>
          <w:sz w:val="24"/>
          <w:szCs w:val="24"/>
          <w:lang w:eastAsia="sq-AL"/>
        </w:rPr>
        <w:t>stri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 xml:space="preserve">i </w:t>
      </w:r>
      <w:r w:rsidRPr="003D5CE4">
        <w:rPr>
          <w:rFonts w:ascii="Garamond" w:eastAsia="Times New Roman" w:hAnsi="Garamond" w:cs="Times New Roman"/>
          <w:color w:val="000000"/>
          <w:sz w:val="24"/>
          <w:szCs w:val="24"/>
          <w:u w:val="single"/>
          <w:lang w:eastAsia="sq-AL"/>
        </w:rPr>
        <w:t xml:space="preserve">      </w:t>
      </w:r>
      <w:r>
        <w:rPr>
          <w:rFonts w:ascii="Garamond" w:eastAsia="Times New Roman" w:hAnsi="Garamond" w:cs="Times New Roman"/>
          <w:color w:val="000000"/>
          <w:spacing w:val="-58"/>
          <w:sz w:val="24"/>
          <w:szCs w:val="24"/>
          <w:lang w:eastAsia="sq-AL"/>
        </w:rPr>
        <w:t>,</w:t>
      </w:r>
      <w:r w:rsidRPr="003D5CE4">
        <w:rPr>
          <w:rFonts w:ascii="Garamond" w:eastAsia="Times New Roman" w:hAnsi="Garamond" w:cs="Times New Roman"/>
          <w:color w:val="000000"/>
          <w:sz w:val="24"/>
          <w:szCs w:val="24"/>
          <w:lang w:eastAsia="sq-AL"/>
        </w:rPr>
        <w:t xml:space="preserve"> d</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z w:val="24"/>
          <w:szCs w:val="24"/>
          <w:lang w:eastAsia="sq-AL"/>
        </w:rPr>
        <w:t>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v</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ndi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 xml:space="preserve">i </w:t>
      </w:r>
      <w:r w:rsidRPr="003D5CE4">
        <w:rPr>
          <w:rFonts w:ascii="Garamond" w:eastAsia="Times New Roman" w:hAnsi="Garamond" w:cs="Times New Roman"/>
          <w:color w:val="000000"/>
          <w:sz w:val="24"/>
          <w:szCs w:val="24"/>
          <w:u w:val="single"/>
          <w:lang w:eastAsia="sq-AL"/>
        </w:rPr>
        <w:t xml:space="preserve">          </w:t>
      </w:r>
      <w:r w:rsidRPr="003D5CE4">
        <w:rPr>
          <w:rFonts w:ascii="Garamond" w:eastAsia="Times New Roman" w:hAnsi="Garamond" w:cs="Times New Roman"/>
          <w:color w:val="000000"/>
          <w:spacing w:val="-59"/>
          <w:sz w:val="24"/>
          <w:szCs w:val="24"/>
          <w:lang w:eastAsia="sq-AL"/>
        </w:rPr>
        <w:t xml:space="preserve"> </w:t>
      </w:r>
      <w:r>
        <w:rPr>
          <w:rFonts w:ascii="Garamond" w:eastAsia="Times New Roman" w:hAnsi="Garamond" w:cs="Times New Roman"/>
          <w:color w:val="000000"/>
          <w:spacing w:val="-59"/>
          <w:sz w:val="24"/>
          <w:szCs w:val="24"/>
          <w:lang w:eastAsia="sq-AL"/>
        </w:rPr>
        <w:t>;</w:t>
      </w:r>
    </w:p>
    <w:p w14:paraId="4DB7144E" w14:textId="77777777" w:rsidR="00F052F6" w:rsidRPr="002F5D3C"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14"/>
          <w:szCs w:val="24"/>
          <w:lang w:eastAsia="sq-AL"/>
        </w:rPr>
      </w:pPr>
    </w:p>
    <w:p w14:paraId="0392D06E" w14:textId="77777777" w:rsidR="00F052F6" w:rsidRPr="003D5CE4"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eastAsia="sq-AL"/>
        </w:rPr>
      </w:pPr>
      <w:r w:rsidRPr="003D5CE4">
        <w:rPr>
          <w:rFonts w:ascii="Garamond" w:eastAsia="Times New Roman" w:hAnsi="Garamond" w:cs="Times New Roman"/>
          <w:i/>
          <w:iCs/>
          <w:color w:val="000000"/>
          <w:spacing w:val="1"/>
          <w:sz w:val="24"/>
          <w:szCs w:val="24"/>
          <w:lang w:eastAsia="sq-AL"/>
        </w:rPr>
        <w:t>N</w:t>
      </w:r>
      <w:r w:rsidRPr="003D5CE4">
        <w:rPr>
          <w:rFonts w:ascii="Garamond" w:eastAsia="Times New Roman" w:hAnsi="Garamond" w:cs="Times New Roman"/>
          <w:i/>
          <w:iCs/>
          <w:color w:val="000000"/>
          <w:sz w:val="24"/>
          <w:szCs w:val="24"/>
          <w:lang w:eastAsia="sq-AL"/>
        </w:rPr>
        <w:t>ë</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z w:val="24"/>
          <w:szCs w:val="24"/>
          <w:lang w:eastAsia="sq-AL"/>
        </w:rPr>
        <w:t>të</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z w:val="24"/>
          <w:szCs w:val="24"/>
          <w:lang w:eastAsia="sq-AL"/>
        </w:rPr>
        <w:t>nj</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jt</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n m</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n</w:t>
      </w:r>
      <w:r w:rsidRPr="003D5CE4">
        <w:rPr>
          <w:rFonts w:ascii="Garamond" w:eastAsia="Times New Roman" w:hAnsi="Garamond" w:cs="Times New Roman"/>
          <w:i/>
          <w:iCs/>
          <w:color w:val="000000"/>
          <w:spacing w:val="-1"/>
          <w:sz w:val="24"/>
          <w:szCs w:val="24"/>
          <w:lang w:eastAsia="sq-AL"/>
        </w:rPr>
        <w:t>y</w:t>
      </w:r>
      <w:r w:rsidRPr="003D5CE4">
        <w:rPr>
          <w:rFonts w:ascii="Garamond" w:eastAsia="Times New Roman" w:hAnsi="Garamond" w:cs="Times New Roman"/>
          <w:i/>
          <w:iCs/>
          <w:color w:val="000000"/>
          <w:spacing w:val="2"/>
          <w:sz w:val="24"/>
          <w:szCs w:val="24"/>
          <w:lang w:eastAsia="sq-AL"/>
        </w:rPr>
        <w:t>r</w:t>
      </w:r>
      <w:r w:rsidRPr="003D5CE4">
        <w:rPr>
          <w:rFonts w:ascii="Garamond" w:eastAsia="Times New Roman" w:hAnsi="Garamond" w:cs="Times New Roman"/>
          <w:i/>
          <w:iCs/>
          <w:color w:val="000000"/>
          <w:sz w:val="24"/>
          <w:szCs w:val="24"/>
          <w:lang w:eastAsia="sq-AL"/>
        </w:rPr>
        <w:t>ë p</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r</w:t>
      </w:r>
      <w:r w:rsidRPr="003D5CE4">
        <w:rPr>
          <w:rFonts w:ascii="Garamond" w:eastAsia="Times New Roman" w:hAnsi="Garamond" w:cs="Times New Roman"/>
          <w:i/>
          <w:iCs/>
          <w:color w:val="000000"/>
          <w:spacing w:val="3"/>
          <w:sz w:val="24"/>
          <w:szCs w:val="24"/>
          <w:lang w:eastAsia="sq-AL"/>
        </w:rPr>
        <w:t>s</w:t>
      </w:r>
      <w:r w:rsidRPr="003D5CE4">
        <w:rPr>
          <w:rFonts w:ascii="Garamond" w:eastAsia="Times New Roman" w:hAnsi="Garamond" w:cs="Times New Roman"/>
          <w:i/>
          <w:iCs/>
          <w:color w:val="000000"/>
          <w:sz w:val="24"/>
          <w:szCs w:val="24"/>
          <w:lang w:eastAsia="sq-AL"/>
        </w:rPr>
        <w:t>h</w:t>
      </w:r>
      <w:r w:rsidRPr="003D5CE4">
        <w:rPr>
          <w:rFonts w:ascii="Garamond" w:eastAsia="Times New Roman" w:hAnsi="Garamond" w:cs="Times New Roman"/>
          <w:i/>
          <w:iCs/>
          <w:color w:val="000000"/>
          <w:spacing w:val="-1"/>
          <w:sz w:val="24"/>
          <w:szCs w:val="24"/>
          <w:lang w:eastAsia="sq-AL"/>
        </w:rPr>
        <w:t>k</w:t>
      </w:r>
      <w:r w:rsidRPr="003D5CE4">
        <w:rPr>
          <w:rFonts w:ascii="Garamond" w:eastAsia="Times New Roman" w:hAnsi="Garamond" w:cs="Times New Roman"/>
          <w:i/>
          <w:iCs/>
          <w:color w:val="000000"/>
          <w:sz w:val="24"/>
          <w:szCs w:val="24"/>
          <w:lang w:eastAsia="sq-AL"/>
        </w:rPr>
        <w:t>ruh</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n të</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z w:val="24"/>
          <w:szCs w:val="24"/>
          <w:lang w:eastAsia="sq-AL"/>
        </w:rPr>
        <w:t>gj</w:t>
      </w:r>
      <w:r w:rsidRPr="003D5CE4">
        <w:rPr>
          <w:rFonts w:ascii="Garamond" w:eastAsia="Times New Roman" w:hAnsi="Garamond" w:cs="Times New Roman"/>
          <w:i/>
          <w:iCs/>
          <w:color w:val="000000"/>
          <w:spacing w:val="1"/>
          <w:sz w:val="24"/>
          <w:szCs w:val="24"/>
          <w:lang w:eastAsia="sq-AL"/>
        </w:rPr>
        <w:t>i</w:t>
      </w:r>
      <w:r w:rsidRPr="003D5CE4">
        <w:rPr>
          <w:rFonts w:ascii="Garamond" w:eastAsia="Times New Roman" w:hAnsi="Garamond" w:cs="Times New Roman"/>
          <w:i/>
          <w:iCs/>
          <w:color w:val="000000"/>
          <w:sz w:val="24"/>
          <w:szCs w:val="24"/>
          <w:lang w:eastAsia="sq-AL"/>
        </w:rPr>
        <w:t>tha ç</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sht</w:t>
      </w:r>
      <w:r w:rsidRPr="003D5CE4">
        <w:rPr>
          <w:rFonts w:ascii="Garamond" w:eastAsia="Times New Roman" w:hAnsi="Garamond" w:cs="Times New Roman"/>
          <w:i/>
          <w:iCs/>
          <w:color w:val="000000"/>
          <w:spacing w:val="1"/>
          <w:sz w:val="24"/>
          <w:szCs w:val="24"/>
          <w:lang w:eastAsia="sq-AL"/>
        </w:rPr>
        <w:t>j</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t</w:t>
      </w:r>
      <w:r w:rsidRPr="003D5CE4">
        <w:rPr>
          <w:rFonts w:ascii="Garamond" w:eastAsia="Times New Roman" w:hAnsi="Garamond" w:cs="Times New Roman"/>
          <w:i/>
          <w:iCs/>
          <w:color w:val="000000"/>
          <w:spacing w:val="3"/>
          <w:sz w:val="24"/>
          <w:szCs w:val="24"/>
          <w:lang w:eastAsia="sq-AL"/>
        </w:rPr>
        <w:t xml:space="preserve"> </w:t>
      </w:r>
      <w:r w:rsidRPr="003D5CE4">
        <w:rPr>
          <w:rFonts w:ascii="Garamond" w:eastAsia="Times New Roman" w:hAnsi="Garamond" w:cs="Times New Roman"/>
          <w:i/>
          <w:iCs/>
          <w:color w:val="000000"/>
          <w:sz w:val="24"/>
          <w:szCs w:val="24"/>
          <w:lang w:eastAsia="sq-AL"/>
        </w:rPr>
        <w:t>e</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z w:val="24"/>
          <w:szCs w:val="24"/>
          <w:lang w:eastAsia="sq-AL"/>
        </w:rPr>
        <w:t>p</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rzg</w:t>
      </w:r>
      <w:r w:rsidRPr="003D5CE4">
        <w:rPr>
          <w:rFonts w:ascii="Garamond" w:eastAsia="Times New Roman" w:hAnsi="Garamond" w:cs="Times New Roman"/>
          <w:i/>
          <w:iCs/>
          <w:color w:val="000000"/>
          <w:spacing w:val="1"/>
          <w:sz w:val="24"/>
          <w:szCs w:val="24"/>
          <w:lang w:eastAsia="sq-AL"/>
        </w:rPr>
        <w:t>j</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 xml:space="preserve">dhura </w:t>
      </w:r>
      <w:r w:rsidRPr="003D5CE4">
        <w:rPr>
          <w:rFonts w:ascii="Garamond" w:eastAsia="Times New Roman" w:hAnsi="Garamond" w:cs="Times New Roman"/>
          <w:i/>
          <w:iCs/>
          <w:color w:val="000000"/>
          <w:spacing w:val="1"/>
          <w:sz w:val="24"/>
          <w:szCs w:val="24"/>
          <w:lang w:eastAsia="sq-AL"/>
        </w:rPr>
        <w:t>t</w:t>
      </w:r>
      <w:r w:rsidRPr="003D5CE4">
        <w:rPr>
          <w:rFonts w:ascii="Garamond" w:eastAsia="Times New Roman" w:hAnsi="Garamond" w:cs="Times New Roman"/>
          <w:i/>
          <w:iCs/>
          <w:color w:val="000000"/>
          <w:sz w:val="24"/>
          <w:szCs w:val="24"/>
          <w:lang w:eastAsia="sq-AL"/>
        </w:rPr>
        <w:t xml:space="preserve">ë </w:t>
      </w:r>
      <w:r w:rsidRPr="003D5CE4">
        <w:rPr>
          <w:rFonts w:ascii="Garamond" w:eastAsia="Times New Roman" w:hAnsi="Garamond" w:cs="Times New Roman"/>
          <w:i/>
          <w:iCs/>
          <w:color w:val="000000"/>
          <w:spacing w:val="1"/>
          <w:sz w:val="24"/>
          <w:szCs w:val="24"/>
          <w:lang w:eastAsia="sq-AL"/>
        </w:rPr>
        <w:t>k</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saj</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pacing w:val="-1"/>
          <w:sz w:val="24"/>
          <w:szCs w:val="24"/>
          <w:lang w:eastAsia="sq-AL"/>
        </w:rPr>
        <w:t>k</w:t>
      </w:r>
      <w:r w:rsidRPr="003D5CE4">
        <w:rPr>
          <w:rFonts w:ascii="Garamond" w:eastAsia="Times New Roman" w:hAnsi="Garamond" w:cs="Times New Roman"/>
          <w:i/>
          <w:iCs/>
          <w:color w:val="000000"/>
          <w:sz w:val="24"/>
          <w:szCs w:val="24"/>
          <w:lang w:eastAsia="sq-AL"/>
        </w:rPr>
        <w:t>ategori</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w:t>
      </w:r>
    </w:p>
    <w:p w14:paraId="3252AD9B" w14:textId="77777777" w:rsidR="00F052F6" w:rsidRPr="002F5D3C" w:rsidRDefault="00F052F6" w:rsidP="00F052F6">
      <w:pPr>
        <w:spacing w:after="0" w:line="240" w:lineRule="auto"/>
        <w:ind w:firstLine="284"/>
        <w:rPr>
          <w:rFonts w:ascii="Garamond" w:hAnsi="Garamond" w:cs="Times New Roman"/>
          <w:sz w:val="14"/>
          <w:szCs w:val="24"/>
        </w:rPr>
      </w:pPr>
    </w:p>
    <w:p w14:paraId="28DADC24" w14:textId="77777777" w:rsidR="00F052F6" w:rsidRPr="003D5CE4" w:rsidRDefault="00F052F6" w:rsidP="00F052F6">
      <w:pPr>
        <w:widowControl w:val="0"/>
        <w:autoSpaceDE w:val="0"/>
        <w:autoSpaceDN w:val="0"/>
        <w:adjustRightInd w:val="0"/>
        <w:spacing w:after="0" w:line="240" w:lineRule="auto"/>
        <w:ind w:firstLine="284"/>
        <w:jc w:val="both"/>
        <w:rPr>
          <w:rFonts w:ascii="Garamond" w:eastAsia="Times New Roman" w:hAnsi="Garamond" w:cs="Times New Roman"/>
          <w:color w:val="000000"/>
          <w:sz w:val="24"/>
          <w:szCs w:val="24"/>
          <w:lang w:eastAsia="sq-AL"/>
        </w:rPr>
      </w:pPr>
      <w:r w:rsidRPr="003D5CE4">
        <w:rPr>
          <w:rFonts w:ascii="Garamond" w:eastAsia="Times New Roman" w:hAnsi="Garamond" w:cs="Times New Roman"/>
          <w:b/>
          <w:bCs/>
          <w:color w:val="000000"/>
          <w:sz w:val="24"/>
          <w:szCs w:val="24"/>
          <w:lang w:eastAsia="sq-AL"/>
        </w:rPr>
        <w:t>Ha</w:t>
      </w:r>
      <w:r w:rsidRPr="003D5CE4">
        <w:rPr>
          <w:rFonts w:ascii="Garamond" w:eastAsia="Times New Roman" w:hAnsi="Garamond" w:cs="Times New Roman"/>
          <w:b/>
          <w:bCs/>
          <w:color w:val="000000"/>
          <w:spacing w:val="1"/>
          <w:sz w:val="24"/>
          <w:szCs w:val="24"/>
          <w:lang w:eastAsia="sq-AL"/>
        </w:rPr>
        <w:t>p</w:t>
      </w:r>
      <w:r w:rsidRPr="003D5CE4">
        <w:rPr>
          <w:rFonts w:ascii="Garamond" w:eastAsia="Times New Roman" w:hAnsi="Garamond" w:cs="Times New Roman"/>
          <w:b/>
          <w:bCs/>
          <w:color w:val="000000"/>
          <w:sz w:val="24"/>
          <w:szCs w:val="24"/>
          <w:lang w:eastAsia="sq-AL"/>
        </w:rPr>
        <w:t>i</w:t>
      </w:r>
      <w:r w:rsidRPr="003D5CE4">
        <w:rPr>
          <w:rFonts w:ascii="Garamond" w:eastAsia="Times New Roman" w:hAnsi="Garamond" w:cs="Times New Roman"/>
          <w:b/>
          <w:bCs/>
          <w:color w:val="000000"/>
          <w:spacing w:val="4"/>
          <w:sz w:val="24"/>
          <w:szCs w:val="24"/>
          <w:lang w:eastAsia="sq-AL"/>
        </w:rPr>
        <w:t xml:space="preserve"> </w:t>
      </w:r>
      <w:r w:rsidRPr="003D5CE4">
        <w:rPr>
          <w:rFonts w:ascii="Garamond" w:eastAsia="Times New Roman" w:hAnsi="Garamond" w:cs="Times New Roman"/>
          <w:b/>
          <w:bCs/>
          <w:color w:val="000000"/>
          <w:sz w:val="24"/>
          <w:szCs w:val="24"/>
          <w:lang w:eastAsia="sq-AL"/>
        </w:rPr>
        <w:t>2</w:t>
      </w:r>
      <w:r>
        <w:rPr>
          <w:rFonts w:ascii="Garamond" w:eastAsia="Times New Roman" w:hAnsi="Garamond" w:cs="Times New Roman"/>
          <w:color w:val="000000"/>
          <w:sz w:val="24"/>
          <w:szCs w:val="24"/>
          <w:lang w:eastAsia="sq-AL"/>
        </w:rPr>
        <w:t>.</w:t>
      </w:r>
      <w:r w:rsidRPr="003D5CE4">
        <w:rPr>
          <w:rFonts w:ascii="Garamond" w:eastAsia="Times New Roman" w:hAnsi="Garamond" w:cs="Times New Roman"/>
          <w:color w:val="000000"/>
          <w:spacing w:val="2"/>
          <w:sz w:val="24"/>
          <w:szCs w:val="24"/>
          <w:lang w:eastAsia="sq-AL"/>
        </w:rPr>
        <w:t xml:space="preserve"> </w:t>
      </w:r>
      <w:r w:rsidRPr="003D5CE4">
        <w:rPr>
          <w:rFonts w:ascii="Garamond" w:eastAsia="Times New Roman" w:hAnsi="Garamond" w:cs="Times New Roman"/>
          <w:b/>
          <w:bCs/>
          <w:color w:val="000000"/>
          <w:spacing w:val="-3"/>
          <w:sz w:val="24"/>
          <w:szCs w:val="24"/>
          <w:lang w:eastAsia="sq-AL"/>
        </w:rPr>
        <w:t>P</w:t>
      </w:r>
      <w:r w:rsidRPr="003D5CE4">
        <w:rPr>
          <w:rFonts w:ascii="Garamond" w:eastAsia="Times New Roman" w:hAnsi="Garamond" w:cs="Times New Roman"/>
          <w:b/>
          <w:bCs/>
          <w:color w:val="000000"/>
          <w:spacing w:val="-1"/>
          <w:sz w:val="24"/>
          <w:szCs w:val="24"/>
          <w:lang w:eastAsia="sq-AL"/>
        </w:rPr>
        <w:t>ë</w:t>
      </w:r>
      <w:r w:rsidRPr="003D5CE4">
        <w:rPr>
          <w:rFonts w:ascii="Garamond" w:eastAsia="Times New Roman" w:hAnsi="Garamond" w:cs="Times New Roman"/>
          <w:b/>
          <w:bCs/>
          <w:color w:val="000000"/>
          <w:spacing w:val="1"/>
          <w:sz w:val="24"/>
          <w:szCs w:val="24"/>
          <w:lang w:eastAsia="sq-AL"/>
        </w:rPr>
        <w:t>r</w:t>
      </w:r>
      <w:r w:rsidRPr="003D5CE4">
        <w:rPr>
          <w:rFonts w:ascii="Garamond" w:eastAsia="Times New Roman" w:hAnsi="Garamond" w:cs="Times New Roman"/>
          <w:b/>
          <w:bCs/>
          <w:color w:val="000000"/>
          <w:spacing w:val="-1"/>
          <w:sz w:val="24"/>
          <w:szCs w:val="24"/>
          <w:lang w:eastAsia="sq-AL"/>
        </w:rPr>
        <w:t>z</w:t>
      </w:r>
      <w:r w:rsidRPr="003D5CE4">
        <w:rPr>
          <w:rFonts w:ascii="Garamond" w:eastAsia="Times New Roman" w:hAnsi="Garamond" w:cs="Times New Roman"/>
          <w:b/>
          <w:bCs/>
          <w:color w:val="000000"/>
          <w:sz w:val="24"/>
          <w:szCs w:val="24"/>
          <w:lang w:eastAsia="sq-AL"/>
        </w:rPr>
        <w:t>gj</w:t>
      </w:r>
      <w:r w:rsidRPr="003D5CE4">
        <w:rPr>
          <w:rFonts w:ascii="Garamond" w:eastAsia="Times New Roman" w:hAnsi="Garamond" w:cs="Times New Roman"/>
          <w:b/>
          <w:bCs/>
          <w:color w:val="000000"/>
          <w:spacing w:val="-2"/>
          <w:sz w:val="24"/>
          <w:szCs w:val="24"/>
          <w:lang w:eastAsia="sq-AL"/>
        </w:rPr>
        <w:t>e</w:t>
      </w:r>
      <w:r w:rsidRPr="003D5CE4">
        <w:rPr>
          <w:rFonts w:ascii="Garamond" w:eastAsia="Times New Roman" w:hAnsi="Garamond" w:cs="Times New Roman"/>
          <w:b/>
          <w:bCs/>
          <w:color w:val="000000"/>
          <w:spacing w:val="1"/>
          <w:sz w:val="24"/>
          <w:szCs w:val="24"/>
          <w:lang w:eastAsia="sq-AL"/>
        </w:rPr>
        <w:t>dh</w:t>
      </w:r>
      <w:r w:rsidRPr="003D5CE4">
        <w:rPr>
          <w:rFonts w:ascii="Garamond" w:eastAsia="Times New Roman" w:hAnsi="Garamond" w:cs="Times New Roman"/>
          <w:b/>
          <w:bCs/>
          <w:color w:val="000000"/>
          <w:sz w:val="24"/>
          <w:szCs w:val="24"/>
          <w:lang w:eastAsia="sq-AL"/>
        </w:rPr>
        <w:t>ja</w:t>
      </w:r>
      <w:r w:rsidRPr="003D5CE4">
        <w:rPr>
          <w:rFonts w:ascii="Garamond" w:eastAsia="Times New Roman" w:hAnsi="Garamond" w:cs="Times New Roman"/>
          <w:b/>
          <w:bCs/>
          <w:color w:val="000000"/>
          <w:spacing w:val="3"/>
          <w:sz w:val="24"/>
          <w:szCs w:val="24"/>
          <w:lang w:eastAsia="sq-AL"/>
        </w:rPr>
        <w:t xml:space="preserve"> </w:t>
      </w:r>
      <w:r w:rsidRPr="003D5CE4">
        <w:rPr>
          <w:rFonts w:ascii="Garamond" w:eastAsia="Times New Roman" w:hAnsi="Garamond" w:cs="Times New Roman"/>
          <w:b/>
          <w:bCs/>
          <w:color w:val="000000"/>
          <w:spacing w:val="-1"/>
          <w:sz w:val="24"/>
          <w:szCs w:val="24"/>
          <w:lang w:eastAsia="sq-AL"/>
        </w:rPr>
        <w:t>m</w:t>
      </w:r>
      <w:r w:rsidRPr="003D5CE4">
        <w:rPr>
          <w:rFonts w:ascii="Garamond" w:eastAsia="Times New Roman" w:hAnsi="Garamond" w:cs="Times New Roman"/>
          <w:b/>
          <w:bCs/>
          <w:color w:val="000000"/>
          <w:sz w:val="24"/>
          <w:szCs w:val="24"/>
          <w:lang w:eastAsia="sq-AL"/>
        </w:rPr>
        <w:t>e</w:t>
      </w:r>
      <w:r w:rsidRPr="003D5CE4">
        <w:rPr>
          <w:rFonts w:ascii="Garamond" w:eastAsia="Times New Roman" w:hAnsi="Garamond" w:cs="Times New Roman"/>
          <w:b/>
          <w:bCs/>
          <w:color w:val="000000"/>
          <w:spacing w:val="3"/>
          <w:sz w:val="24"/>
          <w:szCs w:val="24"/>
          <w:lang w:eastAsia="sq-AL"/>
        </w:rPr>
        <w:t xml:space="preserve"> </w:t>
      </w:r>
      <w:r w:rsidRPr="003D5CE4">
        <w:rPr>
          <w:rFonts w:ascii="Garamond" w:eastAsia="Times New Roman" w:hAnsi="Garamond" w:cs="Times New Roman"/>
          <w:b/>
          <w:bCs/>
          <w:color w:val="000000"/>
          <w:sz w:val="24"/>
          <w:szCs w:val="24"/>
          <w:lang w:eastAsia="sq-AL"/>
        </w:rPr>
        <w:t>s</w:t>
      </w:r>
      <w:r w:rsidRPr="003D5CE4">
        <w:rPr>
          <w:rFonts w:ascii="Garamond" w:eastAsia="Times New Roman" w:hAnsi="Garamond" w:cs="Times New Roman"/>
          <w:b/>
          <w:bCs/>
          <w:color w:val="000000"/>
          <w:spacing w:val="1"/>
          <w:sz w:val="24"/>
          <w:szCs w:val="24"/>
          <w:lang w:eastAsia="sq-AL"/>
        </w:rPr>
        <w:t>h</w:t>
      </w:r>
      <w:r w:rsidRPr="003D5CE4">
        <w:rPr>
          <w:rFonts w:ascii="Garamond" w:eastAsia="Times New Roman" w:hAnsi="Garamond" w:cs="Times New Roman"/>
          <w:b/>
          <w:bCs/>
          <w:color w:val="000000"/>
          <w:sz w:val="24"/>
          <w:szCs w:val="24"/>
          <w:lang w:eastAsia="sq-AL"/>
        </w:rPr>
        <w:t>o</w:t>
      </w:r>
      <w:r w:rsidRPr="003D5CE4">
        <w:rPr>
          <w:rFonts w:ascii="Garamond" w:eastAsia="Times New Roman" w:hAnsi="Garamond" w:cs="Times New Roman"/>
          <w:b/>
          <w:bCs/>
          <w:color w:val="000000"/>
          <w:spacing w:val="-1"/>
          <w:sz w:val="24"/>
          <w:szCs w:val="24"/>
          <w:lang w:eastAsia="sq-AL"/>
        </w:rPr>
        <w:t>r</w:t>
      </w:r>
      <w:r w:rsidRPr="003D5CE4">
        <w:rPr>
          <w:rFonts w:ascii="Garamond" w:eastAsia="Times New Roman" w:hAnsi="Garamond" w:cs="Times New Roman"/>
          <w:b/>
          <w:bCs/>
          <w:color w:val="000000"/>
          <w:sz w:val="24"/>
          <w:szCs w:val="24"/>
          <w:lang w:eastAsia="sq-AL"/>
        </w:rPr>
        <w:t>t</w:t>
      </w:r>
      <w:r w:rsidRPr="003D5CE4">
        <w:rPr>
          <w:rFonts w:ascii="Garamond" w:eastAsia="Times New Roman" w:hAnsi="Garamond" w:cs="Times New Roman"/>
          <w:b/>
          <w:bCs/>
          <w:color w:val="000000"/>
          <w:spacing w:val="3"/>
          <w:sz w:val="24"/>
          <w:szCs w:val="24"/>
          <w:lang w:eastAsia="sq-AL"/>
        </w:rPr>
        <w:t xml:space="preserve"> </w:t>
      </w:r>
      <w:r w:rsidRPr="003D5CE4">
        <w:rPr>
          <w:rFonts w:ascii="Garamond" w:eastAsia="Times New Roman" w:hAnsi="Garamond" w:cs="Times New Roman"/>
          <w:b/>
          <w:bCs/>
          <w:color w:val="000000"/>
          <w:sz w:val="24"/>
          <w:szCs w:val="24"/>
          <w:lang w:eastAsia="sq-AL"/>
        </w:rPr>
        <w:t>e</w:t>
      </w:r>
      <w:r w:rsidRPr="003D5CE4">
        <w:rPr>
          <w:rFonts w:ascii="Garamond" w:eastAsia="Times New Roman" w:hAnsi="Garamond" w:cs="Times New Roman"/>
          <w:b/>
          <w:bCs/>
          <w:color w:val="000000"/>
          <w:spacing w:val="3"/>
          <w:sz w:val="24"/>
          <w:szCs w:val="24"/>
          <w:lang w:eastAsia="sq-AL"/>
        </w:rPr>
        <w:t xml:space="preserve"> </w:t>
      </w:r>
      <w:r w:rsidRPr="003D5CE4">
        <w:rPr>
          <w:rFonts w:ascii="Garamond" w:eastAsia="Times New Roman" w:hAnsi="Garamond" w:cs="Times New Roman"/>
          <w:b/>
          <w:bCs/>
          <w:color w:val="000000"/>
          <w:spacing w:val="-1"/>
          <w:sz w:val="24"/>
          <w:szCs w:val="24"/>
          <w:lang w:eastAsia="sq-AL"/>
        </w:rPr>
        <w:t>çë</w:t>
      </w:r>
      <w:r w:rsidRPr="003D5CE4">
        <w:rPr>
          <w:rFonts w:ascii="Garamond" w:eastAsia="Times New Roman" w:hAnsi="Garamond" w:cs="Times New Roman"/>
          <w:b/>
          <w:bCs/>
          <w:color w:val="000000"/>
          <w:sz w:val="24"/>
          <w:szCs w:val="24"/>
          <w:lang w:eastAsia="sq-AL"/>
        </w:rPr>
        <w:t>s</w:t>
      </w:r>
      <w:r w:rsidRPr="003D5CE4">
        <w:rPr>
          <w:rFonts w:ascii="Garamond" w:eastAsia="Times New Roman" w:hAnsi="Garamond" w:cs="Times New Roman"/>
          <w:b/>
          <w:bCs/>
          <w:color w:val="000000"/>
          <w:spacing w:val="1"/>
          <w:sz w:val="24"/>
          <w:szCs w:val="24"/>
          <w:lang w:eastAsia="sq-AL"/>
        </w:rPr>
        <w:t>h</w:t>
      </w:r>
      <w:r w:rsidRPr="003D5CE4">
        <w:rPr>
          <w:rFonts w:ascii="Garamond" w:eastAsia="Times New Roman" w:hAnsi="Garamond" w:cs="Times New Roman"/>
          <w:b/>
          <w:bCs/>
          <w:color w:val="000000"/>
          <w:sz w:val="24"/>
          <w:szCs w:val="24"/>
          <w:lang w:eastAsia="sq-AL"/>
        </w:rPr>
        <w:t>t</w:t>
      </w:r>
      <w:r w:rsidRPr="003D5CE4">
        <w:rPr>
          <w:rFonts w:ascii="Garamond" w:eastAsia="Times New Roman" w:hAnsi="Garamond" w:cs="Times New Roman"/>
          <w:b/>
          <w:bCs/>
          <w:color w:val="000000"/>
          <w:spacing w:val="1"/>
          <w:sz w:val="24"/>
          <w:szCs w:val="24"/>
          <w:lang w:eastAsia="sq-AL"/>
        </w:rPr>
        <w:t>j</w:t>
      </w:r>
      <w:r w:rsidRPr="003D5CE4">
        <w:rPr>
          <w:rFonts w:ascii="Garamond" w:eastAsia="Times New Roman" w:hAnsi="Garamond" w:cs="Times New Roman"/>
          <w:b/>
          <w:bCs/>
          <w:color w:val="000000"/>
          <w:spacing w:val="-1"/>
          <w:sz w:val="24"/>
          <w:szCs w:val="24"/>
          <w:lang w:eastAsia="sq-AL"/>
        </w:rPr>
        <w:t>e</w:t>
      </w:r>
      <w:r w:rsidRPr="003D5CE4">
        <w:rPr>
          <w:rFonts w:ascii="Garamond" w:eastAsia="Times New Roman" w:hAnsi="Garamond" w:cs="Times New Roman"/>
          <w:b/>
          <w:bCs/>
          <w:color w:val="000000"/>
          <w:sz w:val="24"/>
          <w:szCs w:val="24"/>
          <w:lang w:eastAsia="sq-AL"/>
        </w:rPr>
        <w:t>ve</w:t>
      </w:r>
      <w:r w:rsidRPr="003D5CE4">
        <w:rPr>
          <w:rFonts w:ascii="Garamond" w:eastAsia="Times New Roman" w:hAnsi="Garamond" w:cs="Times New Roman"/>
          <w:b/>
          <w:bCs/>
          <w:color w:val="000000"/>
          <w:spacing w:val="5"/>
          <w:sz w:val="24"/>
          <w:szCs w:val="24"/>
          <w:lang w:eastAsia="sq-AL"/>
        </w:rPr>
        <w:t xml:space="preserve"> </w:t>
      </w:r>
      <w:r w:rsidRPr="003D5CE4">
        <w:rPr>
          <w:rFonts w:ascii="Garamond" w:eastAsia="Times New Roman" w:hAnsi="Garamond" w:cs="Times New Roman"/>
          <w:b/>
          <w:bCs/>
          <w:color w:val="000000"/>
          <w:spacing w:val="1"/>
          <w:sz w:val="24"/>
          <w:szCs w:val="24"/>
          <w:lang w:eastAsia="sq-AL"/>
        </w:rPr>
        <w:t>p</w:t>
      </w:r>
      <w:r w:rsidRPr="003D5CE4">
        <w:rPr>
          <w:rFonts w:ascii="Garamond" w:eastAsia="Times New Roman" w:hAnsi="Garamond" w:cs="Times New Roman"/>
          <w:b/>
          <w:bCs/>
          <w:color w:val="000000"/>
          <w:spacing w:val="-1"/>
          <w:sz w:val="24"/>
          <w:szCs w:val="24"/>
          <w:lang w:eastAsia="sq-AL"/>
        </w:rPr>
        <w:t>ë</w:t>
      </w:r>
      <w:r w:rsidRPr="003D5CE4">
        <w:rPr>
          <w:rFonts w:ascii="Garamond" w:eastAsia="Times New Roman" w:hAnsi="Garamond" w:cs="Times New Roman"/>
          <w:b/>
          <w:bCs/>
          <w:color w:val="000000"/>
          <w:sz w:val="24"/>
          <w:szCs w:val="24"/>
          <w:lang w:eastAsia="sq-AL"/>
        </w:rPr>
        <w:t>r</w:t>
      </w:r>
      <w:r w:rsidRPr="003D5CE4">
        <w:rPr>
          <w:rFonts w:ascii="Garamond" w:eastAsia="Times New Roman" w:hAnsi="Garamond" w:cs="Times New Roman"/>
          <w:b/>
          <w:bCs/>
          <w:color w:val="000000"/>
          <w:spacing w:val="3"/>
          <w:sz w:val="24"/>
          <w:szCs w:val="24"/>
          <w:lang w:eastAsia="sq-AL"/>
        </w:rPr>
        <w:t xml:space="preserve"> </w:t>
      </w:r>
      <w:r w:rsidRPr="003D5CE4">
        <w:rPr>
          <w:rFonts w:ascii="Garamond" w:eastAsia="Times New Roman" w:hAnsi="Garamond" w:cs="Times New Roman"/>
          <w:b/>
          <w:bCs/>
          <w:color w:val="000000"/>
          <w:sz w:val="24"/>
          <w:szCs w:val="24"/>
          <w:lang w:eastAsia="sq-AL"/>
        </w:rPr>
        <w:t>vle</w:t>
      </w:r>
      <w:r w:rsidRPr="003D5CE4">
        <w:rPr>
          <w:rFonts w:ascii="Garamond" w:eastAsia="Times New Roman" w:hAnsi="Garamond" w:cs="Times New Roman"/>
          <w:b/>
          <w:bCs/>
          <w:color w:val="000000"/>
          <w:spacing w:val="-1"/>
          <w:sz w:val="24"/>
          <w:szCs w:val="24"/>
          <w:lang w:eastAsia="sq-AL"/>
        </w:rPr>
        <w:t>rë</w:t>
      </w:r>
      <w:r w:rsidRPr="003D5CE4">
        <w:rPr>
          <w:rFonts w:ascii="Garamond" w:eastAsia="Times New Roman" w:hAnsi="Garamond" w:cs="Times New Roman"/>
          <w:b/>
          <w:bCs/>
          <w:color w:val="000000"/>
          <w:sz w:val="24"/>
          <w:szCs w:val="24"/>
          <w:lang w:eastAsia="sq-AL"/>
        </w:rPr>
        <w:t>s</w:t>
      </w:r>
      <w:r w:rsidRPr="003D5CE4">
        <w:rPr>
          <w:rFonts w:ascii="Garamond" w:eastAsia="Times New Roman" w:hAnsi="Garamond" w:cs="Times New Roman"/>
          <w:b/>
          <w:bCs/>
          <w:color w:val="000000"/>
          <w:spacing w:val="3"/>
          <w:sz w:val="24"/>
          <w:szCs w:val="24"/>
          <w:lang w:eastAsia="sq-AL"/>
        </w:rPr>
        <w:t>i</w:t>
      </w:r>
      <w:r w:rsidRPr="003D5CE4">
        <w:rPr>
          <w:rFonts w:ascii="Garamond" w:eastAsia="Times New Roman" w:hAnsi="Garamond" w:cs="Times New Roman"/>
          <w:b/>
          <w:bCs/>
          <w:color w:val="000000"/>
          <w:sz w:val="24"/>
          <w:szCs w:val="24"/>
          <w:lang w:eastAsia="sq-AL"/>
        </w:rPr>
        <w:t>m të</w:t>
      </w:r>
      <w:r w:rsidRPr="003D5CE4">
        <w:rPr>
          <w:rFonts w:ascii="Garamond" w:eastAsia="Times New Roman" w:hAnsi="Garamond" w:cs="Times New Roman"/>
          <w:b/>
          <w:bCs/>
          <w:color w:val="000000"/>
          <w:spacing w:val="2"/>
          <w:sz w:val="24"/>
          <w:szCs w:val="24"/>
          <w:lang w:eastAsia="sq-AL"/>
        </w:rPr>
        <w:t xml:space="preserve"> </w:t>
      </w:r>
      <w:r w:rsidRPr="003D5CE4">
        <w:rPr>
          <w:rFonts w:ascii="Garamond" w:eastAsia="Times New Roman" w:hAnsi="Garamond" w:cs="Times New Roman"/>
          <w:b/>
          <w:bCs/>
          <w:color w:val="000000"/>
          <w:spacing w:val="1"/>
          <w:sz w:val="24"/>
          <w:szCs w:val="24"/>
          <w:lang w:eastAsia="sq-AL"/>
        </w:rPr>
        <w:t>p</w:t>
      </w:r>
      <w:r w:rsidRPr="003D5CE4">
        <w:rPr>
          <w:rFonts w:ascii="Garamond" w:eastAsia="Times New Roman" w:hAnsi="Garamond" w:cs="Times New Roman"/>
          <w:b/>
          <w:bCs/>
          <w:color w:val="000000"/>
          <w:spacing w:val="-1"/>
          <w:sz w:val="24"/>
          <w:szCs w:val="24"/>
          <w:lang w:eastAsia="sq-AL"/>
        </w:rPr>
        <w:t>ër</w:t>
      </w:r>
      <w:r w:rsidRPr="003D5CE4">
        <w:rPr>
          <w:rFonts w:ascii="Garamond" w:eastAsia="Times New Roman" w:hAnsi="Garamond" w:cs="Times New Roman"/>
          <w:b/>
          <w:bCs/>
          <w:color w:val="000000"/>
          <w:spacing w:val="2"/>
          <w:sz w:val="24"/>
          <w:szCs w:val="24"/>
          <w:lang w:eastAsia="sq-AL"/>
        </w:rPr>
        <w:t>g</w:t>
      </w:r>
      <w:r w:rsidRPr="003D5CE4">
        <w:rPr>
          <w:rFonts w:ascii="Garamond" w:eastAsia="Times New Roman" w:hAnsi="Garamond" w:cs="Times New Roman"/>
          <w:b/>
          <w:bCs/>
          <w:color w:val="000000"/>
          <w:sz w:val="24"/>
          <w:szCs w:val="24"/>
          <w:lang w:eastAsia="sq-AL"/>
        </w:rPr>
        <w:t>ji</w:t>
      </w:r>
      <w:r w:rsidRPr="003D5CE4">
        <w:rPr>
          <w:rFonts w:ascii="Garamond" w:eastAsia="Times New Roman" w:hAnsi="Garamond" w:cs="Times New Roman"/>
          <w:b/>
          <w:bCs/>
          <w:color w:val="000000"/>
          <w:spacing w:val="1"/>
          <w:sz w:val="24"/>
          <w:szCs w:val="24"/>
          <w:lang w:eastAsia="sq-AL"/>
        </w:rPr>
        <w:t>th</w:t>
      </w:r>
      <w:r w:rsidRPr="003D5CE4">
        <w:rPr>
          <w:rFonts w:ascii="Garamond" w:eastAsia="Times New Roman" w:hAnsi="Garamond" w:cs="Times New Roman"/>
          <w:b/>
          <w:bCs/>
          <w:color w:val="000000"/>
          <w:sz w:val="24"/>
          <w:szCs w:val="24"/>
          <w:lang w:eastAsia="sq-AL"/>
        </w:rPr>
        <w:t>s</w:t>
      </w:r>
      <w:r w:rsidRPr="003D5CE4">
        <w:rPr>
          <w:rFonts w:ascii="Garamond" w:eastAsia="Times New Roman" w:hAnsi="Garamond" w:cs="Times New Roman"/>
          <w:b/>
          <w:bCs/>
          <w:color w:val="000000"/>
          <w:spacing w:val="1"/>
          <w:sz w:val="24"/>
          <w:szCs w:val="24"/>
          <w:lang w:eastAsia="sq-AL"/>
        </w:rPr>
        <w:t>h</w:t>
      </w:r>
      <w:r w:rsidRPr="003D5CE4">
        <w:rPr>
          <w:rFonts w:ascii="Garamond" w:eastAsia="Times New Roman" w:hAnsi="Garamond" w:cs="Times New Roman"/>
          <w:b/>
          <w:bCs/>
          <w:color w:val="000000"/>
          <w:spacing w:val="-1"/>
          <w:sz w:val="24"/>
          <w:szCs w:val="24"/>
          <w:lang w:eastAsia="sq-AL"/>
        </w:rPr>
        <w:t>ë</w:t>
      </w:r>
      <w:r w:rsidRPr="003D5CE4">
        <w:rPr>
          <w:rFonts w:ascii="Garamond" w:eastAsia="Times New Roman" w:hAnsi="Garamond" w:cs="Times New Roman"/>
          <w:b/>
          <w:bCs/>
          <w:color w:val="000000"/>
          <w:sz w:val="24"/>
          <w:szCs w:val="24"/>
          <w:lang w:eastAsia="sq-AL"/>
        </w:rPr>
        <w:t>m si</w:t>
      </w:r>
      <w:r w:rsidRPr="003D5CE4">
        <w:rPr>
          <w:rFonts w:ascii="Garamond" w:eastAsia="Times New Roman" w:hAnsi="Garamond" w:cs="Times New Roman"/>
          <w:b/>
          <w:bCs/>
          <w:color w:val="000000"/>
          <w:spacing w:val="1"/>
          <w:sz w:val="24"/>
          <w:szCs w:val="24"/>
          <w:lang w:eastAsia="sq-AL"/>
        </w:rPr>
        <w:t>p</w:t>
      </w:r>
      <w:r w:rsidRPr="003D5CE4">
        <w:rPr>
          <w:rFonts w:ascii="Garamond" w:eastAsia="Times New Roman" w:hAnsi="Garamond" w:cs="Times New Roman"/>
          <w:b/>
          <w:bCs/>
          <w:color w:val="000000"/>
          <w:sz w:val="24"/>
          <w:szCs w:val="24"/>
          <w:lang w:eastAsia="sq-AL"/>
        </w:rPr>
        <w:t>as</w:t>
      </w:r>
      <w:r w:rsidRPr="003D5CE4">
        <w:rPr>
          <w:rFonts w:ascii="Garamond" w:eastAsia="Times New Roman" w:hAnsi="Garamond" w:cs="Times New Roman"/>
          <w:b/>
          <w:bCs/>
          <w:color w:val="000000"/>
          <w:spacing w:val="4"/>
          <w:sz w:val="24"/>
          <w:szCs w:val="24"/>
          <w:lang w:eastAsia="sq-AL"/>
        </w:rPr>
        <w:t xml:space="preserve"> </w:t>
      </w:r>
      <w:r w:rsidRPr="003D5CE4">
        <w:rPr>
          <w:rFonts w:ascii="Garamond" w:eastAsia="Times New Roman" w:hAnsi="Garamond" w:cs="Times New Roman"/>
          <w:b/>
          <w:bCs/>
          <w:color w:val="000000"/>
          <w:spacing w:val="1"/>
          <w:sz w:val="24"/>
          <w:szCs w:val="24"/>
          <w:lang w:eastAsia="sq-AL"/>
        </w:rPr>
        <w:t>nu</w:t>
      </w:r>
      <w:r w:rsidRPr="003D5CE4">
        <w:rPr>
          <w:rFonts w:ascii="Garamond" w:eastAsia="Times New Roman" w:hAnsi="Garamond" w:cs="Times New Roman"/>
          <w:b/>
          <w:bCs/>
          <w:color w:val="000000"/>
          <w:spacing w:val="-3"/>
          <w:sz w:val="24"/>
          <w:szCs w:val="24"/>
          <w:lang w:eastAsia="sq-AL"/>
        </w:rPr>
        <w:t>m</w:t>
      </w:r>
      <w:r w:rsidRPr="003D5CE4">
        <w:rPr>
          <w:rFonts w:ascii="Garamond" w:eastAsia="Times New Roman" w:hAnsi="Garamond" w:cs="Times New Roman"/>
          <w:b/>
          <w:bCs/>
          <w:color w:val="000000"/>
          <w:spacing w:val="-1"/>
          <w:sz w:val="24"/>
          <w:szCs w:val="24"/>
          <w:lang w:eastAsia="sq-AL"/>
        </w:rPr>
        <w:t>r</w:t>
      </w:r>
      <w:r w:rsidRPr="003D5CE4">
        <w:rPr>
          <w:rFonts w:ascii="Garamond" w:eastAsia="Times New Roman" w:hAnsi="Garamond" w:cs="Times New Roman"/>
          <w:b/>
          <w:bCs/>
          <w:color w:val="000000"/>
          <w:sz w:val="24"/>
          <w:szCs w:val="24"/>
          <w:lang w:eastAsia="sq-AL"/>
        </w:rPr>
        <w:t>it</w:t>
      </w:r>
      <w:r w:rsidRPr="003D5CE4">
        <w:rPr>
          <w:rFonts w:ascii="Garamond" w:eastAsia="Times New Roman" w:hAnsi="Garamond" w:cs="Times New Roman"/>
          <w:b/>
          <w:bCs/>
          <w:color w:val="000000"/>
          <w:spacing w:val="3"/>
          <w:sz w:val="24"/>
          <w:szCs w:val="24"/>
          <w:lang w:eastAsia="sq-AL"/>
        </w:rPr>
        <w:t xml:space="preserve"> </w:t>
      </w:r>
      <w:r w:rsidRPr="003D5CE4">
        <w:rPr>
          <w:rFonts w:ascii="Garamond" w:eastAsia="Times New Roman" w:hAnsi="Garamond" w:cs="Times New Roman"/>
          <w:b/>
          <w:bCs/>
          <w:color w:val="000000"/>
          <w:sz w:val="24"/>
          <w:szCs w:val="24"/>
          <w:lang w:eastAsia="sq-AL"/>
        </w:rPr>
        <w:t xml:space="preserve">e </w:t>
      </w:r>
      <w:r w:rsidRPr="003D5CE4">
        <w:rPr>
          <w:rFonts w:ascii="Garamond" w:eastAsia="Times New Roman" w:hAnsi="Garamond" w:cs="Times New Roman"/>
          <w:b/>
          <w:bCs/>
          <w:color w:val="000000"/>
          <w:spacing w:val="1"/>
          <w:sz w:val="24"/>
          <w:szCs w:val="24"/>
          <w:lang w:eastAsia="sq-AL"/>
        </w:rPr>
        <w:t>k</w:t>
      </w:r>
      <w:r w:rsidRPr="003D5CE4">
        <w:rPr>
          <w:rFonts w:ascii="Garamond" w:eastAsia="Times New Roman" w:hAnsi="Garamond" w:cs="Times New Roman"/>
          <w:b/>
          <w:bCs/>
          <w:color w:val="000000"/>
          <w:sz w:val="24"/>
          <w:szCs w:val="24"/>
          <w:lang w:eastAsia="sq-AL"/>
        </w:rPr>
        <w:t>at</w:t>
      </w:r>
      <w:r w:rsidRPr="003D5CE4">
        <w:rPr>
          <w:rFonts w:ascii="Garamond" w:eastAsia="Times New Roman" w:hAnsi="Garamond" w:cs="Times New Roman"/>
          <w:b/>
          <w:bCs/>
          <w:color w:val="000000"/>
          <w:spacing w:val="-2"/>
          <w:sz w:val="24"/>
          <w:szCs w:val="24"/>
          <w:lang w:eastAsia="sq-AL"/>
        </w:rPr>
        <w:t>e</w:t>
      </w:r>
      <w:r w:rsidRPr="003D5CE4">
        <w:rPr>
          <w:rFonts w:ascii="Garamond" w:eastAsia="Times New Roman" w:hAnsi="Garamond" w:cs="Times New Roman"/>
          <w:b/>
          <w:bCs/>
          <w:color w:val="000000"/>
          <w:sz w:val="24"/>
          <w:szCs w:val="24"/>
          <w:lang w:eastAsia="sq-AL"/>
        </w:rPr>
        <w:t>go</w:t>
      </w:r>
      <w:r w:rsidRPr="003D5CE4">
        <w:rPr>
          <w:rFonts w:ascii="Garamond" w:eastAsia="Times New Roman" w:hAnsi="Garamond" w:cs="Times New Roman"/>
          <w:b/>
          <w:bCs/>
          <w:color w:val="000000"/>
          <w:spacing w:val="-1"/>
          <w:sz w:val="24"/>
          <w:szCs w:val="24"/>
          <w:lang w:eastAsia="sq-AL"/>
        </w:rPr>
        <w:t>r</w:t>
      </w:r>
      <w:r w:rsidRPr="003D5CE4">
        <w:rPr>
          <w:rFonts w:ascii="Garamond" w:eastAsia="Times New Roman" w:hAnsi="Garamond" w:cs="Times New Roman"/>
          <w:b/>
          <w:bCs/>
          <w:color w:val="000000"/>
          <w:sz w:val="24"/>
          <w:szCs w:val="24"/>
          <w:lang w:eastAsia="sq-AL"/>
        </w:rPr>
        <w:t xml:space="preserve">ive </w:t>
      </w:r>
      <w:r w:rsidRPr="003D5CE4">
        <w:rPr>
          <w:rFonts w:ascii="Garamond" w:eastAsia="Times New Roman" w:hAnsi="Garamond" w:cs="Times New Roman"/>
          <w:b/>
          <w:bCs/>
          <w:color w:val="000000"/>
          <w:spacing w:val="1"/>
          <w:sz w:val="24"/>
          <w:szCs w:val="24"/>
          <w:lang w:eastAsia="sq-AL"/>
        </w:rPr>
        <w:t>t</w:t>
      </w:r>
      <w:r w:rsidRPr="003D5CE4">
        <w:rPr>
          <w:rFonts w:ascii="Garamond" w:eastAsia="Times New Roman" w:hAnsi="Garamond" w:cs="Times New Roman"/>
          <w:b/>
          <w:bCs/>
          <w:color w:val="000000"/>
          <w:sz w:val="24"/>
          <w:szCs w:val="24"/>
          <w:lang w:eastAsia="sq-AL"/>
        </w:rPr>
        <w:t>ë</w:t>
      </w:r>
      <w:r w:rsidRPr="003D5CE4">
        <w:rPr>
          <w:rFonts w:ascii="Garamond" w:eastAsia="Times New Roman" w:hAnsi="Garamond" w:cs="Times New Roman"/>
          <w:b/>
          <w:bCs/>
          <w:color w:val="000000"/>
          <w:spacing w:val="-1"/>
          <w:sz w:val="24"/>
          <w:szCs w:val="24"/>
          <w:lang w:eastAsia="sq-AL"/>
        </w:rPr>
        <w:t xml:space="preserve"> </w:t>
      </w:r>
      <w:r w:rsidRPr="003D5CE4">
        <w:rPr>
          <w:rFonts w:ascii="Garamond" w:eastAsia="Times New Roman" w:hAnsi="Garamond" w:cs="Times New Roman"/>
          <w:b/>
          <w:bCs/>
          <w:color w:val="000000"/>
          <w:spacing w:val="1"/>
          <w:sz w:val="24"/>
          <w:szCs w:val="24"/>
          <w:lang w:eastAsia="sq-AL"/>
        </w:rPr>
        <w:t>p</w:t>
      </w:r>
      <w:r w:rsidRPr="003D5CE4">
        <w:rPr>
          <w:rFonts w:ascii="Garamond" w:eastAsia="Times New Roman" w:hAnsi="Garamond" w:cs="Times New Roman"/>
          <w:b/>
          <w:bCs/>
          <w:color w:val="000000"/>
          <w:spacing w:val="-1"/>
          <w:sz w:val="24"/>
          <w:szCs w:val="24"/>
          <w:lang w:eastAsia="sq-AL"/>
        </w:rPr>
        <w:t>ërc</w:t>
      </w:r>
      <w:r w:rsidRPr="003D5CE4">
        <w:rPr>
          <w:rFonts w:ascii="Garamond" w:eastAsia="Times New Roman" w:hAnsi="Garamond" w:cs="Times New Roman"/>
          <w:b/>
          <w:bCs/>
          <w:color w:val="000000"/>
          <w:sz w:val="24"/>
          <w:szCs w:val="24"/>
          <w:lang w:eastAsia="sq-AL"/>
        </w:rPr>
        <w:t>a</w:t>
      </w:r>
      <w:r w:rsidRPr="003D5CE4">
        <w:rPr>
          <w:rFonts w:ascii="Garamond" w:eastAsia="Times New Roman" w:hAnsi="Garamond" w:cs="Times New Roman"/>
          <w:b/>
          <w:bCs/>
          <w:color w:val="000000"/>
          <w:spacing w:val="1"/>
          <w:sz w:val="24"/>
          <w:szCs w:val="24"/>
          <w:lang w:eastAsia="sq-AL"/>
        </w:rPr>
        <w:t>k</w:t>
      </w:r>
      <w:r w:rsidRPr="003D5CE4">
        <w:rPr>
          <w:rFonts w:ascii="Garamond" w:eastAsia="Times New Roman" w:hAnsi="Garamond" w:cs="Times New Roman"/>
          <w:b/>
          <w:bCs/>
          <w:color w:val="000000"/>
          <w:sz w:val="24"/>
          <w:szCs w:val="24"/>
          <w:lang w:eastAsia="sq-AL"/>
        </w:rPr>
        <w:t>tu</w:t>
      </w:r>
      <w:r w:rsidRPr="003D5CE4">
        <w:rPr>
          <w:rFonts w:ascii="Garamond" w:eastAsia="Times New Roman" w:hAnsi="Garamond" w:cs="Times New Roman"/>
          <w:b/>
          <w:bCs/>
          <w:color w:val="000000"/>
          <w:spacing w:val="2"/>
          <w:sz w:val="24"/>
          <w:szCs w:val="24"/>
          <w:lang w:eastAsia="sq-AL"/>
        </w:rPr>
        <w:t>a</w:t>
      </w:r>
      <w:r w:rsidRPr="003D5CE4">
        <w:rPr>
          <w:rFonts w:ascii="Garamond" w:eastAsia="Times New Roman" w:hAnsi="Garamond" w:cs="Times New Roman"/>
          <w:b/>
          <w:bCs/>
          <w:color w:val="000000"/>
          <w:spacing w:val="-1"/>
          <w:sz w:val="24"/>
          <w:szCs w:val="24"/>
          <w:lang w:eastAsia="sq-AL"/>
        </w:rPr>
        <w:t>r</w:t>
      </w:r>
      <w:r w:rsidRPr="003D5CE4">
        <w:rPr>
          <w:rFonts w:ascii="Garamond" w:eastAsia="Times New Roman" w:hAnsi="Garamond" w:cs="Times New Roman"/>
          <w:b/>
          <w:bCs/>
          <w:color w:val="000000"/>
          <w:sz w:val="24"/>
          <w:szCs w:val="24"/>
          <w:lang w:eastAsia="sq-AL"/>
        </w:rPr>
        <w:t xml:space="preserve">a </w:t>
      </w:r>
      <w:r w:rsidRPr="003D5CE4">
        <w:rPr>
          <w:rFonts w:ascii="Garamond" w:eastAsia="Times New Roman" w:hAnsi="Garamond" w:cs="Times New Roman"/>
          <w:b/>
          <w:bCs/>
          <w:color w:val="000000"/>
          <w:spacing w:val="1"/>
          <w:sz w:val="24"/>
          <w:szCs w:val="24"/>
          <w:lang w:eastAsia="sq-AL"/>
        </w:rPr>
        <w:t>n</w:t>
      </w:r>
      <w:r w:rsidRPr="003D5CE4">
        <w:rPr>
          <w:rFonts w:ascii="Garamond" w:eastAsia="Times New Roman" w:hAnsi="Garamond" w:cs="Times New Roman"/>
          <w:b/>
          <w:bCs/>
          <w:color w:val="000000"/>
          <w:sz w:val="24"/>
          <w:szCs w:val="24"/>
          <w:lang w:eastAsia="sq-AL"/>
        </w:rPr>
        <w:t>ë</w:t>
      </w:r>
      <w:r w:rsidRPr="003D5CE4">
        <w:rPr>
          <w:rFonts w:ascii="Garamond" w:eastAsia="Times New Roman" w:hAnsi="Garamond" w:cs="Times New Roman"/>
          <w:b/>
          <w:bCs/>
          <w:color w:val="000000"/>
          <w:spacing w:val="-1"/>
          <w:sz w:val="24"/>
          <w:szCs w:val="24"/>
          <w:lang w:eastAsia="sq-AL"/>
        </w:rPr>
        <w:t xml:space="preserve"> </w:t>
      </w:r>
      <w:r w:rsidRPr="003D5CE4">
        <w:rPr>
          <w:rFonts w:ascii="Garamond" w:eastAsia="Times New Roman" w:hAnsi="Garamond" w:cs="Times New Roman"/>
          <w:b/>
          <w:bCs/>
          <w:color w:val="000000"/>
          <w:sz w:val="24"/>
          <w:szCs w:val="24"/>
          <w:lang w:eastAsia="sq-AL"/>
        </w:rPr>
        <w:t>v</w:t>
      </w:r>
      <w:r w:rsidRPr="003D5CE4">
        <w:rPr>
          <w:rFonts w:ascii="Garamond" w:eastAsia="Times New Roman" w:hAnsi="Garamond" w:cs="Times New Roman"/>
          <w:b/>
          <w:bCs/>
          <w:color w:val="000000"/>
          <w:spacing w:val="-1"/>
          <w:sz w:val="24"/>
          <w:szCs w:val="24"/>
          <w:lang w:eastAsia="sq-AL"/>
        </w:rPr>
        <w:t>e</w:t>
      </w:r>
      <w:r w:rsidRPr="003D5CE4">
        <w:rPr>
          <w:rFonts w:ascii="Garamond" w:eastAsia="Times New Roman" w:hAnsi="Garamond" w:cs="Times New Roman"/>
          <w:b/>
          <w:bCs/>
          <w:color w:val="000000"/>
          <w:spacing w:val="1"/>
          <w:sz w:val="24"/>
          <w:szCs w:val="24"/>
          <w:lang w:eastAsia="sq-AL"/>
        </w:rPr>
        <w:t>nd</w:t>
      </w:r>
      <w:r w:rsidRPr="003D5CE4">
        <w:rPr>
          <w:rFonts w:ascii="Garamond" w:eastAsia="Times New Roman" w:hAnsi="Garamond" w:cs="Times New Roman"/>
          <w:b/>
          <w:bCs/>
          <w:color w:val="000000"/>
          <w:sz w:val="24"/>
          <w:szCs w:val="24"/>
          <w:lang w:eastAsia="sq-AL"/>
        </w:rPr>
        <w:t>i</w:t>
      </w:r>
      <w:r w:rsidRPr="003D5CE4">
        <w:rPr>
          <w:rFonts w:ascii="Garamond" w:eastAsia="Times New Roman" w:hAnsi="Garamond" w:cs="Times New Roman"/>
          <w:b/>
          <w:bCs/>
          <w:color w:val="000000"/>
          <w:spacing w:val="-3"/>
          <w:sz w:val="24"/>
          <w:szCs w:val="24"/>
          <w:lang w:eastAsia="sq-AL"/>
        </w:rPr>
        <w:t>m</w:t>
      </w:r>
      <w:r w:rsidRPr="003D5CE4">
        <w:rPr>
          <w:rFonts w:ascii="Garamond" w:eastAsia="Times New Roman" w:hAnsi="Garamond" w:cs="Times New Roman"/>
          <w:b/>
          <w:bCs/>
          <w:color w:val="000000"/>
          <w:sz w:val="24"/>
          <w:szCs w:val="24"/>
          <w:lang w:eastAsia="sq-AL"/>
        </w:rPr>
        <w:t>in</w:t>
      </w:r>
      <w:r w:rsidRPr="003D5CE4">
        <w:rPr>
          <w:rFonts w:ascii="Garamond" w:eastAsia="Times New Roman" w:hAnsi="Garamond" w:cs="Times New Roman"/>
          <w:b/>
          <w:bCs/>
          <w:color w:val="000000"/>
          <w:spacing w:val="1"/>
          <w:sz w:val="24"/>
          <w:szCs w:val="24"/>
          <w:lang w:eastAsia="sq-AL"/>
        </w:rPr>
        <w:t xml:space="preserve"> </w:t>
      </w:r>
      <w:r w:rsidRPr="003D5CE4">
        <w:rPr>
          <w:rFonts w:ascii="Garamond" w:eastAsia="Times New Roman" w:hAnsi="Garamond" w:cs="Times New Roman"/>
          <w:b/>
          <w:bCs/>
          <w:color w:val="000000"/>
          <w:sz w:val="24"/>
          <w:szCs w:val="24"/>
          <w:lang w:eastAsia="sq-AL"/>
        </w:rPr>
        <w:t>e</w:t>
      </w:r>
      <w:r w:rsidRPr="003D5CE4">
        <w:rPr>
          <w:rFonts w:ascii="Garamond" w:eastAsia="Times New Roman" w:hAnsi="Garamond" w:cs="Times New Roman"/>
          <w:b/>
          <w:bCs/>
          <w:color w:val="000000"/>
          <w:spacing w:val="-1"/>
          <w:sz w:val="24"/>
          <w:szCs w:val="24"/>
          <w:lang w:eastAsia="sq-AL"/>
        </w:rPr>
        <w:t xml:space="preserve"> </w:t>
      </w:r>
      <w:r w:rsidRPr="003D5CE4">
        <w:rPr>
          <w:rFonts w:ascii="Garamond" w:eastAsia="Times New Roman" w:hAnsi="Garamond" w:cs="Times New Roman"/>
          <w:b/>
          <w:bCs/>
          <w:color w:val="000000"/>
          <w:spacing w:val="1"/>
          <w:sz w:val="24"/>
          <w:szCs w:val="24"/>
          <w:lang w:eastAsia="sq-AL"/>
        </w:rPr>
        <w:t>r</w:t>
      </w:r>
      <w:r w:rsidRPr="003D5CE4">
        <w:rPr>
          <w:rFonts w:ascii="Garamond" w:eastAsia="Times New Roman" w:hAnsi="Garamond" w:cs="Times New Roman"/>
          <w:b/>
          <w:bCs/>
          <w:color w:val="000000"/>
          <w:spacing w:val="-1"/>
          <w:sz w:val="24"/>
          <w:szCs w:val="24"/>
          <w:lang w:eastAsia="sq-AL"/>
        </w:rPr>
        <w:t>e</w:t>
      </w:r>
      <w:r w:rsidRPr="003D5CE4">
        <w:rPr>
          <w:rFonts w:ascii="Garamond" w:eastAsia="Times New Roman" w:hAnsi="Garamond" w:cs="Times New Roman"/>
          <w:b/>
          <w:bCs/>
          <w:color w:val="000000"/>
          <w:sz w:val="24"/>
          <w:szCs w:val="24"/>
          <w:lang w:eastAsia="sq-AL"/>
        </w:rPr>
        <w:t>lat</w:t>
      </w:r>
      <w:r w:rsidRPr="003D5CE4">
        <w:rPr>
          <w:rFonts w:ascii="Garamond" w:eastAsia="Times New Roman" w:hAnsi="Garamond" w:cs="Times New Roman"/>
          <w:b/>
          <w:bCs/>
          <w:color w:val="000000"/>
          <w:spacing w:val="2"/>
          <w:sz w:val="24"/>
          <w:szCs w:val="24"/>
          <w:lang w:eastAsia="sq-AL"/>
        </w:rPr>
        <w:t>o</w:t>
      </w:r>
      <w:r w:rsidRPr="003D5CE4">
        <w:rPr>
          <w:rFonts w:ascii="Garamond" w:eastAsia="Times New Roman" w:hAnsi="Garamond" w:cs="Times New Roman"/>
          <w:b/>
          <w:bCs/>
          <w:color w:val="000000"/>
          <w:spacing w:val="-1"/>
          <w:sz w:val="24"/>
          <w:szCs w:val="24"/>
          <w:lang w:eastAsia="sq-AL"/>
        </w:rPr>
        <w:t>r</w:t>
      </w:r>
      <w:r w:rsidRPr="003D5CE4">
        <w:rPr>
          <w:rFonts w:ascii="Garamond" w:eastAsia="Times New Roman" w:hAnsi="Garamond" w:cs="Times New Roman"/>
          <w:b/>
          <w:bCs/>
          <w:color w:val="000000"/>
          <w:sz w:val="24"/>
          <w:szCs w:val="24"/>
          <w:lang w:eastAsia="sq-AL"/>
        </w:rPr>
        <w:t>it.</w:t>
      </w:r>
    </w:p>
    <w:p w14:paraId="6F3C19D5" w14:textId="77777777" w:rsidR="00F052F6" w:rsidRPr="003D5CE4" w:rsidRDefault="00F052F6" w:rsidP="00F052F6">
      <w:pPr>
        <w:widowControl w:val="0"/>
        <w:autoSpaceDE w:val="0"/>
        <w:autoSpaceDN w:val="0"/>
        <w:adjustRightInd w:val="0"/>
        <w:spacing w:after="0" w:line="240" w:lineRule="auto"/>
        <w:ind w:firstLine="284"/>
        <w:jc w:val="both"/>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pacing w:val="1"/>
          <w:sz w:val="24"/>
          <w:szCs w:val="24"/>
          <w:lang w:eastAsia="sq-AL"/>
        </w:rPr>
        <w:t>S</w:t>
      </w:r>
      <w:r w:rsidRPr="003D5CE4">
        <w:rPr>
          <w:rFonts w:ascii="Garamond" w:eastAsia="Times New Roman" w:hAnsi="Garamond" w:cs="Times New Roman"/>
          <w:color w:val="000000"/>
          <w:sz w:val="24"/>
          <w:szCs w:val="24"/>
          <w:lang w:eastAsia="sq-AL"/>
        </w:rPr>
        <w:t>ipas t</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b</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lës me</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të dh</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pacing w:val="2"/>
          <w:sz w:val="24"/>
          <w:szCs w:val="24"/>
          <w:lang w:eastAsia="sq-AL"/>
        </w:rPr>
        <w:t>n</w:t>
      </w:r>
      <w:r w:rsidRPr="003D5CE4">
        <w:rPr>
          <w:rFonts w:ascii="Garamond" w:eastAsia="Times New Roman" w:hAnsi="Garamond" w:cs="Times New Roman"/>
          <w:color w:val="000000"/>
          <w:sz w:val="24"/>
          <w:szCs w:val="24"/>
          <w:lang w:eastAsia="sq-AL"/>
        </w:rPr>
        <w:t>a</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 xml:space="preserve">r </w:t>
      </w:r>
      <w:r w:rsidRPr="003D5CE4">
        <w:rPr>
          <w:rFonts w:ascii="Garamond" w:eastAsia="Times New Roman" w:hAnsi="Garamond" w:cs="Times New Roman"/>
          <w:i/>
          <w:iCs/>
          <w:color w:val="000000"/>
          <w:spacing w:val="1"/>
          <w:sz w:val="24"/>
          <w:szCs w:val="24"/>
          <w:lang w:eastAsia="sq-AL"/>
        </w:rPr>
        <w:t>materialet kallëzuese të</w:t>
      </w:r>
      <w:r w:rsidRPr="003D5CE4">
        <w:rPr>
          <w:rFonts w:ascii="Garamond" w:eastAsia="Times New Roman" w:hAnsi="Garamond" w:cs="Times New Roman"/>
          <w:i/>
          <w:iCs/>
          <w:color w:val="000000"/>
          <w:sz w:val="24"/>
          <w:szCs w:val="24"/>
          <w:lang w:eastAsia="sq-AL"/>
        </w:rPr>
        <w:t xml:space="preserve"> mosfilluara</w:t>
      </w:r>
      <w:r w:rsidRPr="003D5CE4">
        <w:rPr>
          <w:rStyle w:val="FootnoteReference"/>
          <w:rFonts w:ascii="Garamond" w:eastAsia="Times New Roman" w:hAnsi="Garamond" w:cs="Times New Roman"/>
          <w:i/>
          <w:iCs/>
          <w:color w:val="000000"/>
          <w:spacing w:val="2"/>
          <w:sz w:val="24"/>
          <w:szCs w:val="24"/>
          <w:lang w:eastAsia="sq-AL"/>
        </w:rPr>
        <w:footnoteReference w:id="5"/>
      </w:r>
      <w:r w:rsidRPr="003D5CE4">
        <w:rPr>
          <w:rFonts w:ascii="Garamond" w:eastAsia="Times New Roman" w:hAnsi="Garamond" w:cs="Times New Roman"/>
          <w:color w:val="000000"/>
          <w:sz w:val="24"/>
          <w:szCs w:val="24"/>
          <w:lang w:eastAsia="sq-AL"/>
        </w:rPr>
        <w:t xml:space="preserve">, </w:t>
      </w:r>
      <w:r w:rsidRPr="003D5CE4">
        <w:rPr>
          <w:rFonts w:ascii="Garamond" w:eastAsia="Times New Roman" w:hAnsi="Garamond" w:cs="Times New Roman"/>
          <w:color w:val="000000"/>
          <w:spacing w:val="1"/>
          <w:sz w:val="24"/>
          <w:szCs w:val="24"/>
          <w:lang w:eastAsia="sq-AL"/>
        </w:rPr>
        <w:t>z</w:t>
      </w:r>
      <w:r w:rsidRPr="003D5CE4">
        <w:rPr>
          <w:rFonts w:ascii="Garamond" w:eastAsia="Times New Roman" w:hAnsi="Garamond" w:cs="Times New Roman"/>
          <w:color w:val="000000"/>
          <w:sz w:val="24"/>
          <w:szCs w:val="24"/>
          <w:lang w:eastAsia="sq-AL"/>
        </w:rPr>
        <w:t>hvi</w:t>
      </w:r>
      <w:r w:rsidRPr="003D5CE4">
        <w:rPr>
          <w:rFonts w:ascii="Garamond" w:eastAsia="Times New Roman" w:hAnsi="Garamond" w:cs="Times New Roman"/>
          <w:color w:val="000000"/>
          <w:spacing w:val="-1"/>
          <w:sz w:val="24"/>
          <w:szCs w:val="24"/>
          <w:lang w:eastAsia="sq-AL"/>
        </w:rPr>
        <w:t>l</w:t>
      </w:r>
      <w:r w:rsidRPr="003D5CE4">
        <w:rPr>
          <w:rFonts w:ascii="Garamond" w:eastAsia="Times New Roman" w:hAnsi="Garamond" w:cs="Times New Roman"/>
          <w:color w:val="000000"/>
          <w:sz w:val="24"/>
          <w:szCs w:val="24"/>
          <w:lang w:eastAsia="sq-AL"/>
        </w:rPr>
        <w:t>l</w:t>
      </w:r>
      <w:r w:rsidRPr="003D5CE4">
        <w:rPr>
          <w:rFonts w:ascii="Garamond" w:eastAsia="Times New Roman" w:hAnsi="Garamond" w:cs="Times New Roman"/>
          <w:color w:val="000000"/>
          <w:spacing w:val="-2"/>
          <w:sz w:val="24"/>
          <w:szCs w:val="24"/>
          <w:lang w:eastAsia="sq-AL"/>
        </w:rPr>
        <w:t>o</w:t>
      </w:r>
      <w:r w:rsidRPr="003D5CE4">
        <w:rPr>
          <w:rFonts w:ascii="Garamond" w:eastAsia="Times New Roman" w:hAnsi="Garamond" w:cs="Times New Roman"/>
          <w:color w:val="000000"/>
          <w:sz w:val="24"/>
          <w:szCs w:val="24"/>
          <w:lang w:eastAsia="sq-AL"/>
        </w:rPr>
        <w:t>h</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t pro</w:t>
      </w:r>
      <w:r w:rsidRPr="003D5CE4">
        <w:rPr>
          <w:rFonts w:ascii="Garamond" w:eastAsia="Times New Roman" w:hAnsi="Garamond" w:cs="Times New Roman"/>
          <w:color w:val="000000"/>
          <w:spacing w:val="-1"/>
          <w:sz w:val="24"/>
          <w:szCs w:val="24"/>
          <w:lang w:eastAsia="sq-AL"/>
        </w:rPr>
        <w:t>ce</w:t>
      </w:r>
      <w:r w:rsidRPr="003D5CE4">
        <w:rPr>
          <w:rFonts w:ascii="Garamond" w:eastAsia="Times New Roman" w:hAnsi="Garamond" w:cs="Times New Roman"/>
          <w:color w:val="000000"/>
          <w:sz w:val="24"/>
          <w:szCs w:val="24"/>
          <w:lang w:eastAsia="sq-AL"/>
        </w:rPr>
        <w:t>du</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z w:val="24"/>
          <w:szCs w:val="24"/>
          <w:lang w:eastAsia="sq-AL"/>
        </w:rPr>
        <w:t>a</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e</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shortit në</w:t>
      </w:r>
      <w:r w:rsidRPr="003D5CE4">
        <w:rPr>
          <w:rFonts w:ascii="Garamond" w:eastAsia="Times New Roman" w:hAnsi="Garamond" w:cs="Times New Roman"/>
          <w:color w:val="000000"/>
          <w:spacing w:val="-8"/>
          <w:sz w:val="24"/>
          <w:szCs w:val="24"/>
          <w:lang w:eastAsia="sq-AL"/>
        </w:rPr>
        <w:t xml:space="preserve"> </w:t>
      </w:r>
      <w:r w:rsidRPr="003D5CE4">
        <w:rPr>
          <w:rFonts w:ascii="Garamond" w:eastAsia="Times New Roman" w:hAnsi="Garamond" w:cs="Times New Roman"/>
          <w:color w:val="000000"/>
          <w:sz w:val="24"/>
          <w:szCs w:val="24"/>
          <w:lang w:eastAsia="sq-AL"/>
        </w:rPr>
        <w:t>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w:t>
      </w:r>
      <w:r w:rsidRPr="003D5CE4">
        <w:rPr>
          <w:rFonts w:ascii="Garamond" w:eastAsia="Times New Roman" w:hAnsi="Garamond" w:cs="Times New Roman"/>
          <w:color w:val="000000"/>
          <w:spacing w:val="-1"/>
          <w:sz w:val="24"/>
          <w:szCs w:val="24"/>
          <w:lang w:eastAsia="sq-AL"/>
        </w:rPr>
        <w:t>f</w:t>
      </w:r>
      <w:r w:rsidRPr="003D5CE4">
        <w:rPr>
          <w:rFonts w:ascii="Garamond" w:eastAsia="Times New Roman" w:hAnsi="Garamond" w:cs="Times New Roman"/>
          <w:color w:val="000000"/>
          <w:sz w:val="24"/>
          <w:szCs w:val="24"/>
          <w:lang w:eastAsia="sq-AL"/>
        </w:rPr>
        <w:t>undim</w:t>
      </w:r>
      <w:r w:rsidRPr="003D5CE4">
        <w:rPr>
          <w:rFonts w:ascii="Garamond" w:eastAsia="Times New Roman" w:hAnsi="Garamond" w:cs="Times New Roman"/>
          <w:color w:val="000000"/>
          <w:spacing w:val="-6"/>
          <w:sz w:val="24"/>
          <w:szCs w:val="24"/>
          <w:lang w:eastAsia="sq-AL"/>
        </w:rPr>
        <w:t xml:space="preserve"> </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pacing w:val="-1"/>
          <w:sz w:val="24"/>
          <w:szCs w:val="24"/>
          <w:lang w:eastAsia="sq-AL"/>
        </w:rPr>
        <w:t xml:space="preserve">ë </w:t>
      </w:r>
      <w:r>
        <w:rPr>
          <w:rFonts w:ascii="Garamond" w:eastAsia="Times New Roman" w:hAnsi="Garamond" w:cs="Times New Roman"/>
          <w:color w:val="000000"/>
          <w:sz w:val="24"/>
          <w:szCs w:val="24"/>
          <w:lang w:eastAsia="sq-AL"/>
        </w:rPr>
        <w:t>s</w:t>
      </w:r>
      <w:r w:rsidRPr="003D5CE4">
        <w:rPr>
          <w:rFonts w:ascii="Garamond" w:eastAsia="Times New Roman" w:hAnsi="Garamond" w:cs="Times New Roman"/>
          <w:color w:val="000000"/>
          <w:sz w:val="24"/>
          <w:szCs w:val="24"/>
          <w:lang w:eastAsia="sq-AL"/>
        </w:rPr>
        <w:t>ë</w:t>
      </w:r>
      <w:r w:rsidRPr="003D5CE4">
        <w:rPr>
          <w:rFonts w:ascii="Garamond" w:eastAsia="Times New Roman" w:hAnsi="Garamond" w:cs="Times New Roman"/>
          <w:color w:val="000000"/>
          <w:spacing w:val="-8"/>
          <w:sz w:val="24"/>
          <w:szCs w:val="24"/>
          <w:lang w:eastAsia="sq-AL"/>
        </w:rPr>
        <w:t xml:space="preserve"> </w:t>
      </w:r>
      <w:r w:rsidRPr="003D5CE4">
        <w:rPr>
          <w:rFonts w:ascii="Garamond" w:eastAsia="Times New Roman" w:hAnsi="Garamond" w:cs="Times New Roman"/>
          <w:color w:val="000000"/>
          <w:spacing w:val="-1"/>
          <w:sz w:val="24"/>
          <w:szCs w:val="24"/>
          <w:lang w:eastAsia="sq-AL"/>
        </w:rPr>
        <w:t>c</w:t>
      </w:r>
      <w:r w:rsidRPr="003D5CE4">
        <w:rPr>
          <w:rFonts w:ascii="Garamond" w:eastAsia="Times New Roman" w:hAnsi="Garamond" w:cs="Times New Roman"/>
          <w:color w:val="000000"/>
          <w:sz w:val="24"/>
          <w:szCs w:val="24"/>
          <w:lang w:eastAsia="sq-AL"/>
        </w:rPr>
        <w:t>i</w:t>
      </w:r>
      <w:r w:rsidRPr="003D5CE4">
        <w:rPr>
          <w:rFonts w:ascii="Garamond" w:eastAsia="Times New Roman" w:hAnsi="Garamond" w:cs="Times New Roman"/>
          <w:color w:val="000000"/>
          <w:spacing w:val="1"/>
          <w:sz w:val="24"/>
          <w:szCs w:val="24"/>
          <w:lang w:eastAsia="sq-AL"/>
        </w:rPr>
        <w:t>l</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s,</w:t>
      </w:r>
      <w:r w:rsidRPr="003D5CE4">
        <w:rPr>
          <w:rFonts w:ascii="Garamond" w:eastAsia="Times New Roman" w:hAnsi="Garamond" w:cs="Times New Roman"/>
          <w:color w:val="000000"/>
          <w:spacing w:val="-7"/>
          <w:sz w:val="24"/>
          <w:szCs w:val="24"/>
          <w:lang w:eastAsia="sq-AL"/>
        </w:rPr>
        <w:t xml:space="preserve"> </w:t>
      </w:r>
      <w:r w:rsidRPr="003D5CE4">
        <w:rPr>
          <w:rFonts w:ascii="Garamond" w:eastAsia="Times New Roman" w:hAnsi="Garamond" w:cs="Times New Roman"/>
          <w:color w:val="000000"/>
          <w:sz w:val="24"/>
          <w:szCs w:val="24"/>
          <w:lang w:eastAsia="sq-AL"/>
        </w:rPr>
        <w:t>p</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si</w:t>
      </w:r>
      <w:r w:rsidRPr="003D5CE4">
        <w:rPr>
          <w:rFonts w:ascii="Garamond" w:eastAsia="Times New Roman" w:hAnsi="Garamond" w:cs="Times New Roman"/>
          <w:color w:val="000000"/>
          <w:spacing w:val="-6"/>
          <w:sz w:val="24"/>
          <w:szCs w:val="24"/>
          <w:lang w:eastAsia="sq-AL"/>
        </w:rPr>
        <w:t xml:space="preserve"> </w:t>
      </w:r>
      <w:r w:rsidRPr="003D5CE4">
        <w:rPr>
          <w:rFonts w:ascii="Garamond" w:eastAsia="Times New Roman" w:hAnsi="Garamond" w:cs="Times New Roman"/>
          <w:color w:val="000000"/>
          <w:sz w:val="24"/>
          <w:szCs w:val="24"/>
          <w:lang w:eastAsia="sq-AL"/>
        </w:rPr>
        <w:t>u</w:t>
      </w:r>
      <w:r w:rsidRPr="003D5CE4">
        <w:rPr>
          <w:rFonts w:ascii="Garamond" w:eastAsia="Times New Roman" w:hAnsi="Garamond" w:cs="Times New Roman"/>
          <w:color w:val="000000"/>
          <w:spacing w:val="-7"/>
          <w:sz w:val="24"/>
          <w:szCs w:val="24"/>
          <w:lang w:eastAsia="sq-AL"/>
        </w:rPr>
        <w:t xml:space="preserve"> </w:t>
      </w:r>
      <w:r w:rsidRPr="003D5CE4">
        <w:rPr>
          <w:rFonts w:ascii="Garamond" w:eastAsia="Times New Roman" w:hAnsi="Garamond" w:cs="Times New Roman"/>
          <w:color w:val="000000"/>
          <w:sz w:val="24"/>
          <w:szCs w:val="24"/>
          <w:lang w:eastAsia="sq-AL"/>
        </w:rPr>
        <w:t>k</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pacing w:val="-5"/>
          <w:sz w:val="24"/>
          <w:szCs w:val="24"/>
          <w:lang w:eastAsia="sq-AL"/>
        </w:rPr>
        <w:t>y</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n</w:t>
      </w:r>
      <w:r w:rsidRPr="003D5CE4">
        <w:rPr>
          <w:rFonts w:ascii="Garamond" w:eastAsia="Times New Roman" w:hAnsi="Garamond" w:cs="Times New Roman"/>
          <w:color w:val="000000"/>
          <w:spacing w:val="-7"/>
          <w:sz w:val="24"/>
          <w:szCs w:val="24"/>
          <w:lang w:eastAsia="sq-AL"/>
        </w:rPr>
        <w:t xml:space="preserve"> </w:t>
      </w:r>
      <w:r w:rsidRPr="003D5CE4">
        <w:rPr>
          <w:rFonts w:ascii="Garamond" w:eastAsia="Times New Roman" w:hAnsi="Garamond" w:cs="Times New Roman"/>
          <w:color w:val="000000"/>
          <w:sz w:val="24"/>
          <w:szCs w:val="24"/>
          <w:lang w:eastAsia="sq-AL"/>
        </w:rPr>
        <w:t>v</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prim</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t</w:t>
      </w:r>
      <w:r w:rsidRPr="003D5CE4">
        <w:rPr>
          <w:rFonts w:ascii="Garamond" w:eastAsia="Times New Roman" w:hAnsi="Garamond" w:cs="Times New Roman"/>
          <w:color w:val="000000"/>
          <w:spacing w:val="-7"/>
          <w:sz w:val="24"/>
          <w:szCs w:val="24"/>
          <w:lang w:eastAsia="sq-AL"/>
        </w:rPr>
        <w:t xml:space="preserve"> </w:t>
      </w:r>
      <w:r w:rsidRPr="003D5CE4">
        <w:rPr>
          <w:rFonts w:ascii="Garamond" w:eastAsia="Times New Roman" w:hAnsi="Garamond" w:cs="Times New Roman"/>
          <w:color w:val="000000"/>
          <w:sz w:val="24"/>
          <w:szCs w:val="24"/>
          <w:lang w:eastAsia="sq-AL"/>
        </w:rPr>
        <w:t>v</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ri</w:t>
      </w:r>
      <w:r w:rsidRPr="003D5CE4">
        <w:rPr>
          <w:rFonts w:ascii="Garamond" w:eastAsia="Times New Roman" w:hAnsi="Garamond" w:cs="Times New Roman"/>
          <w:color w:val="000000"/>
          <w:spacing w:val="1"/>
          <w:sz w:val="24"/>
          <w:szCs w:val="24"/>
          <w:lang w:eastAsia="sq-AL"/>
        </w:rPr>
        <w:t>f</w:t>
      </w:r>
      <w:r w:rsidRPr="003D5CE4">
        <w:rPr>
          <w:rFonts w:ascii="Garamond" w:eastAsia="Times New Roman" w:hAnsi="Garamond" w:cs="Times New Roman"/>
          <w:color w:val="000000"/>
          <w:sz w:val="24"/>
          <w:szCs w:val="24"/>
          <w:lang w:eastAsia="sq-AL"/>
        </w:rPr>
        <w:t>ikues</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w:t>
      </w:r>
      <w:r w:rsidRPr="003D5CE4">
        <w:rPr>
          <w:rFonts w:ascii="Garamond" w:eastAsia="Times New Roman" w:hAnsi="Garamond" w:cs="Times New Roman"/>
          <w:color w:val="000000"/>
          <w:spacing w:val="-7"/>
          <w:sz w:val="24"/>
          <w:szCs w:val="24"/>
          <w:lang w:eastAsia="sq-AL"/>
        </w:rPr>
        <w:t xml:space="preserve"> </w:t>
      </w:r>
      <w:r w:rsidRPr="003D5CE4">
        <w:rPr>
          <w:rFonts w:ascii="Garamond" w:eastAsia="Times New Roman" w:hAnsi="Garamond" w:cs="Times New Roman"/>
          <w:color w:val="000000"/>
          <w:sz w:val="24"/>
          <w:szCs w:val="24"/>
          <w:lang w:eastAsia="sq-AL"/>
        </w:rPr>
        <w:t>u</w:t>
      </w:r>
      <w:r w:rsidRPr="003D5CE4">
        <w:rPr>
          <w:rFonts w:ascii="Garamond" w:eastAsia="Times New Roman" w:hAnsi="Garamond" w:cs="Times New Roman"/>
          <w:color w:val="000000"/>
          <w:spacing w:val="-7"/>
          <w:sz w:val="24"/>
          <w:szCs w:val="24"/>
          <w:lang w:eastAsia="sq-AL"/>
        </w:rPr>
        <w:t xml:space="preserve"> </w:t>
      </w:r>
      <w:r w:rsidRPr="003D5CE4">
        <w:rPr>
          <w:rFonts w:ascii="Garamond" w:eastAsia="Times New Roman" w:hAnsi="Garamond" w:cs="Times New Roman"/>
          <w:color w:val="000000"/>
          <w:spacing w:val="1"/>
          <w:sz w:val="24"/>
          <w:szCs w:val="24"/>
          <w:lang w:eastAsia="sq-AL"/>
        </w:rPr>
        <w:t>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rz</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jod</w:t>
      </w:r>
      <w:r w:rsidRPr="003D5CE4">
        <w:rPr>
          <w:rFonts w:ascii="Garamond" w:eastAsia="Times New Roman" w:hAnsi="Garamond" w:cs="Times New Roman"/>
          <w:color w:val="000000"/>
          <w:spacing w:val="1"/>
          <w:sz w:val="24"/>
          <w:szCs w:val="24"/>
          <w:lang w:eastAsia="sq-AL"/>
        </w:rPr>
        <w:t>h</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n____</w:t>
      </w:r>
      <w:r w:rsidRPr="003D5CE4">
        <w:rPr>
          <w:rFonts w:ascii="Garamond" w:eastAsia="Times New Roman" w:hAnsi="Garamond" w:cs="Times New Roman"/>
          <w:color w:val="000000"/>
          <w:spacing w:val="-14"/>
          <w:sz w:val="24"/>
          <w:szCs w:val="24"/>
          <w:lang w:eastAsia="sq-AL"/>
        </w:rPr>
        <w:t xml:space="preserve"> </w:t>
      </w:r>
      <w:r w:rsidRPr="003D5CE4">
        <w:rPr>
          <w:rFonts w:ascii="Garamond" w:eastAsia="Times New Roman" w:hAnsi="Garamond" w:cs="Times New Roman"/>
          <w:color w:val="000000"/>
          <w:spacing w:val="-1"/>
          <w:sz w:val="24"/>
          <w:szCs w:val="24"/>
          <w:lang w:eastAsia="sq-AL"/>
        </w:rPr>
        <w:t>çë</w:t>
      </w:r>
      <w:r w:rsidRPr="003D5CE4">
        <w:rPr>
          <w:rFonts w:ascii="Garamond" w:eastAsia="Times New Roman" w:hAnsi="Garamond" w:cs="Times New Roman"/>
          <w:color w:val="000000"/>
          <w:sz w:val="24"/>
          <w:szCs w:val="24"/>
          <w:lang w:eastAsia="sq-AL"/>
        </w:rPr>
        <w:t>sht</w:t>
      </w:r>
      <w:r w:rsidRPr="003D5CE4">
        <w:rPr>
          <w:rFonts w:ascii="Garamond" w:eastAsia="Times New Roman" w:hAnsi="Garamond" w:cs="Times New Roman"/>
          <w:color w:val="000000"/>
          <w:spacing w:val="1"/>
          <w:sz w:val="24"/>
          <w:szCs w:val="24"/>
          <w:lang w:eastAsia="sq-AL"/>
        </w:rPr>
        <w:t>j</w:t>
      </w:r>
      <w:r w:rsidRPr="003D5CE4">
        <w:rPr>
          <w:rFonts w:ascii="Garamond" w:eastAsia="Times New Roman" w:hAnsi="Garamond" w:cs="Times New Roman"/>
          <w:color w:val="000000"/>
          <w:sz w:val="24"/>
          <w:szCs w:val="24"/>
          <w:lang w:eastAsia="sq-AL"/>
        </w:rPr>
        <w:t>e</w:t>
      </w:r>
      <w:r w:rsidRPr="003D5CE4">
        <w:rPr>
          <w:rFonts w:ascii="Garamond" w:eastAsia="Times New Roman" w:hAnsi="Garamond" w:cs="Times New Roman"/>
          <w:color w:val="000000"/>
          <w:spacing w:val="-8"/>
          <w:sz w:val="24"/>
          <w:szCs w:val="24"/>
          <w:lang w:eastAsia="sq-AL"/>
        </w:rPr>
        <w:t xml:space="preserve"> </w:t>
      </w:r>
      <w:r w:rsidRPr="003D5CE4">
        <w:rPr>
          <w:rFonts w:ascii="Garamond" w:eastAsia="Times New Roman" w:hAnsi="Garamond" w:cs="Times New Roman"/>
          <w:color w:val="000000"/>
          <w:sz w:val="24"/>
          <w:szCs w:val="24"/>
          <w:lang w:eastAsia="sq-AL"/>
        </w:rPr>
        <w:t>si</w:t>
      </w:r>
      <w:r w:rsidRPr="003D5CE4">
        <w:rPr>
          <w:rFonts w:ascii="Garamond" w:eastAsia="Times New Roman" w:hAnsi="Garamond" w:cs="Times New Roman"/>
          <w:color w:val="000000"/>
          <w:spacing w:val="-6"/>
          <w:sz w:val="24"/>
          <w:szCs w:val="24"/>
          <w:lang w:eastAsia="sq-AL"/>
        </w:rPr>
        <w:t xml:space="preserve"> </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ë</w:t>
      </w:r>
      <w:r w:rsidRPr="003D5CE4">
        <w:rPr>
          <w:rFonts w:ascii="Garamond" w:eastAsia="Times New Roman" w:hAnsi="Garamond" w:cs="Times New Roman"/>
          <w:color w:val="000000"/>
          <w:spacing w:val="-8"/>
          <w:sz w:val="24"/>
          <w:szCs w:val="24"/>
          <w:lang w:eastAsia="sq-AL"/>
        </w:rPr>
        <w:t xml:space="preserve"> </w:t>
      </w:r>
      <w:r w:rsidRPr="003D5CE4">
        <w:rPr>
          <w:rFonts w:ascii="Garamond" w:eastAsia="Times New Roman" w:hAnsi="Garamond" w:cs="Times New Roman"/>
          <w:color w:val="000000"/>
          <w:sz w:val="24"/>
          <w:szCs w:val="24"/>
          <w:lang w:eastAsia="sq-AL"/>
        </w:rPr>
        <w:t>posh</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w:t>
      </w:r>
    </w:p>
    <w:p w14:paraId="6FB7E887" w14:textId="77777777" w:rsidR="00F052F6" w:rsidRPr="003D5CE4"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z w:val="24"/>
          <w:szCs w:val="24"/>
          <w:lang w:eastAsia="sq-AL"/>
        </w:rPr>
        <w:t xml:space="preserve">1.   </w:t>
      </w:r>
      <w:r w:rsidRPr="003D5CE4">
        <w:rPr>
          <w:rFonts w:ascii="Garamond" w:eastAsia="Times New Roman" w:hAnsi="Garamond" w:cs="Times New Roman"/>
          <w:color w:val="000000"/>
          <w:spacing w:val="1"/>
          <w:sz w:val="24"/>
          <w:szCs w:val="24"/>
          <w:lang w:eastAsia="sq-AL"/>
        </w:rPr>
        <w:t>Kallëzimi</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me n</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z w:val="24"/>
          <w:szCs w:val="24"/>
          <w:lang w:eastAsia="sq-AL"/>
        </w:rPr>
        <w:t>. re</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w:t>
      </w:r>
      <w:r w:rsidRPr="003D5CE4">
        <w:rPr>
          <w:rFonts w:ascii="Garamond" w:eastAsia="Times New Roman" w:hAnsi="Garamond" w:cs="Times New Roman"/>
          <w:color w:val="000000"/>
          <w:spacing w:val="1"/>
          <w:sz w:val="24"/>
          <w:szCs w:val="24"/>
          <w:lang w:eastAsia="sq-AL"/>
        </w:rPr>
        <w:t>i</w:t>
      </w:r>
      <w:r w:rsidRPr="003D5CE4">
        <w:rPr>
          <w:rFonts w:ascii="Garamond" w:eastAsia="Times New Roman" w:hAnsi="Garamond" w:cs="Times New Roman"/>
          <w:color w:val="000000"/>
          <w:sz w:val="24"/>
          <w:szCs w:val="24"/>
          <w:lang w:eastAsia="sq-AL"/>
        </w:rPr>
        <w:t>stri</w:t>
      </w:r>
      <w:r w:rsidRPr="003D5CE4">
        <w:rPr>
          <w:rFonts w:ascii="Garamond" w:eastAsia="Times New Roman" w:hAnsi="Garamond" w:cs="Times New Roman"/>
          <w:color w:val="000000"/>
          <w:spacing w:val="2"/>
          <w:sz w:val="24"/>
          <w:szCs w:val="24"/>
          <w:lang w:eastAsia="sq-AL"/>
        </w:rPr>
        <w:t>___</w:t>
      </w:r>
      <w:r w:rsidRPr="003D5CE4">
        <w:rPr>
          <w:rFonts w:ascii="Garamond" w:eastAsia="Times New Roman" w:hAnsi="Garamond" w:cs="Times New Roman"/>
          <w:color w:val="000000"/>
          <w:sz w:val="24"/>
          <w:szCs w:val="24"/>
          <w:lang w:eastAsia="sq-AL"/>
        </w:rPr>
        <w:t>, d</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të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re</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w:t>
      </w:r>
      <w:r w:rsidRPr="003D5CE4">
        <w:rPr>
          <w:rFonts w:ascii="Garamond" w:eastAsia="Times New Roman" w:hAnsi="Garamond" w:cs="Times New Roman"/>
          <w:color w:val="000000"/>
          <w:spacing w:val="1"/>
          <w:sz w:val="24"/>
          <w:szCs w:val="24"/>
          <w:lang w:eastAsia="sq-AL"/>
        </w:rPr>
        <w:t>i</w:t>
      </w:r>
      <w:r w:rsidRPr="003D5CE4">
        <w:rPr>
          <w:rFonts w:ascii="Garamond" w:eastAsia="Times New Roman" w:hAnsi="Garamond" w:cs="Times New Roman"/>
          <w:color w:val="000000"/>
          <w:sz w:val="24"/>
          <w:szCs w:val="24"/>
          <w:lang w:eastAsia="sq-AL"/>
        </w:rPr>
        <w:t>stri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i ____,</w:t>
      </w:r>
      <w:r w:rsidRPr="003D5CE4">
        <w:rPr>
          <w:rFonts w:ascii="Garamond" w:eastAsia="Times New Roman" w:hAnsi="Garamond" w:cs="Times New Roman"/>
          <w:color w:val="2D74B5"/>
          <w:sz w:val="24"/>
          <w:szCs w:val="24"/>
          <w:lang w:eastAsia="sq-AL"/>
        </w:rPr>
        <w:t xml:space="preserve"> </w:t>
      </w:r>
      <w:r w:rsidRPr="003D5CE4">
        <w:rPr>
          <w:rFonts w:ascii="Garamond" w:eastAsia="Times New Roman" w:hAnsi="Garamond" w:cs="Times New Roman"/>
          <w:color w:val="000000"/>
          <w:sz w:val="24"/>
          <w:szCs w:val="24"/>
          <w:lang w:eastAsia="sq-AL"/>
        </w:rPr>
        <w:t>nr. v</w:t>
      </w:r>
      <w:r w:rsidRPr="003D5CE4">
        <w:rPr>
          <w:rFonts w:ascii="Garamond" w:eastAsia="Times New Roman" w:hAnsi="Garamond" w:cs="Times New Roman"/>
          <w:color w:val="000000"/>
          <w:spacing w:val="-2"/>
          <w:sz w:val="24"/>
          <w:szCs w:val="24"/>
          <w:lang w:eastAsia="sq-AL"/>
        </w:rPr>
        <w:t>e</w:t>
      </w:r>
      <w:r w:rsidRPr="003D5CE4">
        <w:rPr>
          <w:rFonts w:ascii="Garamond" w:eastAsia="Times New Roman" w:hAnsi="Garamond" w:cs="Times New Roman"/>
          <w:color w:val="000000"/>
          <w:sz w:val="24"/>
          <w:szCs w:val="24"/>
          <w:lang w:eastAsia="sq-AL"/>
        </w:rPr>
        <w:t>ndi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i ____, d</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z w:val="24"/>
          <w:szCs w:val="24"/>
          <w:lang w:eastAsia="sq-AL"/>
        </w:rPr>
        <w:t>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v</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pacing w:val="2"/>
          <w:sz w:val="24"/>
          <w:szCs w:val="24"/>
          <w:lang w:eastAsia="sq-AL"/>
        </w:rPr>
        <w:t>n</w:t>
      </w:r>
      <w:r w:rsidRPr="003D5CE4">
        <w:rPr>
          <w:rFonts w:ascii="Garamond" w:eastAsia="Times New Roman" w:hAnsi="Garamond" w:cs="Times New Roman"/>
          <w:color w:val="000000"/>
          <w:sz w:val="24"/>
          <w:szCs w:val="24"/>
          <w:lang w:eastAsia="sq-AL"/>
        </w:rPr>
        <w:t>di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i _____;</w:t>
      </w:r>
    </w:p>
    <w:p w14:paraId="7D606F76" w14:textId="77777777" w:rsidR="00F052F6" w:rsidRPr="003D5CE4"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z w:val="24"/>
          <w:szCs w:val="24"/>
          <w:lang w:eastAsia="sq-AL"/>
        </w:rPr>
        <w:t xml:space="preserve">2.   </w:t>
      </w:r>
      <w:r w:rsidRPr="003D5CE4">
        <w:rPr>
          <w:rFonts w:ascii="Garamond" w:eastAsia="Times New Roman" w:hAnsi="Garamond" w:cs="Times New Roman"/>
          <w:color w:val="000000"/>
          <w:spacing w:val="1"/>
          <w:sz w:val="24"/>
          <w:szCs w:val="24"/>
          <w:lang w:eastAsia="sq-AL"/>
        </w:rPr>
        <w:t>Kallëzimi</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me n</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z w:val="24"/>
          <w:szCs w:val="24"/>
          <w:lang w:eastAsia="sq-AL"/>
        </w:rPr>
        <w:t>.</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re</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w:t>
      </w:r>
      <w:r w:rsidRPr="003D5CE4">
        <w:rPr>
          <w:rFonts w:ascii="Garamond" w:eastAsia="Times New Roman" w:hAnsi="Garamond" w:cs="Times New Roman"/>
          <w:color w:val="000000"/>
          <w:spacing w:val="1"/>
          <w:sz w:val="24"/>
          <w:szCs w:val="24"/>
          <w:lang w:eastAsia="sq-AL"/>
        </w:rPr>
        <w:t>i</w:t>
      </w:r>
      <w:r w:rsidRPr="003D5CE4">
        <w:rPr>
          <w:rFonts w:ascii="Garamond" w:eastAsia="Times New Roman" w:hAnsi="Garamond" w:cs="Times New Roman"/>
          <w:color w:val="000000"/>
          <w:sz w:val="24"/>
          <w:szCs w:val="24"/>
          <w:lang w:eastAsia="sq-AL"/>
        </w:rPr>
        <w:t xml:space="preserve">stri </w:t>
      </w:r>
      <w:r w:rsidRPr="003D5CE4">
        <w:rPr>
          <w:rFonts w:ascii="Garamond" w:eastAsia="Times New Roman" w:hAnsi="Garamond" w:cs="Times New Roman"/>
          <w:color w:val="000000"/>
          <w:spacing w:val="1"/>
          <w:sz w:val="24"/>
          <w:szCs w:val="24"/>
          <w:lang w:eastAsia="sq-AL"/>
        </w:rPr>
        <w:t>____,</w:t>
      </w:r>
      <w:r w:rsidRPr="003D5CE4">
        <w:rPr>
          <w:rFonts w:ascii="Garamond" w:eastAsia="Times New Roman" w:hAnsi="Garamond" w:cs="Times New Roman"/>
          <w:color w:val="000000"/>
          <w:sz w:val="24"/>
          <w:szCs w:val="24"/>
          <w:lang w:eastAsia="sq-AL"/>
        </w:rPr>
        <w:t xml:space="preserve"> d</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të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re</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w:t>
      </w:r>
      <w:r w:rsidRPr="003D5CE4">
        <w:rPr>
          <w:rFonts w:ascii="Garamond" w:eastAsia="Times New Roman" w:hAnsi="Garamond" w:cs="Times New Roman"/>
          <w:color w:val="000000"/>
          <w:spacing w:val="1"/>
          <w:sz w:val="24"/>
          <w:szCs w:val="24"/>
          <w:lang w:eastAsia="sq-AL"/>
        </w:rPr>
        <w:t>i</w:t>
      </w:r>
      <w:r w:rsidRPr="003D5CE4">
        <w:rPr>
          <w:rFonts w:ascii="Garamond" w:eastAsia="Times New Roman" w:hAnsi="Garamond" w:cs="Times New Roman"/>
          <w:color w:val="000000"/>
          <w:sz w:val="24"/>
          <w:szCs w:val="24"/>
          <w:lang w:eastAsia="sq-AL"/>
        </w:rPr>
        <w:t>stri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 xml:space="preserve">i____, nr. </w:t>
      </w:r>
      <w:r w:rsidRPr="003D5CE4">
        <w:rPr>
          <w:rFonts w:ascii="Garamond" w:eastAsia="Times New Roman" w:hAnsi="Garamond" w:cs="Times New Roman"/>
          <w:color w:val="000000"/>
          <w:spacing w:val="-1"/>
          <w:sz w:val="24"/>
          <w:szCs w:val="24"/>
          <w:lang w:eastAsia="sq-AL"/>
        </w:rPr>
        <w:t>ve</w:t>
      </w:r>
      <w:r w:rsidRPr="003D5CE4">
        <w:rPr>
          <w:rFonts w:ascii="Garamond" w:eastAsia="Times New Roman" w:hAnsi="Garamond" w:cs="Times New Roman"/>
          <w:color w:val="000000"/>
          <w:sz w:val="24"/>
          <w:szCs w:val="24"/>
          <w:lang w:eastAsia="sq-AL"/>
        </w:rPr>
        <w:t>ndi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i_____, d</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të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v</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ndi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i;</w:t>
      </w:r>
      <w:r w:rsidRPr="003D5CE4">
        <w:rPr>
          <w:rFonts w:ascii="Garamond" w:eastAsia="Times New Roman" w:hAnsi="Garamond" w:cs="Times New Roman"/>
          <w:color w:val="000000"/>
          <w:sz w:val="24"/>
          <w:szCs w:val="24"/>
          <w:u w:val="single"/>
          <w:lang w:eastAsia="sq-AL"/>
        </w:rPr>
        <w:t xml:space="preserve">        </w:t>
      </w:r>
    </w:p>
    <w:p w14:paraId="77A0FBC6" w14:textId="77777777" w:rsidR="00F052F6" w:rsidRPr="003D5CE4"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eastAsia="sq-AL"/>
        </w:rPr>
      </w:pPr>
    </w:p>
    <w:p w14:paraId="75E7C925" w14:textId="77777777" w:rsidR="00F052F6" w:rsidRPr="003D5CE4"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eastAsia="sq-AL"/>
        </w:rPr>
      </w:pPr>
      <w:r w:rsidRPr="003D5CE4">
        <w:rPr>
          <w:rFonts w:ascii="Garamond" w:eastAsia="Times New Roman" w:hAnsi="Garamond" w:cs="Times New Roman"/>
          <w:i/>
          <w:iCs/>
          <w:color w:val="000000"/>
          <w:spacing w:val="1"/>
          <w:sz w:val="24"/>
          <w:szCs w:val="24"/>
          <w:lang w:eastAsia="sq-AL"/>
        </w:rPr>
        <w:t>N</w:t>
      </w:r>
      <w:r w:rsidRPr="003D5CE4">
        <w:rPr>
          <w:rFonts w:ascii="Garamond" w:eastAsia="Times New Roman" w:hAnsi="Garamond" w:cs="Times New Roman"/>
          <w:i/>
          <w:iCs/>
          <w:color w:val="000000"/>
          <w:sz w:val="24"/>
          <w:szCs w:val="24"/>
          <w:lang w:eastAsia="sq-AL"/>
        </w:rPr>
        <w:t>ë</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z w:val="24"/>
          <w:szCs w:val="24"/>
          <w:lang w:eastAsia="sq-AL"/>
        </w:rPr>
        <w:t>të</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z w:val="24"/>
          <w:szCs w:val="24"/>
          <w:lang w:eastAsia="sq-AL"/>
        </w:rPr>
        <w:t>nj</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jt</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n m</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n</w:t>
      </w:r>
      <w:r w:rsidRPr="003D5CE4">
        <w:rPr>
          <w:rFonts w:ascii="Garamond" w:eastAsia="Times New Roman" w:hAnsi="Garamond" w:cs="Times New Roman"/>
          <w:i/>
          <w:iCs/>
          <w:color w:val="000000"/>
          <w:spacing w:val="-1"/>
          <w:sz w:val="24"/>
          <w:szCs w:val="24"/>
          <w:lang w:eastAsia="sq-AL"/>
        </w:rPr>
        <w:t>y</w:t>
      </w:r>
      <w:r w:rsidRPr="003D5CE4">
        <w:rPr>
          <w:rFonts w:ascii="Garamond" w:eastAsia="Times New Roman" w:hAnsi="Garamond" w:cs="Times New Roman"/>
          <w:i/>
          <w:iCs/>
          <w:color w:val="000000"/>
          <w:spacing w:val="2"/>
          <w:sz w:val="24"/>
          <w:szCs w:val="24"/>
          <w:lang w:eastAsia="sq-AL"/>
        </w:rPr>
        <w:t>r</w:t>
      </w:r>
      <w:r w:rsidRPr="003D5CE4">
        <w:rPr>
          <w:rFonts w:ascii="Garamond" w:eastAsia="Times New Roman" w:hAnsi="Garamond" w:cs="Times New Roman"/>
          <w:i/>
          <w:iCs/>
          <w:color w:val="000000"/>
          <w:sz w:val="24"/>
          <w:szCs w:val="24"/>
          <w:lang w:eastAsia="sq-AL"/>
        </w:rPr>
        <w:t>ë p</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r</w:t>
      </w:r>
      <w:r w:rsidRPr="003D5CE4">
        <w:rPr>
          <w:rFonts w:ascii="Garamond" w:eastAsia="Times New Roman" w:hAnsi="Garamond" w:cs="Times New Roman"/>
          <w:i/>
          <w:iCs/>
          <w:color w:val="000000"/>
          <w:spacing w:val="3"/>
          <w:sz w:val="24"/>
          <w:szCs w:val="24"/>
          <w:lang w:eastAsia="sq-AL"/>
        </w:rPr>
        <w:t>s</w:t>
      </w:r>
      <w:r w:rsidRPr="003D5CE4">
        <w:rPr>
          <w:rFonts w:ascii="Garamond" w:eastAsia="Times New Roman" w:hAnsi="Garamond" w:cs="Times New Roman"/>
          <w:i/>
          <w:iCs/>
          <w:color w:val="000000"/>
          <w:sz w:val="24"/>
          <w:szCs w:val="24"/>
          <w:lang w:eastAsia="sq-AL"/>
        </w:rPr>
        <w:t>h</w:t>
      </w:r>
      <w:r w:rsidRPr="003D5CE4">
        <w:rPr>
          <w:rFonts w:ascii="Garamond" w:eastAsia="Times New Roman" w:hAnsi="Garamond" w:cs="Times New Roman"/>
          <w:i/>
          <w:iCs/>
          <w:color w:val="000000"/>
          <w:spacing w:val="-1"/>
          <w:sz w:val="24"/>
          <w:szCs w:val="24"/>
          <w:lang w:eastAsia="sq-AL"/>
        </w:rPr>
        <w:t>k</w:t>
      </w:r>
      <w:r w:rsidRPr="003D5CE4">
        <w:rPr>
          <w:rFonts w:ascii="Garamond" w:eastAsia="Times New Roman" w:hAnsi="Garamond" w:cs="Times New Roman"/>
          <w:i/>
          <w:iCs/>
          <w:color w:val="000000"/>
          <w:sz w:val="24"/>
          <w:szCs w:val="24"/>
          <w:lang w:eastAsia="sq-AL"/>
        </w:rPr>
        <w:t>ruh</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n të</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z w:val="24"/>
          <w:szCs w:val="24"/>
          <w:lang w:eastAsia="sq-AL"/>
        </w:rPr>
        <w:t>gj</w:t>
      </w:r>
      <w:r w:rsidRPr="003D5CE4">
        <w:rPr>
          <w:rFonts w:ascii="Garamond" w:eastAsia="Times New Roman" w:hAnsi="Garamond" w:cs="Times New Roman"/>
          <w:i/>
          <w:iCs/>
          <w:color w:val="000000"/>
          <w:spacing w:val="1"/>
          <w:sz w:val="24"/>
          <w:szCs w:val="24"/>
          <w:lang w:eastAsia="sq-AL"/>
        </w:rPr>
        <w:t>i</w:t>
      </w:r>
      <w:r w:rsidRPr="003D5CE4">
        <w:rPr>
          <w:rFonts w:ascii="Garamond" w:eastAsia="Times New Roman" w:hAnsi="Garamond" w:cs="Times New Roman"/>
          <w:i/>
          <w:iCs/>
          <w:color w:val="000000"/>
          <w:sz w:val="24"/>
          <w:szCs w:val="24"/>
          <w:lang w:eastAsia="sq-AL"/>
        </w:rPr>
        <w:t>tha ç</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sht</w:t>
      </w:r>
      <w:r w:rsidRPr="003D5CE4">
        <w:rPr>
          <w:rFonts w:ascii="Garamond" w:eastAsia="Times New Roman" w:hAnsi="Garamond" w:cs="Times New Roman"/>
          <w:i/>
          <w:iCs/>
          <w:color w:val="000000"/>
          <w:spacing w:val="1"/>
          <w:sz w:val="24"/>
          <w:szCs w:val="24"/>
          <w:lang w:eastAsia="sq-AL"/>
        </w:rPr>
        <w:t>j</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t</w:t>
      </w:r>
      <w:r w:rsidRPr="003D5CE4">
        <w:rPr>
          <w:rFonts w:ascii="Garamond" w:eastAsia="Times New Roman" w:hAnsi="Garamond" w:cs="Times New Roman"/>
          <w:i/>
          <w:iCs/>
          <w:color w:val="000000"/>
          <w:spacing w:val="3"/>
          <w:sz w:val="24"/>
          <w:szCs w:val="24"/>
          <w:lang w:eastAsia="sq-AL"/>
        </w:rPr>
        <w:t xml:space="preserve"> </w:t>
      </w:r>
      <w:r w:rsidRPr="003D5CE4">
        <w:rPr>
          <w:rFonts w:ascii="Garamond" w:eastAsia="Times New Roman" w:hAnsi="Garamond" w:cs="Times New Roman"/>
          <w:i/>
          <w:iCs/>
          <w:color w:val="000000"/>
          <w:sz w:val="24"/>
          <w:szCs w:val="24"/>
          <w:lang w:eastAsia="sq-AL"/>
        </w:rPr>
        <w:t>e</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z w:val="24"/>
          <w:szCs w:val="24"/>
          <w:lang w:eastAsia="sq-AL"/>
        </w:rPr>
        <w:t>p</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rzg</w:t>
      </w:r>
      <w:r w:rsidRPr="003D5CE4">
        <w:rPr>
          <w:rFonts w:ascii="Garamond" w:eastAsia="Times New Roman" w:hAnsi="Garamond" w:cs="Times New Roman"/>
          <w:i/>
          <w:iCs/>
          <w:color w:val="000000"/>
          <w:spacing w:val="1"/>
          <w:sz w:val="24"/>
          <w:szCs w:val="24"/>
          <w:lang w:eastAsia="sq-AL"/>
        </w:rPr>
        <w:t>j</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 xml:space="preserve">dhura të </w:t>
      </w:r>
      <w:r w:rsidRPr="003D5CE4">
        <w:rPr>
          <w:rFonts w:ascii="Garamond" w:eastAsia="Times New Roman" w:hAnsi="Garamond" w:cs="Times New Roman"/>
          <w:i/>
          <w:iCs/>
          <w:color w:val="000000"/>
          <w:spacing w:val="1"/>
          <w:sz w:val="24"/>
          <w:szCs w:val="24"/>
          <w:lang w:eastAsia="sq-AL"/>
        </w:rPr>
        <w:t>k</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saj kat</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gorie.</w:t>
      </w:r>
    </w:p>
    <w:p w14:paraId="581C9823" w14:textId="77777777" w:rsidR="00F052F6" w:rsidRPr="002F5D3C"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14"/>
          <w:szCs w:val="24"/>
          <w:lang w:eastAsia="sq-AL"/>
        </w:rPr>
      </w:pPr>
    </w:p>
    <w:p w14:paraId="5C054EC1" w14:textId="77777777" w:rsidR="00F052F6" w:rsidRPr="003D5CE4" w:rsidRDefault="00F052F6" w:rsidP="00F052F6">
      <w:pPr>
        <w:widowControl w:val="0"/>
        <w:autoSpaceDE w:val="0"/>
        <w:autoSpaceDN w:val="0"/>
        <w:adjustRightInd w:val="0"/>
        <w:spacing w:after="0" w:line="240" w:lineRule="auto"/>
        <w:ind w:firstLine="284"/>
        <w:jc w:val="both"/>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pacing w:val="1"/>
          <w:sz w:val="24"/>
          <w:szCs w:val="24"/>
          <w:lang w:eastAsia="sq-AL"/>
        </w:rPr>
        <w:t>S</w:t>
      </w:r>
      <w:r w:rsidRPr="003D5CE4">
        <w:rPr>
          <w:rFonts w:ascii="Garamond" w:eastAsia="Times New Roman" w:hAnsi="Garamond" w:cs="Times New Roman"/>
          <w:color w:val="000000"/>
          <w:sz w:val="24"/>
          <w:szCs w:val="24"/>
          <w:lang w:eastAsia="sq-AL"/>
        </w:rPr>
        <w:t>ipas</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tab</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lës</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me</w:t>
      </w:r>
      <w:r w:rsidRPr="003D5CE4">
        <w:rPr>
          <w:rFonts w:ascii="Garamond" w:eastAsia="Times New Roman" w:hAnsi="Garamond" w:cs="Times New Roman"/>
          <w:color w:val="000000"/>
          <w:spacing w:val="3"/>
          <w:sz w:val="24"/>
          <w:szCs w:val="24"/>
          <w:lang w:eastAsia="sq-AL"/>
        </w:rPr>
        <w:t xml:space="preserve"> </w:t>
      </w:r>
      <w:r w:rsidRPr="003D5CE4">
        <w:rPr>
          <w:rFonts w:ascii="Garamond" w:eastAsia="Times New Roman" w:hAnsi="Garamond" w:cs="Times New Roman"/>
          <w:color w:val="000000"/>
          <w:sz w:val="24"/>
          <w:szCs w:val="24"/>
          <w:lang w:eastAsia="sq-AL"/>
        </w:rPr>
        <w:t>të</w:t>
      </w:r>
      <w:r w:rsidRPr="003D5CE4">
        <w:rPr>
          <w:rFonts w:ascii="Garamond" w:eastAsia="Times New Roman" w:hAnsi="Garamond" w:cs="Times New Roman"/>
          <w:color w:val="000000"/>
          <w:spacing w:val="3"/>
          <w:sz w:val="24"/>
          <w:szCs w:val="24"/>
          <w:lang w:eastAsia="sq-AL"/>
        </w:rPr>
        <w:t xml:space="preserve"> </w:t>
      </w:r>
      <w:r w:rsidRPr="003D5CE4">
        <w:rPr>
          <w:rFonts w:ascii="Garamond" w:eastAsia="Times New Roman" w:hAnsi="Garamond" w:cs="Times New Roman"/>
          <w:color w:val="000000"/>
          <w:sz w:val="24"/>
          <w:szCs w:val="24"/>
          <w:lang w:eastAsia="sq-AL"/>
        </w:rPr>
        <w:t>dh</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pacing w:val="2"/>
          <w:sz w:val="24"/>
          <w:szCs w:val="24"/>
          <w:lang w:eastAsia="sq-AL"/>
        </w:rPr>
        <w:t>n</w:t>
      </w:r>
      <w:r w:rsidRPr="003D5CE4">
        <w:rPr>
          <w:rFonts w:ascii="Garamond" w:eastAsia="Times New Roman" w:hAnsi="Garamond" w:cs="Times New Roman"/>
          <w:color w:val="000000"/>
          <w:sz w:val="24"/>
          <w:szCs w:val="24"/>
          <w:lang w:eastAsia="sq-AL"/>
        </w:rPr>
        <w:t>a 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w:t>
      </w:r>
      <w:r w:rsidRPr="003D5CE4">
        <w:rPr>
          <w:rFonts w:ascii="Garamond" w:eastAsia="Times New Roman" w:hAnsi="Garamond" w:cs="Times New Roman"/>
          <w:color w:val="000000"/>
          <w:spacing w:val="3"/>
          <w:sz w:val="24"/>
          <w:szCs w:val="24"/>
          <w:lang w:eastAsia="sq-AL"/>
        </w:rPr>
        <w:t xml:space="preserve"> </w:t>
      </w:r>
      <w:r w:rsidRPr="003D5CE4">
        <w:rPr>
          <w:rFonts w:ascii="Garamond" w:eastAsia="Times New Roman" w:hAnsi="Garamond" w:cs="Times New Roman"/>
          <w:i/>
          <w:iCs/>
          <w:color w:val="000000"/>
          <w:spacing w:val="1"/>
          <w:sz w:val="24"/>
          <w:szCs w:val="24"/>
          <w:lang w:eastAsia="sq-AL"/>
        </w:rPr>
        <w:t>ç</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sht</w:t>
      </w:r>
      <w:r w:rsidRPr="003D5CE4">
        <w:rPr>
          <w:rFonts w:ascii="Garamond" w:eastAsia="Times New Roman" w:hAnsi="Garamond" w:cs="Times New Roman"/>
          <w:i/>
          <w:iCs/>
          <w:color w:val="000000"/>
          <w:spacing w:val="1"/>
          <w:sz w:val="24"/>
          <w:szCs w:val="24"/>
          <w:lang w:eastAsia="sq-AL"/>
        </w:rPr>
        <w:t>j</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t</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pacing w:val="-1"/>
          <w:sz w:val="24"/>
          <w:szCs w:val="24"/>
          <w:lang w:eastAsia="sq-AL"/>
        </w:rPr>
        <w:t xml:space="preserve">e përfunduar me </w:t>
      </w:r>
      <w:r>
        <w:rPr>
          <w:rFonts w:ascii="Garamond" w:eastAsia="Times New Roman" w:hAnsi="Garamond" w:cs="Times New Roman"/>
          <w:i/>
          <w:iCs/>
          <w:color w:val="000000"/>
          <w:spacing w:val="-1"/>
          <w:sz w:val="24"/>
          <w:szCs w:val="24"/>
          <w:lang w:eastAsia="sq-AL"/>
        </w:rPr>
        <w:t>k</w:t>
      </w:r>
      <w:r w:rsidRPr="003D5CE4">
        <w:rPr>
          <w:rFonts w:ascii="Garamond" w:eastAsia="Times New Roman" w:hAnsi="Garamond" w:cs="Times New Roman"/>
          <w:i/>
          <w:iCs/>
          <w:color w:val="000000"/>
          <w:spacing w:val="-1"/>
          <w:sz w:val="24"/>
          <w:szCs w:val="24"/>
          <w:lang w:eastAsia="sq-AL"/>
        </w:rPr>
        <w:t>ërkesë për pushim</w:t>
      </w:r>
      <w:r w:rsidRPr="003D5CE4">
        <w:rPr>
          <w:rFonts w:ascii="Garamond" w:eastAsia="Times New Roman" w:hAnsi="Garamond" w:cs="Times New Roman"/>
          <w:i/>
          <w:iCs/>
          <w:color w:val="000000"/>
          <w:sz w:val="24"/>
          <w:szCs w:val="24"/>
          <w:lang w:eastAsia="sq-AL"/>
        </w:rPr>
        <w:t>,</w:t>
      </w:r>
      <w:r w:rsidRPr="003D5CE4">
        <w:rPr>
          <w:rFonts w:ascii="Garamond" w:eastAsia="Times New Roman" w:hAnsi="Garamond" w:cs="Times New Roman"/>
          <w:i/>
          <w:iCs/>
          <w:color w:val="000000"/>
          <w:spacing w:val="6"/>
          <w:sz w:val="24"/>
          <w:szCs w:val="24"/>
          <w:lang w:eastAsia="sq-AL"/>
        </w:rPr>
        <w:t xml:space="preserve"> </w:t>
      </w:r>
      <w:r w:rsidRPr="003D5CE4">
        <w:rPr>
          <w:rFonts w:ascii="Garamond" w:eastAsia="Times New Roman" w:hAnsi="Garamond" w:cs="Times New Roman"/>
          <w:color w:val="000000"/>
          <w:spacing w:val="1"/>
          <w:sz w:val="24"/>
          <w:szCs w:val="24"/>
          <w:lang w:eastAsia="sq-AL"/>
        </w:rPr>
        <w:t>z</w:t>
      </w:r>
      <w:r w:rsidRPr="003D5CE4">
        <w:rPr>
          <w:rFonts w:ascii="Garamond" w:eastAsia="Times New Roman" w:hAnsi="Garamond" w:cs="Times New Roman"/>
          <w:color w:val="000000"/>
          <w:sz w:val="24"/>
          <w:szCs w:val="24"/>
          <w:lang w:eastAsia="sq-AL"/>
        </w:rPr>
        <w:t>hvi</w:t>
      </w:r>
      <w:r w:rsidRPr="003D5CE4">
        <w:rPr>
          <w:rFonts w:ascii="Garamond" w:eastAsia="Times New Roman" w:hAnsi="Garamond" w:cs="Times New Roman"/>
          <w:color w:val="000000"/>
          <w:spacing w:val="1"/>
          <w:sz w:val="24"/>
          <w:szCs w:val="24"/>
          <w:lang w:eastAsia="sq-AL"/>
        </w:rPr>
        <w:t>l</w:t>
      </w:r>
      <w:r w:rsidRPr="003D5CE4">
        <w:rPr>
          <w:rFonts w:ascii="Garamond" w:eastAsia="Times New Roman" w:hAnsi="Garamond" w:cs="Times New Roman"/>
          <w:color w:val="000000"/>
          <w:sz w:val="24"/>
          <w:szCs w:val="24"/>
          <w:lang w:eastAsia="sq-AL"/>
        </w:rPr>
        <w:t>lohet</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proc</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dura</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e</w:t>
      </w:r>
      <w:r w:rsidRPr="003D5CE4">
        <w:rPr>
          <w:rFonts w:ascii="Garamond" w:eastAsia="Times New Roman" w:hAnsi="Garamond" w:cs="Times New Roman"/>
          <w:color w:val="000000"/>
          <w:spacing w:val="2"/>
          <w:sz w:val="24"/>
          <w:szCs w:val="24"/>
          <w:lang w:eastAsia="sq-AL"/>
        </w:rPr>
        <w:t xml:space="preserve"> </w:t>
      </w:r>
      <w:r w:rsidRPr="003D5CE4">
        <w:rPr>
          <w:rFonts w:ascii="Garamond" w:eastAsia="Times New Roman" w:hAnsi="Garamond" w:cs="Times New Roman"/>
          <w:color w:val="000000"/>
          <w:sz w:val="24"/>
          <w:szCs w:val="24"/>
          <w:lang w:eastAsia="sq-AL"/>
        </w:rPr>
        <w:t>shortit në</w:t>
      </w:r>
      <w:r w:rsidRPr="003D5CE4">
        <w:rPr>
          <w:rFonts w:ascii="Garamond" w:eastAsia="Times New Roman" w:hAnsi="Garamond" w:cs="Times New Roman"/>
          <w:color w:val="000000"/>
          <w:spacing w:val="-13"/>
          <w:sz w:val="24"/>
          <w:szCs w:val="24"/>
          <w:lang w:eastAsia="sq-AL"/>
        </w:rPr>
        <w:t xml:space="preserve"> </w:t>
      </w:r>
      <w:r w:rsidRPr="003D5CE4">
        <w:rPr>
          <w:rFonts w:ascii="Garamond" w:eastAsia="Times New Roman" w:hAnsi="Garamond" w:cs="Times New Roman"/>
          <w:color w:val="000000"/>
          <w:sz w:val="24"/>
          <w:szCs w:val="24"/>
          <w:lang w:eastAsia="sq-AL"/>
        </w:rPr>
        <w:t>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z w:val="24"/>
          <w:szCs w:val="24"/>
          <w:lang w:eastAsia="sq-AL"/>
        </w:rPr>
        <w:t>fundim</w:t>
      </w:r>
      <w:r w:rsidRPr="003D5CE4">
        <w:rPr>
          <w:rFonts w:ascii="Garamond" w:eastAsia="Times New Roman" w:hAnsi="Garamond" w:cs="Times New Roman"/>
          <w:color w:val="000000"/>
          <w:spacing w:val="-12"/>
          <w:sz w:val="24"/>
          <w:szCs w:val="24"/>
          <w:lang w:eastAsia="sq-AL"/>
        </w:rPr>
        <w:t xml:space="preserve"> </w:t>
      </w:r>
      <w:r w:rsidRPr="003D5CE4">
        <w:rPr>
          <w:rFonts w:ascii="Garamond" w:eastAsia="Times New Roman" w:hAnsi="Garamond" w:cs="Times New Roman"/>
          <w:color w:val="000000"/>
          <w:sz w:val="24"/>
          <w:szCs w:val="24"/>
          <w:lang w:eastAsia="sq-AL"/>
        </w:rPr>
        <w:t>të</w:t>
      </w:r>
      <w:r w:rsidRPr="003D5CE4">
        <w:rPr>
          <w:rFonts w:ascii="Garamond" w:eastAsia="Times New Roman" w:hAnsi="Garamond" w:cs="Times New Roman"/>
          <w:color w:val="000000"/>
          <w:spacing w:val="-12"/>
          <w:sz w:val="24"/>
          <w:szCs w:val="24"/>
          <w:lang w:eastAsia="sq-AL"/>
        </w:rPr>
        <w:t xml:space="preserve"> </w:t>
      </w:r>
      <w:r>
        <w:rPr>
          <w:rFonts w:ascii="Garamond" w:eastAsia="Times New Roman" w:hAnsi="Garamond" w:cs="Times New Roman"/>
          <w:color w:val="000000"/>
          <w:sz w:val="24"/>
          <w:szCs w:val="24"/>
          <w:lang w:eastAsia="sq-AL"/>
        </w:rPr>
        <w:t>s</w:t>
      </w:r>
      <w:r w:rsidRPr="003D5CE4">
        <w:rPr>
          <w:rFonts w:ascii="Garamond" w:eastAsia="Times New Roman" w:hAnsi="Garamond" w:cs="Times New Roman"/>
          <w:color w:val="000000"/>
          <w:sz w:val="24"/>
          <w:szCs w:val="24"/>
          <w:lang w:eastAsia="sq-AL"/>
        </w:rPr>
        <w:t>ë</w:t>
      </w:r>
      <w:r w:rsidRPr="003D5CE4">
        <w:rPr>
          <w:rFonts w:ascii="Garamond" w:eastAsia="Times New Roman" w:hAnsi="Garamond" w:cs="Times New Roman"/>
          <w:color w:val="000000"/>
          <w:spacing w:val="-10"/>
          <w:sz w:val="24"/>
          <w:szCs w:val="24"/>
          <w:lang w:eastAsia="sq-AL"/>
        </w:rPr>
        <w:t xml:space="preserve"> </w:t>
      </w:r>
      <w:r w:rsidRPr="003D5CE4">
        <w:rPr>
          <w:rFonts w:ascii="Garamond" w:eastAsia="Times New Roman" w:hAnsi="Garamond" w:cs="Times New Roman"/>
          <w:color w:val="000000"/>
          <w:spacing w:val="-1"/>
          <w:sz w:val="24"/>
          <w:szCs w:val="24"/>
          <w:lang w:eastAsia="sq-AL"/>
        </w:rPr>
        <w:t>c</w:t>
      </w:r>
      <w:r w:rsidRPr="003D5CE4">
        <w:rPr>
          <w:rFonts w:ascii="Garamond" w:eastAsia="Times New Roman" w:hAnsi="Garamond" w:cs="Times New Roman"/>
          <w:color w:val="000000"/>
          <w:sz w:val="24"/>
          <w:szCs w:val="24"/>
          <w:lang w:eastAsia="sq-AL"/>
        </w:rPr>
        <w:t>i</w:t>
      </w:r>
      <w:r w:rsidRPr="003D5CE4">
        <w:rPr>
          <w:rFonts w:ascii="Garamond" w:eastAsia="Times New Roman" w:hAnsi="Garamond" w:cs="Times New Roman"/>
          <w:color w:val="000000"/>
          <w:spacing w:val="1"/>
          <w:sz w:val="24"/>
          <w:szCs w:val="24"/>
          <w:lang w:eastAsia="sq-AL"/>
        </w:rPr>
        <w:t>l</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s,</w:t>
      </w:r>
      <w:r w:rsidRPr="003D5CE4">
        <w:rPr>
          <w:rFonts w:ascii="Garamond" w:eastAsia="Times New Roman" w:hAnsi="Garamond" w:cs="Times New Roman"/>
          <w:color w:val="000000"/>
          <w:spacing w:val="-12"/>
          <w:sz w:val="24"/>
          <w:szCs w:val="24"/>
          <w:lang w:eastAsia="sq-AL"/>
        </w:rPr>
        <w:t xml:space="preserve"> </w:t>
      </w:r>
      <w:r w:rsidRPr="003D5CE4">
        <w:rPr>
          <w:rFonts w:ascii="Garamond" w:eastAsia="Times New Roman" w:hAnsi="Garamond" w:cs="Times New Roman"/>
          <w:color w:val="000000"/>
          <w:spacing w:val="2"/>
          <w:sz w:val="24"/>
          <w:szCs w:val="24"/>
          <w:lang w:eastAsia="sq-AL"/>
        </w:rPr>
        <w:t>p</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si</w:t>
      </w:r>
      <w:r w:rsidRPr="003D5CE4">
        <w:rPr>
          <w:rFonts w:ascii="Garamond" w:eastAsia="Times New Roman" w:hAnsi="Garamond" w:cs="Times New Roman"/>
          <w:color w:val="000000"/>
          <w:spacing w:val="-11"/>
          <w:sz w:val="24"/>
          <w:szCs w:val="24"/>
          <w:lang w:eastAsia="sq-AL"/>
        </w:rPr>
        <w:t xml:space="preserve"> </w:t>
      </w:r>
      <w:r w:rsidRPr="003D5CE4">
        <w:rPr>
          <w:rFonts w:ascii="Garamond" w:eastAsia="Times New Roman" w:hAnsi="Garamond" w:cs="Times New Roman"/>
          <w:color w:val="000000"/>
          <w:sz w:val="24"/>
          <w:szCs w:val="24"/>
          <w:lang w:eastAsia="sq-AL"/>
        </w:rPr>
        <w:t>u</w:t>
      </w:r>
      <w:r w:rsidRPr="003D5CE4">
        <w:rPr>
          <w:rFonts w:ascii="Garamond" w:eastAsia="Times New Roman" w:hAnsi="Garamond" w:cs="Times New Roman"/>
          <w:color w:val="000000"/>
          <w:spacing w:val="-12"/>
          <w:sz w:val="24"/>
          <w:szCs w:val="24"/>
          <w:lang w:eastAsia="sq-AL"/>
        </w:rPr>
        <w:t xml:space="preserve"> </w:t>
      </w:r>
      <w:r w:rsidRPr="003D5CE4">
        <w:rPr>
          <w:rFonts w:ascii="Garamond" w:eastAsia="Times New Roman" w:hAnsi="Garamond" w:cs="Times New Roman"/>
          <w:color w:val="000000"/>
          <w:sz w:val="24"/>
          <w:szCs w:val="24"/>
          <w:lang w:eastAsia="sq-AL"/>
        </w:rPr>
        <w:t>k</w:t>
      </w:r>
      <w:r w:rsidRPr="003D5CE4">
        <w:rPr>
          <w:rFonts w:ascii="Garamond" w:eastAsia="Times New Roman" w:hAnsi="Garamond" w:cs="Times New Roman"/>
          <w:color w:val="000000"/>
          <w:spacing w:val="4"/>
          <w:sz w:val="24"/>
          <w:szCs w:val="24"/>
          <w:lang w:eastAsia="sq-AL"/>
        </w:rPr>
        <w:t>r</w:t>
      </w:r>
      <w:r w:rsidRPr="003D5CE4">
        <w:rPr>
          <w:rFonts w:ascii="Garamond" w:eastAsia="Times New Roman" w:hAnsi="Garamond" w:cs="Times New Roman"/>
          <w:color w:val="000000"/>
          <w:spacing w:val="-5"/>
          <w:sz w:val="24"/>
          <w:szCs w:val="24"/>
          <w:lang w:eastAsia="sq-AL"/>
        </w:rPr>
        <w:t>y</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n</w:t>
      </w:r>
      <w:r w:rsidRPr="003D5CE4">
        <w:rPr>
          <w:rFonts w:ascii="Garamond" w:eastAsia="Times New Roman" w:hAnsi="Garamond" w:cs="Times New Roman"/>
          <w:color w:val="000000"/>
          <w:spacing w:val="-12"/>
          <w:sz w:val="24"/>
          <w:szCs w:val="24"/>
          <w:lang w:eastAsia="sq-AL"/>
        </w:rPr>
        <w:t xml:space="preserve"> </w:t>
      </w:r>
      <w:r w:rsidRPr="003D5CE4">
        <w:rPr>
          <w:rFonts w:ascii="Garamond" w:eastAsia="Times New Roman" w:hAnsi="Garamond" w:cs="Times New Roman"/>
          <w:color w:val="000000"/>
          <w:spacing w:val="2"/>
          <w:sz w:val="24"/>
          <w:szCs w:val="24"/>
          <w:lang w:eastAsia="sq-AL"/>
        </w:rPr>
        <w:t>v</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prim</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t</w:t>
      </w:r>
      <w:r w:rsidRPr="003D5CE4">
        <w:rPr>
          <w:rFonts w:ascii="Garamond" w:eastAsia="Times New Roman" w:hAnsi="Garamond" w:cs="Times New Roman"/>
          <w:color w:val="000000"/>
          <w:spacing w:val="-12"/>
          <w:sz w:val="24"/>
          <w:szCs w:val="24"/>
          <w:lang w:eastAsia="sq-AL"/>
        </w:rPr>
        <w:t xml:space="preserve"> </w:t>
      </w:r>
      <w:r w:rsidRPr="003D5CE4">
        <w:rPr>
          <w:rFonts w:ascii="Garamond" w:eastAsia="Times New Roman" w:hAnsi="Garamond" w:cs="Times New Roman"/>
          <w:color w:val="000000"/>
          <w:spacing w:val="2"/>
          <w:sz w:val="24"/>
          <w:szCs w:val="24"/>
          <w:lang w:eastAsia="sq-AL"/>
        </w:rPr>
        <w:t>v</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ri</w:t>
      </w:r>
      <w:r w:rsidRPr="003D5CE4">
        <w:rPr>
          <w:rFonts w:ascii="Garamond" w:eastAsia="Times New Roman" w:hAnsi="Garamond" w:cs="Times New Roman"/>
          <w:color w:val="000000"/>
          <w:spacing w:val="1"/>
          <w:sz w:val="24"/>
          <w:szCs w:val="24"/>
          <w:lang w:eastAsia="sq-AL"/>
        </w:rPr>
        <w:t>f</w:t>
      </w:r>
      <w:r w:rsidRPr="003D5CE4">
        <w:rPr>
          <w:rFonts w:ascii="Garamond" w:eastAsia="Times New Roman" w:hAnsi="Garamond" w:cs="Times New Roman"/>
          <w:color w:val="000000"/>
          <w:sz w:val="24"/>
          <w:szCs w:val="24"/>
          <w:lang w:eastAsia="sq-AL"/>
        </w:rPr>
        <w:t>ikues</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w:t>
      </w:r>
      <w:r w:rsidRPr="003D5CE4">
        <w:rPr>
          <w:rFonts w:ascii="Garamond" w:eastAsia="Times New Roman" w:hAnsi="Garamond" w:cs="Times New Roman"/>
          <w:color w:val="000000"/>
          <w:spacing w:val="-12"/>
          <w:sz w:val="24"/>
          <w:szCs w:val="24"/>
          <w:lang w:eastAsia="sq-AL"/>
        </w:rPr>
        <w:t xml:space="preserve"> </w:t>
      </w:r>
      <w:r w:rsidRPr="003D5CE4">
        <w:rPr>
          <w:rFonts w:ascii="Garamond" w:eastAsia="Times New Roman" w:hAnsi="Garamond" w:cs="Times New Roman"/>
          <w:color w:val="000000"/>
          <w:sz w:val="24"/>
          <w:szCs w:val="24"/>
          <w:lang w:eastAsia="sq-AL"/>
        </w:rPr>
        <w:t>u</w:t>
      </w:r>
      <w:r w:rsidRPr="003D5CE4">
        <w:rPr>
          <w:rFonts w:ascii="Garamond" w:eastAsia="Times New Roman" w:hAnsi="Garamond" w:cs="Times New Roman"/>
          <w:color w:val="000000"/>
          <w:spacing w:val="-12"/>
          <w:sz w:val="24"/>
          <w:szCs w:val="24"/>
          <w:lang w:eastAsia="sq-AL"/>
        </w:rPr>
        <w:t xml:space="preserve"> </w:t>
      </w:r>
      <w:r w:rsidRPr="003D5CE4">
        <w:rPr>
          <w:rFonts w:ascii="Garamond" w:eastAsia="Times New Roman" w:hAnsi="Garamond" w:cs="Times New Roman"/>
          <w:color w:val="000000"/>
          <w:sz w:val="24"/>
          <w:szCs w:val="24"/>
          <w:lang w:eastAsia="sq-AL"/>
        </w:rPr>
        <w:t>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rz</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jodhën____</w:t>
      </w:r>
      <w:r w:rsidRPr="003D5CE4">
        <w:rPr>
          <w:rFonts w:ascii="Garamond" w:eastAsia="Times New Roman" w:hAnsi="Garamond" w:cs="Times New Roman"/>
          <w:color w:val="2D74B5"/>
          <w:spacing w:val="-11"/>
          <w:sz w:val="24"/>
          <w:szCs w:val="24"/>
          <w:lang w:eastAsia="sq-AL"/>
        </w:rPr>
        <w:t xml:space="preserve"> </w:t>
      </w:r>
      <w:r w:rsidRPr="003D5CE4">
        <w:rPr>
          <w:rFonts w:ascii="Garamond" w:eastAsia="Times New Roman" w:hAnsi="Garamond" w:cs="Times New Roman"/>
          <w:color w:val="000000"/>
          <w:spacing w:val="-1"/>
          <w:sz w:val="24"/>
          <w:szCs w:val="24"/>
          <w:lang w:eastAsia="sq-AL"/>
        </w:rPr>
        <w:t>çë</w:t>
      </w:r>
      <w:r w:rsidRPr="003D5CE4">
        <w:rPr>
          <w:rFonts w:ascii="Garamond" w:eastAsia="Times New Roman" w:hAnsi="Garamond" w:cs="Times New Roman"/>
          <w:color w:val="000000"/>
          <w:sz w:val="24"/>
          <w:szCs w:val="24"/>
          <w:lang w:eastAsia="sq-AL"/>
        </w:rPr>
        <w:t>sht</w:t>
      </w:r>
      <w:r w:rsidRPr="003D5CE4">
        <w:rPr>
          <w:rFonts w:ascii="Garamond" w:eastAsia="Times New Roman" w:hAnsi="Garamond" w:cs="Times New Roman"/>
          <w:color w:val="000000"/>
          <w:spacing w:val="1"/>
          <w:sz w:val="24"/>
          <w:szCs w:val="24"/>
          <w:lang w:eastAsia="sq-AL"/>
        </w:rPr>
        <w:t>j</w:t>
      </w:r>
      <w:r w:rsidRPr="003D5CE4">
        <w:rPr>
          <w:rFonts w:ascii="Garamond" w:eastAsia="Times New Roman" w:hAnsi="Garamond" w:cs="Times New Roman"/>
          <w:color w:val="000000"/>
          <w:sz w:val="24"/>
          <w:szCs w:val="24"/>
          <w:lang w:eastAsia="sq-AL"/>
        </w:rPr>
        <w:t>e</w:t>
      </w:r>
      <w:r w:rsidRPr="003D5CE4">
        <w:rPr>
          <w:rFonts w:ascii="Garamond" w:eastAsia="Times New Roman" w:hAnsi="Garamond" w:cs="Times New Roman"/>
          <w:color w:val="000000"/>
          <w:spacing w:val="-13"/>
          <w:sz w:val="24"/>
          <w:szCs w:val="24"/>
          <w:lang w:eastAsia="sq-AL"/>
        </w:rPr>
        <w:t xml:space="preserve"> </w:t>
      </w:r>
      <w:r w:rsidRPr="003D5CE4">
        <w:rPr>
          <w:rFonts w:ascii="Garamond" w:eastAsia="Times New Roman" w:hAnsi="Garamond" w:cs="Times New Roman"/>
          <w:color w:val="000000"/>
          <w:sz w:val="24"/>
          <w:szCs w:val="24"/>
          <w:lang w:eastAsia="sq-AL"/>
        </w:rPr>
        <w:t>si</w:t>
      </w:r>
      <w:r w:rsidRPr="003D5CE4">
        <w:rPr>
          <w:rFonts w:ascii="Garamond" w:eastAsia="Times New Roman" w:hAnsi="Garamond" w:cs="Times New Roman"/>
          <w:color w:val="000000"/>
          <w:spacing w:val="-11"/>
          <w:sz w:val="24"/>
          <w:szCs w:val="24"/>
          <w:lang w:eastAsia="sq-AL"/>
        </w:rPr>
        <w:t xml:space="preserve"> </w:t>
      </w:r>
      <w:r w:rsidRPr="003D5CE4">
        <w:rPr>
          <w:rFonts w:ascii="Garamond" w:eastAsia="Times New Roman" w:hAnsi="Garamond" w:cs="Times New Roman"/>
          <w:color w:val="000000"/>
          <w:sz w:val="24"/>
          <w:szCs w:val="24"/>
          <w:lang w:eastAsia="sq-AL"/>
        </w:rPr>
        <w:t>më</w:t>
      </w:r>
      <w:r w:rsidRPr="003D5CE4">
        <w:rPr>
          <w:rFonts w:ascii="Garamond" w:eastAsia="Times New Roman" w:hAnsi="Garamond" w:cs="Times New Roman"/>
          <w:color w:val="000000"/>
          <w:spacing w:val="-12"/>
          <w:sz w:val="24"/>
          <w:szCs w:val="24"/>
          <w:lang w:eastAsia="sq-AL"/>
        </w:rPr>
        <w:t xml:space="preserve"> </w:t>
      </w:r>
      <w:r w:rsidRPr="003D5CE4">
        <w:rPr>
          <w:rFonts w:ascii="Garamond" w:eastAsia="Times New Roman" w:hAnsi="Garamond" w:cs="Times New Roman"/>
          <w:color w:val="000000"/>
          <w:sz w:val="24"/>
          <w:szCs w:val="24"/>
          <w:lang w:eastAsia="sq-AL"/>
        </w:rPr>
        <w:t>posh</w:t>
      </w:r>
      <w:r w:rsidRPr="003D5CE4">
        <w:rPr>
          <w:rFonts w:ascii="Garamond" w:eastAsia="Times New Roman" w:hAnsi="Garamond" w:cs="Times New Roman"/>
          <w:color w:val="000000"/>
          <w:spacing w:val="3"/>
          <w:sz w:val="24"/>
          <w:szCs w:val="24"/>
          <w:lang w:eastAsia="sq-AL"/>
        </w:rPr>
        <w:t>t</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w:t>
      </w:r>
    </w:p>
    <w:p w14:paraId="52AB2C5C" w14:textId="77777777" w:rsidR="00F052F6" w:rsidRPr="002F5D3C" w:rsidRDefault="00F052F6" w:rsidP="00F052F6">
      <w:pPr>
        <w:widowControl w:val="0"/>
        <w:autoSpaceDE w:val="0"/>
        <w:autoSpaceDN w:val="0"/>
        <w:adjustRightInd w:val="0"/>
        <w:spacing w:after="0" w:line="240" w:lineRule="auto"/>
        <w:ind w:firstLine="284"/>
        <w:jc w:val="both"/>
        <w:rPr>
          <w:rFonts w:ascii="Garamond" w:eastAsia="Times New Roman" w:hAnsi="Garamond" w:cs="Times New Roman"/>
          <w:color w:val="000000"/>
          <w:sz w:val="14"/>
          <w:szCs w:val="24"/>
          <w:lang w:eastAsia="sq-AL"/>
        </w:rPr>
      </w:pPr>
    </w:p>
    <w:p w14:paraId="0BD1B4FE" w14:textId="77777777" w:rsidR="00F052F6" w:rsidRPr="003D5CE4"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z w:val="24"/>
          <w:szCs w:val="24"/>
          <w:lang w:eastAsia="sq-AL"/>
        </w:rPr>
        <w:t>1.   Ç</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sht</w:t>
      </w:r>
      <w:r w:rsidRPr="003D5CE4">
        <w:rPr>
          <w:rFonts w:ascii="Garamond" w:eastAsia="Times New Roman" w:hAnsi="Garamond" w:cs="Times New Roman"/>
          <w:color w:val="000000"/>
          <w:spacing w:val="1"/>
          <w:sz w:val="24"/>
          <w:szCs w:val="24"/>
          <w:lang w:eastAsia="sq-AL"/>
        </w:rPr>
        <w:t>j</w:t>
      </w:r>
      <w:r w:rsidRPr="003D5CE4">
        <w:rPr>
          <w:rFonts w:ascii="Garamond" w:eastAsia="Times New Roman" w:hAnsi="Garamond" w:cs="Times New Roman"/>
          <w:color w:val="000000"/>
          <w:sz w:val="24"/>
          <w:szCs w:val="24"/>
          <w:lang w:eastAsia="sq-AL"/>
        </w:rPr>
        <w:t>a</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me n</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z w:val="24"/>
          <w:szCs w:val="24"/>
          <w:lang w:eastAsia="sq-AL"/>
        </w:rPr>
        <w:t xml:space="preserve">.  </w:t>
      </w:r>
      <w:r w:rsidRPr="003D5CE4">
        <w:rPr>
          <w:rFonts w:ascii="Garamond" w:eastAsia="Times New Roman" w:hAnsi="Garamond" w:cs="Times New Roman"/>
          <w:color w:val="000000"/>
          <w:spacing w:val="2"/>
          <w:sz w:val="24"/>
          <w:szCs w:val="24"/>
          <w:lang w:eastAsia="sq-AL"/>
        </w:rPr>
        <w:t>___ procedimi</w:t>
      </w:r>
      <w:r w:rsidRPr="003D5CE4">
        <w:rPr>
          <w:rFonts w:ascii="Garamond" w:eastAsia="Times New Roman" w:hAnsi="Garamond" w:cs="Times New Roman"/>
          <w:color w:val="000000"/>
          <w:sz w:val="24"/>
          <w:szCs w:val="24"/>
          <w:lang w:eastAsia="sq-AL"/>
        </w:rPr>
        <w:t>, d</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 xml:space="preserve">të </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w:t>
      </w:r>
      <w:r w:rsidRPr="003D5CE4">
        <w:rPr>
          <w:rFonts w:ascii="Garamond" w:eastAsia="Times New Roman" w:hAnsi="Garamond" w:cs="Times New Roman"/>
          <w:color w:val="000000"/>
          <w:spacing w:val="1"/>
          <w:sz w:val="24"/>
          <w:szCs w:val="24"/>
          <w:lang w:eastAsia="sq-AL"/>
        </w:rPr>
        <w:t>i</w:t>
      </w:r>
      <w:r w:rsidRPr="003D5CE4">
        <w:rPr>
          <w:rFonts w:ascii="Garamond" w:eastAsia="Times New Roman" w:hAnsi="Garamond" w:cs="Times New Roman"/>
          <w:color w:val="000000"/>
          <w:sz w:val="24"/>
          <w:szCs w:val="24"/>
          <w:lang w:eastAsia="sq-AL"/>
        </w:rPr>
        <w:t>stri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i ____</w:t>
      </w:r>
      <w:r>
        <w:rPr>
          <w:rFonts w:ascii="Garamond" w:eastAsia="Times New Roman" w:hAnsi="Garamond" w:cs="Times New Roman"/>
          <w:color w:val="000000"/>
          <w:spacing w:val="-58"/>
          <w:sz w:val="24"/>
          <w:szCs w:val="24"/>
          <w:lang w:eastAsia="sq-AL"/>
        </w:rPr>
        <w:t>,</w:t>
      </w:r>
      <w:r w:rsidRPr="003D5CE4">
        <w:rPr>
          <w:rFonts w:ascii="Garamond" w:eastAsia="Times New Roman" w:hAnsi="Garamond" w:cs="Times New Roman"/>
          <w:color w:val="2D74B5"/>
          <w:sz w:val="24"/>
          <w:szCs w:val="24"/>
          <w:lang w:eastAsia="sq-AL"/>
        </w:rPr>
        <w:t xml:space="preserve"> </w:t>
      </w:r>
      <w:r>
        <w:rPr>
          <w:rFonts w:ascii="Garamond" w:eastAsia="Times New Roman" w:hAnsi="Garamond" w:cs="Times New Roman"/>
          <w:color w:val="2D74B5"/>
          <w:sz w:val="24"/>
          <w:szCs w:val="24"/>
          <w:lang w:eastAsia="sq-AL"/>
        </w:rPr>
        <w:t xml:space="preserve"> </w:t>
      </w:r>
      <w:r w:rsidRPr="003D5CE4">
        <w:rPr>
          <w:rFonts w:ascii="Garamond" w:eastAsia="Times New Roman" w:hAnsi="Garamond" w:cs="Times New Roman"/>
          <w:color w:val="000000"/>
          <w:sz w:val="24"/>
          <w:szCs w:val="24"/>
          <w:lang w:eastAsia="sq-AL"/>
        </w:rPr>
        <w:t>d</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 xml:space="preserve">të </w:t>
      </w:r>
      <w:r w:rsidRPr="003D5CE4">
        <w:rPr>
          <w:rFonts w:ascii="Garamond" w:eastAsia="Times New Roman" w:hAnsi="Garamond" w:cs="Times New Roman"/>
          <w:color w:val="000000"/>
          <w:spacing w:val="2"/>
          <w:sz w:val="24"/>
          <w:szCs w:val="24"/>
          <w:lang w:eastAsia="sq-AL"/>
        </w:rPr>
        <w:t>v</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ndi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i____;</w:t>
      </w:r>
    </w:p>
    <w:p w14:paraId="07193983" w14:textId="77777777" w:rsidR="00F052F6" w:rsidRPr="003D5CE4"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z w:val="24"/>
          <w:szCs w:val="24"/>
          <w:lang w:eastAsia="sq-AL"/>
        </w:rPr>
        <w:t>2.   Ç</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sht</w:t>
      </w:r>
      <w:r w:rsidRPr="003D5CE4">
        <w:rPr>
          <w:rFonts w:ascii="Garamond" w:eastAsia="Times New Roman" w:hAnsi="Garamond" w:cs="Times New Roman"/>
          <w:color w:val="000000"/>
          <w:spacing w:val="1"/>
          <w:sz w:val="24"/>
          <w:szCs w:val="24"/>
          <w:lang w:eastAsia="sq-AL"/>
        </w:rPr>
        <w:t>j</w:t>
      </w:r>
      <w:r w:rsidRPr="003D5CE4">
        <w:rPr>
          <w:rFonts w:ascii="Garamond" w:eastAsia="Times New Roman" w:hAnsi="Garamond" w:cs="Times New Roman"/>
          <w:color w:val="000000"/>
          <w:sz w:val="24"/>
          <w:szCs w:val="24"/>
          <w:lang w:eastAsia="sq-AL"/>
        </w:rPr>
        <w:t>a</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me n</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z w:val="24"/>
          <w:szCs w:val="24"/>
          <w:lang w:eastAsia="sq-AL"/>
        </w:rPr>
        <w:t xml:space="preserve">.  </w:t>
      </w:r>
      <w:r w:rsidRPr="003D5CE4">
        <w:rPr>
          <w:rFonts w:ascii="Garamond" w:eastAsia="Times New Roman" w:hAnsi="Garamond" w:cs="Times New Roman"/>
          <w:color w:val="000000"/>
          <w:spacing w:val="2"/>
          <w:sz w:val="24"/>
          <w:szCs w:val="24"/>
          <w:lang w:eastAsia="sq-AL"/>
        </w:rPr>
        <w:t>___ procedimi</w:t>
      </w:r>
      <w:r w:rsidRPr="003D5CE4">
        <w:rPr>
          <w:rFonts w:ascii="Garamond" w:eastAsia="Times New Roman" w:hAnsi="Garamond" w:cs="Times New Roman"/>
          <w:color w:val="000000"/>
          <w:sz w:val="24"/>
          <w:szCs w:val="24"/>
          <w:lang w:eastAsia="sq-AL"/>
        </w:rPr>
        <w:t>, d</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 xml:space="preserve">të </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w:t>
      </w:r>
      <w:r w:rsidRPr="003D5CE4">
        <w:rPr>
          <w:rFonts w:ascii="Garamond" w:eastAsia="Times New Roman" w:hAnsi="Garamond" w:cs="Times New Roman"/>
          <w:color w:val="000000"/>
          <w:spacing w:val="1"/>
          <w:sz w:val="24"/>
          <w:szCs w:val="24"/>
          <w:lang w:eastAsia="sq-AL"/>
        </w:rPr>
        <w:t>i</w:t>
      </w:r>
      <w:r w:rsidRPr="003D5CE4">
        <w:rPr>
          <w:rFonts w:ascii="Garamond" w:eastAsia="Times New Roman" w:hAnsi="Garamond" w:cs="Times New Roman"/>
          <w:color w:val="000000"/>
          <w:sz w:val="24"/>
          <w:szCs w:val="24"/>
          <w:lang w:eastAsia="sq-AL"/>
        </w:rPr>
        <w:t>stri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i ____</w:t>
      </w:r>
      <w:r>
        <w:rPr>
          <w:rFonts w:ascii="Garamond" w:eastAsia="Times New Roman" w:hAnsi="Garamond" w:cs="Times New Roman"/>
          <w:color w:val="000000"/>
          <w:spacing w:val="-58"/>
          <w:sz w:val="24"/>
          <w:szCs w:val="24"/>
          <w:lang w:eastAsia="sq-AL"/>
        </w:rPr>
        <w:t>,</w:t>
      </w:r>
      <w:r w:rsidRPr="003D5CE4">
        <w:rPr>
          <w:rFonts w:ascii="Garamond" w:eastAsia="Times New Roman" w:hAnsi="Garamond" w:cs="Times New Roman"/>
          <w:color w:val="2D74B5"/>
          <w:sz w:val="24"/>
          <w:szCs w:val="24"/>
          <w:lang w:eastAsia="sq-AL"/>
        </w:rPr>
        <w:t xml:space="preserve"> </w:t>
      </w:r>
      <w:r>
        <w:rPr>
          <w:rFonts w:ascii="Garamond" w:eastAsia="Times New Roman" w:hAnsi="Garamond" w:cs="Times New Roman"/>
          <w:color w:val="2D74B5"/>
          <w:sz w:val="24"/>
          <w:szCs w:val="24"/>
          <w:lang w:eastAsia="sq-AL"/>
        </w:rPr>
        <w:t xml:space="preserve"> </w:t>
      </w:r>
      <w:r w:rsidRPr="003D5CE4">
        <w:rPr>
          <w:rFonts w:ascii="Garamond" w:eastAsia="Times New Roman" w:hAnsi="Garamond" w:cs="Times New Roman"/>
          <w:color w:val="000000"/>
          <w:sz w:val="24"/>
          <w:szCs w:val="24"/>
          <w:lang w:eastAsia="sq-AL"/>
        </w:rPr>
        <w:t>d</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 xml:space="preserve">të </w:t>
      </w:r>
      <w:r w:rsidRPr="003D5CE4">
        <w:rPr>
          <w:rFonts w:ascii="Garamond" w:eastAsia="Times New Roman" w:hAnsi="Garamond" w:cs="Times New Roman"/>
          <w:color w:val="000000"/>
          <w:spacing w:val="2"/>
          <w:sz w:val="24"/>
          <w:szCs w:val="24"/>
          <w:lang w:eastAsia="sq-AL"/>
        </w:rPr>
        <w:t>v</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ndi</w:t>
      </w:r>
      <w:r w:rsidRPr="003D5CE4">
        <w:rPr>
          <w:rFonts w:ascii="Garamond" w:eastAsia="Times New Roman" w:hAnsi="Garamond" w:cs="Times New Roman"/>
          <w:color w:val="000000"/>
          <w:spacing w:val="1"/>
          <w:sz w:val="24"/>
          <w:szCs w:val="24"/>
          <w:lang w:eastAsia="sq-AL"/>
        </w:rPr>
        <w:t>m</w:t>
      </w:r>
      <w:r w:rsidRPr="003D5CE4">
        <w:rPr>
          <w:rFonts w:ascii="Garamond" w:eastAsia="Times New Roman" w:hAnsi="Garamond" w:cs="Times New Roman"/>
          <w:color w:val="000000"/>
          <w:sz w:val="24"/>
          <w:szCs w:val="24"/>
          <w:lang w:eastAsia="sq-AL"/>
        </w:rPr>
        <w:t>i____;</w:t>
      </w:r>
    </w:p>
    <w:p w14:paraId="6DC003C5" w14:textId="77777777" w:rsidR="00F052F6" w:rsidRPr="002F5D3C"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14"/>
          <w:szCs w:val="24"/>
          <w:lang w:eastAsia="sq-AL"/>
        </w:rPr>
      </w:pPr>
    </w:p>
    <w:p w14:paraId="7A5D8AB5" w14:textId="77777777" w:rsidR="00F052F6" w:rsidRPr="003D5CE4"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24"/>
          <w:szCs w:val="24"/>
          <w:lang w:eastAsia="sq-AL"/>
        </w:rPr>
      </w:pPr>
      <w:r w:rsidRPr="003D5CE4">
        <w:rPr>
          <w:rFonts w:ascii="Garamond" w:eastAsia="Times New Roman" w:hAnsi="Garamond" w:cs="Times New Roman"/>
          <w:i/>
          <w:iCs/>
          <w:color w:val="000000"/>
          <w:sz w:val="24"/>
          <w:szCs w:val="24"/>
          <w:lang w:eastAsia="sq-AL"/>
        </w:rPr>
        <w:t>Në</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z w:val="24"/>
          <w:szCs w:val="24"/>
          <w:lang w:eastAsia="sq-AL"/>
        </w:rPr>
        <w:t>të nj</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j</w:t>
      </w:r>
      <w:r w:rsidRPr="003D5CE4">
        <w:rPr>
          <w:rFonts w:ascii="Garamond" w:eastAsia="Times New Roman" w:hAnsi="Garamond" w:cs="Times New Roman"/>
          <w:i/>
          <w:iCs/>
          <w:color w:val="000000"/>
          <w:spacing w:val="1"/>
          <w:sz w:val="24"/>
          <w:szCs w:val="24"/>
          <w:lang w:eastAsia="sq-AL"/>
        </w:rPr>
        <w:t>t</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n m</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n</w:t>
      </w:r>
      <w:r w:rsidRPr="003D5CE4">
        <w:rPr>
          <w:rFonts w:ascii="Garamond" w:eastAsia="Times New Roman" w:hAnsi="Garamond" w:cs="Times New Roman"/>
          <w:i/>
          <w:iCs/>
          <w:color w:val="000000"/>
          <w:spacing w:val="-1"/>
          <w:sz w:val="24"/>
          <w:szCs w:val="24"/>
          <w:lang w:eastAsia="sq-AL"/>
        </w:rPr>
        <w:t>y</w:t>
      </w:r>
      <w:r w:rsidRPr="003D5CE4">
        <w:rPr>
          <w:rFonts w:ascii="Garamond" w:eastAsia="Times New Roman" w:hAnsi="Garamond" w:cs="Times New Roman"/>
          <w:i/>
          <w:iCs/>
          <w:color w:val="000000"/>
          <w:spacing w:val="2"/>
          <w:sz w:val="24"/>
          <w:szCs w:val="24"/>
          <w:lang w:eastAsia="sq-AL"/>
        </w:rPr>
        <w:t>r</w:t>
      </w:r>
      <w:r w:rsidRPr="003D5CE4">
        <w:rPr>
          <w:rFonts w:ascii="Garamond" w:eastAsia="Times New Roman" w:hAnsi="Garamond" w:cs="Times New Roman"/>
          <w:i/>
          <w:iCs/>
          <w:color w:val="000000"/>
          <w:sz w:val="24"/>
          <w:szCs w:val="24"/>
          <w:lang w:eastAsia="sq-AL"/>
        </w:rPr>
        <w:t>ë p</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r</w:t>
      </w:r>
      <w:r w:rsidRPr="003D5CE4">
        <w:rPr>
          <w:rFonts w:ascii="Garamond" w:eastAsia="Times New Roman" w:hAnsi="Garamond" w:cs="Times New Roman"/>
          <w:i/>
          <w:iCs/>
          <w:color w:val="000000"/>
          <w:spacing w:val="3"/>
          <w:sz w:val="24"/>
          <w:szCs w:val="24"/>
          <w:lang w:eastAsia="sq-AL"/>
        </w:rPr>
        <w:t>s</w:t>
      </w:r>
      <w:r w:rsidRPr="003D5CE4">
        <w:rPr>
          <w:rFonts w:ascii="Garamond" w:eastAsia="Times New Roman" w:hAnsi="Garamond" w:cs="Times New Roman"/>
          <w:i/>
          <w:iCs/>
          <w:color w:val="000000"/>
          <w:sz w:val="24"/>
          <w:szCs w:val="24"/>
          <w:lang w:eastAsia="sq-AL"/>
        </w:rPr>
        <w:t>h</w:t>
      </w:r>
      <w:r w:rsidRPr="003D5CE4">
        <w:rPr>
          <w:rFonts w:ascii="Garamond" w:eastAsia="Times New Roman" w:hAnsi="Garamond" w:cs="Times New Roman"/>
          <w:i/>
          <w:iCs/>
          <w:color w:val="000000"/>
          <w:spacing w:val="-1"/>
          <w:sz w:val="24"/>
          <w:szCs w:val="24"/>
          <w:lang w:eastAsia="sq-AL"/>
        </w:rPr>
        <w:t>k</w:t>
      </w:r>
      <w:r w:rsidRPr="003D5CE4">
        <w:rPr>
          <w:rFonts w:ascii="Garamond" w:eastAsia="Times New Roman" w:hAnsi="Garamond" w:cs="Times New Roman"/>
          <w:i/>
          <w:iCs/>
          <w:color w:val="000000"/>
          <w:sz w:val="24"/>
          <w:szCs w:val="24"/>
          <w:lang w:eastAsia="sq-AL"/>
        </w:rPr>
        <w:t>ruh</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n të gji</w:t>
      </w:r>
      <w:r w:rsidRPr="003D5CE4">
        <w:rPr>
          <w:rFonts w:ascii="Garamond" w:eastAsia="Times New Roman" w:hAnsi="Garamond" w:cs="Times New Roman"/>
          <w:i/>
          <w:iCs/>
          <w:color w:val="000000"/>
          <w:spacing w:val="1"/>
          <w:sz w:val="24"/>
          <w:szCs w:val="24"/>
          <w:lang w:eastAsia="sq-AL"/>
        </w:rPr>
        <w:t>t</w:t>
      </w:r>
      <w:r w:rsidRPr="003D5CE4">
        <w:rPr>
          <w:rFonts w:ascii="Garamond" w:eastAsia="Times New Roman" w:hAnsi="Garamond" w:cs="Times New Roman"/>
          <w:i/>
          <w:iCs/>
          <w:color w:val="000000"/>
          <w:sz w:val="24"/>
          <w:szCs w:val="24"/>
          <w:lang w:eastAsia="sq-AL"/>
        </w:rPr>
        <w:t xml:space="preserve">ha </w:t>
      </w:r>
      <w:r w:rsidRPr="003D5CE4">
        <w:rPr>
          <w:rFonts w:ascii="Garamond" w:eastAsia="Times New Roman" w:hAnsi="Garamond" w:cs="Times New Roman"/>
          <w:i/>
          <w:iCs/>
          <w:color w:val="000000"/>
          <w:spacing w:val="-1"/>
          <w:sz w:val="24"/>
          <w:szCs w:val="24"/>
          <w:lang w:eastAsia="sq-AL"/>
        </w:rPr>
        <w:t>çë</w:t>
      </w:r>
      <w:r w:rsidRPr="003D5CE4">
        <w:rPr>
          <w:rFonts w:ascii="Garamond" w:eastAsia="Times New Roman" w:hAnsi="Garamond" w:cs="Times New Roman"/>
          <w:i/>
          <w:iCs/>
          <w:color w:val="000000"/>
          <w:sz w:val="24"/>
          <w:szCs w:val="24"/>
          <w:lang w:eastAsia="sq-AL"/>
        </w:rPr>
        <w:t>sht</w:t>
      </w:r>
      <w:r w:rsidRPr="003D5CE4">
        <w:rPr>
          <w:rFonts w:ascii="Garamond" w:eastAsia="Times New Roman" w:hAnsi="Garamond" w:cs="Times New Roman"/>
          <w:i/>
          <w:iCs/>
          <w:color w:val="000000"/>
          <w:spacing w:val="1"/>
          <w:sz w:val="24"/>
          <w:szCs w:val="24"/>
          <w:lang w:eastAsia="sq-AL"/>
        </w:rPr>
        <w:t>j</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t</w:t>
      </w:r>
      <w:r w:rsidRPr="003D5CE4">
        <w:rPr>
          <w:rFonts w:ascii="Garamond" w:eastAsia="Times New Roman" w:hAnsi="Garamond" w:cs="Times New Roman"/>
          <w:i/>
          <w:iCs/>
          <w:color w:val="000000"/>
          <w:spacing w:val="3"/>
          <w:sz w:val="24"/>
          <w:szCs w:val="24"/>
          <w:lang w:eastAsia="sq-AL"/>
        </w:rPr>
        <w:t xml:space="preserve"> </w:t>
      </w:r>
      <w:r w:rsidRPr="003D5CE4">
        <w:rPr>
          <w:rFonts w:ascii="Garamond" w:eastAsia="Times New Roman" w:hAnsi="Garamond" w:cs="Times New Roman"/>
          <w:i/>
          <w:iCs/>
          <w:color w:val="000000"/>
          <w:sz w:val="24"/>
          <w:szCs w:val="24"/>
          <w:lang w:eastAsia="sq-AL"/>
        </w:rPr>
        <w:t>e</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z w:val="24"/>
          <w:szCs w:val="24"/>
          <w:lang w:eastAsia="sq-AL"/>
        </w:rPr>
        <w:t>p</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rzg</w:t>
      </w:r>
      <w:r w:rsidRPr="003D5CE4">
        <w:rPr>
          <w:rFonts w:ascii="Garamond" w:eastAsia="Times New Roman" w:hAnsi="Garamond" w:cs="Times New Roman"/>
          <w:i/>
          <w:iCs/>
          <w:color w:val="000000"/>
          <w:spacing w:val="1"/>
          <w:sz w:val="24"/>
          <w:szCs w:val="24"/>
          <w:lang w:eastAsia="sq-AL"/>
        </w:rPr>
        <w:t>j</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dhura të</w:t>
      </w:r>
      <w:r w:rsidRPr="003D5CE4">
        <w:rPr>
          <w:rFonts w:ascii="Garamond" w:eastAsia="Times New Roman" w:hAnsi="Garamond" w:cs="Times New Roman"/>
          <w:i/>
          <w:iCs/>
          <w:color w:val="000000"/>
          <w:spacing w:val="1"/>
          <w:sz w:val="24"/>
          <w:szCs w:val="24"/>
          <w:lang w:eastAsia="sq-AL"/>
        </w:rPr>
        <w:t xml:space="preserve"> k</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saj</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pacing w:val="-1"/>
          <w:sz w:val="24"/>
          <w:szCs w:val="24"/>
          <w:lang w:eastAsia="sq-AL"/>
        </w:rPr>
        <w:t>k</w:t>
      </w:r>
      <w:r w:rsidRPr="003D5CE4">
        <w:rPr>
          <w:rFonts w:ascii="Garamond" w:eastAsia="Times New Roman" w:hAnsi="Garamond" w:cs="Times New Roman"/>
          <w:i/>
          <w:iCs/>
          <w:color w:val="000000"/>
          <w:sz w:val="24"/>
          <w:szCs w:val="24"/>
          <w:lang w:eastAsia="sq-AL"/>
        </w:rPr>
        <w:t>ategori</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w:t>
      </w:r>
    </w:p>
    <w:p w14:paraId="719F428E" w14:textId="77777777" w:rsidR="00F052F6" w:rsidRPr="002F5D3C"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14"/>
          <w:szCs w:val="24"/>
          <w:lang w:eastAsia="sq-AL"/>
        </w:rPr>
      </w:pPr>
    </w:p>
    <w:p w14:paraId="05C924B8" w14:textId="77777777" w:rsidR="00F052F6" w:rsidRPr="003D5CE4" w:rsidRDefault="00F052F6" w:rsidP="00F052F6">
      <w:pPr>
        <w:widowControl w:val="0"/>
        <w:autoSpaceDE w:val="0"/>
        <w:autoSpaceDN w:val="0"/>
        <w:adjustRightInd w:val="0"/>
        <w:spacing w:after="0" w:line="240" w:lineRule="auto"/>
        <w:ind w:firstLine="284"/>
        <w:jc w:val="both"/>
        <w:rPr>
          <w:rFonts w:ascii="Garamond" w:eastAsia="Times New Roman" w:hAnsi="Garamond" w:cs="Times New Roman"/>
          <w:color w:val="000000"/>
          <w:sz w:val="24"/>
          <w:szCs w:val="24"/>
          <w:lang w:eastAsia="sq-AL"/>
        </w:rPr>
      </w:pPr>
      <w:r w:rsidRPr="003D5CE4">
        <w:rPr>
          <w:rFonts w:ascii="Garamond" w:eastAsia="Times New Roman" w:hAnsi="Garamond" w:cs="Times New Roman"/>
          <w:i/>
          <w:iCs/>
          <w:color w:val="000000"/>
          <w:sz w:val="24"/>
          <w:szCs w:val="24"/>
          <w:lang w:eastAsia="sq-AL"/>
        </w:rPr>
        <w:t>Në</w:t>
      </w:r>
      <w:r w:rsidRPr="003D5CE4">
        <w:rPr>
          <w:rFonts w:ascii="Garamond" w:eastAsia="Times New Roman" w:hAnsi="Garamond" w:cs="Times New Roman"/>
          <w:i/>
          <w:iCs/>
          <w:color w:val="000000"/>
          <w:spacing w:val="-6"/>
          <w:sz w:val="24"/>
          <w:szCs w:val="24"/>
          <w:lang w:eastAsia="sq-AL"/>
        </w:rPr>
        <w:t xml:space="preserve"> </w:t>
      </w:r>
      <w:r w:rsidRPr="003D5CE4">
        <w:rPr>
          <w:rFonts w:ascii="Garamond" w:eastAsia="Times New Roman" w:hAnsi="Garamond" w:cs="Times New Roman"/>
          <w:i/>
          <w:iCs/>
          <w:color w:val="000000"/>
          <w:sz w:val="24"/>
          <w:szCs w:val="24"/>
          <w:lang w:eastAsia="sq-AL"/>
        </w:rPr>
        <w:t>të</w:t>
      </w:r>
      <w:r w:rsidRPr="003D5CE4">
        <w:rPr>
          <w:rFonts w:ascii="Garamond" w:eastAsia="Times New Roman" w:hAnsi="Garamond" w:cs="Times New Roman"/>
          <w:i/>
          <w:iCs/>
          <w:color w:val="000000"/>
          <w:spacing w:val="-5"/>
          <w:sz w:val="24"/>
          <w:szCs w:val="24"/>
          <w:lang w:eastAsia="sq-AL"/>
        </w:rPr>
        <w:t xml:space="preserve"> </w:t>
      </w:r>
      <w:r w:rsidRPr="003D5CE4">
        <w:rPr>
          <w:rFonts w:ascii="Garamond" w:eastAsia="Times New Roman" w:hAnsi="Garamond" w:cs="Times New Roman"/>
          <w:i/>
          <w:iCs/>
          <w:color w:val="000000"/>
          <w:sz w:val="24"/>
          <w:szCs w:val="24"/>
          <w:lang w:eastAsia="sq-AL"/>
        </w:rPr>
        <w:t>njëjtën</w:t>
      </w:r>
      <w:r w:rsidRPr="003D5CE4">
        <w:rPr>
          <w:rFonts w:ascii="Garamond" w:eastAsia="Times New Roman" w:hAnsi="Garamond" w:cs="Times New Roman"/>
          <w:i/>
          <w:iCs/>
          <w:color w:val="000000"/>
          <w:spacing w:val="-5"/>
          <w:sz w:val="24"/>
          <w:szCs w:val="24"/>
          <w:lang w:eastAsia="sq-AL"/>
        </w:rPr>
        <w:t xml:space="preserve"> </w:t>
      </w:r>
      <w:r w:rsidRPr="003D5CE4">
        <w:rPr>
          <w:rFonts w:ascii="Garamond" w:eastAsia="Times New Roman" w:hAnsi="Garamond" w:cs="Times New Roman"/>
          <w:i/>
          <w:iCs/>
          <w:color w:val="000000"/>
          <w:sz w:val="24"/>
          <w:szCs w:val="24"/>
          <w:lang w:eastAsia="sq-AL"/>
        </w:rPr>
        <w:t>m</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n</w:t>
      </w:r>
      <w:r w:rsidRPr="003D5CE4">
        <w:rPr>
          <w:rFonts w:ascii="Garamond" w:eastAsia="Times New Roman" w:hAnsi="Garamond" w:cs="Times New Roman"/>
          <w:i/>
          <w:iCs/>
          <w:color w:val="000000"/>
          <w:spacing w:val="-1"/>
          <w:sz w:val="24"/>
          <w:szCs w:val="24"/>
          <w:lang w:eastAsia="sq-AL"/>
        </w:rPr>
        <w:t>y</w:t>
      </w:r>
      <w:r w:rsidRPr="003D5CE4">
        <w:rPr>
          <w:rFonts w:ascii="Garamond" w:eastAsia="Times New Roman" w:hAnsi="Garamond" w:cs="Times New Roman"/>
          <w:i/>
          <w:iCs/>
          <w:color w:val="000000"/>
          <w:spacing w:val="2"/>
          <w:sz w:val="24"/>
          <w:szCs w:val="24"/>
          <w:lang w:eastAsia="sq-AL"/>
        </w:rPr>
        <w:t>r</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w:t>
      </w:r>
      <w:r w:rsidRPr="003D5CE4">
        <w:rPr>
          <w:rFonts w:ascii="Garamond" w:eastAsia="Times New Roman" w:hAnsi="Garamond" w:cs="Times New Roman"/>
          <w:i/>
          <w:iCs/>
          <w:color w:val="000000"/>
          <w:spacing w:val="-5"/>
          <w:sz w:val="24"/>
          <w:szCs w:val="24"/>
          <w:lang w:eastAsia="sq-AL"/>
        </w:rPr>
        <w:t xml:space="preserve"> </w:t>
      </w:r>
      <w:r w:rsidRPr="003D5CE4">
        <w:rPr>
          <w:rFonts w:ascii="Garamond" w:eastAsia="Times New Roman" w:hAnsi="Garamond" w:cs="Times New Roman"/>
          <w:i/>
          <w:iCs/>
          <w:color w:val="000000"/>
          <w:sz w:val="24"/>
          <w:szCs w:val="24"/>
          <w:lang w:eastAsia="sq-AL"/>
        </w:rPr>
        <w:t>ba</w:t>
      </w:r>
      <w:r w:rsidRPr="003D5CE4">
        <w:rPr>
          <w:rFonts w:ascii="Garamond" w:eastAsia="Times New Roman" w:hAnsi="Garamond" w:cs="Times New Roman"/>
          <w:i/>
          <w:iCs/>
          <w:color w:val="000000"/>
          <w:spacing w:val="2"/>
          <w:sz w:val="24"/>
          <w:szCs w:val="24"/>
          <w:lang w:eastAsia="sq-AL"/>
        </w:rPr>
        <w:t>z</w:t>
      </w:r>
      <w:r w:rsidRPr="003D5CE4">
        <w:rPr>
          <w:rFonts w:ascii="Garamond" w:eastAsia="Times New Roman" w:hAnsi="Garamond" w:cs="Times New Roman"/>
          <w:i/>
          <w:iCs/>
          <w:color w:val="000000"/>
          <w:sz w:val="24"/>
          <w:szCs w:val="24"/>
          <w:lang w:eastAsia="sq-AL"/>
        </w:rPr>
        <w:t>uar</w:t>
      </w:r>
      <w:r w:rsidRPr="003D5CE4">
        <w:rPr>
          <w:rFonts w:ascii="Garamond" w:eastAsia="Times New Roman" w:hAnsi="Garamond" w:cs="Times New Roman"/>
          <w:i/>
          <w:iCs/>
          <w:color w:val="000000"/>
          <w:spacing w:val="51"/>
          <w:sz w:val="24"/>
          <w:szCs w:val="24"/>
          <w:lang w:eastAsia="sq-AL"/>
        </w:rPr>
        <w:t xml:space="preserve"> </w:t>
      </w:r>
      <w:r w:rsidRPr="003D5CE4">
        <w:rPr>
          <w:rFonts w:ascii="Garamond" w:eastAsia="Times New Roman" w:hAnsi="Garamond" w:cs="Times New Roman"/>
          <w:i/>
          <w:iCs/>
          <w:color w:val="000000"/>
          <w:sz w:val="24"/>
          <w:szCs w:val="24"/>
          <w:lang w:eastAsia="sq-AL"/>
        </w:rPr>
        <w:t>në</w:t>
      </w:r>
      <w:r w:rsidRPr="003D5CE4">
        <w:rPr>
          <w:rFonts w:ascii="Garamond" w:eastAsia="Times New Roman" w:hAnsi="Garamond" w:cs="Times New Roman"/>
          <w:i/>
          <w:iCs/>
          <w:color w:val="000000"/>
          <w:spacing w:val="-6"/>
          <w:sz w:val="24"/>
          <w:szCs w:val="24"/>
          <w:lang w:eastAsia="sq-AL"/>
        </w:rPr>
        <w:t xml:space="preserve"> </w:t>
      </w:r>
      <w:r w:rsidRPr="003D5CE4">
        <w:rPr>
          <w:rFonts w:ascii="Garamond" w:eastAsia="Times New Roman" w:hAnsi="Garamond" w:cs="Times New Roman"/>
          <w:i/>
          <w:iCs/>
          <w:color w:val="000000"/>
          <w:spacing w:val="-1"/>
          <w:sz w:val="24"/>
          <w:szCs w:val="24"/>
          <w:lang w:eastAsia="sq-AL"/>
        </w:rPr>
        <w:t>ve</w:t>
      </w:r>
      <w:r w:rsidRPr="003D5CE4">
        <w:rPr>
          <w:rFonts w:ascii="Garamond" w:eastAsia="Times New Roman" w:hAnsi="Garamond" w:cs="Times New Roman"/>
          <w:i/>
          <w:iCs/>
          <w:color w:val="000000"/>
          <w:sz w:val="24"/>
          <w:szCs w:val="24"/>
          <w:lang w:eastAsia="sq-AL"/>
        </w:rPr>
        <w:t>ndimin</w:t>
      </w:r>
      <w:r w:rsidRPr="003D5CE4">
        <w:rPr>
          <w:rFonts w:ascii="Garamond" w:eastAsia="Times New Roman" w:hAnsi="Garamond" w:cs="Times New Roman"/>
          <w:i/>
          <w:iCs/>
          <w:color w:val="000000"/>
          <w:spacing w:val="-4"/>
          <w:sz w:val="24"/>
          <w:szCs w:val="24"/>
          <w:lang w:eastAsia="sq-AL"/>
        </w:rPr>
        <w:t xml:space="preserve"> </w:t>
      </w:r>
      <w:r w:rsidRPr="003D5CE4">
        <w:rPr>
          <w:rFonts w:ascii="Garamond" w:eastAsia="Times New Roman" w:hAnsi="Garamond" w:cs="Times New Roman"/>
          <w:i/>
          <w:iCs/>
          <w:color w:val="000000"/>
          <w:sz w:val="24"/>
          <w:szCs w:val="24"/>
          <w:lang w:eastAsia="sq-AL"/>
        </w:rPr>
        <w:t>e</w:t>
      </w:r>
      <w:r w:rsidRPr="003D5CE4">
        <w:rPr>
          <w:rFonts w:ascii="Garamond" w:eastAsia="Times New Roman" w:hAnsi="Garamond" w:cs="Times New Roman"/>
          <w:i/>
          <w:iCs/>
          <w:color w:val="000000"/>
          <w:spacing w:val="-6"/>
          <w:sz w:val="24"/>
          <w:szCs w:val="24"/>
          <w:lang w:eastAsia="sq-AL"/>
        </w:rPr>
        <w:t xml:space="preserve"> </w:t>
      </w:r>
      <w:r w:rsidRPr="003D5CE4">
        <w:rPr>
          <w:rFonts w:ascii="Garamond" w:eastAsia="Times New Roman" w:hAnsi="Garamond" w:cs="Times New Roman"/>
          <w:i/>
          <w:iCs/>
          <w:color w:val="000000"/>
          <w:spacing w:val="2"/>
          <w:sz w:val="24"/>
          <w:szCs w:val="24"/>
          <w:lang w:eastAsia="sq-AL"/>
        </w:rPr>
        <w:t>r</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la</w:t>
      </w:r>
      <w:r w:rsidRPr="003D5CE4">
        <w:rPr>
          <w:rFonts w:ascii="Garamond" w:eastAsia="Times New Roman" w:hAnsi="Garamond" w:cs="Times New Roman"/>
          <w:i/>
          <w:iCs/>
          <w:color w:val="000000"/>
          <w:spacing w:val="1"/>
          <w:sz w:val="24"/>
          <w:szCs w:val="24"/>
          <w:lang w:eastAsia="sq-AL"/>
        </w:rPr>
        <w:t>t</w:t>
      </w:r>
      <w:r w:rsidRPr="003D5CE4">
        <w:rPr>
          <w:rFonts w:ascii="Garamond" w:eastAsia="Times New Roman" w:hAnsi="Garamond" w:cs="Times New Roman"/>
          <w:i/>
          <w:iCs/>
          <w:color w:val="000000"/>
          <w:sz w:val="24"/>
          <w:szCs w:val="24"/>
          <w:lang w:eastAsia="sq-AL"/>
        </w:rPr>
        <w:t>ori</w:t>
      </w:r>
      <w:r w:rsidRPr="003D5CE4">
        <w:rPr>
          <w:rFonts w:ascii="Garamond" w:eastAsia="Times New Roman" w:hAnsi="Garamond" w:cs="Times New Roman"/>
          <w:i/>
          <w:iCs/>
          <w:color w:val="000000"/>
          <w:spacing w:val="1"/>
          <w:sz w:val="24"/>
          <w:szCs w:val="24"/>
          <w:lang w:eastAsia="sq-AL"/>
        </w:rPr>
        <w:t>t</w:t>
      </w:r>
      <w:r w:rsidRPr="003D5CE4">
        <w:rPr>
          <w:rFonts w:ascii="Garamond" w:eastAsia="Times New Roman" w:hAnsi="Garamond" w:cs="Times New Roman"/>
          <w:i/>
          <w:iCs/>
          <w:color w:val="000000"/>
          <w:sz w:val="24"/>
          <w:szCs w:val="24"/>
          <w:lang w:eastAsia="sq-AL"/>
        </w:rPr>
        <w:t>,</w:t>
      </w:r>
      <w:r w:rsidRPr="003D5CE4">
        <w:rPr>
          <w:rFonts w:ascii="Garamond" w:eastAsia="Times New Roman" w:hAnsi="Garamond" w:cs="Times New Roman"/>
          <w:i/>
          <w:iCs/>
          <w:color w:val="000000"/>
          <w:spacing w:val="-5"/>
          <w:sz w:val="24"/>
          <w:szCs w:val="24"/>
          <w:lang w:eastAsia="sq-AL"/>
        </w:rPr>
        <w:t xml:space="preserve"> </w:t>
      </w:r>
      <w:r w:rsidRPr="003D5CE4">
        <w:rPr>
          <w:rFonts w:ascii="Garamond" w:eastAsia="Times New Roman" w:hAnsi="Garamond" w:cs="Times New Roman"/>
          <w:i/>
          <w:iCs/>
          <w:color w:val="000000"/>
          <w:sz w:val="24"/>
          <w:szCs w:val="24"/>
          <w:lang w:eastAsia="sq-AL"/>
        </w:rPr>
        <w:t>pasq</w:t>
      </w:r>
      <w:r w:rsidRPr="003D5CE4">
        <w:rPr>
          <w:rFonts w:ascii="Garamond" w:eastAsia="Times New Roman" w:hAnsi="Garamond" w:cs="Times New Roman"/>
          <w:i/>
          <w:iCs/>
          <w:color w:val="000000"/>
          <w:spacing w:val="-1"/>
          <w:sz w:val="24"/>
          <w:szCs w:val="24"/>
          <w:lang w:eastAsia="sq-AL"/>
        </w:rPr>
        <w:t>y</w:t>
      </w:r>
      <w:r w:rsidRPr="003D5CE4">
        <w:rPr>
          <w:rFonts w:ascii="Garamond" w:eastAsia="Times New Roman" w:hAnsi="Garamond" w:cs="Times New Roman"/>
          <w:i/>
          <w:iCs/>
          <w:color w:val="000000"/>
          <w:sz w:val="24"/>
          <w:szCs w:val="24"/>
          <w:lang w:eastAsia="sq-AL"/>
        </w:rPr>
        <w:t>roh</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n</w:t>
      </w:r>
      <w:r w:rsidRPr="003D5CE4">
        <w:rPr>
          <w:rFonts w:ascii="Garamond" w:eastAsia="Times New Roman" w:hAnsi="Garamond" w:cs="Times New Roman"/>
          <w:i/>
          <w:iCs/>
          <w:color w:val="000000"/>
          <w:spacing w:val="-5"/>
          <w:sz w:val="24"/>
          <w:szCs w:val="24"/>
          <w:lang w:eastAsia="sq-AL"/>
        </w:rPr>
        <w:t xml:space="preserve"> </w:t>
      </w:r>
      <w:r w:rsidRPr="003D5CE4">
        <w:rPr>
          <w:rFonts w:ascii="Garamond" w:eastAsia="Times New Roman" w:hAnsi="Garamond" w:cs="Times New Roman"/>
          <w:i/>
          <w:iCs/>
          <w:color w:val="000000"/>
          <w:spacing w:val="-1"/>
          <w:sz w:val="24"/>
          <w:szCs w:val="24"/>
          <w:lang w:eastAsia="sq-AL"/>
        </w:rPr>
        <w:t>ve</w:t>
      </w:r>
      <w:r w:rsidRPr="003D5CE4">
        <w:rPr>
          <w:rFonts w:ascii="Garamond" w:eastAsia="Times New Roman" w:hAnsi="Garamond" w:cs="Times New Roman"/>
          <w:i/>
          <w:iCs/>
          <w:color w:val="000000"/>
          <w:sz w:val="24"/>
          <w:szCs w:val="24"/>
          <w:lang w:eastAsia="sq-AL"/>
        </w:rPr>
        <w:t>prim</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t</w:t>
      </w:r>
      <w:r w:rsidRPr="003D5CE4">
        <w:rPr>
          <w:rFonts w:ascii="Garamond" w:eastAsia="Times New Roman" w:hAnsi="Garamond" w:cs="Times New Roman"/>
          <w:i/>
          <w:iCs/>
          <w:color w:val="000000"/>
          <w:spacing w:val="-2"/>
          <w:sz w:val="24"/>
          <w:szCs w:val="24"/>
          <w:lang w:eastAsia="sq-AL"/>
        </w:rPr>
        <w:t xml:space="preserve"> </w:t>
      </w:r>
      <w:r w:rsidRPr="003D5CE4">
        <w:rPr>
          <w:rFonts w:ascii="Garamond" w:eastAsia="Times New Roman" w:hAnsi="Garamond" w:cs="Times New Roman"/>
          <w:i/>
          <w:iCs/>
          <w:color w:val="000000"/>
          <w:sz w:val="24"/>
          <w:szCs w:val="24"/>
          <w:lang w:eastAsia="sq-AL"/>
        </w:rPr>
        <w:t>e</w:t>
      </w:r>
      <w:r w:rsidRPr="003D5CE4">
        <w:rPr>
          <w:rFonts w:ascii="Garamond" w:eastAsia="Times New Roman" w:hAnsi="Garamond" w:cs="Times New Roman"/>
          <w:i/>
          <w:iCs/>
          <w:color w:val="000000"/>
          <w:spacing w:val="-6"/>
          <w:sz w:val="24"/>
          <w:szCs w:val="24"/>
          <w:lang w:eastAsia="sq-AL"/>
        </w:rPr>
        <w:t xml:space="preserve"> </w:t>
      </w:r>
      <w:r w:rsidRPr="003D5CE4">
        <w:rPr>
          <w:rFonts w:ascii="Garamond" w:eastAsia="Times New Roman" w:hAnsi="Garamond" w:cs="Times New Roman"/>
          <w:i/>
          <w:iCs/>
          <w:color w:val="000000"/>
          <w:sz w:val="24"/>
          <w:szCs w:val="24"/>
          <w:lang w:eastAsia="sq-AL"/>
        </w:rPr>
        <w:t>t</w:t>
      </w:r>
      <w:r w:rsidRPr="003D5CE4">
        <w:rPr>
          <w:rFonts w:ascii="Garamond" w:eastAsia="Times New Roman" w:hAnsi="Garamond" w:cs="Times New Roman"/>
          <w:i/>
          <w:iCs/>
          <w:color w:val="000000"/>
          <w:spacing w:val="1"/>
          <w:sz w:val="24"/>
          <w:szCs w:val="24"/>
          <w:lang w:eastAsia="sq-AL"/>
        </w:rPr>
        <w:t>j</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ra</w:t>
      </w:r>
      <w:r w:rsidRPr="003D5CE4">
        <w:rPr>
          <w:rFonts w:ascii="Garamond" w:eastAsia="Times New Roman" w:hAnsi="Garamond" w:cs="Times New Roman"/>
          <w:i/>
          <w:iCs/>
          <w:color w:val="000000"/>
          <w:spacing w:val="-5"/>
          <w:sz w:val="24"/>
          <w:szCs w:val="24"/>
          <w:lang w:eastAsia="sq-AL"/>
        </w:rPr>
        <w:t xml:space="preserve"> </w:t>
      </w:r>
      <w:r w:rsidRPr="003D5CE4">
        <w:rPr>
          <w:rFonts w:ascii="Garamond" w:eastAsia="Times New Roman" w:hAnsi="Garamond" w:cs="Times New Roman"/>
          <w:i/>
          <w:iCs/>
          <w:color w:val="000000"/>
          <w:sz w:val="24"/>
          <w:szCs w:val="24"/>
          <w:lang w:eastAsia="sq-AL"/>
        </w:rPr>
        <w:t>që</w:t>
      </w:r>
      <w:r w:rsidRPr="003D5CE4">
        <w:rPr>
          <w:rFonts w:ascii="Garamond" w:eastAsia="Times New Roman" w:hAnsi="Garamond" w:cs="Times New Roman"/>
          <w:i/>
          <w:iCs/>
          <w:color w:val="000000"/>
          <w:spacing w:val="-6"/>
          <w:sz w:val="24"/>
          <w:szCs w:val="24"/>
          <w:lang w:eastAsia="sq-AL"/>
        </w:rPr>
        <w:t xml:space="preserve"> </w:t>
      </w:r>
      <w:r w:rsidRPr="003D5CE4">
        <w:rPr>
          <w:rFonts w:ascii="Garamond" w:eastAsia="Times New Roman" w:hAnsi="Garamond" w:cs="Times New Roman"/>
          <w:i/>
          <w:iCs/>
          <w:color w:val="000000"/>
          <w:spacing w:val="-1"/>
          <w:sz w:val="24"/>
          <w:szCs w:val="24"/>
          <w:lang w:eastAsia="sq-AL"/>
        </w:rPr>
        <w:t>k</w:t>
      </w:r>
      <w:r w:rsidRPr="003D5CE4">
        <w:rPr>
          <w:rFonts w:ascii="Garamond" w:eastAsia="Times New Roman" w:hAnsi="Garamond" w:cs="Times New Roman"/>
          <w:i/>
          <w:iCs/>
          <w:color w:val="000000"/>
          <w:sz w:val="24"/>
          <w:szCs w:val="24"/>
          <w:lang w:eastAsia="sq-AL"/>
        </w:rPr>
        <w:t>r</w:t>
      </w:r>
      <w:r w:rsidRPr="003D5CE4">
        <w:rPr>
          <w:rFonts w:ascii="Garamond" w:eastAsia="Times New Roman" w:hAnsi="Garamond" w:cs="Times New Roman"/>
          <w:i/>
          <w:iCs/>
          <w:color w:val="000000"/>
          <w:spacing w:val="-1"/>
          <w:sz w:val="24"/>
          <w:szCs w:val="24"/>
          <w:lang w:eastAsia="sq-AL"/>
        </w:rPr>
        <w:t>y</w:t>
      </w:r>
      <w:r w:rsidRPr="003D5CE4">
        <w:rPr>
          <w:rFonts w:ascii="Garamond" w:eastAsia="Times New Roman" w:hAnsi="Garamond" w:cs="Times New Roman"/>
          <w:i/>
          <w:iCs/>
          <w:color w:val="000000"/>
          <w:spacing w:val="2"/>
          <w:sz w:val="24"/>
          <w:szCs w:val="24"/>
          <w:lang w:eastAsia="sq-AL"/>
        </w:rPr>
        <w:t>h</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n</w:t>
      </w:r>
      <w:r w:rsidRPr="003D5CE4">
        <w:rPr>
          <w:rFonts w:ascii="Garamond" w:eastAsia="Times New Roman" w:hAnsi="Garamond" w:cs="Times New Roman"/>
          <w:i/>
          <w:iCs/>
          <w:color w:val="000000"/>
          <w:spacing w:val="-5"/>
          <w:sz w:val="24"/>
          <w:szCs w:val="24"/>
          <w:lang w:eastAsia="sq-AL"/>
        </w:rPr>
        <w:t xml:space="preserve"> </w:t>
      </w:r>
      <w:r w:rsidRPr="003D5CE4">
        <w:rPr>
          <w:rFonts w:ascii="Garamond" w:eastAsia="Times New Roman" w:hAnsi="Garamond" w:cs="Times New Roman"/>
          <w:i/>
          <w:iCs/>
          <w:color w:val="000000"/>
          <w:sz w:val="24"/>
          <w:szCs w:val="24"/>
          <w:lang w:eastAsia="sq-AL"/>
        </w:rPr>
        <w:t>gja</w:t>
      </w:r>
      <w:r w:rsidRPr="003D5CE4">
        <w:rPr>
          <w:rFonts w:ascii="Garamond" w:eastAsia="Times New Roman" w:hAnsi="Garamond" w:cs="Times New Roman"/>
          <w:i/>
          <w:iCs/>
          <w:color w:val="000000"/>
          <w:spacing w:val="1"/>
          <w:sz w:val="24"/>
          <w:szCs w:val="24"/>
          <w:lang w:eastAsia="sq-AL"/>
        </w:rPr>
        <w:t>t</w:t>
      </w:r>
      <w:r w:rsidRPr="003D5CE4">
        <w:rPr>
          <w:rFonts w:ascii="Garamond" w:eastAsia="Times New Roman" w:hAnsi="Garamond" w:cs="Times New Roman"/>
          <w:i/>
          <w:iCs/>
          <w:color w:val="000000"/>
          <w:sz w:val="24"/>
          <w:szCs w:val="24"/>
          <w:lang w:eastAsia="sq-AL"/>
        </w:rPr>
        <w:t>ë p</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rzg</w:t>
      </w:r>
      <w:r w:rsidRPr="003D5CE4">
        <w:rPr>
          <w:rFonts w:ascii="Garamond" w:eastAsia="Times New Roman" w:hAnsi="Garamond" w:cs="Times New Roman"/>
          <w:i/>
          <w:iCs/>
          <w:color w:val="000000"/>
          <w:spacing w:val="1"/>
          <w:sz w:val="24"/>
          <w:szCs w:val="24"/>
          <w:lang w:eastAsia="sq-AL"/>
        </w:rPr>
        <w:t>j</w:t>
      </w:r>
      <w:r w:rsidRPr="003D5CE4">
        <w:rPr>
          <w:rFonts w:ascii="Garamond" w:eastAsia="Times New Roman" w:hAnsi="Garamond" w:cs="Times New Roman"/>
          <w:i/>
          <w:iCs/>
          <w:color w:val="000000"/>
          <w:spacing w:val="-1"/>
          <w:sz w:val="24"/>
          <w:szCs w:val="24"/>
          <w:lang w:eastAsia="sq-AL"/>
        </w:rPr>
        <w:t>e</w:t>
      </w:r>
      <w:r w:rsidRPr="003D5CE4">
        <w:rPr>
          <w:rFonts w:ascii="Garamond" w:eastAsia="Times New Roman" w:hAnsi="Garamond" w:cs="Times New Roman"/>
          <w:i/>
          <w:iCs/>
          <w:color w:val="000000"/>
          <w:sz w:val="24"/>
          <w:szCs w:val="24"/>
          <w:lang w:eastAsia="sq-AL"/>
        </w:rPr>
        <w:t>dhjes me</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z w:val="24"/>
          <w:szCs w:val="24"/>
          <w:lang w:eastAsia="sq-AL"/>
        </w:rPr>
        <w:t>short</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z w:val="24"/>
          <w:szCs w:val="24"/>
          <w:lang w:eastAsia="sq-AL"/>
        </w:rPr>
        <w:t>të</w:t>
      </w:r>
      <w:r w:rsidRPr="003D5CE4">
        <w:rPr>
          <w:rFonts w:ascii="Garamond" w:eastAsia="Times New Roman" w:hAnsi="Garamond" w:cs="Times New Roman"/>
          <w:i/>
          <w:iCs/>
          <w:color w:val="000000"/>
          <w:spacing w:val="2"/>
          <w:sz w:val="24"/>
          <w:szCs w:val="24"/>
          <w:lang w:eastAsia="sq-AL"/>
        </w:rPr>
        <w:t xml:space="preserve"> </w:t>
      </w:r>
      <w:r w:rsidRPr="003D5CE4">
        <w:rPr>
          <w:rFonts w:ascii="Garamond" w:eastAsia="Times New Roman" w:hAnsi="Garamond" w:cs="Times New Roman"/>
          <w:i/>
          <w:iCs/>
          <w:color w:val="000000"/>
          <w:sz w:val="24"/>
          <w:szCs w:val="24"/>
          <w:lang w:eastAsia="sq-AL"/>
        </w:rPr>
        <w:t>të gji</w:t>
      </w:r>
      <w:r w:rsidRPr="003D5CE4">
        <w:rPr>
          <w:rFonts w:ascii="Garamond" w:eastAsia="Times New Roman" w:hAnsi="Garamond" w:cs="Times New Roman"/>
          <w:i/>
          <w:iCs/>
          <w:color w:val="000000"/>
          <w:spacing w:val="1"/>
          <w:sz w:val="24"/>
          <w:szCs w:val="24"/>
          <w:lang w:eastAsia="sq-AL"/>
        </w:rPr>
        <w:t>t</w:t>
      </w:r>
      <w:r w:rsidRPr="003D5CE4">
        <w:rPr>
          <w:rFonts w:ascii="Garamond" w:eastAsia="Times New Roman" w:hAnsi="Garamond" w:cs="Times New Roman"/>
          <w:i/>
          <w:iCs/>
          <w:color w:val="000000"/>
          <w:sz w:val="24"/>
          <w:szCs w:val="24"/>
          <w:lang w:eastAsia="sq-AL"/>
        </w:rPr>
        <w:t xml:space="preserve">ha </w:t>
      </w:r>
      <w:r w:rsidRPr="003D5CE4">
        <w:rPr>
          <w:rFonts w:ascii="Garamond" w:eastAsia="Times New Roman" w:hAnsi="Garamond" w:cs="Times New Roman"/>
          <w:i/>
          <w:iCs/>
          <w:color w:val="000000"/>
          <w:spacing w:val="-1"/>
          <w:sz w:val="24"/>
          <w:szCs w:val="24"/>
          <w:lang w:eastAsia="sq-AL"/>
        </w:rPr>
        <w:t>çë</w:t>
      </w:r>
      <w:r w:rsidRPr="003D5CE4">
        <w:rPr>
          <w:rFonts w:ascii="Garamond" w:eastAsia="Times New Roman" w:hAnsi="Garamond" w:cs="Times New Roman"/>
          <w:i/>
          <w:iCs/>
          <w:color w:val="000000"/>
          <w:sz w:val="24"/>
          <w:szCs w:val="24"/>
          <w:lang w:eastAsia="sq-AL"/>
        </w:rPr>
        <w:t>sht</w:t>
      </w:r>
      <w:r w:rsidRPr="003D5CE4">
        <w:rPr>
          <w:rFonts w:ascii="Garamond" w:eastAsia="Times New Roman" w:hAnsi="Garamond" w:cs="Times New Roman"/>
          <w:i/>
          <w:iCs/>
          <w:color w:val="000000"/>
          <w:spacing w:val="1"/>
          <w:sz w:val="24"/>
          <w:szCs w:val="24"/>
          <w:lang w:eastAsia="sq-AL"/>
        </w:rPr>
        <w:t>j</w:t>
      </w:r>
      <w:r w:rsidRPr="003D5CE4">
        <w:rPr>
          <w:rFonts w:ascii="Garamond" w:eastAsia="Times New Roman" w:hAnsi="Garamond" w:cs="Times New Roman"/>
          <w:i/>
          <w:iCs/>
          <w:color w:val="000000"/>
          <w:spacing w:val="-1"/>
          <w:sz w:val="24"/>
          <w:szCs w:val="24"/>
          <w:lang w:eastAsia="sq-AL"/>
        </w:rPr>
        <w:t>ev</w:t>
      </w:r>
      <w:r w:rsidRPr="003D5CE4">
        <w:rPr>
          <w:rFonts w:ascii="Garamond" w:eastAsia="Times New Roman" w:hAnsi="Garamond" w:cs="Times New Roman"/>
          <w:i/>
          <w:iCs/>
          <w:color w:val="000000"/>
          <w:sz w:val="24"/>
          <w:szCs w:val="24"/>
          <w:lang w:eastAsia="sq-AL"/>
        </w:rPr>
        <w:t>e</w:t>
      </w:r>
      <w:r w:rsidRPr="003D5CE4">
        <w:rPr>
          <w:rFonts w:ascii="Garamond" w:eastAsia="Times New Roman" w:hAnsi="Garamond" w:cs="Times New Roman"/>
          <w:i/>
          <w:iCs/>
          <w:color w:val="000000"/>
          <w:spacing w:val="-1"/>
          <w:sz w:val="24"/>
          <w:szCs w:val="24"/>
          <w:lang w:eastAsia="sq-AL"/>
        </w:rPr>
        <w:t xml:space="preserve"> </w:t>
      </w:r>
      <w:r w:rsidRPr="003D5CE4">
        <w:rPr>
          <w:rFonts w:ascii="Garamond" w:eastAsia="Times New Roman" w:hAnsi="Garamond" w:cs="Times New Roman"/>
          <w:i/>
          <w:iCs/>
          <w:color w:val="000000"/>
          <w:sz w:val="24"/>
          <w:szCs w:val="24"/>
          <w:lang w:eastAsia="sq-AL"/>
        </w:rPr>
        <w:t>p</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r</w:t>
      </w:r>
      <w:r w:rsidRPr="003D5CE4">
        <w:rPr>
          <w:rFonts w:ascii="Garamond" w:eastAsia="Times New Roman" w:hAnsi="Garamond" w:cs="Times New Roman"/>
          <w:i/>
          <w:iCs/>
          <w:color w:val="000000"/>
          <w:spacing w:val="2"/>
          <w:sz w:val="24"/>
          <w:szCs w:val="24"/>
          <w:lang w:eastAsia="sq-AL"/>
        </w:rPr>
        <w:t xml:space="preserve"> </w:t>
      </w:r>
      <w:r w:rsidRPr="003D5CE4">
        <w:rPr>
          <w:rFonts w:ascii="Garamond" w:eastAsia="Times New Roman" w:hAnsi="Garamond" w:cs="Times New Roman"/>
          <w:i/>
          <w:iCs/>
          <w:color w:val="000000"/>
          <w:spacing w:val="-1"/>
          <w:sz w:val="24"/>
          <w:szCs w:val="24"/>
          <w:lang w:eastAsia="sq-AL"/>
        </w:rPr>
        <w:t>v</w:t>
      </w:r>
      <w:r w:rsidRPr="003D5CE4">
        <w:rPr>
          <w:rFonts w:ascii="Garamond" w:eastAsia="Times New Roman" w:hAnsi="Garamond" w:cs="Times New Roman"/>
          <w:i/>
          <w:iCs/>
          <w:color w:val="000000"/>
          <w:sz w:val="24"/>
          <w:szCs w:val="24"/>
          <w:lang w:eastAsia="sq-AL"/>
        </w:rPr>
        <w:t>l</w:t>
      </w:r>
      <w:r w:rsidRPr="003D5CE4">
        <w:rPr>
          <w:rFonts w:ascii="Garamond" w:eastAsia="Times New Roman" w:hAnsi="Garamond" w:cs="Times New Roman"/>
          <w:i/>
          <w:iCs/>
          <w:color w:val="000000"/>
          <w:spacing w:val="2"/>
          <w:sz w:val="24"/>
          <w:szCs w:val="24"/>
          <w:lang w:eastAsia="sq-AL"/>
        </w:rPr>
        <w:t>e</w:t>
      </w:r>
      <w:r w:rsidRPr="003D5CE4">
        <w:rPr>
          <w:rFonts w:ascii="Garamond" w:eastAsia="Times New Roman" w:hAnsi="Garamond" w:cs="Times New Roman"/>
          <w:i/>
          <w:iCs/>
          <w:color w:val="000000"/>
          <w:sz w:val="24"/>
          <w:szCs w:val="24"/>
          <w:lang w:eastAsia="sq-AL"/>
        </w:rPr>
        <w:t>r</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sim të p</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rgj</w:t>
      </w:r>
      <w:r w:rsidRPr="003D5CE4">
        <w:rPr>
          <w:rFonts w:ascii="Garamond" w:eastAsia="Times New Roman" w:hAnsi="Garamond" w:cs="Times New Roman"/>
          <w:i/>
          <w:iCs/>
          <w:color w:val="000000"/>
          <w:spacing w:val="1"/>
          <w:sz w:val="24"/>
          <w:szCs w:val="24"/>
          <w:lang w:eastAsia="sq-AL"/>
        </w:rPr>
        <w:t>i</w:t>
      </w:r>
      <w:r w:rsidRPr="003D5CE4">
        <w:rPr>
          <w:rFonts w:ascii="Garamond" w:eastAsia="Times New Roman" w:hAnsi="Garamond" w:cs="Times New Roman"/>
          <w:i/>
          <w:iCs/>
          <w:color w:val="000000"/>
          <w:sz w:val="24"/>
          <w:szCs w:val="24"/>
          <w:lang w:eastAsia="sq-AL"/>
        </w:rPr>
        <w:t>thshë</w:t>
      </w:r>
      <w:r w:rsidRPr="003D5CE4">
        <w:rPr>
          <w:rFonts w:ascii="Garamond" w:eastAsia="Times New Roman" w:hAnsi="Garamond" w:cs="Times New Roman"/>
          <w:i/>
          <w:iCs/>
          <w:color w:val="000000"/>
          <w:spacing w:val="-1"/>
          <w:sz w:val="24"/>
          <w:szCs w:val="24"/>
          <w:lang w:eastAsia="sq-AL"/>
        </w:rPr>
        <w:t>m</w:t>
      </w:r>
      <w:r w:rsidRPr="003D5CE4">
        <w:rPr>
          <w:rFonts w:ascii="Garamond" w:eastAsia="Times New Roman" w:hAnsi="Garamond" w:cs="Times New Roman"/>
          <w:i/>
          <w:iCs/>
          <w:color w:val="000000"/>
          <w:sz w:val="24"/>
          <w:szCs w:val="24"/>
          <w:lang w:eastAsia="sq-AL"/>
        </w:rPr>
        <w:t>, p</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r se</w:t>
      </w:r>
      <w:r w:rsidRPr="003D5CE4">
        <w:rPr>
          <w:rFonts w:ascii="Garamond" w:eastAsia="Times New Roman" w:hAnsi="Garamond" w:cs="Times New Roman"/>
          <w:i/>
          <w:iCs/>
          <w:color w:val="000000"/>
          <w:spacing w:val="-1"/>
          <w:sz w:val="24"/>
          <w:szCs w:val="24"/>
          <w:lang w:eastAsia="sq-AL"/>
        </w:rPr>
        <w:t>c</w:t>
      </w:r>
      <w:r w:rsidRPr="003D5CE4">
        <w:rPr>
          <w:rFonts w:ascii="Garamond" w:eastAsia="Times New Roman" w:hAnsi="Garamond" w:cs="Times New Roman"/>
          <w:i/>
          <w:iCs/>
          <w:color w:val="000000"/>
          <w:sz w:val="24"/>
          <w:szCs w:val="24"/>
          <w:lang w:eastAsia="sq-AL"/>
        </w:rPr>
        <w:t>i</w:t>
      </w:r>
      <w:r w:rsidRPr="003D5CE4">
        <w:rPr>
          <w:rFonts w:ascii="Garamond" w:eastAsia="Times New Roman" w:hAnsi="Garamond" w:cs="Times New Roman"/>
          <w:i/>
          <w:iCs/>
          <w:color w:val="000000"/>
          <w:spacing w:val="1"/>
          <w:sz w:val="24"/>
          <w:szCs w:val="24"/>
          <w:lang w:eastAsia="sq-AL"/>
        </w:rPr>
        <w:t>l</w:t>
      </w:r>
      <w:r w:rsidRPr="003D5CE4">
        <w:rPr>
          <w:rFonts w:ascii="Garamond" w:eastAsia="Times New Roman" w:hAnsi="Garamond" w:cs="Times New Roman"/>
          <w:i/>
          <w:iCs/>
          <w:color w:val="000000"/>
          <w:spacing w:val="-1"/>
          <w:sz w:val="24"/>
          <w:szCs w:val="24"/>
          <w:lang w:eastAsia="sq-AL"/>
        </w:rPr>
        <w:t>ë</w:t>
      </w:r>
      <w:r w:rsidRPr="003D5CE4">
        <w:rPr>
          <w:rFonts w:ascii="Garamond" w:eastAsia="Times New Roman" w:hAnsi="Garamond" w:cs="Times New Roman"/>
          <w:i/>
          <w:iCs/>
          <w:color w:val="000000"/>
          <w:sz w:val="24"/>
          <w:szCs w:val="24"/>
          <w:lang w:eastAsia="sq-AL"/>
        </w:rPr>
        <w:t xml:space="preserve">n </w:t>
      </w:r>
      <w:r w:rsidRPr="003D5CE4">
        <w:rPr>
          <w:rFonts w:ascii="Garamond" w:eastAsia="Times New Roman" w:hAnsi="Garamond" w:cs="Times New Roman"/>
          <w:i/>
          <w:iCs/>
          <w:color w:val="000000"/>
          <w:spacing w:val="-1"/>
          <w:sz w:val="24"/>
          <w:szCs w:val="24"/>
          <w:lang w:eastAsia="sq-AL"/>
        </w:rPr>
        <w:t>k</w:t>
      </w:r>
      <w:r w:rsidRPr="003D5CE4">
        <w:rPr>
          <w:rFonts w:ascii="Garamond" w:eastAsia="Times New Roman" w:hAnsi="Garamond" w:cs="Times New Roman"/>
          <w:i/>
          <w:iCs/>
          <w:color w:val="000000"/>
          <w:sz w:val="24"/>
          <w:szCs w:val="24"/>
          <w:lang w:eastAsia="sq-AL"/>
        </w:rPr>
        <w:t>ategori.</w:t>
      </w:r>
    </w:p>
    <w:p w14:paraId="10926650" w14:textId="77777777" w:rsidR="00F052F6" w:rsidRPr="002F5D3C"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14"/>
          <w:szCs w:val="24"/>
          <w:lang w:eastAsia="sq-AL"/>
        </w:rPr>
      </w:pPr>
    </w:p>
    <w:p w14:paraId="5B6BB8C4" w14:textId="77777777" w:rsidR="00F052F6" w:rsidRPr="003D5CE4" w:rsidRDefault="00F052F6" w:rsidP="00F052F6">
      <w:pPr>
        <w:widowControl w:val="0"/>
        <w:autoSpaceDE w:val="0"/>
        <w:autoSpaceDN w:val="0"/>
        <w:adjustRightInd w:val="0"/>
        <w:spacing w:after="0" w:line="240" w:lineRule="auto"/>
        <w:ind w:firstLine="284"/>
        <w:jc w:val="both"/>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pacing w:val="1"/>
          <w:sz w:val="24"/>
          <w:szCs w:val="24"/>
          <w:lang w:eastAsia="sq-AL"/>
        </w:rPr>
        <w:t>P</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s</w:t>
      </w:r>
      <w:r w:rsidRPr="003D5CE4">
        <w:rPr>
          <w:rFonts w:ascii="Garamond" w:eastAsia="Times New Roman" w:hAnsi="Garamond" w:cs="Times New Roman"/>
          <w:color w:val="000000"/>
          <w:spacing w:val="1"/>
          <w:sz w:val="24"/>
          <w:szCs w:val="24"/>
          <w:lang w:eastAsia="sq-AL"/>
        </w:rPr>
        <w:t xml:space="preserve"> z</w:t>
      </w:r>
      <w:r w:rsidRPr="003D5CE4">
        <w:rPr>
          <w:rFonts w:ascii="Garamond" w:eastAsia="Times New Roman" w:hAnsi="Garamond" w:cs="Times New Roman"/>
          <w:color w:val="000000"/>
          <w:sz w:val="24"/>
          <w:szCs w:val="24"/>
          <w:lang w:eastAsia="sq-AL"/>
        </w:rPr>
        <w:t>hvi</w:t>
      </w:r>
      <w:r w:rsidRPr="003D5CE4">
        <w:rPr>
          <w:rFonts w:ascii="Garamond" w:eastAsia="Times New Roman" w:hAnsi="Garamond" w:cs="Times New Roman"/>
          <w:color w:val="000000"/>
          <w:spacing w:val="1"/>
          <w:sz w:val="24"/>
          <w:szCs w:val="24"/>
          <w:lang w:eastAsia="sq-AL"/>
        </w:rPr>
        <w:t>l</w:t>
      </w:r>
      <w:r w:rsidRPr="003D5CE4">
        <w:rPr>
          <w:rFonts w:ascii="Garamond" w:eastAsia="Times New Roman" w:hAnsi="Garamond" w:cs="Times New Roman"/>
          <w:color w:val="000000"/>
          <w:sz w:val="24"/>
          <w:szCs w:val="24"/>
          <w:lang w:eastAsia="sq-AL"/>
        </w:rPr>
        <w:t>l</w:t>
      </w:r>
      <w:r w:rsidRPr="003D5CE4">
        <w:rPr>
          <w:rFonts w:ascii="Garamond" w:eastAsia="Times New Roman" w:hAnsi="Garamond" w:cs="Times New Roman"/>
          <w:color w:val="000000"/>
          <w:spacing w:val="1"/>
          <w:sz w:val="24"/>
          <w:szCs w:val="24"/>
          <w:lang w:eastAsia="sq-AL"/>
        </w:rPr>
        <w:t>i</w:t>
      </w:r>
      <w:r w:rsidRPr="003D5CE4">
        <w:rPr>
          <w:rFonts w:ascii="Garamond" w:eastAsia="Times New Roman" w:hAnsi="Garamond" w:cs="Times New Roman"/>
          <w:color w:val="000000"/>
          <w:spacing w:val="-2"/>
          <w:sz w:val="24"/>
          <w:szCs w:val="24"/>
          <w:lang w:eastAsia="sq-AL"/>
        </w:rPr>
        <w:t>m</w:t>
      </w:r>
      <w:r w:rsidRPr="003D5CE4">
        <w:rPr>
          <w:rFonts w:ascii="Garamond" w:eastAsia="Times New Roman" w:hAnsi="Garamond" w:cs="Times New Roman"/>
          <w:color w:val="000000"/>
          <w:sz w:val="24"/>
          <w:szCs w:val="24"/>
          <w:lang w:eastAsia="sq-AL"/>
        </w:rPr>
        <w:t>it</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të pro</w:t>
      </w:r>
      <w:r w:rsidRPr="003D5CE4">
        <w:rPr>
          <w:rFonts w:ascii="Garamond" w:eastAsia="Times New Roman" w:hAnsi="Garamond" w:cs="Times New Roman"/>
          <w:color w:val="000000"/>
          <w:spacing w:val="-2"/>
          <w:sz w:val="24"/>
          <w:szCs w:val="24"/>
          <w:lang w:eastAsia="sq-AL"/>
        </w:rPr>
        <w:t>c</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pacing w:val="2"/>
          <w:sz w:val="24"/>
          <w:szCs w:val="24"/>
          <w:lang w:eastAsia="sq-AL"/>
        </w:rPr>
        <w:t>d</w:t>
      </w:r>
      <w:r w:rsidRPr="003D5CE4">
        <w:rPr>
          <w:rFonts w:ascii="Garamond" w:eastAsia="Times New Roman" w:hAnsi="Garamond" w:cs="Times New Roman"/>
          <w:color w:val="000000"/>
          <w:sz w:val="24"/>
          <w:szCs w:val="24"/>
          <w:lang w:eastAsia="sq-AL"/>
        </w:rPr>
        <w:t>ur</w:t>
      </w:r>
      <w:r w:rsidRPr="003D5CE4">
        <w:rPr>
          <w:rFonts w:ascii="Garamond" w:eastAsia="Times New Roman" w:hAnsi="Garamond" w:cs="Times New Roman"/>
          <w:color w:val="000000"/>
          <w:spacing w:val="-2"/>
          <w:sz w:val="24"/>
          <w:szCs w:val="24"/>
          <w:lang w:eastAsia="sq-AL"/>
        </w:rPr>
        <w:t>ë</w:t>
      </w:r>
      <w:r w:rsidRPr="003D5CE4">
        <w:rPr>
          <w:rFonts w:ascii="Garamond" w:eastAsia="Times New Roman" w:hAnsi="Garamond" w:cs="Times New Roman"/>
          <w:color w:val="000000"/>
          <w:sz w:val="24"/>
          <w:szCs w:val="24"/>
          <w:lang w:eastAsia="sq-AL"/>
        </w:rPr>
        <w:t>s</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 xml:space="preserve">së </w:t>
      </w:r>
      <w:r w:rsidRPr="003D5CE4">
        <w:rPr>
          <w:rFonts w:ascii="Garamond" w:eastAsia="Times New Roman" w:hAnsi="Garamond" w:cs="Times New Roman"/>
          <w:color w:val="000000"/>
          <w:spacing w:val="2"/>
          <w:sz w:val="24"/>
          <w:szCs w:val="24"/>
          <w:lang w:eastAsia="sq-AL"/>
        </w:rPr>
        <w:t>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w:t>
      </w:r>
      <w:r w:rsidRPr="003D5CE4">
        <w:rPr>
          <w:rFonts w:ascii="Garamond" w:eastAsia="Times New Roman" w:hAnsi="Garamond" w:cs="Times New Roman"/>
          <w:color w:val="000000"/>
          <w:spacing w:val="3"/>
          <w:sz w:val="24"/>
          <w:szCs w:val="24"/>
          <w:lang w:eastAsia="sq-AL"/>
        </w:rPr>
        <w:t>z</w:t>
      </w:r>
      <w:r w:rsidRPr="003D5CE4">
        <w:rPr>
          <w:rFonts w:ascii="Garamond" w:eastAsia="Times New Roman" w:hAnsi="Garamond" w:cs="Times New Roman"/>
          <w:color w:val="000000"/>
          <w:spacing w:val="-2"/>
          <w:sz w:val="24"/>
          <w:szCs w:val="24"/>
          <w:lang w:eastAsia="sq-AL"/>
        </w:rPr>
        <w:t>g</w:t>
      </w:r>
      <w:r w:rsidRPr="003D5CE4">
        <w:rPr>
          <w:rFonts w:ascii="Garamond" w:eastAsia="Times New Roman" w:hAnsi="Garamond" w:cs="Times New Roman"/>
          <w:color w:val="000000"/>
          <w:sz w:val="24"/>
          <w:szCs w:val="24"/>
          <w:lang w:eastAsia="sq-AL"/>
        </w:rPr>
        <w:t>jedhj</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s</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së</w:t>
      </w:r>
      <w:r w:rsidRPr="003D5CE4">
        <w:rPr>
          <w:rFonts w:ascii="Garamond" w:eastAsia="Times New Roman" w:hAnsi="Garamond" w:cs="Times New Roman"/>
          <w:color w:val="000000"/>
          <w:spacing w:val="5"/>
          <w:sz w:val="24"/>
          <w:szCs w:val="24"/>
          <w:lang w:eastAsia="sq-AL"/>
        </w:rPr>
        <w:t xml:space="preserve"> </w:t>
      </w:r>
      <w:r w:rsidRPr="003D5CE4">
        <w:rPr>
          <w:rFonts w:ascii="Garamond" w:eastAsia="Times New Roman" w:hAnsi="Garamond" w:cs="Times New Roman"/>
          <w:color w:val="000000"/>
          <w:spacing w:val="-1"/>
          <w:sz w:val="24"/>
          <w:szCs w:val="24"/>
          <w:lang w:eastAsia="sq-AL"/>
        </w:rPr>
        <w:t>çë</w:t>
      </w:r>
      <w:r w:rsidRPr="003D5CE4">
        <w:rPr>
          <w:rFonts w:ascii="Garamond" w:eastAsia="Times New Roman" w:hAnsi="Garamond" w:cs="Times New Roman"/>
          <w:color w:val="000000"/>
          <w:sz w:val="24"/>
          <w:szCs w:val="24"/>
          <w:lang w:eastAsia="sq-AL"/>
        </w:rPr>
        <w:t>sht</w:t>
      </w:r>
      <w:r w:rsidRPr="003D5CE4">
        <w:rPr>
          <w:rFonts w:ascii="Garamond" w:eastAsia="Times New Roman" w:hAnsi="Garamond" w:cs="Times New Roman"/>
          <w:color w:val="000000"/>
          <w:spacing w:val="1"/>
          <w:sz w:val="24"/>
          <w:szCs w:val="24"/>
          <w:lang w:eastAsia="sq-AL"/>
        </w:rPr>
        <w:t>j</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ve me</w:t>
      </w:r>
      <w:r w:rsidRPr="003D5CE4">
        <w:rPr>
          <w:rFonts w:ascii="Garamond" w:eastAsia="Times New Roman" w:hAnsi="Garamond" w:cs="Times New Roman"/>
          <w:color w:val="000000"/>
          <w:spacing w:val="2"/>
          <w:sz w:val="24"/>
          <w:szCs w:val="24"/>
          <w:lang w:eastAsia="sq-AL"/>
        </w:rPr>
        <w:t xml:space="preserve"> </w:t>
      </w:r>
      <w:r w:rsidRPr="003D5CE4">
        <w:rPr>
          <w:rFonts w:ascii="Garamond" w:eastAsia="Times New Roman" w:hAnsi="Garamond" w:cs="Times New Roman"/>
          <w:color w:val="000000"/>
          <w:sz w:val="24"/>
          <w:szCs w:val="24"/>
          <w:lang w:eastAsia="sq-AL"/>
        </w:rPr>
        <w:t>short,</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pje</w:t>
      </w:r>
      <w:r w:rsidRPr="003D5CE4">
        <w:rPr>
          <w:rFonts w:ascii="Garamond" w:eastAsia="Times New Roman" w:hAnsi="Garamond" w:cs="Times New Roman"/>
          <w:color w:val="000000"/>
          <w:spacing w:val="2"/>
          <w:sz w:val="24"/>
          <w:szCs w:val="24"/>
          <w:lang w:eastAsia="sq-AL"/>
        </w:rPr>
        <w:t>s</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ma</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sit</w:t>
      </w:r>
      <w:r w:rsidRPr="003D5CE4">
        <w:rPr>
          <w:rFonts w:ascii="Garamond" w:eastAsia="Times New Roman" w:hAnsi="Garamond" w:cs="Times New Roman"/>
          <w:color w:val="000000"/>
          <w:spacing w:val="9"/>
          <w:sz w:val="24"/>
          <w:szCs w:val="24"/>
          <w:lang w:eastAsia="sq-AL"/>
        </w:rPr>
        <w:t xml:space="preserve"> </w:t>
      </w:r>
      <w:r w:rsidRPr="003D5CE4">
        <w:rPr>
          <w:rFonts w:ascii="Garamond" w:eastAsia="Times New Roman" w:hAnsi="Garamond" w:cs="Times New Roman"/>
          <w:color w:val="000000"/>
          <w:sz w:val="24"/>
          <w:szCs w:val="24"/>
          <w:lang w:eastAsia="sq-AL"/>
        </w:rPr>
        <w:t>p</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r</w:t>
      </w:r>
      <w:r w:rsidRPr="003D5CE4">
        <w:rPr>
          <w:rFonts w:ascii="Garamond" w:eastAsia="Times New Roman" w:hAnsi="Garamond" w:cs="Times New Roman"/>
          <w:color w:val="000000"/>
          <w:spacing w:val="-2"/>
          <w:sz w:val="24"/>
          <w:szCs w:val="24"/>
          <w:lang w:eastAsia="sq-AL"/>
        </w:rPr>
        <w:t>a</w:t>
      </w:r>
      <w:r w:rsidRPr="003D5CE4">
        <w:rPr>
          <w:rFonts w:ascii="Garamond" w:eastAsia="Times New Roman" w:hAnsi="Garamond" w:cs="Times New Roman"/>
          <w:color w:val="000000"/>
          <w:sz w:val="24"/>
          <w:szCs w:val="24"/>
          <w:lang w:eastAsia="sq-AL"/>
        </w:rPr>
        <w:t>shtroj</w:t>
      </w:r>
      <w:r w:rsidRPr="003D5CE4">
        <w:rPr>
          <w:rFonts w:ascii="Garamond" w:eastAsia="Times New Roman" w:hAnsi="Garamond" w:cs="Times New Roman"/>
          <w:color w:val="000000"/>
          <w:spacing w:val="3"/>
          <w:sz w:val="24"/>
          <w:szCs w:val="24"/>
          <w:lang w:eastAsia="sq-AL"/>
        </w:rPr>
        <w:t>n</w:t>
      </w:r>
      <w:r w:rsidRPr="003D5CE4">
        <w:rPr>
          <w:rFonts w:ascii="Garamond" w:eastAsia="Times New Roman" w:hAnsi="Garamond" w:cs="Times New Roman"/>
          <w:color w:val="000000"/>
          <w:sz w:val="24"/>
          <w:szCs w:val="24"/>
          <w:lang w:eastAsia="sq-AL"/>
        </w:rPr>
        <w:t>ë v</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w:t>
      </w:r>
      <w:r w:rsidRPr="003D5CE4">
        <w:rPr>
          <w:rFonts w:ascii="Garamond" w:eastAsia="Times New Roman" w:hAnsi="Garamond" w:cs="Times New Roman"/>
          <w:color w:val="000000"/>
          <w:spacing w:val="-2"/>
          <w:sz w:val="24"/>
          <w:szCs w:val="24"/>
          <w:lang w:eastAsia="sq-AL"/>
        </w:rPr>
        <w:t>e</w:t>
      </w:r>
      <w:r w:rsidRPr="003D5CE4">
        <w:rPr>
          <w:rFonts w:ascii="Garamond" w:eastAsia="Times New Roman" w:hAnsi="Garamond" w:cs="Times New Roman"/>
          <w:color w:val="000000"/>
          <w:sz w:val="24"/>
          <w:szCs w:val="24"/>
          <w:lang w:eastAsia="sq-AL"/>
        </w:rPr>
        <w:t>j</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z w:val="24"/>
          <w:szCs w:val="24"/>
          <w:lang w:eastAsia="sq-AL"/>
        </w:rPr>
        <w:t>je 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 p</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z w:val="24"/>
          <w:szCs w:val="24"/>
          <w:lang w:eastAsia="sq-AL"/>
        </w:rPr>
        <w:t>o</w:t>
      </w:r>
      <w:r w:rsidRPr="003D5CE4">
        <w:rPr>
          <w:rFonts w:ascii="Garamond" w:eastAsia="Times New Roman" w:hAnsi="Garamond" w:cs="Times New Roman"/>
          <w:color w:val="000000"/>
          <w:spacing w:val="1"/>
          <w:sz w:val="24"/>
          <w:szCs w:val="24"/>
          <w:lang w:eastAsia="sq-AL"/>
        </w:rPr>
        <w:t>c</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dur</w:t>
      </w:r>
      <w:r w:rsidRPr="003D5CE4">
        <w:rPr>
          <w:rFonts w:ascii="Garamond" w:eastAsia="Times New Roman" w:hAnsi="Garamond" w:cs="Times New Roman"/>
          <w:color w:val="000000"/>
          <w:spacing w:val="-2"/>
          <w:sz w:val="24"/>
          <w:szCs w:val="24"/>
          <w:lang w:eastAsia="sq-AL"/>
        </w:rPr>
        <w:t>ë</w:t>
      </w:r>
      <w:r w:rsidRPr="003D5CE4">
        <w:rPr>
          <w:rFonts w:ascii="Garamond" w:eastAsia="Times New Roman" w:hAnsi="Garamond" w:cs="Times New Roman"/>
          <w:color w:val="000000"/>
          <w:sz w:val="24"/>
          <w:szCs w:val="24"/>
          <w:lang w:eastAsia="sq-AL"/>
        </w:rPr>
        <w:t>n</w:t>
      </w:r>
      <w:r w:rsidRPr="003D5CE4">
        <w:rPr>
          <w:rFonts w:ascii="Garamond" w:eastAsia="Times New Roman" w:hAnsi="Garamond" w:cs="Times New Roman"/>
          <w:color w:val="000000"/>
          <w:spacing w:val="2"/>
          <w:sz w:val="24"/>
          <w:szCs w:val="24"/>
          <w:lang w:eastAsia="sq-AL"/>
        </w:rPr>
        <w:t xml:space="preserve"> </w:t>
      </w:r>
      <w:r w:rsidRPr="003D5CE4">
        <w:rPr>
          <w:rFonts w:ascii="Garamond" w:eastAsia="Times New Roman" w:hAnsi="Garamond" w:cs="Times New Roman"/>
          <w:color w:val="000000"/>
          <w:sz w:val="24"/>
          <w:szCs w:val="24"/>
          <w:lang w:eastAsia="sq-AL"/>
        </w:rPr>
        <w:t>e</w:t>
      </w:r>
      <w:r w:rsidRPr="003D5CE4">
        <w:rPr>
          <w:rFonts w:ascii="Garamond" w:eastAsia="Times New Roman" w:hAnsi="Garamond" w:cs="Times New Roman"/>
          <w:color w:val="000000"/>
          <w:spacing w:val="1"/>
          <w:sz w:val="24"/>
          <w:szCs w:val="24"/>
          <w:lang w:eastAsia="sq-AL"/>
        </w:rPr>
        <w:t xml:space="preserve"> z</w:t>
      </w:r>
      <w:r w:rsidRPr="003D5CE4">
        <w:rPr>
          <w:rFonts w:ascii="Garamond" w:eastAsia="Times New Roman" w:hAnsi="Garamond" w:cs="Times New Roman"/>
          <w:color w:val="000000"/>
          <w:sz w:val="24"/>
          <w:szCs w:val="24"/>
          <w:lang w:eastAsia="sq-AL"/>
        </w:rPr>
        <w:t>hvi</w:t>
      </w:r>
      <w:r w:rsidRPr="003D5CE4">
        <w:rPr>
          <w:rFonts w:ascii="Garamond" w:eastAsia="Times New Roman" w:hAnsi="Garamond" w:cs="Times New Roman"/>
          <w:color w:val="000000"/>
          <w:spacing w:val="1"/>
          <w:sz w:val="24"/>
          <w:szCs w:val="24"/>
          <w:lang w:eastAsia="sq-AL"/>
        </w:rPr>
        <w:t>l</w:t>
      </w:r>
      <w:r w:rsidRPr="003D5CE4">
        <w:rPr>
          <w:rFonts w:ascii="Garamond" w:eastAsia="Times New Roman" w:hAnsi="Garamond" w:cs="Times New Roman"/>
          <w:color w:val="000000"/>
          <w:sz w:val="24"/>
          <w:szCs w:val="24"/>
          <w:lang w:eastAsia="sq-AL"/>
        </w:rPr>
        <w:t>l</w:t>
      </w:r>
      <w:r w:rsidRPr="003D5CE4">
        <w:rPr>
          <w:rFonts w:ascii="Garamond" w:eastAsia="Times New Roman" w:hAnsi="Garamond" w:cs="Times New Roman"/>
          <w:color w:val="000000"/>
          <w:spacing w:val="-1"/>
          <w:sz w:val="24"/>
          <w:szCs w:val="24"/>
          <w:lang w:eastAsia="sq-AL"/>
        </w:rPr>
        <w:t>i</w:t>
      </w:r>
      <w:r w:rsidRPr="003D5CE4">
        <w:rPr>
          <w:rFonts w:ascii="Garamond" w:eastAsia="Times New Roman" w:hAnsi="Garamond" w:cs="Times New Roman"/>
          <w:color w:val="000000"/>
          <w:sz w:val="24"/>
          <w:szCs w:val="24"/>
          <w:lang w:eastAsia="sq-AL"/>
        </w:rPr>
        <w:t>m</w:t>
      </w:r>
      <w:r w:rsidRPr="003D5CE4">
        <w:rPr>
          <w:rFonts w:ascii="Garamond" w:eastAsia="Times New Roman" w:hAnsi="Garamond" w:cs="Times New Roman"/>
          <w:color w:val="000000"/>
          <w:spacing w:val="1"/>
          <w:sz w:val="24"/>
          <w:szCs w:val="24"/>
          <w:lang w:eastAsia="sq-AL"/>
        </w:rPr>
        <w:t>i</w:t>
      </w:r>
      <w:r w:rsidRPr="003D5CE4">
        <w:rPr>
          <w:rFonts w:ascii="Garamond" w:eastAsia="Times New Roman" w:hAnsi="Garamond" w:cs="Times New Roman"/>
          <w:color w:val="000000"/>
          <w:sz w:val="24"/>
          <w:szCs w:val="24"/>
          <w:lang w:eastAsia="sq-AL"/>
        </w:rPr>
        <w:t xml:space="preserve">t </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z w:val="24"/>
          <w:szCs w:val="24"/>
          <w:lang w:eastAsia="sq-AL"/>
        </w:rPr>
        <w:t>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shorti</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z w:val="24"/>
          <w:szCs w:val="24"/>
          <w:lang w:eastAsia="sq-AL"/>
        </w:rPr>
        <w:t>, n</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se</w:t>
      </w:r>
      <w:r w:rsidRPr="003D5CE4">
        <w:rPr>
          <w:rFonts w:ascii="Garamond" w:eastAsia="Times New Roman" w:hAnsi="Garamond" w:cs="Times New Roman"/>
          <w:color w:val="000000"/>
          <w:spacing w:val="-3"/>
          <w:sz w:val="24"/>
          <w:szCs w:val="24"/>
          <w:lang w:eastAsia="sq-AL"/>
        </w:rPr>
        <w:t xml:space="preserve"> </w:t>
      </w:r>
      <w:r w:rsidRPr="003D5CE4">
        <w:rPr>
          <w:rFonts w:ascii="Garamond" w:eastAsia="Times New Roman" w:hAnsi="Garamond" w:cs="Times New Roman"/>
          <w:color w:val="000000"/>
          <w:sz w:val="24"/>
          <w:szCs w:val="24"/>
          <w:lang w:eastAsia="sq-AL"/>
        </w:rPr>
        <w:t>ka</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të ti</w:t>
      </w:r>
      <w:r w:rsidRPr="003D5CE4">
        <w:rPr>
          <w:rFonts w:ascii="Garamond" w:eastAsia="Times New Roman" w:hAnsi="Garamond" w:cs="Times New Roman"/>
          <w:color w:val="000000"/>
          <w:spacing w:val="1"/>
          <w:sz w:val="24"/>
          <w:szCs w:val="24"/>
          <w:lang w:eastAsia="sq-AL"/>
        </w:rPr>
        <w:t>l</w:t>
      </w:r>
      <w:r w:rsidRPr="003D5CE4">
        <w:rPr>
          <w:rFonts w:ascii="Garamond" w:eastAsia="Times New Roman" w:hAnsi="Garamond" w:cs="Times New Roman"/>
          <w:color w:val="000000"/>
          <w:sz w:val="24"/>
          <w:szCs w:val="24"/>
          <w:lang w:eastAsia="sq-AL"/>
        </w:rPr>
        <w:t>la.</w:t>
      </w:r>
    </w:p>
    <w:p w14:paraId="4E9C2FC3" w14:textId="77777777" w:rsidR="00F052F6" w:rsidRPr="002F5D3C"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14"/>
          <w:szCs w:val="24"/>
          <w:lang w:eastAsia="sq-AL"/>
        </w:rPr>
      </w:pPr>
    </w:p>
    <w:p w14:paraId="58E12FA5" w14:textId="77777777" w:rsidR="00F052F6" w:rsidRPr="003D5CE4" w:rsidRDefault="00F052F6" w:rsidP="00F052F6">
      <w:pPr>
        <w:widowControl w:val="0"/>
        <w:tabs>
          <w:tab w:val="left" w:pos="9340"/>
        </w:tabs>
        <w:autoSpaceDE w:val="0"/>
        <w:autoSpaceDN w:val="0"/>
        <w:adjustRightInd w:val="0"/>
        <w:spacing w:after="0" w:line="240" w:lineRule="auto"/>
        <w:ind w:firstLine="284"/>
        <w:jc w:val="both"/>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pacing w:val="1"/>
          <w:sz w:val="24"/>
          <w:szCs w:val="24"/>
          <w:lang w:eastAsia="sq-AL"/>
        </w:rPr>
        <w:t>S</w:t>
      </w:r>
      <w:r w:rsidRPr="003D5CE4">
        <w:rPr>
          <w:rFonts w:ascii="Garamond" w:eastAsia="Times New Roman" w:hAnsi="Garamond" w:cs="Times New Roman"/>
          <w:color w:val="000000"/>
          <w:sz w:val="24"/>
          <w:szCs w:val="24"/>
          <w:lang w:eastAsia="sq-AL"/>
        </w:rPr>
        <w:t>ubjekti që p</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r</w:t>
      </w:r>
      <w:r w:rsidRPr="003D5CE4">
        <w:rPr>
          <w:rFonts w:ascii="Garamond" w:eastAsia="Times New Roman" w:hAnsi="Garamond" w:cs="Times New Roman"/>
          <w:color w:val="000000"/>
          <w:spacing w:val="-2"/>
          <w:sz w:val="24"/>
          <w:szCs w:val="24"/>
          <w:lang w:eastAsia="sq-AL"/>
        </w:rPr>
        <w:t>a</w:t>
      </w:r>
      <w:r w:rsidRPr="003D5CE4">
        <w:rPr>
          <w:rFonts w:ascii="Garamond" w:eastAsia="Times New Roman" w:hAnsi="Garamond" w:cs="Times New Roman"/>
          <w:color w:val="000000"/>
          <w:sz w:val="24"/>
          <w:szCs w:val="24"/>
          <w:lang w:eastAsia="sq-AL"/>
        </w:rPr>
        <w:t>shtron v</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w:t>
      </w:r>
      <w:r w:rsidRPr="003D5CE4">
        <w:rPr>
          <w:rFonts w:ascii="Garamond" w:eastAsia="Times New Roman" w:hAnsi="Garamond" w:cs="Times New Roman"/>
          <w:color w:val="000000"/>
          <w:spacing w:val="-2"/>
          <w:sz w:val="24"/>
          <w:szCs w:val="24"/>
          <w:lang w:eastAsia="sq-AL"/>
        </w:rPr>
        <w:t>e</w:t>
      </w:r>
      <w:r w:rsidRPr="003D5CE4">
        <w:rPr>
          <w:rFonts w:ascii="Garamond" w:eastAsia="Times New Roman" w:hAnsi="Garamond" w:cs="Times New Roman"/>
          <w:color w:val="000000"/>
          <w:sz w:val="24"/>
          <w:szCs w:val="24"/>
          <w:lang w:eastAsia="sq-AL"/>
        </w:rPr>
        <w:t>j</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z w:val="24"/>
          <w:szCs w:val="24"/>
          <w:lang w:eastAsia="sq-AL"/>
        </w:rPr>
        <w:t>jen:________________________________________;</w:t>
      </w:r>
    </w:p>
    <w:p w14:paraId="51EDA4AF" w14:textId="77777777" w:rsidR="00F052F6" w:rsidRPr="003D5CE4" w:rsidRDefault="00F052F6" w:rsidP="00F052F6">
      <w:pPr>
        <w:widowControl w:val="0"/>
        <w:tabs>
          <w:tab w:val="left" w:pos="9340"/>
        </w:tabs>
        <w:autoSpaceDE w:val="0"/>
        <w:autoSpaceDN w:val="0"/>
        <w:adjustRightInd w:val="0"/>
        <w:spacing w:after="0" w:line="240" w:lineRule="auto"/>
        <w:ind w:firstLine="284"/>
        <w:jc w:val="both"/>
        <w:rPr>
          <w:rFonts w:ascii="Garamond" w:eastAsia="Times New Roman" w:hAnsi="Garamond" w:cs="Times New Roman"/>
          <w:color w:val="000000"/>
          <w:spacing w:val="2"/>
          <w:sz w:val="24"/>
          <w:szCs w:val="24"/>
          <w:lang w:eastAsia="sq-AL"/>
        </w:rPr>
      </w:pPr>
      <w:r w:rsidRPr="003D5CE4">
        <w:rPr>
          <w:rFonts w:ascii="Garamond" w:eastAsia="Times New Roman" w:hAnsi="Garamond" w:cs="Times New Roman"/>
          <w:color w:val="000000"/>
          <w:spacing w:val="1"/>
          <w:sz w:val="24"/>
          <w:szCs w:val="24"/>
          <w:lang w:eastAsia="sq-AL"/>
        </w:rPr>
        <w:t>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rmb</w:t>
      </w:r>
      <w:r w:rsidRPr="003D5CE4">
        <w:rPr>
          <w:rFonts w:ascii="Garamond" w:eastAsia="Times New Roman" w:hAnsi="Garamond" w:cs="Times New Roman"/>
          <w:color w:val="000000"/>
          <w:spacing w:val="-1"/>
          <w:sz w:val="24"/>
          <w:szCs w:val="24"/>
          <w:lang w:eastAsia="sq-AL"/>
        </w:rPr>
        <w:t>a</w:t>
      </w:r>
      <w:r w:rsidRPr="003D5CE4">
        <w:rPr>
          <w:rFonts w:ascii="Garamond" w:eastAsia="Times New Roman" w:hAnsi="Garamond" w:cs="Times New Roman"/>
          <w:color w:val="000000"/>
          <w:sz w:val="24"/>
          <w:szCs w:val="24"/>
          <w:lang w:eastAsia="sq-AL"/>
        </w:rPr>
        <w:t>j</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z w:val="24"/>
          <w:szCs w:val="24"/>
          <w:lang w:eastAsia="sq-AL"/>
        </w:rPr>
        <w:t>ja e</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v</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pacing w:val="1"/>
          <w:sz w:val="24"/>
          <w:szCs w:val="24"/>
          <w:lang w:eastAsia="sq-AL"/>
        </w:rPr>
        <w:t>r</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j</w:t>
      </w:r>
      <w:r w:rsidRPr="003D5CE4">
        <w:rPr>
          <w:rFonts w:ascii="Garamond" w:eastAsia="Times New Roman" w:hAnsi="Garamond" w:cs="Times New Roman"/>
          <w:color w:val="000000"/>
          <w:spacing w:val="1"/>
          <w:sz w:val="24"/>
          <w:szCs w:val="24"/>
          <w:lang w:eastAsia="sq-AL"/>
        </w:rPr>
        <w:t>t</w:t>
      </w:r>
      <w:r w:rsidRPr="003D5CE4">
        <w:rPr>
          <w:rFonts w:ascii="Garamond" w:eastAsia="Times New Roman" w:hAnsi="Garamond" w:cs="Times New Roman"/>
          <w:color w:val="000000"/>
          <w:sz w:val="24"/>
          <w:szCs w:val="24"/>
          <w:lang w:eastAsia="sq-AL"/>
        </w:rPr>
        <w:t xml:space="preserve">jes: </w:t>
      </w:r>
      <w:r w:rsidRPr="003D5CE4">
        <w:rPr>
          <w:rFonts w:ascii="Garamond" w:eastAsia="Times New Roman" w:hAnsi="Garamond" w:cs="Times New Roman"/>
          <w:color w:val="000000"/>
          <w:spacing w:val="2"/>
          <w:sz w:val="24"/>
          <w:szCs w:val="24"/>
          <w:lang w:eastAsia="sq-AL"/>
        </w:rPr>
        <w:t>________________________________________________;</w:t>
      </w:r>
    </w:p>
    <w:p w14:paraId="24D39BF4" w14:textId="77777777" w:rsidR="00F052F6" w:rsidRPr="003D5CE4" w:rsidRDefault="00F052F6" w:rsidP="00F052F6">
      <w:pPr>
        <w:widowControl w:val="0"/>
        <w:tabs>
          <w:tab w:val="left" w:pos="9340"/>
        </w:tabs>
        <w:autoSpaceDE w:val="0"/>
        <w:autoSpaceDN w:val="0"/>
        <w:adjustRightInd w:val="0"/>
        <w:spacing w:after="0" w:line="240" w:lineRule="auto"/>
        <w:ind w:firstLine="284"/>
        <w:jc w:val="both"/>
        <w:rPr>
          <w:rFonts w:ascii="Garamond" w:eastAsia="Times New Roman" w:hAnsi="Garamond" w:cs="Times New Roman"/>
          <w:color w:val="000000"/>
          <w:sz w:val="24"/>
          <w:szCs w:val="24"/>
          <w:lang w:eastAsia="sq-AL"/>
        </w:rPr>
      </w:pPr>
      <w:r w:rsidRPr="003D5CE4">
        <w:rPr>
          <w:rFonts w:ascii="Garamond" w:eastAsia="Times New Roman" w:hAnsi="Garamond" w:cs="Times New Roman"/>
          <w:color w:val="000000"/>
          <w:spacing w:val="1"/>
          <w:sz w:val="24"/>
          <w:szCs w:val="24"/>
          <w:lang w:eastAsia="sq-AL"/>
        </w:rPr>
        <w:t>P</w:t>
      </w:r>
      <w:r w:rsidRPr="003D5CE4">
        <w:rPr>
          <w:rFonts w:ascii="Garamond" w:eastAsia="Times New Roman" w:hAnsi="Garamond" w:cs="Times New Roman"/>
          <w:color w:val="000000"/>
          <w:sz w:val="24"/>
          <w:szCs w:val="24"/>
          <w:lang w:eastAsia="sq-AL"/>
        </w:rPr>
        <w:t>ro</w:t>
      </w:r>
      <w:r w:rsidRPr="003D5CE4">
        <w:rPr>
          <w:rFonts w:ascii="Garamond" w:eastAsia="Times New Roman" w:hAnsi="Garamond" w:cs="Times New Roman"/>
          <w:color w:val="000000"/>
          <w:spacing w:val="-2"/>
          <w:sz w:val="24"/>
          <w:szCs w:val="24"/>
          <w:lang w:eastAsia="sq-AL"/>
        </w:rPr>
        <w:t>c</w:t>
      </w:r>
      <w:r w:rsidRPr="003D5CE4">
        <w:rPr>
          <w:rFonts w:ascii="Garamond" w:eastAsia="Times New Roman" w:hAnsi="Garamond" w:cs="Times New Roman"/>
          <w:color w:val="000000"/>
          <w:spacing w:val="-1"/>
          <w:sz w:val="24"/>
          <w:szCs w:val="24"/>
          <w:lang w:eastAsia="sq-AL"/>
        </w:rPr>
        <w:t>e</w:t>
      </w:r>
      <w:r w:rsidRPr="003D5CE4">
        <w:rPr>
          <w:rFonts w:ascii="Garamond" w:eastAsia="Times New Roman" w:hAnsi="Garamond" w:cs="Times New Roman"/>
          <w:color w:val="000000"/>
          <w:sz w:val="24"/>
          <w:szCs w:val="24"/>
          <w:lang w:eastAsia="sq-AL"/>
        </w:rPr>
        <w:t>dura e shortit</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p</w:t>
      </w:r>
      <w:r w:rsidRPr="003D5CE4">
        <w:rPr>
          <w:rFonts w:ascii="Garamond" w:eastAsia="Times New Roman" w:hAnsi="Garamond" w:cs="Times New Roman"/>
          <w:color w:val="000000"/>
          <w:spacing w:val="-1"/>
          <w:sz w:val="24"/>
          <w:szCs w:val="24"/>
          <w:lang w:eastAsia="sq-AL"/>
        </w:rPr>
        <w:t>ë</w:t>
      </w:r>
      <w:r w:rsidRPr="003D5CE4">
        <w:rPr>
          <w:rFonts w:ascii="Garamond" w:eastAsia="Times New Roman" w:hAnsi="Garamond" w:cs="Times New Roman"/>
          <w:color w:val="000000"/>
          <w:sz w:val="24"/>
          <w:szCs w:val="24"/>
          <w:lang w:eastAsia="sq-AL"/>
        </w:rPr>
        <w:t>r</w:t>
      </w:r>
      <w:r w:rsidRPr="003D5CE4">
        <w:rPr>
          <w:rFonts w:ascii="Garamond" w:eastAsia="Times New Roman" w:hAnsi="Garamond" w:cs="Times New Roman"/>
          <w:color w:val="000000"/>
          <w:spacing w:val="-1"/>
          <w:sz w:val="24"/>
          <w:szCs w:val="24"/>
          <w:lang w:eastAsia="sq-AL"/>
        </w:rPr>
        <w:t>f</w:t>
      </w:r>
      <w:r w:rsidRPr="003D5CE4">
        <w:rPr>
          <w:rFonts w:ascii="Garamond" w:eastAsia="Times New Roman" w:hAnsi="Garamond" w:cs="Times New Roman"/>
          <w:color w:val="000000"/>
          <w:spacing w:val="2"/>
          <w:sz w:val="24"/>
          <w:szCs w:val="24"/>
          <w:lang w:eastAsia="sq-AL"/>
        </w:rPr>
        <w:t>u</w:t>
      </w:r>
      <w:r w:rsidRPr="003D5CE4">
        <w:rPr>
          <w:rFonts w:ascii="Garamond" w:eastAsia="Times New Roman" w:hAnsi="Garamond" w:cs="Times New Roman"/>
          <w:color w:val="000000"/>
          <w:sz w:val="24"/>
          <w:szCs w:val="24"/>
          <w:lang w:eastAsia="sq-AL"/>
        </w:rPr>
        <w:t>ndoi</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në</w:t>
      </w:r>
      <w:r w:rsidRPr="003D5CE4">
        <w:rPr>
          <w:rFonts w:ascii="Garamond" w:eastAsia="Times New Roman" w:hAnsi="Garamond" w:cs="Times New Roman"/>
          <w:color w:val="000000"/>
          <w:spacing w:val="-1"/>
          <w:sz w:val="24"/>
          <w:szCs w:val="24"/>
          <w:lang w:eastAsia="sq-AL"/>
        </w:rPr>
        <w:t xml:space="preserve"> </w:t>
      </w:r>
      <w:r w:rsidRPr="003D5CE4">
        <w:rPr>
          <w:rFonts w:ascii="Garamond" w:eastAsia="Times New Roman" w:hAnsi="Garamond" w:cs="Times New Roman"/>
          <w:color w:val="000000"/>
          <w:sz w:val="24"/>
          <w:szCs w:val="24"/>
          <w:lang w:eastAsia="sq-AL"/>
        </w:rPr>
        <w:t>or</w:t>
      </w:r>
      <w:r w:rsidRPr="003D5CE4">
        <w:rPr>
          <w:rFonts w:ascii="Garamond" w:eastAsia="Times New Roman" w:hAnsi="Garamond" w:cs="Times New Roman"/>
          <w:color w:val="000000"/>
          <w:spacing w:val="-2"/>
          <w:sz w:val="24"/>
          <w:szCs w:val="24"/>
          <w:lang w:eastAsia="sq-AL"/>
        </w:rPr>
        <w:t>ë</w:t>
      </w:r>
      <w:r w:rsidRPr="003D5CE4">
        <w:rPr>
          <w:rFonts w:ascii="Garamond" w:eastAsia="Times New Roman" w:hAnsi="Garamond" w:cs="Times New Roman"/>
          <w:color w:val="000000"/>
          <w:sz w:val="24"/>
          <w:szCs w:val="24"/>
          <w:lang w:eastAsia="sq-AL"/>
        </w:rPr>
        <w:t>n ___</w:t>
      </w:r>
      <w:r>
        <w:rPr>
          <w:rFonts w:ascii="Garamond" w:eastAsia="Times New Roman" w:hAnsi="Garamond" w:cs="Times New Roman"/>
          <w:color w:val="000000"/>
          <w:sz w:val="24"/>
          <w:szCs w:val="24"/>
          <w:lang w:eastAsia="sq-AL"/>
        </w:rPr>
        <w:t>:</w:t>
      </w:r>
      <w:r w:rsidRPr="003D5CE4">
        <w:rPr>
          <w:rFonts w:ascii="Garamond" w:eastAsia="Times New Roman" w:hAnsi="Garamond" w:cs="Times New Roman"/>
          <w:color w:val="000000"/>
          <w:sz w:val="24"/>
          <w:szCs w:val="24"/>
          <w:lang w:eastAsia="sq-AL"/>
        </w:rPr>
        <w:t>___;</w:t>
      </w:r>
    </w:p>
    <w:p w14:paraId="651292F7" w14:textId="77777777" w:rsidR="00F052F6" w:rsidRPr="002F5D3C" w:rsidRDefault="00F052F6" w:rsidP="00F052F6">
      <w:pPr>
        <w:widowControl w:val="0"/>
        <w:autoSpaceDE w:val="0"/>
        <w:autoSpaceDN w:val="0"/>
        <w:adjustRightInd w:val="0"/>
        <w:spacing w:after="0" w:line="240" w:lineRule="auto"/>
        <w:ind w:firstLine="284"/>
        <w:rPr>
          <w:rFonts w:ascii="Garamond" w:eastAsia="Times New Roman" w:hAnsi="Garamond" w:cs="Times New Roman"/>
          <w:color w:val="000000"/>
          <w:sz w:val="14"/>
          <w:szCs w:val="24"/>
          <w:lang w:eastAsia="sq-AL"/>
        </w:rPr>
      </w:pPr>
    </w:p>
    <w:p w14:paraId="149CF7D5" w14:textId="77777777" w:rsidR="00F052F6" w:rsidRPr="003D5CE4" w:rsidRDefault="00F052F6" w:rsidP="00F052F6">
      <w:pPr>
        <w:spacing w:after="0" w:line="240" w:lineRule="auto"/>
        <w:ind w:firstLine="284"/>
        <w:rPr>
          <w:rFonts w:ascii="Garamond" w:hAnsi="Garamond" w:cs="Times New Roman"/>
          <w:sz w:val="24"/>
          <w:szCs w:val="24"/>
        </w:rPr>
      </w:pPr>
      <w:r w:rsidRPr="003D5CE4">
        <w:rPr>
          <w:rFonts w:ascii="Garamond" w:hAnsi="Garamond" w:cs="Times New Roman"/>
          <w:sz w:val="24"/>
          <w:szCs w:val="24"/>
        </w:rPr>
        <w:t>Në përfundim procesverbali lexohet dhe nënshkruhet nga të gjithë të pranishmit.</w:t>
      </w:r>
    </w:p>
    <w:p w14:paraId="64DC61A5" w14:textId="77777777" w:rsidR="00F052F6" w:rsidRPr="002F5D3C" w:rsidRDefault="00F052F6" w:rsidP="00F052F6">
      <w:pPr>
        <w:spacing w:after="0" w:line="240" w:lineRule="auto"/>
        <w:ind w:firstLine="284"/>
        <w:jc w:val="both"/>
        <w:rPr>
          <w:rFonts w:ascii="Garamond" w:hAnsi="Garamond" w:cs="Times New Roman"/>
          <w:sz w:val="14"/>
          <w:szCs w:val="24"/>
        </w:rPr>
      </w:pPr>
    </w:p>
    <w:p w14:paraId="759AEAC7" w14:textId="77777777" w:rsidR="00F052F6" w:rsidRPr="003D5CE4" w:rsidRDefault="00F052F6" w:rsidP="00F052F6">
      <w:pPr>
        <w:spacing w:after="0" w:line="240" w:lineRule="auto"/>
        <w:ind w:firstLine="284"/>
        <w:jc w:val="both"/>
        <w:rPr>
          <w:rFonts w:ascii="Garamond" w:hAnsi="Garamond" w:cs="Times New Roman"/>
          <w:i/>
          <w:iCs/>
          <w:color w:val="000000"/>
          <w:sz w:val="24"/>
          <w:szCs w:val="24"/>
        </w:rPr>
      </w:pPr>
      <w:r w:rsidRPr="003D5CE4">
        <w:rPr>
          <w:rFonts w:ascii="Garamond" w:hAnsi="Garamond" w:cs="Times New Roman"/>
          <w:i/>
          <w:iCs/>
          <w:color w:val="000000"/>
          <w:spacing w:val="1"/>
          <w:sz w:val="24"/>
          <w:szCs w:val="24"/>
        </w:rPr>
        <w:t>N</w:t>
      </w:r>
      <w:r w:rsidRPr="003D5CE4">
        <w:rPr>
          <w:rFonts w:ascii="Garamond" w:hAnsi="Garamond" w:cs="Times New Roman"/>
          <w:i/>
          <w:iCs/>
          <w:color w:val="000000"/>
          <w:sz w:val="24"/>
          <w:szCs w:val="24"/>
        </w:rPr>
        <w:t xml:space="preserve">jë </w:t>
      </w:r>
      <w:r w:rsidRPr="003D5CE4">
        <w:rPr>
          <w:rFonts w:ascii="Garamond" w:hAnsi="Garamond" w:cs="Times New Roman"/>
          <w:i/>
          <w:iCs/>
          <w:color w:val="000000"/>
          <w:spacing w:val="-1"/>
          <w:sz w:val="24"/>
          <w:szCs w:val="24"/>
        </w:rPr>
        <w:t>k</w:t>
      </w:r>
      <w:r w:rsidRPr="003D5CE4">
        <w:rPr>
          <w:rFonts w:ascii="Garamond" w:hAnsi="Garamond" w:cs="Times New Roman"/>
          <w:i/>
          <w:iCs/>
          <w:color w:val="000000"/>
          <w:sz w:val="24"/>
          <w:szCs w:val="24"/>
        </w:rPr>
        <w:t>opje e pro</w:t>
      </w:r>
      <w:r w:rsidRPr="003D5CE4">
        <w:rPr>
          <w:rFonts w:ascii="Garamond" w:hAnsi="Garamond" w:cs="Times New Roman"/>
          <w:i/>
          <w:iCs/>
          <w:color w:val="000000"/>
          <w:spacing w:val="-1"/>
          <w:sz w:val="24"/>
          <w:szCs w:val="24"/>
        </w:rPr>
        <w:t>ce</w:t>
      </w:r>
      <w:r w:rsidRPr="003D5CE4">
        <w:rPr>
          <w:rFonts w:ascii="Garamond" w:hAnsi="Garamond" w:cs="Times New Roman"/>
          <w:i/>
          <w:iCs/>
          <w:color w:val="000000"/>
          <w:spacing w:val="2"/>
          <w:sz w:val="24"/>
          <w:szCs w:val="24"/>
        </w:rPr>
        <w:t>s</w:t>
      </w:r>
      <w:r w:rsidRPr="003D5CE4">
        <w:rPr>
          <w:rFonts w:ascii="Garamond" w:hAnsi="Garamond" w:cs="Times New Roman"/>
          <w:i/>
          <w:iCs/>
          <w:color w:val="000000"/>
          <w:spacing w:val="-1"/>
          <w:sz w:val="24"/>
          <w:szCs w:val="24"/>
        </w:rPr>
        <w:t>ve</w:t>
      </w:r>
      <w:r w:rsidRPr="003D5CE4">
        <w:rPr>
          <w:rFonts w:ascii="Garamond" w:hAnsi="Garamond" w:cs="Times New Roman"/>
          <w:i/>
          <w:iCs/>
          <w:color w:val="000000"/>
          <w:sz w:val="24"/>
          <w:szCs w:val="24"/>
        </w:rPr>
        <w:t>r</w:t>
      </w:r>
      <w:r w:rsidRPr="003D5CE4">
        <w:rPr>
          <w:rFonts w:ascii="Garamond" w:hAnsi="Garamond" w:cs="Times New Roman"/>
          <w:i/>
          <w:iCs/>
          <w:color w:val="000000"/>
          <w:spacing w:val="2"/>
          <w:sz w:val="24"/>
          <w:szCs w:val="24"/>
        </w:rPr>
        <w:t>b</w:t>
      </w:r>
      <w:r w:rsidRPr="003D5CE4">
        <w:rPr>
          <w:rFonts w:ascii="Garamond" w:hAnsi="Garamond" w:cs="Times New Roman"/>
          <w:i/>
          <w:iCs/>
          <w:color w:val="000000"/>
          <w:sz w:val="24"/>
          <w:szCs w:val="24"/>
        </w:rPr>
        <w:t>al</w:t>
      </w:r>
      <w:r w:rsidRPr="003D5CE4">
        <w:rPr>
          <w:rFonts w:ascii="Garamond" w:hAnsi="Garamond" w:cs="Times New Roman"/>
          <w:i/>
          <w:iCs/>
          <w:color w:val="000000"/>
          <w:spacing w:val="1"/>
          <w:sz w:val="24"/>
          <w:szCs w:val="24"/>
        </w:rPr>
        <w:t>i</w:t>
      </w:r>
      <w:r w:rsidRPr="003D5CE4">
        <w:rPr>
          <w:rFonts w:ascii="Garamond" w:hAnsi="Garamond" w:cs="Times New Roman"/>
          <w:i/>
          <w:iCs/>
          <w:color w:val="000000"/>
          <w:sz w:val="24"/>
          <w:szCs w:val="24"/>
        </w:rPr>
        <w:t>t</w:t>
      </w:r>
      <w:r w:rsidRPr="003D5CE4">
        <w:rPr>
          <w:rFonts w:ascii="Garamond" w:hAnsi="Garamond" w:cs="Times New Roman"/>
          <w:i/>
          <w:iCs/>
          <w:color w:val="000000"/>
          <w:spacing w:val="1"/>
          <w:sz w:val="24"/>
          <w:szCs w:val="24"/>
        </w:rPr>
        <w:t xml:space="preserve"> </w:t>
      </w:r>
      <w:r w:rsidRPr="003D5CE4">
        <w:rPr>
          <w:rFonts w:ascii="Garamond" w:hAnsi="Garamond" w:cs="Times New Roman"/>
          <w:i/>
          <w:iCs/>
          <w:color w:val="000000"/>
          <w:sz w:val="24"/>
          <w:szCs w:val="24"/>
        </w:rPr>
        <w:t>i</w:t>
      </w:r>
      <w:r w:rsidRPr="003D5CE4">
        <w:rPr>
          <w:rFonts w:ascii="Garamond" w:hAnsi="Garamond" w:cs="Times New Roman"/>
          <w:i/>
          <w:iCs/>
          <w:color w:val="000000"/>
          <w:spacing w:val="1"/>
          <w:sz w:val="24"/>
          <w:szCs w:val="24"/>
        </w:rPr>
        <w:t xml:space="preserve"> </w:t>
      </w:r>
      <w:r w:rsidRPr="003D5CE4">
        <w:rPr>
          <w:rFonts w:ascii="Garamond" w:hAnsi="Garamond" w:cs="Times New Roman"/>
          <w:i/>
          <w:iCs/>
          <w:color w:val="000000"/>
          <w:sz w:val="24"/>
          <w:szCs w:val="24"/>
        </w:rPr>
        <w:t>do</w:t>
      </w:r>
      <w:r w:rsidRPr="003D5CE4">
        <w:rPr>
          <w:rFonts w:ascii="Garamond" w:hAnsi="Garamond" w:cs="Times New Roman"/>
          <w:i/>
          <w:iCs/>
          <w:color w:val="000000"/>
          <w:spacing w:val="2"/>
          <w:sz w:val="24"/>
          <w:szCs w:val="24"/>
        </w:rPr>
        <w:t>r</w:t>
      </w:r>
      <w:r w:rsidRPr="003D5CE4">
        <w:rPr>
          <w:rFonts w:ascii="Garamond" w:hAnsi="Garamond" w:cs="Times New Roman"/>
          <w:i/>
          <w:iCs/>
          <w:color w:val="000000"/>
          <w:spacing w:val="-1"/>
          <w:sz w:val="24"/>
          <w:szCs w:val="24"/>
        </w:rPr>
        <w:t>ë</w:t>
      </w:r>
      <w:r w:rsidRPr="003D5CE4">
        <w:rPr>
          <w:rFonts w:ascii="Garamond" w:hAnsi="Garamond" w:cs="Times New Roman"/>
          <w:i/>
          <w:iCs/>
          <w:color w:val="000000"/>
          <w:sz w:val="24"/>
          <w:szCs w:val="24"/>
        </w:rPr>
        <w:t>zoh</w:t>
      </w:r>
      <w:r w:rsidRPr="003D5CE4">
        <w:rPr>
          <w:rFonts w:ascii="Garamond" w:hAnsi="Garamond" w:cs="Times New Roman"/>
          <w:i/>
          <w:iCs/>
          <w:color w:val="000000"/>
          <w:spacing w:val="-1"/>
          <w:sz w:val="24"/>
          <w:szCs w:val="24"/>
        </w:rPr>
        <w:t>e</w:t>
      </w:r>
      <w:r w:rsidRPr="003D5CE4">
        <w:rPr>
          <w:rFonts w:ascii="Garamond" w:hAnsi="Garamond" w:cs="Times New Roman"/>
          <w:i/>
          <w:iCs/>
          <w:color w:val="000000"/>
          <w:sz w:val="24"/>
          <w:szCs w:val="24"/>
        </w:rPr>
        <w:t>t</w:t>
      </w:r>
      <w:r w:rsidRPr="003D5CE4">
        <w:rPr>
          <w:rFonts w:ascii="Garamond" w:hAnsi="Garamond" w:cs="Times New Roman"/>
          <w:i/>
          <w:iCs/>
          <w:color w:val="000000"/>
          <w:spacing w:val="1"/>
          <w:sz w:val="24"/>
          <w:szCs w:val="24"/>
        </w:rPr>
        <w:t xml:space="preserve"> </w:t>
      </w:r>
      <w:r w:rsidRPr="003D5CE4">
        <w:rPr>
          <w:rFonts w:ascii="Garamond" w:hAnsi="Garamond" w:cs="Times New Roman"/>
          <w:i/>
          <w:iCs/>
          <w:color w:val="000000"/>
          <w:spacing w:val="-1"/>
          <w:sz w:val="24"/>
          <w:szCs w:val="24"/>
        </w:rPr>
        <w:t>k</w:t>
      </w:r>
      <w:r w:rsidRPr="003D5CE4">
        <w:rPr>
          <w:rFonts w:ascii="Garamond" w:hAnsi="Garamond" w:cs="Times New Roman"/>
          <w:i/>
          <w:iCs/>
          <w:color w:val="000000"/>
          <w:sz w:val="24"/>
          <w:szCs w:val="24"/>
        </w:rPr>
        <w:t>an</w:t>
      </w:r>
      <w:r w:rsidRPr="003D5CE4">
        <w:rPr>
          <w:rFonts w:ascii="Garamond" w:hAnsi="Garamond" w:cs="Times New Roman"/>
          <w:i/>
          <w:iCs/>
          <w:color w:val="000000"/>
          <w:spacing w:val="-1"/>
          <w:sz w:val="24"/>
          <w:szCs w:val="24"/>
        </w:rPr>
        <w:t>ce</w:t>
      </w:r>
      <w:r w:rsidRPr="003D5CE4">
        <w:rPr>
          <w:rFonts w:ascii="Garamond" w:hAnsi="Garamond" w:cs="Times New Roman"/>
          <w:i/>
          <w:iCs/>
          <w:color w:val="000000"/>
          <w:sz w:val="24"/>
          <w:szCs w:val="24"/>
        </w:rPr>
        <w:t>lar</w:t>
      </w:r>
      <w:r w:rsidRPr="003D5CE4">
        <w:rPr>
          <w:rFonts w:ascii="Garamond" w:hAnsi="Garamond" w:cs="Times New Roman"/>
          <w:i/>
          <w:iCs/>
          <w:color w:val="000000"/>
          <w:spacing w:val="1"/>
          <w:sz w:val="24"/>
          <w:szCs w:val="24"/>
        </w:rPr>
        <w:t>i</w:t>
      </w:r>
      <w:r w:rsidRPr="003D5CE4">
        <w:rPr>
          <w:rFonts w:ascii="Garamond" w:hAnsi="Garamond" w:cs="Times New Roman"/>
          <w:i/>
          <w:iCs/>
          <w:color w:val="000000"/>
          <w:sz w:val="24"/>
          <w:szCs w:val="24"/>
        </w:rPr>
        <w:t>t</w:t>
      </w:r>
      <w:r w:rsidRPr="003D5CE4">
        <w:rPr>
          <w:rFonts w:ascii="Garamond" w:hAnsi="Garamond" w:cs="Times New Roman"/>
          <w:i/>
          <w:iCs/>
          <w:color w:val="000000"/>
          <w:spacing w:val="1"/>
          <w:sz w:val="24"/>
          <w:szCs w:val="24"/>
        </w:rPr>
        <w:t xml:space="preserve"> </w:t>
      </w:r>
      <w:r w:rsidRPr="003D5CE4">
        <w:rPr>
          <w:rFonts w:ascii="Garamond" w:hAnsi="Garamond" w:cs="Times New Roman"/>
          <w:i/>
          <w:iCs/>
          <w:color w:val="000000"/>
          <w:spacing w:val="2"/>
          <w:sz w:val="24"/>
          <w:szCs w:val="24"/>
        </w:rPr>
        <w:t>t</w:t>
      </w:r>
      <w:r w:rsidRPr="003D5CE4">
        <w:rPr>
          <w:rFonts w:ascii="Garamond" w:hAnsi="Garamond" w:cs="Times New Roman"/>
          <w:i/>
          <w:iCs/>
          <w:color w:val="000000"/>
          <w:sz w:val="24"/>
          <w:szCs w:val="24"/>
        </w:rPr>
        <w:t>ë prokurorisë</w:t>
      </w:r>
      <w:r w:rsidRPr="003D5CE4">
        <w:rPr>
          <w:rFonts w:ascii="Garamond" w:hAnsi="Garamond" w:cs="Times New Roman"/>
          <w:i/>
          <w:iCs/>
          <w:color w:val="000000"/>
          <w:spacing w:val="1"/>
          <w:sz w:val="24"/>
          <w:szCs w:val="24"/>
        </w:rPr>
        <w:t xml:space="preserve"> </w:t>
      </w:r>
      <w:r w:rsidRPr="003D5CE4">
        <w:rPr>
          <w:rFonts w:ascii="Garamond" w:hAnsi="Garamond" w:cs="Times New Roman"/>
          <w:i/>
          <w:iCs/>
          <w:color w:val="000000"/>
          <w:sz w:val="24"/>
          <w:szCs w:val="24"/>
        </w:rPr>
        <w:t>dhe një</w:t>
      </w:r>
      <w:r w:rsidRPr="003D5CE4">
        <w:rPr>
          <w:rFonts w:ascii="Garamond" w:hAnsi="Garamond" w:cs="Times New Roman"/>
          <w:i/>
          <w:iCs/>
          <w:color w:val="000000"/>
          <w:spacing w:val="3"/>
          <w:sz w:val="24"/>
          <w:szCs w:val="24"/>
        </w:rPr>
        <w:t xml:space="preserve"> </w:t>
      </w:r>
      <w:r w:rsidRPr="003D5CE4">
        <w:rPr>
          <w:rFonts w:ascii="Garamond" w:hAnsi="Garamond" w:cs="Times New Roman"/>
          <w:i/>
          <w:iCs/>
          <w:color w:val="000000"/>
          <w:spacing w:val="-1"/>
          <w:sz w:val="24"/>
          <w:szCs w:val="24"/>
        </w:rPr>
        <w:t>k</w:t>
      </w:r>
      <w:r w:rsidRPr="003D5CE4">
        <w:rPr>
          <w:rFonts w:ascii="Garamond" w:hAnsi="Garamond" w:cs="Times New Roman"/>
          <w:i/>
          <w:iCs/>
          <w:color w:val="000000"/>
          <w:sz w:val="24"/>
          <w:szCs w:val="24"/>
        </w:rPr>
        <w:t>opje prokurorit/es</w:t>
      </w:r>
      <w:r w:rsidRPr="003D5CE4">
        <w:rPr>
          <w:rFonts w:ascii="Garamond" w:hAnsi="Garamond" w:cs="Times New Roman"/>
          <w:i/>
          <w:iCs/>
          <w:color w:val="000000"/>
          <w:spacing w:val="2"/>
          <w:sz w:val="24"/>
          <w:szCs w:val="24"/>
        </w:rPr>
        <w:t xml:space="preserve"> </w:t>
      </w:r>
      <w:r w:rsidRPr="003D5CE4">
        <w:rPr>
          <w:rFonts w:ascii="Garamond" w:hAnsi="Garamond" w:cs="Times New Roman"/>
          <w:i/>
          <w:iCs/>
          <w:color w:val="000000"/>
          <w:sz w:val="24"/>
          <w:szCs w:val="24"/>
        </w:rPr>
        <w:t>subj</w:t>
      </w:r>
      <w:r w:rsidRPr="003D5CE4">
        <w:rPr>
          <w:rFonts w:ascii="Garamond" w:hAnsi="Garamond" w:cs="Times New Roman"/>
          <w:i/>
          <w:iCs/>
          <w:color w:val="000000"/>
          <w:spacing w:val="-1"/>
          <w:sz w:val="24"/>
          <w:szCs w:val="24"/>
        </w:rPr>
        <w:t>ek</w:t>
      </w:r>
      <w:r w:rsidRPr="003D5CE4">
        <w:rPr>
          <w:rFonts w:ascii="Garamond" w:hAnsi="Garamond" w:cs="Times New Roman"/>
          <w:i/>
          <w:iCs/>
          <w:color w:val="000000"/>
          <w:sz w:val="24"/>
          <w:szCs w:val="24"/>
        </w:rPr>
        <w:t xml:space="preserve">t </w:t>
      </w:r>
      <w:r w:rsidRPr="003D5CE4">
        <w:rPr>
          <w:rFonts w:ascii="Garamond" w:hAnsi="Garamond" w:cs="Times New Roman"/>
          <w:i/>
          <w:iCs/>
          <w:color w:val="000000"/>
          <w:spacing w:val="-1"/>
          <w:sz w:val="24"/>
          <w:szCs w:val="24"/>
        </w:rPr>
        <w:t>v</w:t>
      </w:r>
      <w:r w:rsidRPr="003D5CE4">
        <w:rPr>
          <w:rFonts w:ascii="Garamond" w:hAnsi="Garamond" w:cs="Times New Roman"/>
          <w:i/>
          <w:iCs/>
          <w:color w:val="000000"/>
          <w:sz w:val="24"/>
          <w:szCs w:val="24"/>
        </w:rPr>
        <w:t>ler</w:t>
      </w:r>
      <w:r w:rsidRPr="003D5CE4">
        <w:rPr>
          <w:rFonts w:ascii="Garamond" w:hAnsi="Garamond" w:cs="Times New Roman"/>
          <w:i/>
          <w:iCs/>
          <w:color w:val="000000"/>
          <w:spacing w:val="-1"/>
          <w:sz w:val="24"/>
          <w:szCs w:val="24"/>
        </w:rPr>
        <w:t>ë</w:t>
      </w:r>
      <w:r w:rsidRPr="003D5CE4">
        <w:rPr>
          <w:rFonts w:ascii="Garamond" w:hAnsi="Garamond" w:cs="Times New Roman"/>
          <w:i/>
          <w:iCs/>
          <w:color w:val="000000"/>
          <w:sz w:val="24"/>
          <w:szCs w:val="24"/>
        </w:rPr>
        <w:t>simi. Kopja orig</w:t>
      </w:r>
      <w:r w:rsidRPr="003D5CE4">
        <w:rPr>
          <w:rFonts w:ascii="Garamond" w:hAnsi="Garamond" w:cs="Times New Roman"/>
          <w:i/>
          <w:iCs/>
          <w:color w:val="000000"/>
          <w:spacing w:val="1"/>
          <w:sz w:val="24"/>
          <w:szCs w:val="24"/>
        </w:rPr>
        <w:t>j</w:t>
      </w:r>
      <w:r w:rsidRPr="003D5CE4">
        <w:rPr>
          <w:rFonts w:ascii="Garamond" w:hAnsi="Garamond" w:cs="Times New Roman"/>
          <w:i/>
          <w:iCs/>
          <w:color w:val="000000"/>
          <w:sz w:val="24"/>
          <w:szCs w:val="24"/>
        </w:rPr>
        <w:t>in</w:t>
      </w:r>
      <w:r w:rsidRPr="003D5CE4">
        <w:rPr>
          <w:rFonts w:ascii="Garamond" w:hAnsi="Garamond" w:cs="Times New Roman"/>
          <w:i/>
          <w:iCs/>
          <w:color w:val="000000"/>
          <w:spacing w:val="-2"/>
          <w:sz w:val="24"/>
          <w:szCs w:val="24"/>
        </w:rPr>
        <w:t>a</w:t>
      </w:r>
      <w:r w:rsidRPr="003D5CE4">
        <w:rPr>
          <w:rFonts w:ascii="Garamond" w:hAnsi="Garamond" w:cs="Times New Roman"/>
          <w:i/>
          <w:iCs/>
          <w:color w:val="000000"/>
          <w:sz w:val="24"/>
          <w:szCs w:val="24"/>
        </w:rPr>
        <w:t>le ad</w:t>
      </w:r>
      <w:r w:rsidRPr="003D5CE4">
        <w:rPr>
          <w:rFonts w:ascii="Garamond" w:hAnsi="Garamond" w:cs="Times New Roman"/>
          <w:i/>
          <w:iCs/>
          <w:color w:val="000000"/>
          <w:spacing w:val="-1"/>
          <w:sz w:val="24"/>
          <w:szCs w:val="24"/>
        </w:rPr>
        <w:t>m</w:t>
      </w:r>
      <w:r w:rsidRPr="003D5CE4">
        <w:rPr>
          <w:rFonts w:ascii="Garamond" w:hAnsi="Garamond" w:cs="Times New Roman"/>
          <w:i/>
          <w:iCs/>
          <w:color w:val="000000"/>
          <w:sz w:val="24"/>
          <w:szCs w:val="24"/>
        </w:rPr>
        <w:t>in</w:t>
      </w:r>
      <w:r w:rsidRPr="003D5CE4">
        <w:rPr>
          <w:rFonts w:ascii="Garamond" w:hAnsi="Garamond" w:cs="Times New Roman"/>
          <w:i/>
          <w:iCs/>
          <w:color w:val="000000"/>
          <w:spacing w:val="1"/>
          <w:sz w:val="24"/>
          <w:szCs w:val="24"/>
        </w:rPr>
        <w:t>i</w:t>
      </w:r>
      <w:r w:rsidRPr="003D5CE4">
        <w:rPr>
          <w:rFonts w:ascii="Garamond" w:hAnsi="Garamond" w:cs="Times New Roman"/>
          <w:i/>
          <w:iCs/>
          <w:color w:val="000000"/>
          <w:sz w:val="24"/>
          <w:szCs w:val="24"/>
        </w:rPr>
        <w:t>st</w:t>
      </w:r>
      <w:r w:rsidRPr="003D5CE4">
        <w:rPr>
          <w:rFonts w:ascii="Garamond" w:hAnsi="Garamond" w:cs="Times New Roman"/>
          <w:i/>
          <w:iCs/>
          <w:color w:val="000000"/>
          <w:spacing w:val="1"/>
          <w:sz w:val="24"/>
          <w:szCs w:val="24"/>
        </w:rPr>
        <w:t>r</w:t>
      </w:r>
      <w:r w:rsidRPr="003D5CE4">
        <w:rPr>
          <w:rFonts w:ascii="Garamond" w:hAnsi="Garamond" w:cs="Times New Roman"/>
          <w:i/>
          <w:iCs/>
          <w:color w:val="000000"/>
          <w:sz w:val="24"/>
          <w:szCs w:val="24"/>
        </w:rPr>
        <w:t>oh</w:t>
      </w:r>
      <w:r w:rsidRPr="003D5CE4">
        <w:rPr>
          <w:rFonts w:ascii="Garamond" w:hAnsi="Garamond" w:cs="Times New Roman"/>
          <w:i/>
          <w:iCs/>
          <w:color w:val="000000"/>
          <w:spacing w:val="-1"/>
          <w:sz w:val="24"/>
          <w:szCs w:val="24"/>
        </w:rPr>
        <w:t>e</w:t>
      </w:r>
      <w:r w:rsidRPr="003D5CE4">
        <w:rPr>
          <w:rFonts w:ascii="Garamond" w:hAnsi="Garamond" w:cs="Times New Roman"/>
          <w:i/>
          <w:iCs/>
          <w:color w:val="000000"/>
          <w:sz w:val="24"/>
          <w:szCs w:val="24"/>
        </w:rPr>
        <w:t xml:space="preserve">t </w:t>
      </w:r>
      <w:r w:rsidRPr="003D5CE4">
        <w:rPr>
          <w:rFonts w:ascii="Garamond" w:hAnsi="Garamond" w:cs="Times New Roman"/>
          <w:i/>
          <w:iCs/>
          <w:color w:val="000000"/>
          <w:spacing w:val="2"/>
          <w:sz w:val="24"/>
          <w:szCs w:val="24"/>
        </w:rPr>
        <w:t>n</w:t>
      </w:r>
      <w:r w:rsidRPr="003D5CE4">
        <w:rPr>
          <w:rFonts w:ascii="Garamond" w:hAnsi="Garamond" w:cs="Times New Roman"/>
          <w:i/>
          <w:iCs/>
          <w:color w:val="000000"/>
          <w:sz w:val="24"/>
          <w:szCs w:val="24"/>
        </w:rPr>
        <w:t>ë</w:t>
      </w:r>
      <w:r w:rsidRPr="003D5CE4">
        <w:rPr>
          <w:rFonts w:ascii="Garamond" w:hAnsi="Garamond" w:cs="Times New Roman"/>
          <w:i/>
          <w:iCs/>
          <w:color w:val="000000"/>
          <w:spacing w:val="-1"/>
          <w:sz w:val="24"/>
          <w:szCs w:val="24"/>
        </w:rPr>
        <w:t xml:space="preserve"> </w:t>
      </w:r>
      <w:r w:rsidRPr="003D5CE4">
        <w:rPr>
          <w:rFonts w:ascii="Garamond" w:hAnsi="Garamond" w:cs="Times New Roman"/>
          <w:i/>
          <w:iCs/>
          <w:color w:val="000000"/>
          <w:sz w:val="24"/>
          <w:szCs w:val="24"/>
        </w:rPr>
        <w:t>dosj</w:t>
      </w:r>
      <w:r w:rsidRPr="003D5CE4">
        <w:rPr>
          <w:rFonts w:ascii="Garamond" w:hAnsi="Garamond" w:cs="Times New Roman"/>
          <w:i/>
          <w:iCs/>
          <w:color w:val="000000"/>
          <w:spacing w:val="-1"/>
          <w:sz w:val="24"/>
          <w:szCs w:val="24"/>
        </w:rPr>
        <w:t>e</w:t>
      </w:r>
      <w:r w:rsidRPr="003D5CE4">
        <w:rPr>
          <w:rFonts w:ascii="Garamond" w:hAnsi="Garamond" w:cs="Times New Roman"/>
          <w:i/>
          <w:iCs/>
          <w:color w:val="000000"/>
          <w:sz w:val="24"/>
          <w:szCs w:val="24"/>
        </w:rPr>
        <w:t>n e</w:t>
      </w:r>
      <w:r w:rsidRPr="003D5CE4">
        <w:rPr>
          <w:rFonts w:ascii="Garamond" w:hAnsi="Garamond" w:cs="Times New Roman"/>
          <w:i/>
          <w:iCs/>
          <w:color w:val="000000"/>
          <w:spacing w:val="-1"/>
          <w:sz w:val="24"/>
          <w:szCs w:val="24"/>
        </w:rPr>
        <w:t xml:space="preserve"> v</w:t>
      </w:r>
      <w:r w:rsidRPr="003D5CE4">
        <w:rPr>
          <w:rFonts w:ascii="Garamond" w:hAnsi="Garamond" w:cs="Times New Roman"/>
          <w:i/>
          <w:iCs/>
          <w:color w:val="000000"/>
          <w:sz w:val="24"/>
          <w:szCs w:val="24"/>
        </w:rPr>
        <w:t>ler</w:t>
      </w:r>
      <w:r w:rsidRPr="003D5CE4">
        <w:rPr>
          <w:rFonts w:ascii="Garamond" w:hAnsi="Garamond" w:cs="Times New Roman"/>
          <w:i/>
          <w:iCs/>
          <w:color w:val="000000"/>
          <w:spacing w:val="-1"/>
          <w:sz w:val="24"/>
          <w:szCs w:val="24"/>
        </w:rPr>
        <w:t>ë</w:t>
      </w:r>
      <w:r w:rsidRPr="003D5CE4">
        <w:rPr>
          <w:rFonts w:ascii="Garamond" w:hAnsi="Garamond" w:cs="Times New Roman"/>
          <w:i/>
          <w:iCs/>
          <w:color w:val="000000"/>
          <w:sz w:val="24"/>
          <w:szCs w:val="24"/>
        </w:rPr>
        <w:t>simit</w:t>
      </w:r>
      <w:r w:rsidRPr="003D5CE4">
        <w:rPr>
          <w:rFonts w:ascii="Garamond" w:hAnsi="Garamond" w:cs="Times New Roman"/>
          <w:i/>
          <w:iCs/>
          <w:color w:val="000000"/>
          <w:spacing w:val="1"/>
          <w:sz w:val="24"/>
          <w:szCs w:val="24"/>
        </w:rPr>
        <w:t xml:space="preserve"> t</w:t>
      </w:r>
      <w:r w:rsidRPr="003D5CE4">
        <w:rPr>
          <w:rFonts w:ascii="Garamond" w:hAnsi="Garamond" w:cs="Times New Roman"/>
          <w:i/>
          <w:iCs/>
          <w:color w:val="000000"/>
          <w:sz w:val="24"/>
          <w:szCs w:val="24"/>
        </w:rPr>
        <w:t>ë prokurorit/es.</w:t>
      </w:r>
    </w:p>
    <w:p w14:paraId="532DCD74" w14:textId="77777777" w:rsidR="00F052F6" w:rsidRPr="002F5D3C" w:rsidRDefault="00F052F6" w:rsidP="00F052F6">
      <w:pPr>
        <w:spacing w:after="0" w:line="240" w:lineRule="auto"/>
        <w:ind w:firstLine="284"/>
        <w:jc w:val="both"/>
        <w:rPr>
          <w:rFonts w:ascii="Garamond" w:hAnsi="Garamond" w:cs="Times New Roman"/>
          <w:iCs/>
          <w:color w:val="000000"/>
          <w:sz w:val="14"/>
          <w:szCs w:val="24"/>
        </w:rPr>
      </w:pPr>
    </w:p>
    <w:p w14:paraId="1F2FAA0B" w14:textId="77777777" w:rsidR="00F052F6" w:rsidRPr="003D5CE4" w:rsidRDefault="00F052F6" w:rsidP="00F052F6">
      <w:pPr>
        <w:spacing w:after="0" w:line="240" w:lineRule="auto"/>
        <w:ind w:firstLine="284"/>
        <w:rPr>
          <w:rFonts w:ascii="Garamond" w:hAnsi="Garamond" w:cs="Times New Roman"/>
          <w:b/>
          <w:iCs/>
          <w:color w:val="000000"/>
          <w:sz w:val="24"/>
          <w:szCs w:val="24"/>
        </w:rPr>
      </w:pPr>
      <w:r w:rsidRPr="003D5CE4">
        <w:rPr>
          <w:rFonts w:ascii="Garamond" w:hAnsi="Garamond" w:cs="Times New Roman"/>
          <w:b/>
          <w:iCs/>
          <w:color w:val="000000"/>
          <w:sz w:val="24"/>
          <w:szCs w:val="24"/>
        </w:rPr>
        <w:t>Këshilltari përgjegjës për vlerësimin ________________________________________</w:t>
      </w:r>
    </w:p>
    <w:p w14:paraId="029B25BE" w14:textId="77777777" w:rsidR="00F052F6" w:rsidRPr="002F5D3C" w:rsidRDefault="00F052F6" w:rsidP="00F052F6">
      <w:pPr>
        <w:spacing w:after="0" w:line="240" w:lineRule="auto"/>
        <w:ind w:firstLine="284"/>
        <w:rPr>
          <w:rFonts w:ascii="Garamond" w:hAnsi="Garamond" w:cs="Times New Roman"/>
          <w:b/>
          <w:iCs/>
          <w:color w:val="000000"/>
          <w:sz w:val="14"/>
          <w:szCs w:val="24"/>
        </w:rPr>
      </w:pPr>
    </w:p>
    <w:p w14:paraId="150390EA" w14:textId="77777777" w:rsidR="00F052F6" w:rsidRPr="003D5CE4" w:rsidRDefault="00F052F6" w:rsidP="00F052F6">
      <w:pPr>
        <w:spacing w:after="0" w:line="240" w:lineRule="auto"/>
        <w:ind w:firstLine="284"/>
        <w:rPr>
          <w:rFonts w:ascii="Garamond" w:hAnsi="Garamond" w:cs="Times New Roman"/>
          <w:b/>
          <w:iCs/>
          <w:color w:val="000000"/>
          <w:sz w:val="24"/>
          <w:szCs w:val="24"/>
        </w:rPr>
      </w:pPr>
      <w:r w:rsidRPr="003D5CE4">
        <w:rPr>
          <w:rFonts w:ascii="Garamond" w:hAnsi="Garamond" w:cs="Times New Roman"/>
          <w:b/>
          <w:iCs/>
          <w:color w:val="000000"/>
          <w:sz w:val="24"/>
          <w:szCs w:val="24"/>
        </w:rPr>
        <w:t>Kancelari i prokurorisë _____________________________________________________</w:t>
      </w:r>
    </w:p>
    <w:p w14:paraId="44DB1EE7" w14:textId="77777777" w:rsidR="00F052F6" w:rsidRPr="002F5D3C" w:rsidRDefault="00F052F6" w:rsidP="00F052F6">
      <w:pPr>
        <w:spacing w:after="0" w:line="240" w:lineRule="auto"/>
        <w:ind w:firstLine="284"/>
        <w:rPr>
          <w:rFonts w:ascii="Garamond" w:hAnsi="Garamond" w:cs="Times New Roman"/>
          <w:b/>
          <w:iCs/>
          <w:color w:val="000000"/>
          <w:sz w:val="14"/>
          <w:szCs w:val="24"/>
        </w:rPr>
      </w:pPr>
    </w:p>
    <w:p w14:paraId="253D4FBF" w14:textId="77777777" w:rsidR="00F052F6" w:rsidRPr="003D5CE4" w:rsidRDefault="00F052F6" w:rsidP="00F052F6">
      <w:pPr>
        <w:spacing w:after="0" w:line="240" w:lineRule="auto"/>
        <w:ind w:firstLine="284"/>
        <w:rPr>
          <w:rFonts w:ascii="Garamond" w:hAnsi="Garamond" w:cs="Times New Roman"/>
          <w:b/>
          <w:iCs/>
          <w:color w:val="000000"/>
          <w:sz w:val="24"/>
          <w:szCs w:val="24"/>
        </w:rPr>
      </w:pPr>
      <w:r w:rsidRPr="003D5CE4">
        <w:rPr>
          <w:rFonts w:ascii="Garamond" w:hAnsi="Garamond" w:cs="Times New Roman"/>
          <w:b/>
          <w:iCs/>
          <w:color w:val="000000"/>
          <w:sz w:val="24"/>
          <w:szCs w:val="24"/>
        </w:rPr>
        <w:t>Punonjësi përgjegjës për IT në Prokurori ____________________________________</w:t>
      </w:r>
    </w:p>
    <w:p w14:paraId="3C292555" w14:textId="77777777" w:rsidR="00F052F6" w:rsidRPr="002F5D3C" w:rsidRDefault="00F052F6" w:rsidP="00F052F6">
      <w:pPr>
        <w:spacing w:after="0" w:line="240" w:lineRule="auto"/>
        <w:ind w:firstLine="284"/>
        <w:rPr>
          <w:rFonts w:ascii="Garamond" w:hAnsi="Garamond" w:cs="Times New Roman"/>
          <w:b/>
          <w:iCs/>
          <w:color w:val="000000"/>
          <w:sz w:val="14"/>
          <w:szCs w:val="24"/>
        </w:rPr>
      </w:pPr>
    </w:p>
    <w:p w14:paraId="118A0AA5" w14:textId="77777777" w:rsidR="00F052F6" w:rsidRPr="003D5CE4" w:rsidRDefault="00F052F6" w:rsidP="00F052F6">
      <w:pPr>
        <w:spacing w:after="0" w:line="240" w:lineRule="auto"/>
        <w:ind w:firstLine="284"/>
        <w:rPr>
          <w:rFonts w:ascii="Garamond" w:hAnsi="Garamond" w:cs="Times New Roman"/>
          <w:b/>
          <w:iCs/>
          <w:color w:val="000000"/>
          <w:sz w:val="24"/>
          <w:szCs w:val="24"/>
        </w:rPr>
      </w:pPr>
      <w:r w:rsidRPr="003D5CE4">
        <w:rPr>
          <w:rFonts w:ascii="Garamond" w:hAnsi="Garamond" w:cs="Times New Roman"/>
          <w:b/>
          <w:iCs/>
          <w:color w:val="000000"/>
          <w:sz w:val="24"/>
          <w:szCs w:val="24"/>
        </w:rPr>
        <w:t>Anëtari i KVVEP ________________________________________________________</w:t>
      </w:r>
    </w:p>
    <w:p w14:paraId="77C70A78" w14:textId="77777777" w:rsidR="00F052F6" w:rsidRPr="002F5D3C" w:rsidRDefault="00F052F6" w:rsidP="00F052F6">
      <w:pPr>
        <w:spacing w:after="0" w:line="240" w:lineRule="auto"/>
        <w:ind w:firstLine="284"/>
        <w:rPr>
          <w:rFonts w:ascii="Garamond" w:hAnsi="Garamond" w:cs="Times New Roman"/>
          <w:b/>
          <w:iCs/>
          <w:color w:val="000000"/>
          <w:sz w:val="14"/>
          <w:szCs w:val="24"/>
        </w:rPr>
      </w:pPr>
    </w:p>
    <w:p w14:paraId="29E99615" w14:textId="77777777" w:rsidR="00F052F6" w:rsidRPr="003D5CE4" w:rsidRDefault="00F052F6" w:rsidP="00F052F6">
      <w:pPr>
        <w:spacing w:after="0" w:line="240" w:lineRule="auto"/>
        <w:ind w:firstLine="284"/>
        <w:rPr>
          <w:rFonts w:ascii="Garamond" w:hAnsi="Garamond" w:cs="Times New Roman"/>
          <w:b/>
          <w:iCs/>
          <w:color w:val="000000"/>
          <w:sz w:val="24"/>
          <w:szCs w:val="24"/>
        </w:rPr>
      </w:pPr>
      <w:r w:rsidRPr="003D5CE4">
        <w:rPr>
          <w:rFonts w:ascii="Garamond" w:hAnsi="Garamond" w:cs="Times New Roman"/>
          <w:b/>
          <w:iCs/>
          <w:color w:val="000000"/>
          <w:sz w:val="24"/>
          <w:szCs w:val="24"/>
        </w:rPr>
        <w:t>Prokurori/ja subjekt vlerësimi _______________________________________________</w:t>
      </w:r>
    </w:p>
    <w:p w14:paraId="012F5A1B" w14:textId="77777777" w:rsidR="00F052F6" w:rsidRPr="002F5D3C" w:rsidRDefault="00F052F6" w:rsidP="00F052F6">
      <w:pPr>
        <w:spacing w:after="0" w:line="240" w:lineRule="auto"/>
        <w:ind w:firstLine="284"/>
        <w:rPr>
          <w:rFonts w:ascii="Garamond" w:hAnsi="Garamond" w:cs="Times New Roman"/>
          <w:b/>
          <w:iCs/>
          <w:color w:val="000000"/>
          <w:sz w:val="14"/>
          <w:szCs w:val="24"/>
        </w:rPr>
      </w:pPr>
    </w:p>
    <w:p w14:paraId="10A07350" w14:textId="77777777" w:rsidR="00F052F6" w:rsidRPr="003D5CE4" w:rsidRDefault="00F052F6" w:rsidP="00F052F6">
      <w:pPr>
        <w:spacing w:after="0" w:line="240" w:lineRule="auto"/>
        <w:ind w:firstLine="284"/>
        <w:rPr>
          <w:rFonts w:ascii="Garamond" w:hAnsi="Garamond" w:cs="Times New Roman"/>
          <w:b/>
          <w:iCs/>
          <w:color w:val="000000"/>
          <w:sz w:val="24"/>
          <w:szCs w:val="24"/>
        </w:rPr>
      </w:pPr>
      <w:r w:rsidRPr="003D5CE4">
        <w:rPr>
          <w:rFonts w:ascii="Garamond" w:hAnsi="Garamond" w:cs="Times New Roman"/>
          <w:b/>
          <w:iCs/>
          <w:color w:val="000000"/>
          <w:sz w:val="24"/>
          <w:szCs w:val="24"/>
        </w:rPr>
        <w:t>Punonjësi përgjegjës për IT në KLP ________________________________________</w:t>
      </w:r>
    </w:p>
    <w:p w14:paraId="76746BB3" w14:textId="77777777" w:rsidR="00F052F6" w:rsidRPr="002F5D3C" w:rsidRDefault="00F052F6" w:rsidP="00F052F6">
      <w:pPr>
        <w:spacing w:after="0" w:line="240" w:lineRule="auto"/>
        <w:ind w:firstLine="284"/>
        <w:rPr>
          <w:rFonts w:ascii="Garamond" w:hAnsi="Garamond" w:cs="Times New Roman"/>
          <w:b/>
          <w:iCs/>
          <w:color w:val="000000"/>
          <w:sz w:val="14"/>
          <w:szCs w:val="24"/>
        </w:rPr>
      </w:pPr>
    </w:p>
    <w:p w14:paraId="6B549ABD" w14:textId="77777777" w:rsidR="00F052F6" w:rsidRPr="003D5CE4" w:rsidRDefault="00F052F6" w:rsidP="00F052F6">
      <w:pPr>
        <w:spacing w:after="0" w:line="240" w:lineRule="auto"/>
        <w:ind w:firstLine="284"/>
        <w:rPr>
          <w:rFonts w:ascii="Garamond" w:hAnsi="Garamond" w:cs="Times New Roman"/>
          <w:b/>
          <w:iCs/>
          <w:color w:val="000000"/>
          <w:sz w:val="24"/>
          <w:szCs w:val="24"/>
        </w:rPr>
      </w:pPr>
      <w:r w:rsidRPr="003D5CE4">
        <w:rPr>
          <w:rFonts w:ascii="Garamond" w:hAnsi="Garamond" w:cs="Times New Roman"/>
          <w:b/>
          <w:iCs/>
          <w:color w:val="000000"/>
          <w:sz w:val="24"/>
          <w:szCs w:val="24"/>
        </w:rPr>
        <w:t>Sekretare në Prokurori _____________________________________________________</w:t>
      </w:r>
    </w:p>
    <w:p w14:paraId="27C12BB0" w14:textId="77777777" w:rsidR="00F052F6" w:rsidRPr="003D5CE4" w:rsidRDefault="00F052F6" w:rsidP="00F052F6">
      <w:pPr>
        <w:autoSpaceDE w:val="0"/>
        <w:autoSpaceDN w:val="0"/>
        <w:adjustRightInd w:val="0"/>
        <w:spacing w:after="0" w:line="240" w:lineRule="auto"/>
        <w:ind w:firstLine="284"/>
        <w:rPr>
          <w:rFonts w:ascii="Garamond" w:hAnsi="Garamond" w:cs="Times New Roman"/>
          <w:color w:val="000000"/>
          <w:sz w:val="24"/>
          <w:szCs w:val="24"/>
          <w:lang w:eastAsia="sq-AL"/>
        </w:rPr>
      </w:pPr>
    </w:p>
    <w:p w14:paraId="4711F353"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16B0999C"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1001C313"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2EA57BBB"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1D8887E2"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19D19F81"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19E0C665"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5F27E2D0"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18352267"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49757EEB"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3B92CB5F"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0990D8BA"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14D7098D"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18961F9F"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5247CF7B" w14:textId="77777777" w:rsidR="00CE654F" w:rsidRDefault="00CE654F" w:rsidP="00F052F6">
      <w:pPr>
        <w:autoSpaceDE w:val="0"/>
        <w:autoSpaceDN w:val="0"/>
        <w:adjustRightInd w:val="0"/>
        <w:spacing w:after="0" w:line="240" w:lineRule="auto"/>
        <w:ind w:firstLine="284"/>
        <w:jc w:val="center"/>
        <w:rPr>
          <w:rFonts w:ascii="Garamond" w:hAnsi="Garamond" w:cs="Times New Roman"/>
          <w:bCs/>
          <w:color w:val="000000"/>
          <w:sz w:val="24"/>
          <w:szCs w:val="24"/>
          <w:lang w:eastAsia="sq-AL"/>
        </w:rPr>
      </w:pPr>
    </w:p>
    <w:p w14:paraId="38B5CF7C" w14:textId="77777777" w:rsidR="00F052F6" w:rsidRPr="00FD2F93" w:rsidRDefault="00F052F6" w:rsidP="00F052F6">
      <w:pPr>
        <w:autoSpaceDE w:val="0"/>
        <w:autoSpaceDN w:val="0"/>
        <w:adjustRightInd w:val="0"/>
        <w:spacing w:after="0" w:line="240" w:lineRule="auto"/>
        <w:ind w:firstLine="284"/>
        <w:jc w:val="center"/>
        <w:rPr>
          <w:rFonts w:ascii="Garamond" w:hAnsi="Garamond" w:cs="Times New Roman"/>
          <w:bCs/>
          <w:sz w:val="24"/>
          <w:szCs w:val="24"/>
          <w:lang w:eastAsia="sq-AL"/>
        </w:rPr>
      </w:pPr>
      <w:r w:rsidRPr="00FD2F93">
        <w:rPr>
          <w:rFonts w:ascii="Garamond" w:hAnsi="Garamond" w:cs="Times New Roman"/>
          <w:bCs/>
          <w:color w:val="000000"/>
          <w:sz w:val="24"/>
          <w:szCs w:val="24"/>
          <w:lang w:eastAsia="sq-AL"/>
        </w:rPr>
        <w:t>ANEKSI NR. 5</w:t>
      </w:r>
    </w:p>
    <w:p w14:paraId="31E5AC01" w14:textId="77777777" w:rsidR="00F052F6" w:rsidRPr="00FD2F93" w:rsidRDefault="00F052F6" w:rsidP="00F052F6">
      <w:pPr>
        <w:autoSpaceDE w:val="0"/>
        <w:autoSpaceDN w:val="0"/>
        <w:adjustRightInd w:val="0"/>
        <w:spacing w:after="0" w:line="240" w:lineRule="auto"/>
        <w:ind w:firstLine="284"/>
        <w:jc w:val="center"/>
        <w:rPr>
          <w:rFonts w:ascii="Garamond" w:hAnsi="Garamond" w:cs="Times New Roman"/>
          <w:bCs/>
          <w:caps/>
          <w:color w:val="000000"/>
          <w:sz w:val="24"/>
          <w:szCs w:val="24"/>
          <w:lang w:eastAsia="sq-AL"/>
        </w:rPr>
      </w:pPr>
      <w:r w:rsidRPr="00FD2F93">
        <w:rPr>
          <w:rFonts w:ascii="Garamond" w:hAnsi="Garamond" w:cs="Times New Roman"/>
          <w:bCs/>
          <w:caps/>
          <w:color w:val="000000"/>
          <w:sz w:val="24"/>
          <w:szCs w:val="24"/>
          <w:lang w:eastAsia="sq-AL"/>
        </w:rPr>
        <w:t>RAPORT ANALITIK</w:t>
      </w:r>
    </w:p>
    <w:p w14:paraId="530461AD" w14:textId="77777777" w:rsidR="00F052F6" w:rsidRPr="00FD2F93" w:rsidRDefault="00F052F6" w:rsidP="00F052F6">
      <w:pPr>
        <w:autoSpaceDE w:val="0"/>
        <w:autoSpaceDN w:val="0"/>
        <w:adjustRightInd w:val="0"/>
        <w:spacing w:after="0" w:line="240" w:lineRule="auto"/>
        <w:ind w:firstLine="284"/>
        <w:jc w:val="center"/>
        <w:rPr>
          <w:rFonts w:ascii="Garamond" w:hAnsi="Garamond" w:cs="Times New Roman"/>
          <w:bCs/>
          <w:caps/>
          <w:color w:val="000000"/>
          <w:sz w:val="24"/>
          <w:szCs w:val="24"/>
          <w:lang w:eastAsia="sq-AL"/>
        </w:rPr>
      </w:pPr>
      <w:r w:rsidRPr="00FD2F93">
        <w:rPr>
          <w:rFonts w:ascii="Garamond" w:hAnsi="Garamond" w:cs="Times New Roman"/>
          <w:bCs/>
          <w:caps/>
          <w:color w:val="000000"/>
          <w:sz w:val="24"/>
          <w:szCs w:val="24"/>
          <w:lang w:eastAsia="sq-AL"/>
        </w:rPr>
        <w:t>PËR VLERËSIMIN ETIK DHE PROFESIONAL</w:t>
      </w:r>
    </w:p>
    <w:p w14:paraId="6A241657" w14:textId="77777777" w:rsidR="00F052F6" w:rsidRPr="00FD2F93" w:rsidRDefault="00F052F6" w:rsidP="00F052F6">
      <w:pPr>
        <w:autoSpaceDE w:val="0"/>
        <w:autoSpaceDN w:val="0"/>
        <w:adjustRightInd w:val="0"/>
        <w:spacing w:after="0" w:line="240" w:lineRule="auto"/>
        <w:ind w:firstLine="284"/>
        <w:jc w:val="center"/>
        <w:rPr>
          <w:rFonts w:ascii="Garamond" w:hAnsi="Garamond" w:cs="Times New Roman"/>
          <w:bCs/>
          <w:caps/>
          <w:color w:val="000000"/>
          <w:sz w:val="24"/>
          <w:szCs w:val="24"/>
          <w:lang w:eastAsia="sq-AL"/>
        </w:rPr>
      </w:pPr>
      <w:r w:rsidRPr="00FD2F93">
        <w:rPr>
          <w:rFonts w:ascii="Garamond" w:hAnsi="Garamond" w:cs="Times New Roman"/>
          <w:bCs/>
          <w:caps/>
          <w:color w:val="000000"/>
          <w:sz w:val="24"/>
          <w:szCs w:val="24"/>
          <w:lang w:eastAsia="sq-AL"/>
        </w:rPr>
        <w:t>të prokurorit</w:t>
      </w:r>
    </w:p>
    <w:p w14:paraId="057A0869" w14:textId="77777777" w:rsidR="00F052F6" w:rsidRPr="003D5CE4" w:rsidRDefault="00F052F6" w:rsidP="00F052F6">
      <w:pPr>
        <w:autoSpaceDE w:val="0"/>
        <w:autoSpaceDN w:val="0"/>
        <w:adjustRightInd w:val="0"/>
        <w:spacing w:after="0" w:line="240" w:lineRule="auto"/>
        <w:ind w:firstLine="284"/>
        <w:jc w:val="center"/>
        <w:rPr>
          <w:rFonts w:ascii="Garamond" w:hAnsi="Garamond" w:cs="Times New Roman"/>
          <w:b/>
          <w:bCs/>
          <w:caps/>
          <w:color w:val="000000"/>
          <w:sz w:val="24"/>
          <w:szCs w:val="24"/>
          <w:lang w:eastAsia="sq-AL"/>
        </w:rPr>
      </w:pPr>
    </w:p>
    <w:p w14:paraId="35A160D6" w14:textId="77777777" w:rsidR="00F052F6" w:rsidRPr="003D5CE4" w:rsidRDefault="00F052F6" w:rsidP="00F052F6">
      <w:pPr>
        <w:tabs>
          <w:tab w:val="right" w:pos="8500"/>
        </w:tabs>
        <w:autoSpaceDE w:val="0"/>
        <w:autoSpaceDN w:val="0"/>
        <w:adjustRightInd w:val="0"/>
        <w:spacing w:after="0" w:line="240" w:lineRule="auto"/>
        <w:ind w:firstLine="284"/>
        <w:rPr>
          <w:rFonts w:ascii="Garamond" w:hAnsi="Garamond" w:cs="Times New Roman"/>
          <w:b/>
          <w:bCs/>
          <w:sz w:val="24"/>
          <w:szCs w:val="24"/>
          <w:lang w:eastAsia="sq-AL"/>
        </w:rPr>
      </w:pPr>
      <w:r w:rsidRPr="003D5CE4">
        <w:rPr>
          <w:rFonts w:ascii="Garamond" w:hAnsi="Garamond" w:cs="Times New Roman"/>
          <w:color w:val="1F4E79"/>
          <w:sz w:val="24"/>
          <w:szCs w:val="24"/>
          <w:lang w:eastAsia="sq-AL"/>
        </w:rPr>
        <w:t>MODEL</w:t>
      </w:r>
      <w:r w:rsidRPr="003D5CE4">
        <w:rPr>
          <w:rFonts w:ascii="Garamond" w:hAnsi="Garamond" w:cs="Times New Roman"/>
          <w:b/>
          <w:bCs/>
          <w:color w:val="000000"/>
          <w:sz w:val="24"/>
          <w:szCs w:val="24"/>
          <w:lang w:eastAsia="sq-AL"/>
        </w:rPr>
        <w:t xml:space="preserve"> Tiranë</w:t>
      </w:r>
      <w:r>
        <w:rPr>
          <w:rFonts w:ascii="Garamond" w:hAnsi="Garamond" w:cs="Times New Roman"/>
          <w:b/>
          <w:bCs/>
          <w:color w:val="000000"/>
          <w:sz w:val="24"/>
          <w:szCs w:val="24"/>
          <w:lang w:eastAsia="sq-AL"/>
        </w:rPr>
        <w:t>,</w:t>
      </w:r>
      <w:r w:rsidRPr="003D5CE4">
        <w:rPr>
          <w:rFonts w:ascii="Garamond" w:hAnsi="Garamond" w:cs="Times New Roman"/>
          <w:b/>
          <w:bCs/>
          <w:color w:val="000000"/>
          <w:sz w:val="24"/>
          <w:szCs w:val="24"/>
          <w:lang w:eastAsia="sq-AL"/>
        </w:rPr>
        <w:t xml:space="preserve"> më  __</w:t>
      </w:r>
      <w:r>
        <w:rPr>
          <w:rFonts w:ascii="Garamond" w:hAnsi="Garamond" w:cs="Times New Roman"/>
          <w:b/>
          <w:bCs/>
          <w:color w:val="000000"/>
          <w:sz w:val="24"/>
          <w:szCs w:val="24"/>
          <w:lang w:eastAsia="sq-AL"/>
        </w:rPr>
        <w:t>.</w:t>
      </w:r>
      <w:r w:rsidRPr="003D5CE4">
        <w:rPr>
          <w:rFonts w:ascii="Garamond" w:hAnsi="Garamond" w:cs="Times New Roman"/>
          <w:b/>
          <w:bCs/>
          <w:color w:val="000000"/>
          <w:sz w:val="24"/>
          <w:szCs w:val="24"/>
          <w:lang w:eastAsia="sq-AL"/>
        </w:rPr>
        <w:t>__</w:t>
      </w:r>
      <w:r>
        <w:rPr>
          <w:rFonts w:ascii="Garamond" w:hAnsi="Garamond" w:cs="Times New Roman"/>
          <w:b/>
          <w:bCs/>
          <w:color w:val="000000"/>
          <w:sz w:val="24"/>
          <w:szCs w:val="24"/>
          <w:lang w:eastAsia="sq-AL"/>
        </w:rPr>
        <w:t>.</w:t>
      </w:r>
      <w:r w:rsidRPr="003D5CE4">
        <w:rPr>
          <w:rFonts w:ascii="Garamond" w:hAnsi="Garamond" w:cs="Times New Roman"/>
          <w:b/>
          <w:bCs/>
          <w:color w:val="000000"/>
          <w:sz w:val="24"/>
          <w:szCs w:val="24"/>
          <w:lang w:eastAsia="sq-AL"/>
        </w:rPr>
        <w:t>20__</w:t>
      </w:r>
    </w:p>
    <w:p w14:paraId="0B0CD088" w14:textId="77777777" w:rsidR="00F052F6" w:rsidRPr="003D5CE4" w:rsidRDefault="00F052F6" w:rsidP="00F052F6">
      <w:pPr>
        <w:autoSpaceDE w:val="0"/>
        <w:autoSpaceDN w:val="0"/>
        <w:adjustRightInd w:val="0"/>
        <w:spacing w:after="0" w:line="240" w:lineRule="auto"/>
        <w:ind w:firstLine="284"/>
        <w:jc w:val="right"/>
        <w:rPr>
          <w:rFonts w:ascii="Garamond" w:hAnsi="Garamond" w:cs="Times New Roman"/>
          <w:b/>
          <w:bCs/>
          <w:sz w:val="24"/>
          <w:szCs w:val="24"/>
          <w:lang w:eastAsia="sq-AL"/>
        </w:rPr>
      </w:pPr>
    </w:p>
    <w:p w14:paraId="05A89C45" w14:textId="77777777" w:rsidR="00F052F6" w:rsidRPr="003D5CE4" w:rsidRDefault="00F052F6" w:rsidP="00F052F6">
      <w:pPr>
        <w:autoSpaceDE w:val="0"/>
        <w:autoSpaceDN w:val="0"/>
        <w:adjustRightInd w:val="0"/>
        <w:spacing w:after="0" w:line="240" w:lineRule="auto"/>
        <w:ind w:firstLine="284"/>
        <w:jc w:val="right"/>
        <w:rPr>
          <w:rFonts w:ascii="Garamond" w:hAnsi="Garamond" w:cs="Times New Roman"/>
          <w:b/>
          <w:bCs/>
          <w:sz w:val="24"/>
          <w:szCs w:val="24"/>
          <w:lang w:eastAsia="sq-AL"/>
        </w:rPr>
      </w:pPr>
      <w:r w:rsidRPr="003D5CE4">
        <w:rPr>
          <w:rFonts w:ascii="Garamond" w:hAnsi="Garamond" w:cs="Times New Roman"/>
          <w:b/>
          <w:bCs/>
          <w:sz w:val="24"/>
          <w:szCs w:val="24"/>
          <w:lang w:eastAsia="sq-AL"/>
        </w:rPr>
        <w:t>Përgatiti: ____________________</w:t>
      </w:r>
    </w:p>
    <w:p w14:paraId="307FB2A6"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caps/>
          <w:color w:val="000000"/>
          <w:sz w:val="24"/>
          <w:szCs w:val="24"/>
          <w:lang w:eastAsia="sq-AL"/>
        </w:rPr>
      </w:pPr>
    </w:p>
    <w:p w14:paraId="2DF54AE5" w14:textId="77777777" w:rsidR="00F052F6" w:rsidRPr="002F5D3C" w:rsidRDefault="00F052F6" w:rsidP="00F052F6">
      <w:pPr>
        <w:autoSpaceDE w:val="0"/>
        <w:autoSpaceDN w:val="0"/>
        <w:adjustRightInd w:val="0"/>
        <w:spacing w:after="0" w:line="240" w:lineRule="auto"/>
        <w:ind w:firstLine="284"/>
        <w:rPr>
          <w:rFonts w:ascii="Garamond" w:hAnsi="Garamond" w:cs="Times New Roman"/>
          <w:bCs/>
          <w:color w:val="000000"/>
          <w:sz w:val="24"/>
          <w:szCs w:val="24"/>
          <w:lang w:eastAsia="sq-AL"/>
        </w:rPr>
      </w:pPr>
      <w:r w:rsidRPr="002F5D3C">
        <w:rPr>
          <w:rFonts w:ascii="Garamond" w:hAnsi="Garamond" w:cs="Times New Roman"/>
          <w:bCs/>
          <w:color w:val="000000"/>
          <w:sz w:val="24"/>
          <w:szCs w:val="24"/>
          <w:lang w:eastAsia="sq-AL"/>
        </w:rPr>
        <w:t>NDARJA</w:t>
      </w:r>
      <w:r w:rsidRPr="002F5D3C">
        <w:rPr>
          <w:rStyle w:val="FootnoteReference"/>
          <w:rFonts w:ascii="Garamond" w:hAnsi="Garamond" w:cs="Times New Roman"/>
          <w:bCs/>
          <w:color w:val="000000"/>
          <w:sz w:val="24"/>
          <w:szCs w:val="24"/>
          <w:lang w:eastAsia="sq-AL"/>
        </w:rPr>
        <w:footnoteReference w:id="6"/>
      </w:r>
      <w:r w:rsidRPr="002F5D3C">
        <w:rPr>
          <w:rFonts w:ascii="Garamond" w:hAnsi="Garamond" w:cs="Times New Roman"/>
          <w:bCs/>
          <w:color w:val="000000"/>
          <w:position w:val="7"/>
          <w:sz w:val="24"/>
          <w:szCs w:val="24"/>
          <w:lang w:eastAsia="sq-AL"/>
        </w:rPr>
        <w:t xml:space="preserve"> </w:t>
      </w:r>
      <w:r w:rsidRPr="002F5D3C">
        <w:rPr>
          <w:rFonts w:ascii="Garamond" w:hAnsi="Garamond" w:cs="Times New Roman"/>
          <w:bCs/>
          <w:color w:val="000000"/>
          <w:sz w:val="24"/>
          <w:szCs w:val="24"/>
          <w:lang w:eastAsia="sq-AL"/>
        </w:rPr>
        <w:t xml:space="preserve">A </w:t>
      </w:r>
    </w:p>
    <w:p w14:paraId="3646FCB2" w14:textId="77777777" w:rsidR="00F052F6" w:rsidRPr="002F5D3C" w:rsidRDefault="00F052F6" w:rsidP="00F052F6">
      <w:pPr>
        <w:autoSpaceDE w:val="0"/>
        <w:autoSpaceDN w:val="0"/>
        <w:adjustRightInd w:val="0"/>
        <w:spacing w:after="0" w:line="240" w:lineRule="auto"/>
        <w:ind w:firstLine="284"/>
        <w:rPr>
          <w:rFonts w:ascii="Garamond" w:hAnsi="Garamond" w:cs="Times New Roman"/>
          <w:bCs/>
          <w:color w:val="000000"/>
          <w:sz w:val="24"/>
          <w:szCs w:val="24"/>
          <w:lang w:eastAsia="sq-AL"/>
        </w:rPr>
      </w:pPr>
      <w:r w:rsidRPr="002F5D3C">
        <w:rPr>
          <w:rFonts w:ascii="Garamond" w:hAnsi="Garamond" w:cs="Times New Roman"/>
          <w:bCs/>
          <w:color w:val="000000"/>
          <w:sz w:val="24"/>
          <w:szCs w:val="24"/>
          <w:lang w:eastAsia="sq-AL"/>
        </w:rPr>
        <w:t>TË DHËNAT E PROKURORIT</w:t>
      </w:r>
    </w:p>
    <w:p w14:paraId="5C5919C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1F4E79"/>
          <w:sz w:val="24"/>
          <w:szCs w:val="24"/>
          <w:lang w:eastAsia="sq-AL"/>
        </w:rPr>
      </w:pPr>
      <w:r w:rsidRPr="003D5CE4">
        <w:rPr>
          <w:rFonts w:ascii="Garamond" w:hAnsi="Garamond" w:cs="Times New Roman"/>
          <w:b/>
          <w:bCs/>
          <w:i/>
          <w:iCs/>
          <w:color w:val="1F4E79"/>
          <w:sz w:val="24"/>
          <w:szCs w:val="24"/>
          <w:lang w:eastAsia="sq-AL"/>
        </w:rPr>
        <w:t>Në këtë rubrikë plotësohen të dhënat personale të prokurorit, të dhënat për prokurorinë ku ushtron funksionin, seksionin dhe periudhën e vlerësimit.</w:t>
      </w:r>
    </w:p>
    <w:p w14:paraId="613E83FD" w14:textId="77777777" w:rsidR="00F052F6" w:rsidRPr="002F5D3C" w:rsidRDefault="00F052F6" w:rsidP="00F052F6">
      <w:pPr>
        <w:autoSpaceDE w:val="0"/>
        <w:autoSpaceDN w:val="0"/>
        <w:adjustRightInd w:val="0"/>
        <w:spacing w:after="0" w:line="240" w:lineRule="auto"/>
        <w:ind w:firstLine="284"/>
        <w:jc w:val="both"/>
        <w:rPr>
          <w:rFonts w:ascii="Garamond" w:hAnsi="Garamond" w:cs="Times New Roman"/>
          <w:b/>
          <w:bCs/>
          <w:color w:val="000000"/>
          <w:sz w:val="14"/>
          <w:szCs w:val="24"/>
          <w:lang w:eastAsia="sq-AL"/>
        </w:rPr>
      </w:pPr>
    </w:p>
    <w:p w14:paraId="365A708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 xml:space="preserve">Emri:     </w:t>
      </w:r>
      <w:r w:rsidRPr="003D5CE4">
        <w:rPr>
          <w:rFonts w:ascii="Garamond" w:hAnsi="Garamond" w:cs="Times New Roman"/>
          <w:color w:val="000000"/>
          <w:sz w:val="24"/>
          <w:szCs w:val="24"/>
          <w:lang w:eastAsia="sq-AL"/>
        </w:rPr>
        <w:t xml:space="preserve">   </w:t>
      </w:r>
    </w:p>
    <w:p w14:paraId="469CC3CA" w14:textId="77777777" w:rsidR="00F052F6" w:rsidRPr="002F5D3C" w:rsidRDefault="00F052F6" w:rsidP="00F052F6">
      <w:pPr>
        <w:autoSpaceDE w:val="0"/>
        <w:autoSpaceDN w:val="0"/>
        <w:adjustRightInd w:val="0"/>
        <w:spacing w:after="0" w:line="240" w:lineRule="auto"/>
        <w:ind w:firstLine="284"/>
        <w:jc w:val="both"/>
        <w:rPr>
          <w:rFonts w:ascii="Garamond" w:hAnsi="Garamond" w:cs="Times New Roman"/>
          <w:color w:val="000000"/>
          <w:sz w:val="14"/>
          <w:szCs w:val="24"/>
          <w:lang w:eastAsia="sq-AL"/>
        </w:rPr>
      </w:pPr>
    </w:p>
    <w:p w14:paraId="070FEBD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 xml:space="preserve">Mbiemri:   </w:t>
      </w:r>
      <w:r w:rsidRPr="003D5CE4">
        <w:rPr>
          <w:rFonts w:ascii="Garamond" w:hAnsi="Garamond" w:cs="Times New Roman"/>
          <w:color w:val="000000"/>
          <w:sz w:val="24"/>
          <w:szCs w:val="24"/>
          <w:lang w:eastAsia="sq-AL"/>
        </w:rPr>
        <w:t xml:space="preserve">   </w:t>
      </w:r>
    </w:p>
    <w:p w14:paraId="08D62C5C" w14:textId="77777777" w:rsidR="00F052F6" w:rsidRPr="002F5D3C" w:rsidRDefault="00F052F6" w:rsidP="00F052F6">
      <w:pPr>
        <w:autoSpaceDE w:val="0"/>
        <w:autoSpaceDN w:val="0"/>
        <w:adjustRightInd w:val="0"/>
        <w:spacing w:after="0" w:line="240" w:lineRule="auto"/>
        <w:ind w:firstLine="284"/>
        <w:jc w:val="both"/>
        <w:rPr>
          <w:rFonts w:ascii="Garamond" w:hAnsi="Garamond" w:cs="Times New Roman"/>
          <w:color w:val="000000"/>
          <w:sz w:val="14"/>
          <w:szCs w:val="24"/>
          <w:lang w:eastAsia="sq-AL"/>
        </w:rPr>
      </w:pPr>
    </w:p>
    <w:p w14:paraId="1B7075D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 xml:space="preserve">Datëlindja:   </w:t>
      </w:r>
    </w:p>
    <w:p w14:paraId="44650687" w14:textId="77777777" w:rsidR="00F052F6" w:rsidRPr="002F5D3C" w:rsidRDefault="00F052F6" w:rsidP="00F052F6">
      <w:pPr>
        <w:autoSpaceDE w:val="0"/>
        <w:autoSpaceDN w:val="0"/>
        <w:adjustRightInd w:val="0"/>
        <w:spacing w:after="0" w:line="240" w:lineRule="auto"/>
        <w:ind w:firstLine="284"/>
        <w:jc w:val="both"/>
        <w:rPr>
          <w:rFonts w:ascii="Garamond" w:hAnsi="Garamond" w:cs="Times New Roman"/>
          <w:b/>
          <w:bCs/>
          <w:color w:val="000000"/>
          <w:sz w:val="14"/>
          <w:szCs w:val="24"/>
          <w:lang w:eastAsia="sq-AL"/>
        </w:rPr>
      </w:pPr>
    </w:p>
    <w:p w14:paraId="72B851F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 xml:space="preserve">Vendbanimi:   </w:t>
      </w:r>
    </w:p>
    <w:p w14:paraId="242C6FC8" w14:textId="77777777" w:rsidR="00F052F6" w:rsidRPr="002F5D3C" w:rsidRDefault="00F052F6" w:rsidP="00F052F6">
      <w:pPr>
        <w:autoSpaceDE w:val="0"/>
        <w:autoSpaceDN w:val="0"/>
        <w:adjustRightInd w:val="0"/>
        <w:spacing w:after="0" w:line="240" w:lineRule="auto"/>
        <w:ind w:firstLine="284"/>
        <w:jc w:val="both"/>
        <w:rPr>
          <w:rFonts w:ascii="Garamond" w:hAnsi="Garamond" w:cs="Times New Roman"/>
          <w:b/>
          <w:bCs/>
          <w:color w:val="000000"/>
          <w:sz w:val="14"/>
          <w:szCs w:val="24"/>
          <w:lang w:eastAsia="sq-AL"/>
        </w:rPr>
      </w:pPr>
    </w:p>
    <w:p w14:paraId="57C90E6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FF"/>
          <w:sz w:val="24"/>
          <w:szCs w:val="24"/>
          <w:u w:val="single"/>
          <w:lang w:eastAsia="sq-AL"/>
        </w:rPr>
      </w:pPr>
      <w:r w:rsidRPr="003D5CE4">
        <w:rPr>
          <w:rFonts w:ascii="Garamond" w:hAnsi="Garamond" w:cs="Times New Roman"/>
          <w:b/>
          <w:bCs/>
          <w:color w:val="000000"/>
          <w:sz w:val="24"/>
          <w:szCs w:val="24"/>
          <w:lang w:eastAsia="sq-AL"/>
        </w:rPr>
        <w:t xml:space="preserve">Adresa e e-mail-it zyrtar: </w:t>
      </w:r>
    </w:p>
    <w:p w14:paraId="573AF2A4" w14:textId="77777777" w:rsidR="00F052F6" w:rsidRPr="002F5D3C" w:rsidRDefault="00F052F6" w:rsidP="00F052F6">
      <w:pPr>
        <w:autoSpaceDE w:val="0"/>
        <w:autoSpaceDN w:val="0"/>
        <w:adjustRightInd w:val="0"/>
        <w:spacing w:after="0" w:line="240" w:lineRule="auto"/>
        <w:ind w:firstLine="284"/>
        <w:jc w:val="both"/>
        <w:rPr>
          <w:rFonts w:ascii="Garamond" w:hAnsi="Garamond" w:cs="Times New Roman"/>
          <w:color w:val="0000FF"/>
          <w:sz w:val="14"/>
          <w:szCs w:val="24"/>
          <w:u w:val="single"/>
          <w:lang w:eastAsia="sq-AL"/>
        </w:rPr>
      </w:pPr>
    </w:p>
    <w:p w14:paraId="0B7B5A4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 xml:space="preserve">Adresa e e-mail-it privat: </w:t>
      </w:r>
    </w:p>
    <w:p w14:paraId="1642B0A2" w14:textId="77777777" w:rsidR="00F052F6" w:rsidRPr="002F5D3C" w:rsidRDefault="00F052F6" w:rsidP="00F052F6">
      <w:pPr>
        <w:autoSpaceDE w:val="0"/>
        <w:autoSpaceDN w:val="0"/>
        <w:adjustRightInd w:val="0"/>
        <w:spacing w:after="0" w:line="240" w:lineRule="auto"/>
        <w:ind w:firstLine="284"/>
        <w:jc w:val="both"/>
        <w:rPr>
          <w:rFonts w:ascii="Garamond" w:hAnsi="Garamond" w:cs="Times New Roman"/>
          <w:color w:val="000000"/>
          <w:sz w:val="14"/>
          <w:szCs w:val="24"/>
          <w:lang w:eastAsia="sq-AL"/>
        </w:rPr>
      </w:pPr>
    </w:p>
    <w:p w14:paraId="177EE6B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Numër telefoni:</w:t>
      </w:r>
      <w:r w:rsidRPr="003D5CE4">
        <w:rPr>
          <w:rFonts w:ascii="Garamond" w:hAnsi="Garamond" w:cs="Times New Roman"/>
          <w:color w:val="000000"/>
          <w:sz w:val="24"/>
          <w:szCs w:val="24"/>
          <w:lang w:eastAsia="sq-AL"/>
        </w:rPr>
        <w:t xml:space="preserve">  </w:t>
      </w:r>
    </w:p>
    <w:p w14:paraId="7A667064" w14:textId="77777777" w:rsidR="00F052F6" w:rsidRPr="002F5D3C" w:rsidRDefault="00F052F6" w:rsidP="00F052F6">
      <w:pPr>
        <w:autoSpaceDE w:val="0"/>
        <w:autoSpaceDN w:val="0"/>
        <w:adjustRightInd w:val="0"/>
        <w:spacing w:after="0" w:line="240" w:lineRule="auto"/>
        <w:ind w:firstLine="284"/>
        <w:jc w:val="both"/>
        <w:rPr>
          <w:rFonts w:ascii="Garamond" w:hAnsi="Garamond" w:cs="Times New Roman"/>
          <w:b/>
          <w:bCs/>
          <w:color w:val="000000"/>
          <w:sz w:val="14"/>
          <w:szCs w:val="24"/>
          <w:lang w:eastAsia="sq-AL"/>
        </w:rPr>
      </w:pPr>
    </w:p>
    <w:p w14:paraId="46F2B21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 xml:space="preserve">Prokuroria: </w:t>
      </w:r>
    </w:p>
    <w:p w14:paraId="67A66595" w14:textId="77777777" w:rsidR="00F052F6" w:rsidRPr="002F5D3C" w:rsidRDefault="00F052F6" w:rsidP="00F052F6">
      <w:pPr>
        <w:autoSpaceDE w:val="0"/>
        <w:autoSpaceDN w:val="0"/>
        <w:adjustRightInd w:val="0"/>
        <w:spacing w:after="0" w:line="240" w:lineRule="auto"/>
        <w:ind w:firstLine="284"/>
        <w:jc w:val="both"/>
        <w:rPr>
          <w:rFonts w:ascii="Garamond" w:hAnsi="Garamond" w:cs="Times New Roman"/>
          <w:b/>
          <w:bCs/>
          <w:color w:val="000000"/>
          <w:sz w:val="14"/>
          <w:szCs w:val="24"/>
          <w:lang w:eastAsia="sq-AL"/>
        </w:rPr>
      </w:pPr>
    </w:p>
    <w:p w14:paraId="7593E76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 xml:space="preserve">Funksioni:  </w:t>
      </w:r>
    </w:p>
    <w:p w14:paraId="46227327" w14:textId="77777777" w:rsidR="00F052F6" w:rsidRPr="002F5D3C" w:rsidRDefault="00F052F6" w:rsidP="00F052F6">
      <w:pPr>
        <w:autoSpaceDE w:val="0"/>
        <w:autoSpaceDN w:val="0"/>
        <w:adjustRightInd w:val="0"/>
        <w:spacing w:after="0" w:line="240" w:lineRule="auto"/>
        <w:ind w:firstLine="284"/>
        <w:jc w:val="both"/>
        <w:rPr>
          <w:rFonts w:ascii="Garamond" w:hAnsi="Garamond" w:cs="Times New Roman"/>
          <w:b/>
          <w:bCs/>
          <w:color w:val="000000"/>
          <w:sz w:val="14"/>
          <w:szCs w:val="24"/>
          <w:lang w:eastAsia="sq-AL"/>
        </w:rPr>
      </w:pPr>
      <w:r w:rsidRPr="002F5D3C">
        <w:rPr>
          <w:rFonts w:ascii="Garamond" w:hAnsi="Garamond" w:cs="Times New Roman"/>
          <w:b/>
          <w:bCs/>
          <w:color w:val="000000"/>
          <w:sz w:val="14"/>
          <w:szCs w:val="24"/>
          <w:lang w:eastAsia="sq-AL"/>
        </w:rPr>
        <w:t xml:space="preserve"> </w:t>
      </w:r>
    </w:p>
    <w:p w14:paraId="32A8735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Seksioni:</w:t>
      </w:r>
    </w:p>
    <w:p w14:paraId="035C9D3B" w14:textId="77777777" w:rsidR="00F052F6" w:rsidRPr="002F5D3C" w:rsidRDefault="00F052F6" w:rsidP="00F052F6">
      <w:pPr>
        <w:autoSpaceDE w:val="0"/>
        <w:autoSpaceDN w:val="0"/>
        <w:adjustRightInd w:val="0"/>
        <w:spacing w:after="0" w:line="240" w:lineRule="auto"/>
        <w:ind w:firstLine="284"/>
        <w:jc w:val="both"/>
        <w:rPr>
          <w:rFonts w:ascii="Garamond" w:hAnsi="Garamond" w:cs="Times New Roman"/>
          <w:color w:val="000000"/>
          <w:sz w:val="14"/>
          <w:szCs w:val="24"/>
          <w:lang w:eastAsia="sq-AL"/>
        </w:rPr>
      </w:pPr>
    </w:p>
    <w:p w14:paraId="130899C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Periudha e vlerësimit:</w:t>
      </w:r>
    </w:p>
    <w:p w14:paraId="4BFF593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p>
    <w:p w14:paraId="1E0EF74A" w14:textId="77777777" w:rsidR="00F052F6" w:rsidRPr="002F5D3C" w:rsidRDefault="00F052F6"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r w:rsidRPr="002F5D3C">
        <w:rPr>
          <w:rFonts w:ascii="Garamond" w:hAnsi="Garamond" w:cs="Times New Roman"/>
          <w:bCs/>
          <w:color w:val="000000"/>
          <w:sz w:val="24"/>
          <w:szCs w:val="24"/>
          <w:lang w:eastAsia="sq-AL"/>
        </w:rPr>
        <w:t>NDARJA B</w:t>
      </w:r>
    </w:p>
    <w:p w14:paraId="3F3196F8" w14:textId="77777777" w:rsidR="00F052F6" w:rsidRPr="002F5D3C" w:rsidRDefault="00F052F6"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r w:rsidRPr="002F5D3C">
        <w:rPr>
          <w:rFonts w:ascii="Garamond" w:hAnsi="Garamond" w:cs="Times New Roman"/>
          <w:bCs/>
          <w:color w:val="000000"/>
          <w:sz w:val="24"/>
          <w:szCs w:val="24"/>
          <w:lang w:eastAsia="sq-AL"/>
        </w:rPr>
        <w:t xml:space="preserve">QËLLIMI </w:t>
      </w:r>
    </w:p>
    <w:p w14:paraId="6C796DB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1F4E79"/>
          <w:sz w:val="24"/>
          <w:szCs w:val="24"/>
          <w:lang w:eastAsia="sq-AL"/>
        </w:rPr>
      </w:pPr>
      <w:r w:rsidRPr="003D5CE4">
        <w:rPr>
          <w:rFonts w:ascii="Garamond" w:hAnsi="Garamond" w:cs="Times New Roman"/>
          <w:b/>
          <w:bCs/>
          <w:i/>
          <w:iCs/>
          <w:color w:val="1F4E79"/>
          <w:sz w:val="24"/>
          <w:szCs w:val="24"/>
          <w:lang w:eastAsia="sq-AL"/>
        </w:rPr>
        <w:t xml:space="preserve">Raporti analitik i përgatitur nga këshilltari përgjegjës për vlerësimin është një raport ndihmës në procesin e vlerësimit etik dhe profesional të prokurorit, i cili ka për qëllim renditjen e të gjitha burimeve të marra gjatë procedurës së vlerësimit, paraqitjen e të dhënave që rezultojnë nga burimet e vlerësimit duke i përshkruar dhe/ose analizuar, në varësi të treguesve për çdo kriter vlerësimi. Ky raport shoqëron projektraportin e vlerësimit të prokurorit. </w:t>
      </w:r>
    </w:p>
    <w:p w14:paraId="0972626B" w14:textId="77777777" w:rsidR="00F052F6"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p>
    <w:p w14:paraId="0436560D" w14:textId="77777777" w:rsidR="00F052F6" w:rsidRPr="009029EE" w:rsidRDefault="00F052F6"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r w:rsidRPr="009029EE">
        <w:rPr>
          <w:rFonts w:ascii="Garamond" w:hAnsi="Garamond" w:cs="Times New Roman"/>
          <w:bCs/>
          <w:color w:val="000000"/>
          <w:sz w:val="24"/>
          <w:szCs w:val="24"/>
          <w:lang w:eastAsia="sq-AL"/>
        </w:rPr>
        <w:t xml:space="preserve">NDARJA C </w:t>
      </w:r>
    </w:p>
    <w:p w14:paraId="338FE686" w14:textId="77777777" w:rsidR="00F052F6" w:rsidRPr="009029EE" w:rsidRDefault="00F052F6"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r w:rsidRPr="009029EE">
        <w:rPr>
          <w:rFonts w:ascii="Garamond" w:hAnsi="Garamond" w:cs="Times New Roman"/>
          <w:bCs/>
          <w:color w:val="000000"/>
          <w:sz w:val="24"/>
          <w:szCs w:val="24"/>
          <w:lang w:eastAsia="sq-AL"/>
        </w:rPr>
        <w:t>BURIMET E VLERËSIMIT</w:t>
      </w:r>
    </w:p>
    <w:p w14:paraId="328B663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1F4E79"/>
          <w:sz w:val="24"/>
          <w:szCs w:val="24"/>
          <w:lang w:eastAsia="sq-AL"/>
        </w:rPr>
      </w:pPr>
      <w:r w:rsidRPr="003D5CE4">
        <w:rPr>
          <w:rFonts w:ascii="Garamond" w:hAnsi="Garamond" w:cs="Times New Roman"/>
          <w:b/>
          <w:bCs/>
          <w:i/>
          <w:iCs/>
          <w:color w:val="1F4E79"/>
          <w:sz w:val="24"/>
          <w:szCs w:val="24"/>
          <w:lang w:eastAsia="sq-AL"/>
        </w:rPr>
        <w:t xml:space="preserve">Në këtë rubrikë listohen burimet e vlerësimit sipas parashikimeve të nenit 77, të </w:t>
      </w:r>
      <w:r>
        <w:rPr>
          <w:rFonts w:ascii="Garamond" w:hAnsi="Garamond" w:cs="Times New Roman"/>
          <w:b/>
          <w:bCs/>
          <w:i/>
          <w:iCs/>
          <w:color w:val="1F4E79"/>
          <w:sz w:val="24"/>
          <w:szCs w:val="24"/>
          <w:lang w:eastAsia="sq-AL"/>
        </w:rPr>
        <w:t>l</w:t>
      </w:r>
      <w:r w:rsidRPr="003D5CE4">
        <w:rPr>
          <w:rFonts w:ascii="Garamond" w:hAnsi="Garamond" w:cs="Times New Roman"/>
          <w:b/>
          <w:bCs/>
          <w:i/>
          <w:iCs/>
          <w:color w:val="1F4E79"/>
          <w:sz w:val="24"/>
          <w:szCs w:val="24"/>
          <w:lang w:eastAsia="sq-AL"/>
        </w:rPr>
        <w:t xml:space="preserve">igjit </w:t>
      </w:r>
      <w:r>
        <w:rPr>
          <w:rFonts w:ascii="Garamond" w:hAnsi="Garamond" w:cs="Times New Roman"/>
          <w:b/>
          <w:bCs/>
          <w:i/>
          <w:iCs/>
          <w:color w:val="1F4E79"/>
          <w:sz w:val="24"/>
          <w:szCs w:val="24"/>
          <w:lang w:eastAsia="sq-AL"/>
        </w:rPr>
        <w:t>p</w:t>
      </w:r>
      <w:r w:rsidRPr="003D5CE4">
        <w:rPr>
          <w:rFonts w:ascii="Garamond" w:hAnsi="Garamond" w:cs="Times New Roman"/>
          <w:b/>
          <w:bCs/>
          <w:i/>
          <w:iCs/>
          <w:color w:val="1F4E79"/>
          <w:sz w:val="24"/>
          <w:szCs w:val="24"/>
          <w:lang w:eastAsia="sq-AL"/>
        </w:rPr>
        <w:t xml:space="preserve">ër </w:t>
      </w:r>
      <w:r>
        <w:rPr>
          <w:rFonts w:ascii="Garamond" w:hAnsi="Garamond" w:cs="Times New Roman"/>
          <w:b/>
          <w:bCs/>
          <w:i/>
          <w:iCs/>
          <w:color w:val="1F4E79"/>
          <w:sz w:val="24"/>
          <w:szCs w:val="24"/>
          <w:lang w:eastAsia="sq-AL"/>
        </w:rPr>
        <w:t>s</w:t>
      </w:r>
      <w:r w:rsidRPr="003D5CE4">
        <w:rPr>
          <w:rFonts w:ascii="Garamond" w:hAnsi="Garamond" w:cs="Times New Roman"/>
          <w:b/>
          <w:bCs/>
          <w:i/>
          <w:iCs/>
          <w:color w:val="1F4E79"/>
          <w:sz w:val="24"/>
          <w:szCs w:val="24"/>
          <w:lang w:eastAsia="sq-AL"/>
        </w:rPr>
        <w:t>tatusin, të individualizuara për prokurorin për të cilin hartohet raporti analitik.</w:t>
      </w:r>
    </w:p>
    <w:p w14:paraId="28DC328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9029EE">
        <w:rPr>
          <w:rFonts w:ascii="Garamond" w:hAnsi="Garamond" w:cs="Times New Roman"/>
          <w:bCs/>
          <w:color w:val="000000"/>
          <w:sz w:val="24"/>
          <w:szCs w:val="24"/>
          <w:lang w:eastAsia="sq-AL"/>
        </w:rPr>
        <w:t>1.</w:t>
      </w:r>
      <w:r w:rsidRPr="003D5CE4">
        <w:rPr>
          <w:rFonts w:ascii="Garamond" w:hAnsi="Garamond" w:cs="Times New Roman"/>
          <w:b/>
          <w:bCs/>
          <w:color w:val="000000"/>
          <w:sz w:val="24"/>
          <w:szCs w:val="24"/>
          <w:lang w:eastAsia="sq-AL"/>
        </w:rPr>
        <w:t xml:space="preserve"> </w:t>
      </w:r>
      <w:r w:rsidRPr="003D5CE4">
        <w:rPr>
          <w:rFonts w:ascii="Garamond" w:hAnsi="Garamond" w:cs="Times New Roman"/>
          <w:color w:val="000000"/>
          <w:sz w:val="24"/>
          <w:szCs w:val="24"/>
          <w:lang w:eastAsia="sq-AL"/>
        </w:rPr>
        <w:t>Burimi 1</w:t>
      </w:r>
      <w:r>
        <w:rPr>
          <w:rFonts w:ascii="Garamond" w:hAnsi="Garamond" w:cs="Times New Roman"/>
          <w:color w:val="000000"/>
          <w:sz w:val="24"/>
          <w:szCs w:val="24"/>
          <w:lang w:eastAsia="sq-AL"/>
        </w:rPr>
        <w:t>;</w:t>
      </w:r>
    </w:p>
    <w:p w14:paraId="228B3EE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9029EE">
        <w:rPr>
          <w:rFonts w:ascii="Garamond" w:hAnsi="Garamond" w:cs="Times New Roman"/>
          <w:bCs/>
          <w:color w:val="000000"/>
          <w:sz w:val="24"/>
          <w:szCs w:val="24"/>
          <w:lang w:eastAsia="sq-AL"/>
        </w:rPr>
        <w:t>2.</w:t>
      </w:r>
      <w:r w:rsidRPr="003D5CE4">
        <w:rPr>
          <w:rFonts w:ascii="Garamond" w:hAnsi="Garamond" w:cs="Times New Roman"/>
          <w:b/>
          <w:bCs/>
          <w:color w:val="000000"/>
          <w:sz w:val="24"/>
          <w:szCs w:val="24"/>
          <w:lang w:eastAsia="sq-AL"/>
        </w:rPr>
        <w:t xml:space="preserve"> </w:t>
      </w:r>
      <w:r w:rsidRPr="003D5CE4">
        <w:rPr>
          <w:rFonts w:ascii="Garamond" w:hAnsi="Garamond" w:cs="Times New Roman"/>
          <w:color w:val="000000"/>
          <w:sz w:val="24"/>
          <w:szCs w:val="24"/>
          <w:lang w:eastAsia="sq-AL"/>
        </w:rPr>
        <w:t>Burimi 2</w:t>
      </w:r>
      <w:r>
        <w:rPr>
          <w:rFonts w:ascii="Garamond" w:hAnsi="Garamond" w:cs="Times New Roman"/>
          <w:color w:val="000000"/>
          <w:sz w:val="24"/>
          <w:szCs w:val="24"/>
          <w:lang w:eastAsia="sq-AL"/>
        </w:rPr>
        <w:t>;</w:t>
      </w:r>
    </w:p>
    <w:p w14:paraId="52F835C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9029EE">
        <w:rPr>
          <w:rFonts w:ascii="Garamond" w:hAnsi="Garamond" w:cs="Times New Roman"/>
          <w:bCs/>
          <w:color w:val="000000"/>
          <w:sz w:val="24"/>
          <w:szCs w:val="24"/>
          <w:lang w:eastAsia="sq-AL"/>
        </w:rPr>
        <w:t>3.</w:t>
      </w:r>
      <w:r w:rsidRPr="003D5CE4">
        <w:rPr>
          <w:rFonts w:ascii="Garamond" w:hAnsi="Garamond" w:cs="Times New Roman"/>
          <w:b/>
          <w:bCs/>
          <w:color w:val="000000"/>
          <w:sz w:val="24"/>
          <w:szCs w:val="24"/>
          <w:lang w:eastAsia="sq-AL"/>
        </w:rPr>
        <w:t xml:space="preserve"> </w:t>
      </w:r>
      <w:r w:rsidRPr="003D5CE4">
        <w:rPr>
          <w:rFonts w:ascii="Garamond" w:hAnsi="Garamond" w:cs="Times New Roman"/>
          <w:color w:val="000000"/>
          <w:sz w:val="24"/>
          <w:szCs w:val="24"/>
          <w:lang w:eastAsia="sq-AL"/>
        </w:rPr>
        <w:t>Burimi 3</w:t>
      </w:r>
      <w:r>
        <w:rPr>
          <w:rFonts w:ascii="Garamond" w:hAnsi="Garamond" w:cs="Times New Roman"/>
          <w:color w:val="000000"/>
          <w:sz w:val="24"/>
          <w:szCs w:val="24"/>
          <w:lang w:eastAsia="sq-AL"/>
        </w:rPr>
        <w:t>;</w:t>
      </w:r>
    </w:p>
    <w:p w14:paraId="1733C65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9029EE">
        <w:rPr>
          <w:rFonts w:ascii="Garamond" w:hAnsi="Garamond" w:cs="Times New Roman"/>
          <w:bCs/>
          <w:color w:val="000000"/>
          <w:sz w:val="24"/>
          <w:szCs w:val="24"/>
          <w:lang w:eastAsia="sq-AL"/>
        </w:rPr>
        <w:t>4.</w:t>
      </w:r>
      <w:r w:rsidRPr="003D5CE4">
        <w:rPr>
          <w:rFonts w:ascii="Garamond" w:hAnsi="Garamond" w:cs="Times New Roman"/>
          <w:b/>
          <w:bCs/>
          <w:color w:val="000000"/>
          <w:sz w:val="24"/>
          <w:szCs w:val="24"/>
          <w:lang w:eastAsia="sq-AL"/>
        </w:rPr>
        <w:t xml:space="preserve"> </w:t>
      </w:r>
      <w:r w:rsidRPr="003D5CE4">
        <w:rPr>
          <w:rFonts w:ascii="Garamond" w:hAnsi="Garamond" w:cs="Times New Roman"/>
          <w:color w:val="000000"/>
          <w:sz w:val="24"/>
          <w:szCs w:val="24"/>
          <w:lang w:eastAsia="sq-AL"/>
        </w:rPr>
        <w:t>…</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384C0604" w14:textId="77777777" w:rsidR="00F052F6" w:rsidRDefault="00F052F6" w:rsidP="00F052F6">
      <w:pPr>
        <w:autoSpaceDE w:val="0"/>
        <w:autoSpaceDN w:val="0"/>
        <w:adjustRightInd w:val="0"/>
        <w:spacing w:after="0" w:line="240" w:lineRule="auto"/>
        <w:ind w:firstLine="284"/>
        <w:rPr>
          <w:rFonts w:ascii="Garamond" w:hAnsi="Garamond" w:cs="Times New Roman"/>
          <w:b/>
          <w:bCs/>
          <w:color w:val="000000"/>
          <w:sz w:val="24"/>
          <w:szCs w:val="24"/>
          <w:lang w:eastAsia="sq-AL"/>
        </w:rPr>
      </w:pPr>
    </w:p>
    <w:p w14:paraId="578F9334" w14:textId="77777777" w:rsidR="00F052F6" w:rsidRPr="009029EE" w:rsidRDefault="00F052F6" w:rsidP="00F052F6">
      <w:pPr>
        <w:autoSpaceDE w:val="0"/>
        <w:autoSpaceDN w:val="0"/>
        <w:adjustRightInd w:val="0"/>
        <w:spacing w:after="0" w:line="240" w:lineRule="auto"/>
        <w:ind w:firstLine="284"/>
        <w:rPr>
          <w:rFonts w:ascii="Garamond" w:hAnsi="Garamond" w:cs="Times New Roman"/>
          <w:bCs/>
          <w:color w:val="000000"/>
          <w:sz w:val="24"/>
          <w:szCs w:val="24"/>
          <w:lang w:eastAsia="sq-AL"/>
        </w:rPr>
      </w:pPr>
      <w:r w:rsidRPr="009029EE">
        <w:rPr>
          <w:rFonts w:ascii="Garamond" w:hAnsi="Garamond" w:cs="Times New Roman"/>
          <w:bCs/>
          <w:color w:val="000000"/>
          <w:sz w:val="24"/>
          <w:szCs w:val="24"/>
          <w:lang w:eastAsia="sq-AL"/>
        </w:rPr>
        <w:t>NDARJA Ç</w:t>
      </w:r>
    </w:p>
    <w:p w14:paraId="3A0F243B" w14:textId="77777777" w:rsidR="00F052F6" w:rsidRPr="009029EE" w:rsidRDefault="00F052F6"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r w:rsidRPr="009029EE">
        <w:rPr>
          <w:rFonts w:ascii="Garamond" w:hAnsi="Garamond" w:cs="Times New Roman"/>
          <w:bCs/>
          <w:color w:val="000000"/>
          <w:sz w:val="24"/>
          <w:szCs w:val="24"/>
          <w:lang w:eastAsia="sq-AL"/>
        </w:rPr>
        <w:t>PASQYRIMI DHE/OSE ANALIZA E TË DHËNAVE TË BURIMEVE TË VLERËSIMIT, NË VARËSI TË KRITEREVE TË VLERËSIMIT</w:t>
      </w:r>
    </w:p>
    <w:p w14:paraId="71EDCC50" w14:textId="77777777" w:rsidR="00F052F6" w:rsidRDefault="00F052F6" w:rsidP="00F052F6">
      <w:pPr>
        <w:autoSpaceDE w:val="0"/>
        <w:autoSpaceDN w:val="0"/>
        <w:adjustRightInd w:val="0"/>
        <w:spacing w:after="0" w:line="240" w:lineRule="auto"/>
        <w:ind w:firstLine="284"/>
        <w:jc w:val="both"/>
        <w:rPr>
          <w:rFonts w:ascii="Garamond" w:hAnsi="Garamond" w:cs="Times New Roman"/>
          <w:b/>
          <w:bCs/>
          <w:i/>
          <w:iCs/>
          <w:color w:val="1F4E79"/>
          <w:sz w:val="24"/>
          <w:szCs w:val="24"/>
          <w:lang w:eastAsia="sq-AL"/>
        </w:rPr>
      </w:pPr>
    </w:p>
    <w:p w14:paraId="4AC413F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1F4E79"/>
          <w:sz w:val="24"/>
          <w:szCs w:val="24"/>
          <w:lang w:eastAsia="sq-AL"/>
        </w:rPr>
      </w:pPr>
      <w:r w:rsidRPr="003D5CE4">
        <w:rPr>
          <w:rFonts w:ascii="Garamond" w:hAnsi="Garamond" w:cs="Times New Roman"/>
          <w:b/>
          <w:bCs/>
          <w:i/>
          <w:iCs/>
          <w:color w:val="1F4E79"/>
          <w:sz w:val="24"/>
          <w:szCs w:val="24"/>
          <w:lang w:eastAsia="sq-AL"/>
        </w:rPr>
        <w:t>Në këtë rubrikë listohen burimet e vlerësimit,  pasqyrohen dhe/ose analizohen të dhënat që rezultojnë nga këto burime, në varësi të treguesve të përcaktuar në Metodologjinë e Pikëzimit, për secilin nga katër kriteret e vlerësimit.</w:t>
      </w:r>
    </w:p>
    <w:p w14:paraId="5F3E008E" w14:textId="77777777" w:rsidR="00F052F6" w:rsidRPr="009029EE" w:rsidRDefault="00F052F6" w:rsidP="00F052F6">
      <w:pPr>
        <w:tabs>
          <w:tab w:val="left" w:pos="6700"/>
        </w:tabs>
        <w:autoSpaceDE w:val="0"/>
        <w:autoSpaceDN w:val="0"/>
        <w:adjustRightInd w:val="0"/>
        <w:spacing w:after="0" w:line="240" w:lineRule="auto"/>
        <w:ind w:firstLine="284"/>
        <w:rPr>
          <w:rFonts w:ascii="Garamond" w:hAnsi="Garamond" w:cs="Times New Roman"/>
          <w:bCs/>
          <w:color w:val="000000"/>
          <w:sz w:val="24"/>
          <w:szCs w:val="24"/>
          <w:lang w:eastAsia="sq-AL"/>
        </w:rPr>
      </w:pPr>
      <w:r w:rsidRPr="009029EE">
        <w:rPr>
          <w:rFonts w:ascii="Garamond" w:hAnsi="Garamond" w:cs="Times New Roman"/>
          <w:bCs/>
          <w:color w:val="000000"/>
          <w:sz w:val="24"/>
          <w:szCs w:val="24"/>
          <w:lang w:eastAsia="sq-AL"/>
        </w:rPr>
        <w:t xml:space="preserve"> 1. AFTËSITË PROFESIONALE TË PROKURORIT</w:t>
      </w:r>
    </w:p>
    <w:p w14:paraId="68A8390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1F4E79"/>
          <w:sz w:val="24"/>
          <w:szCs w:val="24"/>
          <w:lang w:eastAsia="sq-AL"/>
        </w:rPr>
      </w:pPr>
      <w:r w:rsidRPr="003D5CE4">
        <w:rPr>
          <w:rFonts w:ascii="Garamond" w:hAnsi="Garamond" w:cs="Times New Roman"/>
          <w:b/>
          <w:bCs/>
          <w:i/>
          <w:iCs/>
          <w:color w:val="1F4E79"/>
          <w:sz w:val="24"/>
          <w:szCs w:val="24"/>
          <w:lang w:eastAsia="sq-AL"/>
        </w:rPr>
        <w:t>Për efekt të këtij kriteri, këshilltari përgjegjës për vlerësimin pasqyron dhe përshkruan në mënyrë të detajuar të dhënat që rezultojnë nga burimet e vlerësimit, pa bërë analizë dhe vlerësim të tyre.</w:t>
      </w:r>
    </w:p>
    <w:p w14:paraId="18A09B89" w14:textId="77777777" w:rsidR="00F052F6" w:rsidRDefault="00F052F6" w:rsidP="00F052F6">
      <w:pPr>
        <w:tabs>
          <w:tab w:val="left" w:pos="0"/>
        </w:tabs>
        <w:autoSpaceDE w:val="0"/>
        <w:autoSpaceDN w:val="0"/>
        <w:adjustRightInd w:val="0"/>
        <w:spacing w:after="0" w:line="240" w:lineRule="auto"/>
        <w:ind w:firstLine="284"/>
        <w:jc w:val="both"/>
        <w:rPr>
          <w:rFonts w:ascii="Garamond" w:hAnsi="Garamond" w:cs="Times New Roman"/>
          <w:bCs/>
          <w:color w:val="000000"/>
          <w:sz w:val="24"/>
          <w:szCs w:val="24"/>
          <w:lang w:eastAsia="sq-AL"/>
        </w:rPr>
      </w:pPr>
    </w:p>
    <w:p w14:paraId="647B9003" w14:textId="77777777" w:rsidR="00F052F6" w:rsidRPr="009029EE" w:rsidRDefault="00F052F6" w:rsidP="00F052F6">
      <w:pPr>
        <w:tabs>
          <w:tab w:val="left" w:pos="0"/>
        </w:tabs>
        <w:autoSpaceDE w:val="0"/>
        <w:autoSpaceDN w:val="0"/>
        <w:adjustRightInd w:val="0"/>
        <w:spacing w:after="0" w:line="240" w:lineRule="auto"/>
        <w:ind w:firstLine="284"/>
        <w:jc w:val="both"/>
        <w:rPr>
          <w:rFonts w:ascii="Garamond" w:hAnsi="Garamond" w:cs="Times New Roman"/>
          <w:bCs/>
          <w:color w:val="000000"/>
          <w:sz w:val="24"/>
          <w:szCs w:val="24"/>
          <w:lang w:eastAsia="sq-AL"/>
        </w:rPr>
      </w:pPr>
      <w:r w:rsidRPr="009029EE">
        <w:rPr>
          <w:rFonts w:ascii="Garamond" w:hAnsi="Garamond" w:cs="Times New Roman"/>
          <w:bCs/>
          <w:color w:val="000000"/>
          <w:sz w:val="24"/>
          <w:szCs w:val="24"/>
          <w:lang w:eastAsia="sq-AL"/>
        </w:rPr>
        <w:t>1.A NJOHURITË LIGJORE</w:t>
      </w:r>
    </w:p>
    <w:p w14:paraId="7350BA99" w14:textId="77777777" w:rsidR="00F052F6" w:rsidRPr="003D5CE4" w:rsidRDefault="00F052F6" w:rsidP="00F052F6">
      <w:pPr>
        <w:tabs>
          <w:tab w:val="left" w:pos="0"/>
        </w:tabs>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1.A.a Aftësia për të ndërmarrë logjikisht hetimin apo procedura të tjera të sistemit të prokurorisë, sipas kërkesave ligjore</w:t>
      </w:r>
    </w:p>
    <w:p w14:paraId="7B1374E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në mënyrë të detajuar, të dhënat e secilit burim që lidhen me:</w:t>
      </w:r>
    </w:p>
    <w:p w14:paraId="3479469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a) përcaktimin dhe evidentimin e fakteve të çështjes apo praktikës, objektin e ndjekjes penale, si dhe rrethanat dhe faktet që janë të nevojshme për tu provuar apo aktet që duhen administruar;</w:t>
      </w:r>
    </w:p>
    <w:p w14:paraId="2B960C5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b) evidentimin e pikave të forta dhe të dobëta të hetimit duke  urdhëruar kryerjen e veprimeve të nevojshme hetimore;</w:t>
      </w:r>
    </w:p>
    <w:p w14:paraId="366508C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c)</w:t>
      </w:r>
      <w:r>
        <w:rPr>
          <w:rFonts w:ascii="Garamond" w:hAnsi="Garamond" w:cs="Times New Roman"/>
          <w:b/>
          <w:bCs/>
          <w:i/>
          <w:iCs/>
          <w:color w:val="2E74B5"/>
          <w:sz w:val="24"/>
          <w:szCs w:val="24"/>
          <w:lang w:eastAsia="sq-AL"/>
        </w:rPr>
        <w:t xml:space="preserve"> </w:t>
      </w:r>
      <w:r w:rsidRPr="003D5CE4">
        <w:rPr>
          <w:rFonts w:ascii="Garamond" w:hAnsi="Garamond" w:cs="Times New Roman"/>
          <w:b/>
          <w:bCs/>
          <w:i/>
          <w:iCs/>
          <w:color w:val="2E74B5"/>
          <w:sz w:val="24"/>
          <w:szCs w:val="24"/>
          <w:lang w:eastAsia="sq-AL"/>
        </w:rPr>
        <w:t>qenien efektiv në ushtrimin e ndjekjes penale apo ndjekjes së procedurave të tjera të sistemit të prokurorisë, në mënyrë që të respektohen afatet ligjore të çështjes;</w:t>
      </w:r>
    </w:p>
    <w:p w14:paraId="5D0E8E9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ç)</w:t>
      </w:r>
      <w:r>
        <w:rPr>
          <w:rFonts w:ascii="Garamond" w:hAnsi="Garamond" w:cs="Times New Roman"/>
          <w:b/>
          <w:bCs/>
          <w:i/>
          <w:iCs/>
          <w:color w:val="2E74B5"/>
          <w:sz w:val="24"/>
          <w:szCs w:val="24"/>
          <w:lang w:eastAsia="sq-AL"/>
        </w:rPr>
        <w:t xml:space="preserve"> </w:t>
      </w:r>
      <w:r w:rsidRPr="003D5CE4">
        <w:rPr>
          <w:rFonts w:ascii="Garamond" w:hAnsi="Garamond" w:cs="Times New Roman"/>
          <w:b/>
          <w:bCs/>
          <w:i/>
          <w:iCs/>
          <w:color w:val="2E74B5"/>
          <w:sz w:val="24"/>
          <w:szCs w:val="24"/>
          <w:lang w:eastAsia="sq-AL"/>
        </w:rPr>
        <w:t>individualizimin dhe argumentimin e përgjegjësisë penale.</w:t>
      </w:r>
    </w:p>
    <w:p w14:paraId="1280F79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78A759A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 xml:space="preserve">1. </w:t>
      </w:r>
      <w:r w:rsidRPr="003D5CE4">
        <w:rPr>
          <w:rFonts w:ascii="Garamond" w:hAnsi="Garamond" w:cs="Times New Roman"/>
          <w:color w:val="000000"/>
          <w:sz w:val="24"/>
          <w:szCs w:val="24"/>
          <w:lang w:eastAsia="sq-AL"/>
        </w:rPr>
        <w:t>Burimi 1;</w:t>
      </w:r>
    </w:p>
    <w:p w14:paraId="4727814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 xml:space="preserve">2. </w:t>
      </w:r>
      <w:r w:rsidRPr="003D5CE4">
        <w:rPr>
          <w:rFonts w:ascii="Garamond" w:hAnsi="Garamond" w:cs="Times New Roman"/>
          <w:color w:val="000000"/>
          <w:sz w:val="24"/>
          <w:szCs w:val="24"/>
          <w:lang w:eastAsia="sq-AL"/>
        </w:rPr>
        <w:t>Burimi 2;</w:t>
      </w:r>
    </w:p>
    <w:p w14:paraId="5196AB4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3.</w:t>
      </w:r>
      <w:r>
        <w:rPr>
          <w:rFonts w:ascii="Garamond" w:hAnsi="Garamond" w:cs="Times New Roman"/>
          <w:b/>
          <w:bCs/>
          <w:color w:val="000000"/>
          <w:sz w:val="24"/>
          <w:szCs w:val="24"/>
          <w:lang w:eastAsia="sq-AL"/>
        </w:rPr>
        <w:t>.</w:t>
      </w:r>
      <w:r w:rsidRPr="003D5CE4">
        <w:rPr>
          <w:rFonts w:ascii="Garamond" w:hAnsi="Garamond" w:cs="Times New Roman"/>
          <w:color w:val="000000"/>
          <w:sz w:val="24"/>
          <w:szCs w:val="24"/>
          <w:lang w:eastAsia="sq-AL"/>
        </w:rPr>
        <w:t>....</w:t>
      </w:r>
    </w:p>
    <w:p w14:paraId="1C36792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i burimeve të vlerësimit:</w:t>
      </w:r>
    </w:p>
    <w:p w14:paraId="70D267E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D903F7">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52E9764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D903F7">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616BDF81" w14:textId="77777777" w:rsidR="00F052F6" w:rsidRPr="003D5CE4" w:rsidRDefault="00F052F6" w:rsidP="00F052F6">
      <w:pPr>
        <w:tabs>
          <w:tab w:val="left" w:pos="0"/>
        </w:tabs>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1.A.b Aftësia për të mbledhur provat e kërkuara me ligj</w:t>
      </w:r>
    </w:p>
    <w:p w14:paraId="026A43E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në mënyrë të detajuar, të dhënat e secilit burim që lidhen me</w:t>
      </w:r>
      <w:r>
        <w:rPr>
          <w:rFonts w:ascii="Garamond" w:hAnsi="Garamond" w:cs="Times New Roman"/>
          <w:b/>
          <w:bCs/>
          <w:i/>
          <w:iCs/>
          <w:color w:val="0070C0"/>
          <w:sz w:val="24"/>
          <w:szCs w:val="24"/>
          <w:lang w:eastAsia="sq-AL"/>
        </w:rPr>
        <w:t>:</w:t>
      </w:r>
    </w:p>
    <w:p w14:paraId="41BC18A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000000"/>
          <w:sz w:val="24"/>
          <w:szCs w:val="24"/>
          <w:lang w:eastAsia="sq-AL"/>
        </w:rPr>
        <w:t xml:space="preserve">a) </w:t>
      </w:r>
      <w:r w:rsidRPr="003D5CE4">
        <w:rPr>
          <w:rFonts w:ascii="Garamond" w:hAnsi="Garamond" w:cs="Times New Roman"/>
          <w:b/>
          <w:bCs/>
          <w:i/>
          <w:iCs/>
          <w:color w:val="2E74B5"/>
          <w:sz w:val="24"/>
          <w:szCs w:val="24"/>
          <w:lang w:eastAsia="sq-AL"/>
        </w:rPr>
        <w:t>mbledhjen e provave të kërkuara me ligj, për të mbështetur objektin e hetimit sipas natyrës së çështjes, apo aftësinë për të administruar aktet e nevojshme për plotësimin e praktikës;</w:t>
      </w:r>
    </w:p>
    <w:p w14:paraId="6809FAA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000000"/>
          <w:sz w:val="24"/>
          <w:szCs w:val="24"/>
          <w:lang w:eastAsia="sq-AL"/>
        </w:rPr>
        <w:t xml:space="preserve">b) </w:t>
      </w:r>
      <w:r w:rsidRPr="003D5CE4">
        <w:rPr>
          <w:rFonts w:ascii="Garamond" w:hAnsi="Garamond" w:cs="Times New Roman"/>
          <w:b/>
          <w:bCs/>
          <w:i/>
          <w:iCs/>
          <w:color w:val="2E74B5"/>
          <w:sz w:val="24"/>
          <w:szCs w:val="24"/>
          <w:lang w:eastAsia="sq-AL"/>
        </w:rPr>
        <w:t>përdorjen e mjeteve të përshtatshme dhe efektive për kërkimin e provës apo për administrimin e akteve;</w:t>
      </w:r>
    </w:p>
    <w:p w14:paraId="61E10C6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000000"/>
          <w:sz w:val="24"/>
          <w:szCs w:val="24"/>
          <w:lang w:eastAsia="sq-AL"/>
        </w:rPr>
        <w:t xml:space="preserve">c) </w:t>
      </w:r>
      <w:r w:rsidRPr="003D5CE4">
        <w:rPr>
          <w:rFonts w:ascii="Garamond" w:hAnsi="Garamond" w:cs="Times New Roman"/>
          <w:b/>
          <w:bCs/>
          <w:i/>
          <w:iCs/>
          <w:color w:val="2E74B5"/>
          <w:sz w:val="24"/>
          <w:szCs w:val="24"/>
          <w:lang w:eastAsia="sq-AL"/>
        </w:rPr>
        <w:t>zbatimin e parashikimeve ligjore gjatë procedurës së marrjes dhe administrimit të provave dhe akteve;</w:t>
      </w:r>
    </w:p>
    <w:p w14:paraId="11A5359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000000"/>
          <w:sz w:val="24"/>
          <w:szCs w:val="24"/>
          <w:lang w:eastAsia="sq-AL"/>
        </w:rPr>
        <w:t>ç)</w:t>
      </w:r>
      <w:r w:rsidRPr="003D5CE4">
        <w:rPr>
          <w:rFonts w:ascii="Garamond" w:hAnsi="Garamond" w:cs="Times New Roman"/>
          <w:b/>
          <w:bCs/>
          <w:i/>
          <w:iCs/>
          <w:color w:val="2E74B5"/>
          <w:sz w:val="24"/>
          <w:szCs w:val="24"/>
          <w:lang w:eastAsia="sq-AL"/>
        </w:rPr>
        <w:t xml:space="preserve"> urdhërimin për kryerjen e veprimeve hetimore në përputhje me objektin e hetimit, mjaftueshmëria, si dhe linja logjike të veprimeve hetimore të urdhëruara;</w:t>
      </w:r>
    </w:p>
    <w:p w14:paraId="0A06A75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000000"/>
          <w:sz w:val="24"/>
          <w:szCs w:val="24"/>
          <w:lang w:eastAsia="sq-AL"/>
        </w:rPr>
        <w:t xml:space="preserve">d) </w:t>
      </w:r>
      <w:r w:rsidRPr="003D5CE4">
        <w:rPr>
          <w:rFonts w:ascii="Garamond" w:hAnsi="Garamond" w:cs="Times New Roman"/>
          <w:b/>
          <w:bCs/>
          <w:i/>
          <w:iCs/>
          <w:color w:val="2E74B5"/>
          <w:sz w:val="24"/>
          <w:szCs w:val="24"/>
          <w:lang w:eastAsia="sq-AL"/>
        </w:rPr>
        <w:t>argumentimin, në fazën e gjykimit, të ligjshmërisë së provave të administruara në fazën e hetimit, për të qenë aktiv dhe për të ndërhyrë në momentet e duhura gjatë debatit të shqyrtimit gjyqësor dhe shprehjen qartë duke evidentuar bazën e duhur ligjore për argumentet e ngritur prej tij.</w:t>
      </w:r>
    </w:p>
    <w:p w14:paraId="3C4EB69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32C037C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132843C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0ABD008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0FC9658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i burimeve të vlerësimit:</w:t>
      </w:r>
    </w:p>
    <w:p w14:paraId="3C49A26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75666A">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6FE7E42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75666A">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2E29198B" w14:textId="77777777" w:rsidR="00F052F6" w:rsidRPr="003D5CE4" w:rsidRDefault="00F052F6" w:rsidP="00F052F6">
      <w:pPr>
        <w:tabs>
          <w:tab w:val="left" w:pos="0"/>
        </w:tabs>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1.A.c Aftësia për të interpretuar ligjin dhe për të analizuar jurisprudencën në zgjidhjen e çështjes</w:t>
      </w:r>
    </w:p>
    <w:p w14:paraId="79C5ADC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në mënyrë të detajuar, të dhënat e secilit burim që lidhen me</w:t>
      </w:r>
      <w:r>
        <w:rPr>
          <w:rFonts w:ascii="Garamond" w:hAnsi="Garamond" w:cs="Times New Roman"/>
          <w:b/>
          <w:bCs/>
          <w:i/>
          <w:iCs/>
          <w:color w:val="0070C0"/>
          <w:sz w:val="24"/>
          <w:szCs w:val="24"/>
          <w:lang w:eastAsia="sq-AL"/>
        </w:rPr>
        <w:t>:</w:t>
      </w:r>
    </w:p>
    <w:p w14:paraId="2FA7B12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a) </w:t>
      </w:r>
      <w:r>
        <w:rPr>
          <w:rFonts w:ascii="Garamond" w:hAnsi="Garamond" w:cs="Times New Roman"/>
          <w:b/>
          <w:bCs/>
          <w:i/>
          <w:iCs/>
          <w:color w:val="2E74B5"/>
          <w:sz w:val="24"/>
          <w:szCs w:val="24"/>
          <w:lang w:eastAsia="sq-AL"/>
        </w:rPr>
        <w:t>i</w:t>
      </w:r>
      <w:r w:rsidRPr="003D5CE4">
        <w:rPr>
          <w:rFonts w:ascii="Garamond" w:hAnsi="Garamond" w:cs="Times New Roman"/>
          <w:b/>
          <w:bCs/>
          <w:i/>
          <w:iCs/>
          <w:color w:val="2E74B5"/>
          <w:sz w:val="24"/>
          <w:szCs w:val="24"/>
          <w:lang w:eastAsia="sq-AL"/>
        </w:rPr>
        <w:t>nterpretimin e ligjit të identifikuar dhe arsyetimin e tij për mënyrën e zbatimit të ligjit mbi faktet objekt hetimi;</w:t>
      </w:r>
    </w:p>
    <w:p w14:paraId="4F44490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b) </w:t>
      </w:r>
      <w:r>
        <w:rPr>
          <w:rFonts w:ascii="Garamond" w:hAnsi="Garamond" w:cs="Times New Roman"/>
          <w:b/>
          <w:bCs/>
          <w:i/>
          <w:iCs/>
          <w:color w:val="2E74B5"/>
          <w:sz w:val="24"/>
          <w:szCs w:val="24"/>
          <w:lang w:eastAsia="sq-AL"/>
        </w:rPr>
        <w:t>z</w:t>
      </w:r>
      <w:r w:rsidRPr="003D5CE4">
        <w:rPr>
          <w:rFonts w:ascii="Garamond" w:hAnsi="Garamond" w:cs="Times New Roman"/>
          <w:b/>
          <w:bCs/>
          <w:i/>
          <w:iCs/>
          <w:color w:val="2E74B5"/>
          <w:sz w:val="24"/>
          <w:szCs w:val="24"/>
          <w:lang w:eastAsia="sq-AL"/>
        </w:rPr>
        <w:t>batimin e parimeve të përgjithshme të së drejtës materiale e procedurale që kanë lidhje me interpretimin e ligjit në zgjidhjen e çështjes, pavarësisht përmendjes së tyre shprehimisht në vendim;</w:t>
      </w:r>
    </w:p>
    <w:p w14:paraId="09B2C1A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c) </w:t>
      </w:r>
      <w:r>
        <w:rPr>
          <w:rFonts w:ascii="Garamond" w:hAnsi="Garamond" w:cs="Times New Roman"/>
          <w:b/>
          <w:bCs/>
          <w:i/>
          <w:iCs/>
          <w:color w:val="2E74B5"/>
          <w:sz w:val="24"/>
          <w:szCs w:val="24"/>
          <w:lang w:eastAsia="sq-AL"/>
        </w:rPr>
        <w:t>k</w:t>
      </w:r>
      <w:r w:rsidRPr="003D5CE4">
        <w:rPr>
          <w:rFonts w:ascii="Garamond" w:hAnsi="Garamond" w:cs="Times New Roman"/>
          <w:b/>
          <w:bCs/>
          <w:i/>
          <w:iCs/>
          <w:color w:val="2E74B5"/>
          <w:sz w:val="24"/>
          <w:szCs w:val="24"/>
          <w:lang w:eastAsia="sq-AL"/>
        </w:rPr>
        <w:t>ërkimin, identifikimin, organizimin dhe përdorimin e jurisprudencës;</w:t>
      </w:r>
    </w:p>
    <w:p w14:paraId="29BAEB6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ç)</w:t>
      </w:r>
      <w:r>
        <w:rPr>
          <w:rFonts w:ascii="Garamond" w:hAnsi="Garamond" w:cs="Times New Roman"/>
          <w:b/>
          <w:bCs/>
          <w:i/>
          <w:iCs/>
          <w:color w:val="2E74B5"/>
          <w:sz w:val="24"/>
          <w:szCs w:val="24"/>
          <w:lang w:eastAsia="sq-AL"/>
        </w:rPr>
        <w:t xml:space="preserve"> r</w:t>
      </w:r>
      <w:r w:rsidRPr="003D5CE4">
        <w:rPr>
          <w:rFonts w:ascii="Garamond" w:hAnsi="Garamond" w:cs="Times New Roman"/>
          <w:b/>
          <w:bCs/>
          <w:i/>
          <w:iCs/>
          <w:color w:val="2E74B5"/>
          <w:sz w:val="24"/>
          <w:szCs w:val="24"/>
          <w:lang w:eastAsia="sq-AL"/>
        </w:rPr>
        <w:t>eferimin dhe menaxhimin me efikasitet, në vendin e duhur dhe sipas llojit të qëllimit të aktit, të praktikës së konsoliduar gjyqësore, praktikës së unifikuar/njësuar të Gjykatës së Lartë, praktikës gjyqësore të Gjykatës Kushtetuese, GJEDNJ</w:t>
      </w:r>
      <w:r>
        <w:rPr>
          <w:rFonts w:ascii="Garamond" w:hAnsi="Garamond" w:cs="Times New Roman"/>
          <w:b/>
          <w:bCs/>
          <w:i/>
          <w:iCs/>
          <w:color w:val="2E74B5"/>
          <w:sz w:val="24"/>
          <w:szCs w:val="24"/>
          <w:lang w:eastAsia="sq-AL"/>
        </w:rPr>
        <w:t>-s</w:t>
      </w:r>
      <w:r w:rsidRPr="003D5CE4">
        <w:rPr>
          <w:rFonts w:ascii="Garamond" w:hAnsi="Garamond" w:cs="Times New Roman"/>
          <w:b/>
          <w:bCs/>
          <w:i/>
          <w:iCs/>
          <w:color w:val="2E74B5"/>
          <w:sz w:val="24"/>
          <w:szCs w:val="24"/>
          <w:lang w:eastAsia="sq-AL"/>
        </w:rPr>
        <w:t>ë dhe jurisprudencës në tërësi.</w:t>
      </w:r>
    </w:p>
    <w:p w14:paraId="02E64EF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58707DE6" w14:textId="77777777" w:rsidR="00F052F6" w:rsidRPr="00B71D69"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B71D69">
        <w:rPr>
          <w:rFonts w:ascii="Garamond" w:hAnsi="Garamond" w:cs="Times New Roman"/>
          <w:color w:val="000000"/>
          <w:sz w:val="24"/>
          <w:szCs w:val="24"/>
          <w:lang w:eastAsia="sq-AL"/>
        </w:rPr>
        <w:t>4. Burimi 1;</w:t>
      </w:r>
    </w:p>
    <w:p w14:paraId="6E9AB96B" w14:textId="77777777" w:rsidR="00F052F6" w:rsidRPr="00B71D69"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B71D69">
        <w:rPr>
          <w:rFonts w:ascii="Garamond" w:hAnsi="Garamond" w:cs="Times New Roman"/>
          <w:color w:val="000000"/>
          <w:sz w:val="24"/>
          <w:szCs w:val="24"/>
          <w:lang w:eastAsia="sq-AL"/>
        </w:rPr>
        <w:t>5. Burimi 2;</w:t>
      </w:r>
    </w:p>
    <w:p w14:paraId="40C83F0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B71D69">
        <w:rPr>
          <w:rFonts w:ascii="Garamond" w:hAnsi="Garamond" w:cs="Times New Roman"/>
          <w:color w:val="000000"/>
          <w:sz w:val="24"/>
          <w:szCs w:val="24"/>
          <w:lang w:eastAsia="sq-AL"/>
        </w:rPr>
        <w:t>6.</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5D278EE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i burimeve të vlerësimit:</w:t>
      </w:r>
    </w:p>
    <w:p w14:paraId="51A1B15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402B4B">
        <w:rPr>
          <w:rFonts w:ascii="Garamond" w:hAnsi="Garamond" w:cs="Times New Roman"/>
          <w:bCs/>
          <w:color w:val="000000"/>
          <w:sz w:val="24"/>
          <w:szCs w:val="24"/>
          <w:lang w:eastAsia="sq-AL"/>
        </w:rPr>
        <w:t>,</w:t>
      </w:r>
      <w:r w:rsidRPr="00402B4B">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431E5C9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402B4B">
        <w:rPr>
          <w:rFonts w:ascii="Garamond" w:hAnsi="Garamond" w:cs="Times New Roman"/>
          <w:bCs/>
          <w:color w:val="000000"/>
          <w:sz w:val="24"/>
          <w:szCs w:val="24"/>
          <w:lang w:eastAsia="sq-AL"/>
        </w:rPr>
        <w:t>,</w:t>
      </w:r>
      <w:r w:rsidRPr="00402B4B">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7ED39101" w14:textId="77777777" w:rsidR="00F052F6" w:rsidRDefault="00F052F6" w:rsidP="00F052F6">
      <w:pPr>
        <w:tabs>
          <w:tab w:val="left" w:pos="0"/>
        </w:tabs>
        <w:autoSpaceDE w:val="0"/>
        <w:autoSpaceDN w:val="0"/>
        <w:adjustRightInd w:val="0"/>
        <w:spacing w:after="0" w:line="240" w:lineRule="auto"/>
        <w:ind w:firstLine="284"/>
        <w:jc w:val="both"/>
        <w:rPr>
          <w:rFonts w:ascii="Garamond" w:hAnsi="Garamond" w:cs="Times New Roman"/>
          <w:bCs/>
          <w:color w:val="000000"/>
          <w:sz w:val="24"/>
          <w:szCs w:val="24"/>
          <w:lang w:eastAsia="sq-AL"/>
        </w:rPr>
      </w:pPr>
    </w:p>
    <w:p w14:paraId="156EC662" w14:textId="77777777" w:rsidR="00F052F6" w:rsidRPr="00402B4B" w:rsidRDefault="00F052F6" w:rsidP="00F052F6">
      <w:pPr>
        <w:tabs>
          <w:tab w:val="left" w:pos="0"/>
        </w:tabs>
        <w:autoSpaceDE w:val="0"/>
        <w:autoSpaceDN w:val="0"/>
        <w:adjustRightInd w:val="0"/>
        <w:spacing w:after="0" w:line="240" w:lineRule="auto"/>
        <w:ind w:firstLine="284"/>
        <w:jc w:val="both"/>
        <w:rPr>
          <w:rFonts w:ascii="Garamond" w:hAnsi="Garamond" w:cs="Times New Roman"/>
          <w:bCs/>
          <w:color w:val="000000"/>
          <w:sz w:val="24"/>
          <w:szCs w:val="24"/>
          <w:lang w:eastAsia="sq-AL"/>
        </w:rPr>
      </w:pPr>
      <w:r w:rsidRPr="00402B4B">
        <w:rPr>
          <w:rFonts w:ascii="Garamond" w:hAnsi="Garamond" w:cs="Times New Roman"/>
          <w:bCs/>
          <w:color w:val="000000"/>
          <w:sz w:val="24"/>
          <w:szCs w:val="24"/>
          <w:lang w:eastAsia="sq-AL"/>
        </w:rPr>
        <w:t>1.B  ARSYETIMI LIGJOR</w:t>
      </w:r>
    </w:p>
    <w:p w14:paraId="55BD4A2F" w14:textId="77777777" w:rsidR="00F052F6" w:rsidRPr="003D5CE4" w:rsidRDefault="00F052F6" w:rsidP="00F052F6">
      <w:pPr>
        <w:tabs>
          <w:tab w:val="left" w:pos="0"/>
        </w:tabs>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1.B.a Qartësia, saktësia dhe kuptueshmëria e akteve</w:t>
      </w:r>
    </w:p>
    <w:p w14:paraId="59D3C9D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në mënyrë të detajuar, të dhënat e secilit burim që lidhen me</w:t>
      </w:r>
      <w:r>
        <w:rPr>
          <w:rFonts w:ascii="Garamond" w:hAnsi="Garamond" w:cs="Times New Roman"/>
          <w:b/>
          <w:bCs/>
          <w:i/>
          <w:iCs/>
          <w:color w:val="0070C0"/>
          <w:sz w:val="24"/>
          <w:szCs w:val="24"/>
          <w:lang w:eastAsia="sq-AL"/>
        </w:rPr>
        <w:t>:</w:t>
      </w:r>
    </w:p>
    <w:p w14:paraId="2CF2EBA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 xml:space="preserve">a) </w:t>
      </w:r>
      <w:r>
        <w:rPr>
          <w:rFonts w:ascii="Garamond" w:hAnsi="Garamond" w:cs="Times New Roman"/>
          <w:b/>
          <w:bCs/>
          <w:i/>
          <w:iCs/>
          <w:color w:val="0070C0"/>
          <w:sz w:val="24"/>
          <w:szCs w:val="24"/>
          <w:lang w:eastAsia="sq-AL"/>
        </w:rPr>
        <w:t>p</w:t>
      </w:r>
      <w:r w:rsidRPr="003D5CE4">
        <w:rPr>
          <w:rFonts w:ascii="Garamond" w:hAnsi="Garamond" w:cs="Times New Roman"/>
          <w:b/>
          <w:bCs/>
          <w:i/>
          <w:iCs/>
          <w:color w:val="0070C0"/>
          <w:sz w:val="24"/>
          <w:szCs w:val="24"/>
          <w:lang w:eastAsia="sq-AL"/>
        </w:rPr>
        <w:t>ërdorimin e thjeshtë dhe të drejtpërdrejtë të gjuhës;</w:t>
      </w:r>
    </w:p>
    <w:p w14:paraId="7E469E5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 xml:space="preserve">b) </w:t>
      </w:r>
      <w:r>
        <w:rPr>
          <w:rFonts w:ascii="Garamond" w:hAnsi="Garamond" w:cs="Times New Roman"/>
          <w:b/>
          <w:bCs/>
          <w:i/>
          <w:iCs/>
          <w:color w:val="0070C0"/>
          <w:sz w:val="24"/>
          <w:szCs w:val="24"/>
          <w:lang w:eastAsia="sq-AL"/>
        </w:rPr>
        <w:t>s</w:t>
      </w:r>
      <w:r w:rsidRPr="003D5CE4">
        <w:rPr>
          <w:rFonts w:ascii="Garamond" w:hAnsi="Garamond" w:cs="Times New Roman"/>
          <w:b/>
          <w:bCs/>
          <w:i/>
          <w:iCs/>
          <w:color w:val="0070C0"/>
          <w:sz w:val="24"/>
          <w:szCs w:val="24"/>
          <w:lang w:eastAsia="sq-AL"/>
        </w:rPr>
        <w:t>hprehjen e mendimit qartë dhe me sa më pak fjalë;</w:t>
      </w:r>
    </w:p>
    <w:p w14:paraId="7635261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 xml:space="preserve">c) </w:t>
      </w:r>
      <w:r>
        <w:rPr>
          <w:rFonts w:ascii="Garamond" w:hAnsi="Garamond" w:cs="Times New Roman"/>
          <w:b/>
          <w:bCs/>
          <w:i/>
          <w:iCs/>
          <w:color w:val="0070C0"/>
          <w:sz w:val="24"/>
          <w:szCs w:val="24"/>
          <w:lang w:eastAsia="sq-AL"/>
        </w:rPr>
        <w:t>z</w:t>
      </w:r>
      <w:r w:rsidRPr="003D5CE4">
        <w:rPr>
          <w:rFonts w:ascii="Garamond" w:hAnsi="Garamond" w:cs="Times New Roman"/>
          <w:b/>
          <w:bCs/>
          <w:i/>
          <w:iCs/>
          <w:color w:val="0070C0"/>
          <w:sz w:val="24"/>
          <w:szCs w:val="24"/>
          <w:lang w:eastAsia="sq-AL"/>
        </w:rPr>
        <w:t>batimin e saktë të rregullave gramatikore dhe atyre të sintaksës;</w:t>
      </w:r>
    </w:p>
    <w:p w14:paraId="7002A93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 xml:space="preserve">ç) </w:t>
      </w:r>
      <w:r>
        <w:rPr>
          <w:rFonts w:ascii="Garamond" w:hAnsi="Garamond" w:cs="Times New Roman"/>
          <w:b/>
          <w:bCs/>
          <w:i/>
          <w:iCs/>
          <w:color w:val="0070C0"/>
          <w:sz w:val="24"/>
          <w:szCs w:val="24"/>
          <w:lang w:eastAsia="sq-AL"/>
        </w:rPr>
        <w:t>p</w:t>
      </w:r>
      <w:r w:rsidRPr="003D5CE4">
        <w:rPr>
          <w:rFonts w:ascii="Garamond" w:hAnsi="Garamond" w:cs="Times New Roman"/>
          <w:b/>
          <w:bCs/>
          <w:i/>
          <w:iCs/>
          <w:color w:val="0070C0"/>
          <w:sz w:val="24"/>
          <w:szCs w:val="24"/>
          <w:lang w:eastAsia="sq-AL"/>
        </w:rPr>
        <w:t>ërzgjedhjen e kujdesshme të gjuhës dhe përdor</w:t>
      </w:r>
      <w:r>
        <w:rPr>
          <w:rFonts w:ascii="Garamond" w:hAnsi="Garamond" w:cs="Times New Roman"/>
          <w:b/>
          <w:bCs/>
          <w:i/>
          <w:iCs/>
          <w:color w:val="0070C0"/>
          <w:sz w:val="24"/>
          <w:szCs w:val="24"/>
          <w:lang w:eastAsia="sq-AL"/>
        </w:rPr>
        <w:t xml:space="preserve">imin e të gjitha shkronjave të </w:t>
      </w:r>
      <w:r w:rsidRPr="003D5CE4">
        <w:rPr>
          <w:rFonts w:ascii="Garamond" w:hAnsi="Garamond" w:cs="Times New Roman"/>
          <w:b/>
          <w:bCs/>
          <w:i/>
          <w:iCs/>
          <w:color w:val="0070C0"/>
          <w:sz w:val="24"/>
          <w:szCs w:val="24"/>
          <w:lang w:eastAsia="sq-AL"/>
        </w:rPr>
        <w:t>alfabetit shqip (ë dhe ç), paragrafëve dhe të struktu</w:t>
      </w:r>
      <w:r>
        <w:rPr>
          <w:rFonts w:ascii="Garamond" w:hAnsi="Garamond" w:cs="Times New Roman"/>
          <w:b/>
          <w:bCs/>
          <w:i/>
          <w:iCs/>
          <w:color w:val="0070C0"/>
          <w:sz w:val="24"/>
          <w:szCs w:val="24"/>
          <w:lang w:eastAsia="sq-AL"/>
        </w:rPr>
        <w:t xml:space="preserve">rës së fjalisë për të shprehur </w:t>
      </w:r>
      <w:r w:rsidRPr="003D5CE4">
        <w:rPr>
          <w:rFonts w:ascii="Garamond" w:hAnsi="Garamond" w:cs="Times New Roman"/>
          <w:b/>
          <w:bCs/>
          <w:i/>
          <w:iCs/>
          <w:color w:val="0070C0"/>
          <w:sz w:val="24"/>
          <w:szCs w:val="24"/>
          <w:lang w:eastAsia="sq-AL"/>
        </w:rPr>
        <w:t>kuptimin;</w:t>
      </w:r>
    </w:p>
    <w:p w14:paraId="312204E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 xml:space="preserve">d) </w:t>
      </w:r>
      <w:r>
        <w:rPr>
          <w:rFonts w:ascii="Garamond" w:hAnsi="Garamond" w:cs="Times New Roman"/>
          <w:b/>
          <w:bCs/>
          <w:i/>
          <w:iCs/>
          <w:color w:val="0070C0"/>
          <w:sz w:val="24"/>
          <w:szCs w:val="24"/>
          <w:lang w:eastAsia="sq-AL"/>
        </w:rPr>
        <w:t>p</w:t>
      </w:r>
      <w:r w:rsidRPr="003D5CE4">
        <w:rPr>
          <w:rFonts w:ascii="Garamond" w:hAnsi="Garamond" w:cs="Times New Roman"/>
          <w:b/>
          <w:bCs/>
          <w:i/>
          <w:iCs/>
          <w:color w:val="0070C0"/>
          <w:sz w:val="24"/>
          <w:szCs w:val="24"/>
          <w:lang w:eastAsia="sq-AL"/>
        </w:rPr>
        <w:t xml:space="preserve">ërdorimin në mënyrë korrekte dhe </w:t>
      </w:r>
      <w:r w:rsidRPr="003D5CE4">
        <w:rPr>
          <w:rFonts w:ascii="Garamond" w:hAnsi="Garamond" w:cs="Times New Roman"/>
          <w:b/>
          <w:bCs/>
          <w:i/>
          <w:iCs/>
          <w:color w:val="2E74B5"/>
          <w:sz w:val="24"/>
          <w:szCs w:val="24"/>
          <w:lang w:eastAsia="sq-AL"/>
        </w:rPr>
        <w:t>qëndrueshme</w:t>
      </w:r>
      <w:r w:rsidRPr="003D5CE4">
        <w:rPr>
          <w:rFonts w:ascii="Garamond" w:hAnsi="Garamond" w:cs="Times New Roman"/>
          <w:b/>
          <w:bCs/>
          <w:i/>
          <w:iCs/>
          <w:color w:val="0070C0"/>
          <w:sz w:val="24"/>
          <w:szCs w:val="24"/>
          <w:lang w:eastAsia="sq-AL"/>
        </w:rPr>
        <w:t xml:space="preserve"> të termave teknikë.</w:t>
      </w:r>
    </w:p>
    <w:p w14:paraId="012424F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62AAA69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47C4E12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66FF016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5FE634B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i burimeve të vlerësimit:</w:t>
      </w:r>
    </w:p>
    <w:p w14:paraId="1D806DC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181677">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630122D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181677">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3DA29C59"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1.B.b Struktura e qëndrueshme dhe e mirorganizuar e akteve</w:t>
      </w:r>
    </w:p>
    <w:p w14:paraId="2254E10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në mënyrë të detajuar të dhënat e secilit burim që lidhen me</w:t>
      </w:r>
      <w:r>
        <w:rPr>
          <w:rFonts w:ascii="Garamond" w:hAnsi="Garamond" w:cs="Times New Roman"/>
          <w:b/>
          <w:bCs/>
          <w:i/>
          <w:iCs/>
          <w:color w:val="0070C0"/>
          <w:sz w:val="24"/>
          <w:szCs w:val="24"/>
          <w:lang w:eastAsia="sq-AL"/>
        </w:rPr>
        <w:t>:</w:t>
      </w:r>
    </w:p>
    <w:p w14:paraId="2D4A2D4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a) </w:t>
      </w:r>
      <w:r>
        <w:rPr>
          <w:rFonts w:ascii="Garamond" w:hAnsi="Garamond" w:cs="Times New Roman"/>
          <w:b/>
          <w:bCs/>
          <w:i/>
          <w:iCs/>
          <w:color w:val="2E74B5"/>
          <w:sz w:val="24"/>
          <w:szCs w:val="24"/>
          <w:lang w:eastAsia="sq-AL"/>
        </w:rPr>
        <w:t>n</w:t>
      </w:r>
      <w:r w:rsidRPr="003D5CE4">
        <w:rPr>
          <w:rFonts w:ascii="Garamond" w:hAnsi="Garamond" w:cs="Times New Roman"/>
          <w:b/>
          <w:bCs/>
          <w:i/>
          <w:iCs/>
          <w:color w:val="2E74B5"/>
          <w:sz w:val="24"/>
          <w:szCs w:val="24"/>
          <w:lang w:eastAsia="sq-AL"/>
        </w:rPr>
        <w:t>djekjen e një metodologjie të caktuar sipas pjesëve përbërëse të dokumentit ligjor, në funksion të orientimit të lexuesit dhe kuptueshmërisë së përmbajtjes së dokumentit;</w:t>
      </w:r>
    </w:p>
    <w:p w14:paraId="11B6CA5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b) </w:t>
      </w:r>
      <w:r>
        <w:rPr>
          <w:rFonts w:ascii="Garamond" w:hAnsi="Garamond" w:cs="Times New Roman"/>
          <w:b/>
          <w:bCs/>
          <w:i/>
          <w:iCs/>
          <w:color w:val="2E74B5"/>
          <w:sz w:val="24"/>
          <w:szCs w:val="24"/>
          <w:lang w:eastAsia="sq-AL"/>
        </w:rPr>
        <w:t>s</w:t>
      </w:r>
      <w:r w:rsidRPr="003D5CE4">
        <w:rPr>
          <w:rFonts w:ascii="Garamond" w:hAnsi="Garamond" w:cs="Times New Roman"/>
          <w:b/>
          <w:bCs/>
          <w:i/>
          <w:iCs/>
          <w:color w:val="2E74B5"/>
          <w:sz w:val="24"/>
          <w:szCs w:val="24"/>
          <w:lang w:eastAsia="sq-AL"/>
        </w:rPr>
        <w:t>trukturën e qartë, të qëndrueshme dhe të mirorganizuar</w:t>
      </w:r>
      <w:r>
        <w:rPr>
          <w:rFonts w:ascii="Garamond" w:hAnsi="Garamond" w:cs="Times New Roman"/>
          <w:b/>
          <w:bCs/>
          <w:i/>
          <w:iCs/>
          <w:color w:val="2E74B5"/>
          <w:sz w:val="24"/>
          <w:szCs w:val="24"/>
          <w:lang w:eastAsia="sq-AL"/>
        </w:rPr>
        <w:t>,</w:t>
      </w:r>
      <w:r w:rsidRPr="003D5CE4">
        <w:rPr>
          <w:rFonts w:ascii="Garamond" w:hAnsi="Garamond" w:cs="Times New Roman"/>
          <w:b/>
          <w:bCs/>
          <w:i/>
          <w:iCs/>
          <w:color w:val="2E74B5"/>
          <w:sz w:val="24"/>
          <w:szCs w:val="24"/>
          <w:lang w:eastAsia="sq-AL"/>
        </w:rPr>
        <w:t xml:space="preserve"> e cila përmban: </w:t>
      </w:r>
    </w:p>
    <w:p w14:paraId="2C7C45A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color w:val="000000"/>
          <w:sz w:val="24"/>
          <w:szCs w:val="24"/>
          <w:lang w:eastAsia="sq-AL"/>
        </w:rPr>
        <w:t xml:space="preserve">- </w:t>
      </w:r>
      <w:r w:rsidRPr="003D5CE4">
        <w:rPr>
          <w:rFonts w:ascii="Garamond" w:hAnsi="Garamond" w:cs="Times New Roman"/>
          <w:b/>
          <w:bCs/>
          <w:i/>
          <w:iCs/>
          <w:color w:val="2E74B5"/>
          <w:sz w:val="24"/>
          <w:szCs w:val="24"/>
          <w:lang w:eastAsia="sq-AL"/>
        </w:rPr>
        <w:t>prezantimin e fakteve;</w:t>
      </w:r>
    </w:p>
    <w:p w14:paraId="3688719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color w:val="000000"/>
          <w:sz w:val="24"/>
          <w:szCs w:val="24"/>
          <w:lang w:eastAsia="sq-AL"/>
        </w:rPr>
        <w:t xml:space="preserve">- </w:t>
      </w:r>
      <w:r w:rsidRPr="003D5CE4">
        <w:rPr>
          <w:rFonts w:ascii="Garamond" w:hAnsi="Garamond" w:cs="Times New Roman"/>
          <w:b/>
          <w:bCs/>
          <w:i/>
          <w:iCs/>
          <w:color w:val="2E74B5"/>
          <w:sz w:val="24"/>
          <w:szCs w:val="24"/>
          <w:lang w:eastAsia="sq-AL"/>
        </w:rPr>
        <w:t>identifikimin e dispozitave të zbatueshme të ligjit;</w:t>
      </w:r>
    </w:p>
    <w:p w14:paraId="2B7B16A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color w:val="000000"/>
          <w:sz w:val="24"/>
          <w:szCs w:val="24"/>
          <w:lang w:eastAsia="sq-AL"/>
        </w:rPr>
        <w:t xml:space="preserve">- </w:t>
      </w:r>
      <w:r w:rsidRPr="003D5CE4">
        <w:rPr>
          <w:rFonts w:ascii="Garamond" w:hAnsi="Garamond" w:cs="Times New Roman"/>
          <w:b/>
          <w:bCs/>
          <w:i/>
          <w:iCs/>
          <w:color w:val="2E74B5"/>
          <w:sz w:val="24"/>
          <w:szCs w:val="24"/>
          <w:lang w:eastAsia="sq-AL"/>
        </w:rPr>
        <w:t>analizën ligjore të fakteve;</w:t>
      </w:r>
    </w:p>
    <w:p w14:paraId="2C21129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color w:val="000000"/>
          <w:sz w:val="24"/>
          <w:szCs w:val="24"/>
          <w:lang w:eastAsia="sq-AL"/>
        </w:rPr>
        <w:t xml:space="preserve">- </w:t>
      </w:r>
      <w:r w:rsidRPr="003D5CE4">
        <w:rPr>
          <w:rFonts w:ascii="Garamond" w:hAnsi="Garamond" w:cs="Times New Roman"/>
          <w:b/>
          <w:bCs/>
          <w:i/>
          <w:iCs/>
          <w:color w:val="2E74B5"/>
          <w:sz w:val="24"/>
          <w:szCs w:val="24"/>
          <w:lang w:eastAsia="sq-AL"/>
        </w:rPr>
        <w:t>përfundimet;</w:t>
      </w:r>
    </w:p>
    <w:p w14:paraId="0BD2B90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color w:val="000000"/>
          <w:sz w:val="24"/>
          <w:szCs w:val="24"/>
          <w:lang w:eastAsia="sq-AL"/>
        </w:rPr>
        <w:t xml:space="preserve">- </w:t>
      </w:r>
      <w:r w:rsidRPr="003D5CE4">
        <w:rPr>
          <w:rFonts w:ascii="Garamond" w:hAnsi="Garamond" w:cs="Times New Roman"/>
          <w:b/>
          <w:bCs/>
          <w:i/>
          <w:iCs/>
          <w:color w:val="2E74B5"/>
          <w:sz w:val="24"/>
          <w:szCs w:val="24"/>
          <w:lang w:eastAsia="sq-AL"/>
        </w:rPr>
        <w:t>dispozitivin dhe mënyrën se si lidhen këta elementë me njëri</w:t>
      </w:r>
      <w:r>
        <w:rPr>
          <w:rFonts w:ascii="Garamond" w:hAnsi="Garamond" w:cs="Times New Roman"/>
          <w:b/>
          <w:bCs/>
          <w:i/>
          <w:iCs/>
          <w:color w:val="2E74B5"/>
          <w:sz w:val="24"/>
          <w:szCs w:val="24"/>
          <w:lang w:eastAsia="sq-AL"/>
        </w:rPr>
        <w:t>-</w:t>
      </w:r>
      <w:r w:rsidRPr="003D5CE4">
        <w:rPr>
          <w:rFonts w:ascii="Garamond" w:hAnsi="Garamond" w:cs="Times New Roman"/>
          <w:b/>
          <w:bCs/>
          <w:i/>
          <w:iCs/>
          <w:color w:val="2E74B5"/>
          <w:sz w:val="24"/>
          <w:szCs w:val="24"/>
          <w:lang w:eastAsia="sq-AL"/>
        </w:rPr>
        <w:t>tjetrin.</w:t>
      </w:r>
    </w:p>
    <w:p w14:paraId="2E10B4F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51FAE110" w14:textId="77777777" w:rsidR="00F052F6" w:rsidRPr="003D5CE4" w:rsidRDefault="00F052F6" w:rsidP="00F052F6">
      <w:pPr>
        <w:tabs>
          <w:tab w:val="left" w:pos="140"/>
        </w:tabs>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2098F649" w14:textId="77777777" w:rsidR="00F052F6" w:rsidRPr="003D5CE4" w:rsidRDefault="00F052F6" w:rsidP="00F052F6">
      <w:pPr>
        <w:tabs>
          <w:tab w:val="left" w:pos="140"/>
        </w:tabs>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272D0F5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06B20E4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i burimeve të vlerësimit:</w:t>
      </w:r>
    </w:p>
    <w:p w14:paraId="77DB01A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5D7DF8">
        <w:rPr>
          <w:rFonts w:ascii="Garamond" w:hAnsi="Garamond" w:cs="Times New Roman"/>
          <w:bCs/>
          <w:color w:val="000000"/>
          <w:sz w:val="24"/>
          <w:szCs w:val="24"/>
          <w:lang w:eastAsia="sq-AL"/>
        </w:rPr>
        <w:t>,</w:t>
      </w:r>
      <w:r w:rsidRPr="005D7DF8">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27DA41A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5D7DF8">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7B1648B6"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1.B.c Aftësia për të marrë në pyetje</w:t>
      </w:r>
    </w:p>
    <w:p w14:paraId="20F0572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në mënyrë të detajuar të dhënat e secilit burim që lidhen me</w:t>
      </w:r>
      <w:r>
        <w:rPr>
          <w:rFonts w:ascii="Garamond" w:hAnsi="Garamond" w:cs="Times New Roman"/>
          <w:b/>
          <w:bCs/>
          <w:i/>
          <w:iCs/>
          <w:color w:val="0070C0"/>
          <w:sz w:val="24"/>
          <w:szCs w:val="24"/>
          <w:lang w:eastAsia="sq-AL"/>
        </w:rPr>
        <w:t>:</w:t>
      </w:r>
    </w:p>
    <w:p w14:paraId="3F4CD99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a) bërjen e pyetjeve të duhura, të cilat lidhen me objektin e hetimit;</w:t>
      </w:r>
    </w:p>
    <w:p w14:paraId="0243A4C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b) mënyrën e ndërtimit të pyetjeve, qartësinë dhe saktësinë e tyre;</w:t>
      </w:r>
    </w:p>
    <w:p w14:paraId="7815785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c) garantimin dhe respektimin e të drejtave që jep ligji, për personin që  merret në pyetje;</w:t>
      </w:r>
    </w:p>
    <w:p w14:paraId="6AB6090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2E74B5"/>
          <w:sz w:val="24"/>
          <w:szCs w:val="24"/>
          <w:lang w:eastAsia="sq-AL"/>
        </w:rPr>
        <w:t>ç) administrimin e të dhënave të nevojshme, për plotësimin e praktikës dhe mbështetjen e objektit të çështjes, nga prokurori i ekzekutimeve.</w:t>
      </w:r>
    </w:p>
    <w:p w14:paraId="648552A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Në rastin e prokurorit të ekzekutimeve, në mungesë të akteve që dokumentojnë aftësinë e marrjes në pyetje të prokurorit, për të vlerësuar këtë kriter  do të shërbejnë aftësitë e prokurorit për të administruar të dhëna e nevojshme, për plotësimin e praktikës dhe mbështetjen e objektit të çështjes.</w:t>
      </w:r>
    </w:p>
    <w:p w14:paraId="69C05C8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13A9B588" w14:textId="77777777" w:rsidR="00F052F6" w:rsidRPr="00794E62" w:rsidRDefault="00F052F6" w:rsidP="00F052F6">
      <w:pPr>
        <w:tabs>
          <w:tab w:val="left" w:pos="140"/>
        </w:tabs>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794E62">
        <w:rPr>
          <w:rFonts w:ascii="Garamond" w:hAnsi="Garamond" w:cs="Times New Roman"/>
          <w:color w:val="000000"/>
          <w:sz w:val="24"/>
          <w:szCs w:val="24"/>
          <w:lang w:eastAsia="sq-AL"/>
        </w:rPr>
        <w:t>4. Burimi 1;</w:t>
      </w:r>
    </w:p>
    <w:p w14:paraId="70A5CEC3" w14:textId="77777777" w:rsidR="00F052F6" w:rsidRPr="00794E62" w:rsidRDefault="00F052F6" w:rsidP="00F052F6">
      <w:pPr>
        <w:tabs>
          <w:tab w:val="left" w:pos="140"/>
        </w:tabs>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794E62">
        <w:rPr>
          <w:rFonts w:ascii="Garamond" w:hAnsi="Garamond" w:cs="Times New Roman"/>
          <w:color w:val="000000"/>
          <w:sz w:val="24"/>
          <w:szCs w:val="24"/>
          <w:lang w:eastAsia="sq-AL"/>
        </w:rPr>
        <w:t>5. Burimi 2;</w:t>
      </w:r>
    </w:p>
    <w:p w14:paraId="23F9FD10" w14:textId="77777777" w:rsidR="00F052F6" w:rsidRPr="003D5CE4" w:rsidRDefault="00F052F6" w:rsidP="00F052F6">
      <w:pPr>
        <w:tabs>
          <w:tab w:val="left" w:pos="140"/>
        </w:tabs>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794E62">
        <w:rPr>
          <w:rFonts w:ascii="Garamond" w:hAnsi="Garamond" w:cs="Times New Roman"/>
          <w:color w:val="000000"/>
          <w:sz w:val="24"/>
          <w:szCs w:val="24"/>
          <w:lang w:eastAsia="sq-AL"/>
        </w:rPr>
        <w:t>6.</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486E09C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i burimeve të vlerësimit:</w:t>
      </w:r>
    </w:p>
    <w:p w14:paraId="407A159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9376E7">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269C580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9376E7">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56EA6B5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1.B.ç Cilësia e analizës dhe argumentimi logjik</w:t>
      </w:r>
    </w:p>
    <w:p w14:paraId="7A24140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në mënyrë të detajuar, të dhënat e secilit burim që lidhen me</w:t>
      </w:r>
      <w:r>
        <w:rPr>
          <w:rFonts w:ascii="Garamond" w:hAnsi="Garamond" w:cs="Times New Roman"/>
          <w:b/>
          <w:bCs/>
          <w:i/>
          <w:iCs/>
          <w:color w:val="0070C0"/>
          <w:sz w:val="24"/>
          <w:szCs w:val="24"/>
          <w:lang w:eastAsia="sq-AL"/>
        </w:rPr>
        <w:t>:</w:t>
      </w:r>
    </w:p>
    <w:p w14:paraId="55208E2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a) </w:t>
      </w:r>
      <w:r>
        <w:rPr>
          <w:rFonts w:ascii="Garamond" w:hAnsi="Garamond" w:cs="Times New Roman"/>
          <w:b/>
          <w:bCs/>
          <w:i/>
          <w:iCs/>
          <w:color w:val="2E74B5"/>
          <w:sz w:val="24"/>
          <w:szCs w:val="24"/>
          <w:lang w:eastAsia="sq-AL"/>
        </w:rPr>
        <w:t>i</w:t>
      </w:r>
      <w:r w:rsidRPr="003D5CE4">
        <w:rPr>
          <w:rFonts w:ascii="Garamond" w:hAnsi="Garamond" w:cs="Times New Roman"/>
          <w:b/>
          <w:bCs/>
          <w:i/>
          <w:iCs/>
          <w:color w:val="2E74B5"/>
          <w:sz w:val="24"/>
          <w:szCs w:val="24"/>
          <w:lang w:eastAsia="sq-AL"/>
        </w:rPr>
        <w:t>dentifikimin e marrëdhënieve shkak-pasojë ndërmjet faktit penal, provave të mbledhura dhe dispozitave ligjore;</w:t>
      </w:r>
    </w:p>
    <w:p w14:paraId="5CFA711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b) </w:t>
      </w:r>
      <w:r>
        <w:rPr>
          <w:rFonts w:ascii="Garamond" w:hAnsi="Garamond" w:cs="Times New Roman"/>
          <w:b/>
          <w:bCs/>
          <w:i/>
          <w:iCs/>
          <w:color w:val="2E74B5"/>
          <w:sz w:val="24"/>
          <w:szCs w:val="24"/>
          <w:lang w:eastAsia="sq-AL"/>
        </w:rPr>
        <w:t>a</w:t>
      </w:r>
      <w:r w:rsidRPr="003D5CE4">
        <w:rPr>
          <w:rFonts w:ascii="Garamond" w:hAnsi="Garamond" w:cs="Times New Roman"/>
          <w:b/>
          <w:bCs/>
          <w:i/>
          <w:iCs/>
          <w:color w:val="2E74B5"/>
          <w:sz w:val="24"/>
          <w:szCs w:val="24"/>
          <w:lang w:eastAsia="sq-AL"/>
        </w:rPr>
        <w:t>nalizimin se si konceptet, institutet dhe dispozitat lidhen midis tyre, ose se si ato zbatohen në një situatë të caktuar</w:t>
      </w:r>
      <w:r>
        <w:rPr>
          <w:rFonts w:ascii="Garamond" w:hAnsi="Garamond" w:cs="Times New Roman"/>
          <w:b/>
          <w:bCs/>
          <w:i/>
          <w:iCs/>
          <w:color w:val="2E74B5"/>
          <w:sz w:val="24"/>
          <w:szCs w:val="24"/>
          <w:lang w:eastAsia="sq-AL"/>
        </w:rPr>
        <w:t>;</w:t>
      </w:r>
      <w:r w:rsidRPr="003D5CE4">
        <w:rPr>
          <w:rFonts w:ascii="Garamond" w:hAnsi="Garamond" w:cs="Times New Roman"/>
          <w:b/>
          <w:bCs/>
          <w:i/>
          <w:iCs/>
          <w:color w:val="2E74B5"/>
          <w:sz w:val="24"/>
          <w:szCs w:val="24"/>
          <w:lang w:eastAsia="sq-AL"/>
        </w:rPr>
        <w:t xml:space="preserve"> </w:t>
      </w:r>
    </w:p>
    <w:p w14:paraId="0ED07F8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c) </w:t>
      </w:r>
      <w:r>
        <w:rPr>
          <w:rFonts w:ascii="Garamond" w:hAnsi="Garamond" w:cs="Times New Roman"/>
          <w:b/>
          <w:bCs/>
          <w:i/>
          <w:iCs/>
          <w:color w:val="2E74B5"/>
          <w:sz w:val="24"/>
          <w:szCs w:val="24"/>
          <w:lang w:eastAsia="sq-AL"/>
        </w:rPr>
        <w:t>n</w:t>
      </w:r>
      <w:r w:rsidRPr="003D5CE4">
        <w:rPr>
          <w:rFonts w:ascii="Garamond" w:hAnsi="Garamond" w:cs="Times New Roman"/>
          <w:b/>
          <w:bCs/>
          <w:i/>
          <w:iCs/>
          <w:color w:val="2E74B5"/>
          <w:sz w:val="24"/>
          <w:szCs w:val="24"/>
          <w:lang w:eastAsia="sq-AL"/>
        </w:rPr>
        <w:t>ivelin e arsyetimit në plotësim të standardit të procesit të rregullt ligjor;</w:t>
      </w:r>
    </w:p>
    <w:p w14:paraId="6FB93C8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ç) </w:t>
      </w:r>
      <w:r>
        <w:rPr>
          <w:rFonts w:ascii="Garamond" w:hAnsi="Garamond" w:cs="Times New Roman"/>
          <w:b/>
          <w:bCs/>
          <w:i/>
          <w:iCs/>
          <w:color w:val="2E74B5"/>
          <w:sz w:val="24"/>
          <w:szCs w:val="24"/>
          <w:lang w:eastAsia="sq-AL"/>
        </w:rPr>
        <w:t>d</w:t>
      </w:r>
      <w:r w:rsidRPr="003D5CE4">
        <w:rPr>
          <w:rFonts w:ascii="Garamond" w:hAnsi="Garamond" w:cs="Times New Roman"/>
          <w:b/>
          <w:bCs/>
          <w:i/>
          <w:iCs/>
          <w:color w:val="2E74B5"/>
          <w:sz w:val="24"/>
          <w:szCs w:val="24"/>
          <w:lang w:eastAsia="sq-AL"/>
        </w:rPr>
        <w:t>hënien përgjigje të gjitha fakteve të preten</w:t>
      </w:r>
      <w:r>
        <w:rPr>
          <w:rFonts w:ascii="Garamond" w:hAnsi="Garamond" w:cs="Times New Roman"/>
          <w:b/>
          <w:bCs/>
          <w:i/>
          <w:iCs/>
          <w:color w:val="2E74B5"/>
          <w:sz w:val="24"/>
          <w:szCs w:val="24"/>
          <w:lang w:eastAsia="sq-AL"/>
        </w:rPr>
        <w:t xml:space="preserve">duara (të argumentuara) apo të </w:t>
      </w:r>
      <w:r w:rsidRPr="003D5CE4">
        <w:rPr>
          <w:rFonts w:ascii="Garamond" w:hAnsi="Garamond" w:cs="Times New Roman"/>
          <w:b/>
          <w:bCs/>
          <w:i/>
          <w:iCs/>
          <w:color w:val="2E74B5"/>
          <w:sz w:val="24"/>
          <w:szCs w:val="24"/>
          <w:lang w:eastAsia="sq-AL"/>
        </w:rPr>
        <w:t>evidentuara gjatë hetimit.</w:t>
      </w:r>
    </w:p>
    <w:p w14:paraId="3053E2C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1D2EEC8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2C354F9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143B051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373EDD6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i burimeve të vlerësimit:</w:t>
      </w:r>
    </w:p>
    <w:p w14:paraId="01C1A6E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9376E7">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7D2C622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9376E7">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2ABF410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p>
    <w:p w14:paraId="062E6A82" w14:textId="77777777" w:rsidR="00F052F6" w:rsidRPr="009376E7" w:rsidRDefault="00F052F6" w:rsidP="00F052F6">
      <w:pPr>
        <w:autoSpaceDE w:val="0"/>
        <w:autoSpaceDN w:val="0"/>
        <w:adjustRightInd w:val="0"/>
        <w:spacing w:after="0" w:line="240" w:lineRule="auto"/>
        <w:ind w:firstLine="284"/>
        <w:rPr>
          <w:rFonts w:ascii="Garamond" w:hAnsi="Garamond" w:cs="Times New Roman"/>
          <w:bCs/>
          <w:color w:val="000000"/>
          <w:sz w:val="24"/>
          <w:szCs w:val="24"/>
          <w:lang w:eastAsia="sq-AL"/>
        </w:rPr>
      </w:pPr>
      <w:r w:rsidRPr="009376E7">
        <w:rPr>
          <w:rFonts w:ascii="Garamond" w:hAnsi="Garamond" w:cs="Times New Roman"/>
          <w:bCs/>
          <w:color w:val="000000"/>
          <w:sz w:val="24"/>
          <w:szCs w:val="24"/>
          <w:lang w:eastAsia="sq-AL"/>
        </w:rPr>
        <w:t>2. AFTËSITË ORGANIZATIVE TË PROKURORIT</w:t>
      </w:r>
    </w:p>
    <w:p w14:paraId="3DB8C33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i/>
          <w:iCs/>
          <w:color w:val="1F4E79"/>
          <w:sz w:val="24"/>
          <w:szCs w:val="24"/>
          <w:lang w:eastAsia="sq-AL"/>
        </w:rPr>
        <w:t>Për efekt të këtij kriteri, këshilltari përgjegjës për vlerësimin pasqyron dhe analizon në mënyrë të strukturuar të dhënat që rezultojnë nga burimet e vlerësimit pa bërë vlerësim të tyre.</w:t>
      </w:r>
    </w:p>
    <w:p w14:paraId="7425BB1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color w:val="000000"/>
          <w:sz w:val="24"/>
          <w:szCs w:val="24"/>
          <w:lang w:eastAsia="sq-AL"/>
        </w:rPr>
        <w:t>2.A.a Respektimi i afateve ligjore</w:t>
      </w:r>
    </w:p>
    <w:p w14:paraId="6688593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pasqyrohen dhe analizohen në mënyrë të strukturuar të dhënat e secilit burim në drejtim të</w:t>
      </w:r>
      <w:r w:rsidRPr="003D5CE4">
        <w:rPr>
          <w:rFonts w:ascii="Garamond" w:hAnsi="Garamond" w:cs="Times New Roman"/>
          <w:b/>
          <w:bCs/>
          <w:i/>
          <w:iCs/>
          <w:color w:val="2E74B5"/>
          <w:sz w:val="24"/>
          <w:szCs w:val="24"/>
          <w:lang w:eastAsia="sq-AL"/>
        </w:rPr>
        <w:t xml:space="preserve"> respektimit nga ana e prokurorit të afateve të parashikuara në ligj brenda të cilave duhet të përfundojnë procedurat hetimore ose procedurat e tjera të sistemit të prokurorisë.</w:t>
      </w:r>
    </w:p>
    <w:p w14:paraId="17D2B13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08E4C9C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4C1E498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40F7EFF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02BE102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507F7DB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A62144">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4605C5F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A62144">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6689982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i/>
          <w:iCs/>
          <w:color w:val="000000"/>
          <w:sz w:val="24"/>
          <w:szCs w:val="24"/>
          <w:lang w:eastAsia="sq-AL"/>
        </w:rPr>
        <w:t>2.</w:t>
      </w:r>
      <w:r w:rsidRPr="003D5CE4">
        <w:rPr>
          <w:rFonts w:ascii="Garamond" w:hAnsi="Garamond" w:cs="Times New Roman"/>
          <w:b/>
          <w:bCs/>
          <w:color w:val="000000"/>
          <w:sz w:val="24"/>
          <w:szCs w:val="24"/>
          <w:lang w:eastAsia="sq-AL"/>
        </w:rPr>
        <w:t>A.b Koha mesatare që i dedikohet çdo çështjeje deri në marrjen e vendimit, aktit përfundimtar</w:t>
      </w:r>
    </w:p>
    <w:p w14:paraId="47A0270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pasqyrohen dhe analizohen në mënyrë të strukturuar të dhënat e secilit burim</w:t>
      </w:r>
      <w:r w:rsidRPr="003D5CE4">
        <w:rPr>
          <w:rFonts w:ascii="Garamond" w:hAnsi="Garamond" w:cs="Times New Roman"/>
          <w:b/>
          <w:bCs/>
          <w:i/>
          <w:iCs/>
          <w:color w:val="2E74B5"/>
          <w:sz w:val="24"/>
          <w:szCs w:val="24"/>
          <w:lang w:eastAsia="sq-AL"/>
        </w:rPr>
        <w:t xml:space="preserve"> që lidhen me kohën që i është përkushtuar çdo çështje, krahasuar me </w:t>
      </w:r>
      <w:r w:rsidRPr="003D5CE4">
        <w:rPr>
          <w:rFonts w:ascii="Garamond" w:hAnsi="Garamond" w:cs="Times New Roman"/>
          <w:b/>
          <w:bCs/>
          <w:i/>
          <w:iCs/>
          <w:color w:val="0070C0"/>
          <w:sz w:val="24"/>
          <w:szCs w:val="24"/>
          <w:lang w:eastAsia="sq-AL"/>
        </w:rPr>
        <w:t>kohën mesatare, që i është dedikuar të njëjtës kategori çështjesh nga prokurorët që kanë ushtruar funksionin në të njëjtën periudhë dhe në të njëjtin seksion, në mungesë të seksioneve në të njëjtën prokurori, me prokurorin subjekt vlerësimi.</w:t>
      </w:r>
      <w:r w:rsidRPr="003D5CE4">
        <w:rPr>
          <w:rFonts w:ascii="Garamond" w:hAnsi="Garamond" w:cs="Times New Roman"/>
          <w:b/>
          <w:bCs/>
          <w:i/>
          <w:iCs/>
          <w:color w:val="2E74B5"/>
          <w:sz w:val="24"/>
          <w:szCs w:val="24"/>
          <w:lang w:eastAsia="sq-AL"/>
        </w:rPr>
        <w:t xml:space="preserve"> Koha mesatare përcaktohet më vete për secilën kategori çështjesh</w:t>
      </w:r>
      <w:r w:rsidRPr="003D5CE4">
        <w:rPr>
          <w:rFonts w:ascii="Garamond" w:hAnsi="Garamond" w:cs="Times New Roman"/>
          <w:color w:val="000000"/>
          <w:sz w:val="24"/>
          <w:szCs w:val="24"/>
          <w:lang w:eastAsia="sq-AL"/>
        </w:rPr>
        <w:t xml:space="preserve">. </w:t>
      </w:r>
      <w:r w:rsidRPr="003D5CE4">
        <w:rPr>
          <w:rFonts w:ascii="Garamond" w:hAnsi="Garamond" w:cs="Times New Roman"/>
          <w:b/>
          <w:bCs/>
          <w:i/>
          <w:iCs/>
          <w:color w:val="0070C0"/>
          <w:sz w:val="24"/>
          <w:szCs w:val="24"/>
          <w:lang w:eastAsia="sq-AL"/>
        </w:rPr>
        <w:t xml:space="preserve"> </w:t>
      </w:r>
    </w:p>
    <w:p w14:paraId="66061D3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139BD9D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5D00E78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06BFA28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00CBDA0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27774FF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A62144">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2742F33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A62144">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4E799DC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AC47C0">
        <w:rPr>
          <w:rFonts w:ascii="Garamond" w:hAnsi="Garamond" w:cs="Times New Roman"/>
          <w:b/>
          <w:bCs/>
          <w:iCs/>
          <w:color w:val="000000"/>
          <w:sz w:val="24"/>
          <w:szCs w:val="24"/>
          <w:lang w:eastAsia="sq-AL"/>
        </w:rPr>
        <w:t>2.</w:t>
      </w:r>
      <w:r w:rsidRPr="003D5CE4">
        <w:rPr>
          <w:rFonts w:ascii="Garamond" w:hAnsi="Garamond" w:cs="Times New Roman"/>
          <w:b/>
          <w:bCs/>
          <w:color w:val="000000"/>
          <w:sz w:val="24"/>
          <w:szCs w:val="24"/>
          <w:lang w:eastAsia="sq-AL"/>
        </w:rPr>
        <w:t>A.c Rendimenti i përfundimit të çështjeve</w:t>
      </w:r>
    </w:p>
    <w:p w14:paraId="2AA7734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pasqyrohen dhe analizohen në mënyrë të strukturuar të dhënat e secilit burim</w:t>
      </w:r>
      <w:r w:rsidRPr="003D5CE4">
        <w:rPr>
          <w:rFonts w:ascii="Garamond" w:hAnsi="Garamond" w:cs="Times New Roman"/>
          <w:b/>
          <w:bCs/>
          <w:i/>
          <w:iCs/>
          <w:color w:val="2E74B5"/>
          <w:sz w:val="24"/>
          <w:szCs w:val="24"/>
          <w:lang w:eastAsia="sq-AL"/>
        </w:rPr>
        <w:t xml:space="preserve"> që lidhen me numrin e çështjeve apo praktikave   të përfunduara nga prokurori brenda një viti kalendarik, në raport me numrin e çështjeve apo praktikave që i janë caktuar brenda një viti kalendarik duke përfshirë çështjet apo praktikat e mbartura nga viti i mëparshëm.</w:t>
      </w:r>
    </w:p>
    <w:p w14:paraId="74FDB2E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43C4E81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740784C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5F7EA84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1909A22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219E722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AC47C0">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568E470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AC47C0">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2B47402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p>
    <w:p w14:paraId="677571AF" w14:textId="77777777" w:rsidR="00F052F6" w:rsidRPr="00AC47C0" w:rsidRDefault="00F052F6"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r w:rsidRPr="00AC47C0">
        <w:rPr>
          <w:rFonts w:ascii="Garamond" w:hAnsi="Garamond" w:cs="Times New Roman"/>
          <w:bCs/>
          <w:color w:val="000000"/>
          <w:sz w:val="24"/>
          <w:szCs w:val="24"/>
          <w:lang w:eastAsia="sq-AL"/>
        </w:rPr>
        <w:t>2.B AFTËSIA PËR TË KRYER PROCEDURAT HETIMORE DHE PROCEDURA TË TJERA TË SISTEMIT TË PROKURORISË</w:t>
      </w:r>
    </w:p>
    <w:p w14:paraId="1F972C0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color w:val="000000"/>
          <w:sz w:val="24"/>
          <w:szCs w:val="24"/>
          <w:lang w:eastAsia="sq-AL"/>
        </w:rPr>
        <w:t>2.B.a Aftësia e prokurorit për të kryer brenda një afati kohor të përcaktuar, veprimet e nevojshme hetimore dhe procedurale</w:t>
      </w:r>
    </w:p>
    <w:p w14:paraId="0580E02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pasqyrohen dhe analizohen në mënyrë të strukturuar të dhënat e secilit burim</w:t>
      </w:r>
      <w:r w:rsidRPr="003D5CE4">
        <w:rPr>
          <w:rFonts w:ascii="Garamond" w:hAnsi="Garamond" w:cs="Times New Roman"/>
          <w:b/>
          <w:bCs/>
          <w:i/>
          <w:iCs/>
          <w:color w:val="2E74B5"/>
          <w:sz w:val="24"/>
          <w:szCs w:val="24"/>
          <w:lang w:eastAsia="sq-AL"/>
        </w:rPr>
        <w:t xml:space="preserve"> që lidhen me:  </w:t>
      </w:r>
    </w:p>
    <w:p w14:paraId="3C235F2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a) </w:t>
      </w:r>
      <w:r>
        <w:rPr>
          <w:rFonts w:ascii="Garamond" w:hAnsi="Garamond" w:cs="Times New Roman"/>
          <w:b/>
          <w:bCs/>
          <w:i/>
          <w:iCs/>
          <w:color w:val="2E74B5"/>
          <w:sz w:val="24"/>
          <w:szCs w:val="24"/>
          <w:lang w:eastAsia="sq-AL"/>
        </w:rPr>
        <w:t>r</w:t>
      </w:r>
      <w:r w:rsidRPr="003D5CE4">
        <w:rPr>
          <w:rFonts w:ascii="Garamond" w:hAnsi="Garamond" w:cs="Times New Roman"/>
          <w:b/>
          <w:bCs/>
          <w:i/>
          <w:iCs/>
          <w:color w:val="2E74B5"/>
          <w:sz w:val="24"/>
          <w:szCs w:val="24"/>
          <w:lang w:eastAsia="sq-AL"/>
        </w:rPr>
        <w:t>ealizimin efektiv dhe në kohë të veprimeve hetimore personalisht apo nëpërmjet urdhërimit ose delegimit të kryerjes së këtyre veprimeve nga policia gjyqësore;</w:t>
      </w:r>
    </w:p>
    <w:p w14:paraId="34063D1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b) </w:t>
      </w:r>
      <w:r>
        <w:rPr>
          <w:rFonts w:ascii="Garamond" w:hAnsi="Garamond" w:cs="Times New Roman"/>
          <w:b/>
          <w:bCs/>
          <w:i/>
          <w:iCs/>
          <w:color w:val="2E74B5"/>
          <w:sz w:val="24"/>
          <w:szCs w:val="24"/>
          <w:lang w:eastAsia="sq-AL"/>
        </w:rPr>
        <w:t>r</w:t>
      </w:r>
      <w:r w:rsidRPr="003D5CE4">
        <w:rPr>
          <w:rFonts w:ascii="Garamond" w:hAnsi="Garamond" w:cs="Times New Roman"/>
          <w:b/>
          <w:bCs/>
          <w:i/>
          <w:iCs/>
          <w:color w:val="2E74B5"/>
          <w:sz w:val="24"/>
          <w:szCs w:val="24"/>
          <w:lang w:eastAsia="sq-AL"/>
        </w:rPr>
        <w:t>ealizimin e veprimeve hetimore të cilat janë atribut vetëm i prokurorit ose delegimit korrekt të tyre;</w:t>
      </w:r>
    </w:p>
    <w:p w14:paraId="6E62D16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c)</w:t>
      </w:r>
      <w:r>
        <w:rPr>
          <w:rFonts w:ascii="Garamond" w:hAnsi="Garamond" w:cs="Times New Roman"/>
          <w:b/>
          <w:bCs/>
          <w:i/>
          <w:iCs/>
          <w:color w:val="2E74B5"/>
          <w:sz w:val="24"/>
          <w:szCs w:val="24"/>
          <w:lang w:eastAsia="sq-AL"/>
        </w:rPr>
        <w:t xml:space="preserve"> n</w:t>
      </w:r>
      <w:r w:rsidRPr="003D5CE4">
        <w:rPr>
          <w:rFonts w:ascii="Garamond" w:hAnsi="Garamond" w:cs="Times New Roman"/>
          <w:b/>
          <w:bCs/>
          <w:i/>
          <w:iCs/>
          <w:color w:val="2E74B5"/>
          <w:sz w:val="24"/>
          <w:szCs w:val="24"/>
          <w:lang w:eastAsia="sq-AL"/>
        </w:rPr>
        <w:t>umrin mesatar të veprimeve hetimore dhe procedurale të kryera brenda afateve ligjore për çdo çështje;</w:t>
      </w:r>
    </w:p>
    <w:p w14:paraId="600951A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ç)</w:t>
      </w:r>
      <w:r>
        <w:rPr>
          <w:rFonts w:ascii="Garamond" w:hAnsi="Garamond" w:cs="Times New Roman"/>
          <w:b/>
          <w:bCs/>
          <w:i/>
          <w:iCs/>
          <w:color w:val="2E74B5"/>
          <w:sz w:val="24"/>
          <w:szCs w:val="24"/>
          <w:lang w:eastAsia="sq-AL"/>
        </w:rPr>
        <w:t xml:space="preserve"> n</w:t>
      </w:r>
      <w:r w:rsidRPr="003D5CE4">
        <w:rPr>
          <w:rFonts w:ascii="Garamond" w:hAnsi="Garamond" w:cs="Times New Roman"/>
          <w:b/>
          <w:bCs/>
          <w:i/>
          <w:iCs/>
          <w:color w:val="2E74B5"/>
          <w:sz w:val="24"/>
          <w:szCs w:val="24"/>
          <w:lang w:eastAsia="sq-AL"/>
        </w:rPr>
        <w:t>umrin e veprimeve të duhura për çdo çështje, duke shmangur kryerjen disa herë të veprimeve hetimore dhe procedurale të cilat nuk janë të nevojshme ose vonesat në kryerjen e veprimeve të nevojshme;</w:t>
      </w:r>
    </w:p>
    <w:p w14:paraId="608DAA9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d) </w:t>
      </w:r>
      <w:r>
        <w:rPr>
          <w:rFonts w:ascii="Garamond" w:hAnsi="Garamond" w:cs="Times New Roman"/>
          <w:b/>
          <w:bCs/>
          <w:i/>
          <w:iCs/>
          <w:color w:val="2E74B5"/>
          <w:sz w:val="24"/>
          <w:szCs w:val="24"/>
          <w:lang w:eastAsia="sq-AL"/>
        </w:rPr>
        <w:t>k</w:t>
      </w:r>
      <w:r w:rsidRPr="003D5CE4">
        <w:rPr>
          <w:rFonts w:ascii="Garamond" w:hAnsi="Garamond" w:cs="Times New Roman"/>
          <w:b/>
          <w:bCs/>
          <w:i/>
          <w:iCs/>
          <w:color w:val="2E74B5"/>
          <w:sz w:val="24"/>
          <w:szCs w:val="24"/>
          <w:lang w:eastAsia="sq-AL"/>
        </w:rPr>
        <w:t xml:space="preserve">ryerjen e të gjitha veprimeve të nevojshme për zgjidhjen e çështjes konkrete; </w:t>
      </w:r>
    </w:p>
    <w:p w14:paraId="35D71F0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e) </w:t>
      </w:r>
      <w:r>
        <w:rPr>
          <w:rFonts w:ascii="Garamond" w:hAnsi="Garamond" w:cs="Times New Roman"/>
          <w:b/>
          <w:bCs/>
          <w:i/>
          <w:iCs/>
          <w:color w:val="2E74B5"/>
          <w:sz w:val="24"/>
          <w:szCs w:val="24"/>
          <w:lang w:eastAsia="sq-AL"/>
        </w:rPr>
        <w:t>z</w:t>
      </w:r>
      <w:r w:rsidRPr="003D5CE4">
        <w:rPr>
          <w:rFonts w:ascii="Garamond" w:hAnsi="Garamond" w:cs="Times New Roman"/>
          <w:b/>
          <w:bCs/>
          <w:i/>
          <w:iCs/>
          <w:color w:val="2E74B5"/>
          <w:sz w:val="24"/>
          <w:szCs w:val="24"/>
          <w:lang w:eastAsia="sq-AL"/>
        </w:rPr>
        <w:t>batimin ose jo të udhëzimeve jodetyruese të drejtuesit të prokurorisë dhe në rastin e moszbatimit, mbajtjen ose jo të një qëndrimi të argumentuar;</w:t>
      </w:r>
    </w:p>
    <w:p w14:paraId="18CF23A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f) </w:t>
      </w:r>
      <w:r>
        <w:rPr>
          <w:rFonts w:ascii="Garamond" w:hAnsi="Garamond" w:cs="Times New Roman"/>
          <w:b/>
          <w:bCs/>
          <w:i/>
          <w:iCs/>
          <w:color w:val="2E74B5"/>
          <w:sz w:val="24"/>
          <w:szCs w:val="24"/>
          <w:lang w:eastAsia="sq-AL"/>
        </w:rPr>
        <w:t>r</w:t>
      </w:r>
      <w:r w:rsidRPr="003D5CE4">
        <w:rPr>
          <w:rFonts w:ascii="Garamond" w:hAnsi="Garamond" w:cs="Times New Roman"/>
          <w:b/>
          <w:bCs/>
          <w:i/>
          <w:iCs/>
          <w:color w:val="2E74B5"/>
          <w:sz w:val="24"/>
          <w:szCs w:val="24"/>
          <w:lang w:eastAsia="sq-AL"/>
        </w:rPr>
        <w:t>espektimin e afateve dhe zbatimin e detyrave të lëna nga ana e gjykatës</w:t>
      </w:r>
      <w:r>
        <w:rPr>
          <w:rFonts w:ascii="Garamond" w:hAnsi="Garamond" w:cs="Times New Roman"/>
          <w:b/>
          <w:bCs/>
          <w:i/>
          <w:iCs/>
          <w:color w:val="2E74B5"/>
          <w:sz w:val="24"/>
          <w:szCs w:val="24"/>
          <w:lang w:eastAsia="sq-AL"/>
        </w:rPr>
        <w:t>.</w:t>
      </w:r>
    </w:p>
    <w:p w14:paraId="5D97365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 xml:space="preserve">Burimet e vlerësimit: </w:t>
      </w:r>
    </w:p>
    <w:p w14:paraId="0D0BEFA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1DF4FFC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5B046A2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5369283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0439B6B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2C3E31">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3522EB9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2C3E31">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17B59FC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2.B.b Mbledhja e provave të nevojshme</w:t>
      </w:r>
    </w:p>
    <w:p w14:paraId="2DC07D6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në mënyrë të detajuar, të dhënat e secilit burim që lidhen me</w:t>
      </w:r>
      <w:r>
        <w:rPr>
          <w:rFonts w:ascii="Garamond" w:hAnsi="Garamond" w:cs="Times New Roman"/>
          <w:b/>
          <w:bCs/>
          <w:i/>
          <w:iCs/>
          <w:color w:val="0070C0"/>
          <w:sz w:val="24"/>
          <w:szCs w:val="24"/>
          <w:lang w:eastAsia="sq-AL"/>
        </w:rPr>
        <w:t>:</w:t>
      </w:r>
    </w:p>
    <w:p w14:paraId="4C978A8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a) </w:t>
      </w:r>
      <w:r>
        <w:rPr>
          <w:rFonts w:ascii="Garamond" w:hAnsi="Garamond" w:cs="Times New Roman"/>
          <w:b/>
          <w:bCs/>
          <w:i/>
          <w:iCs/>
          <w:color w:val="2E74B5"/>
          <w:sz w:val="24"/>
          <w:szCs w:val="24"/>
          <w:lang w:eastAsia="sq-AL"/>
        </w:rPr>
        <w:t>m</w:t>
      </w:r>
      <w:r w:rsidRPr="003D5CE4">
        <w:rPr>
          <w:rFonts w:ascii="Garamond" w:hAnsi="Garamond" w:cs="Times New Roman"/>
          <w:b/>
          <w:bCs/>
          <w:i/>
          <w:iCs/>
          <w:color w:val="2E74B5"/>
          <w:sz w:val="24"/>
          <w:szCs w:val="24"/>
          <w:lang w:eastAsia="sq-AL"/>
        </w:rPr>
        <w:t>bledhjen e provave që janë të nevojshme për të mbështetur objektin e hetimit, si dhe ndikimin e tyre në zgjidhjen përfundimtare të çështjes;</w:t>
      </w:r>
    </w:p>
    <w:p w14:paraId="6CAAE43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b) </w:t>
      </w:r>
      <w:r>
        <w:rPr>
          <w:rFonts w:ascii="Garamond" w:hAnsi="Garamond" w:cs="Times New Roman"/>
          <w:b/>
          <w:bCs/>
          <w:i/>
          <w:iCs/>
          <w:color w:val="2E74B5"/>
          <w:sz w:val="24"/>
          <w:szCs w:val="24"/>
          <w:lang w:eastAsia="sq-AL"/>
        </w:rPr>
        <w:t>u</w:t>
      </w:r>
      <w:r w:rsidRPr="003D5CE4">
        <w:rPr>
          <w:rFonts w:ascii="Garamond" w:hAnsi="Garamond" w:cs="Times New Roman"/>
          <w:b/>
          <w:bCs/>
          <w:i/>
          <w:iCs/>
          <w:color w:val="2E74B5"/>
          <w:sz w:val="24"/>
          <w:szCs w:val="24"/>
          <w:lang w:eastAsia="sq-AL"/>
        </w:rPr>
        <w:t>rdhërimin e kryerjes së veprimeve të nevojshme hetimore, efikasitetin e veprimeve hetimore të urdhëruara, si dhe ndjekjen në dinamikë të veprimeve të urdhëruara dhe të kryera nga policia gjyqësore;</w:t>
      </w:r>
    </w:p>
    <w:p w14:paraId="730102A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c) </w:t>
      </w:r>
      <w:r>
        <w:rPr>
          <w:rFonts w:ascii="Garamond" w:hAnsi="Garamond" w:cs="Times New Roman"/>
          <w:b/>
          <w:bCs/>
          <w:i/>
          <w:iCs/>
          <w:color w:val="2E74B5"/>
          <w:sz w:val="24"/>
          <w:szCs w:val="24"/>
          <w:lang w:eastAsia="sq-AL"/>
        </w:rPr>
        <w:t>k</w:t>
      </w:r>
      <w:r w:rsidRPr="003D5CE4">
        <w:rPr>
          <w:rFonts w:ascii="Garamond" w:hAnsi="Garamond" w:cs="Times New Roman"/>
          <w:b/>
          <w:bCs/>
          <w:i/>
          <w:iCs/>
          <w:color w:val="2E74B5"/>
          <w:sz w:val="24"/>
          <w:szCs w:val="24"/>
          <w:lang w:eastAsia="sq-AL"/>
        </w:rPr>
        <w:t xml:space="preserve">ërkimin, në fazën e gjykimit, të administrimit të provave të nevojshme, që mbështesin aktin e prokurorit, si dhe për të mbajtur qëndrim në lidhje me provat e kërkuara nga i pandehuri. </w:t>
      </w:r>
    </w:p>
    <w:p w14:paraId="08CF3B8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112A62F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2223397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3C5FF8E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48DD512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6D7EE95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FA3708">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38CB3DF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FA3708">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681635E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2.B.c</w:t>
      </w:r>
      <w:r w:rsidRPr="003D5CE4">
        <w:rPr>
          <w:rFonts w:ascii="Garamond" w:hAnsi="Garamond" w:cs="Times New Roman"/>
          <w:color w:val="000000"/>
          <w:sz w:val="24"/>
          <w:szCs w:val="24"/>
          <w:lang w:eastAsia="sq-AL"/>
        </w:rPr>
        <w:t xml:space="preserve"> </w:t>
      </w:r>
      <w:r w:rsidRPr="003D5CE4">
        <w:rPr>
          <w:rFonts w:ascii="Garamond" w:hAnsi="Garamond" w:cs="Times New Roman"/>
          <w:b/>
          <w:bCs/>
          <w:color w:val="000000"/>
          <w:sz w:val="24"/>
          <w:szCs w:val="24"/>
          <w:lang w:eastAsia="sq-AL"/>
        </w:rPr>
        <w:t>Mbikëqyrja e dërgimit pa vonesë të akteve të nevojshme të njoftimit</w:t>
      </w:r>
    </w:p>
    <w:p w14:paraId="371DD53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në mënyrë të detajuar, të dhënat e secilit burim që lidhen me</w:t>
      </w:r>
      <w:r>
        <w:rPr>
          <w:rFonts w:ascii="Garamond" w:hAnsi="Garamond" w:cs="Times New Roman"/>
          <w:b/>
          <w:bCs/>
          <w:i/>
          <w:iCs/>
          <w:color w:val="0070C0"/>
          <w:sz w:val="24"/>
          <w:szCs w:val="24"/>
          <w:lang w:eastAsia="sq-AL"/>
        </w:rPr>
        <w:t>:</w:t>
      </w:r>
    </w:p>
    <w:p w14:paraId="0E88E4EA" w14:textId="77777777" w:rsidR="00F052F6" w:rsidRPr="003D5CE4" w:rsidRDefault="00F052F6" w:rsidP="00F052F6">
      <w:pPr>
        <w:tabs>
          <w:tab w:val="left" w:pos="280"/>
        </w:tabs>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a) dërgimin e akteve të njoftimit të çështjes brenda afateve ligjore dhe brenda kohës së nevojshme të kërkuar nga hetimi; </w:t>
      </w:r>
    </w:p>
    <w:p w14:paraId="34C2A140" w14:textId="77777777" w:rsidR="00F052F6" w:rsidRPr="003D5CE4" w:rsidRDefault="00F052F6" w:rsidP="00F052F6">
      <w:pPr>
        <w:tabs>
          <w:tab w:val="left" w:pos="280"/>
        </w:tabs>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b) hartimin me shpejtësi dhe brenda afateve ligjore të akteve të njoftimit; </w:t>
      </w:r>
    </w:p>
    <w:p w14:paraId="29B0EF97" w14:textId="77777777" w:rsidR="00F052F6" w:rsidRPr="003D5CE4" w:rsidRDefault="00F052F6" w:rsidP="00F052F6">
      <w:pPr>
        <w:tabs>
          <w:tab w:val="left" w:pos="280"/>
        </w:tabs>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c) mbikëqyrjen nga prokurori të dërgimit pa vonesë të akteve të nevojshme të njoftimit;</w:t>
      </w:r>
    </w:p>
    <w:p w14:paraId="03E43772" w14:textId="77777777" w:rsidR="00F052F6" w:rsidRPr="003D5CE4" w:rsidRDefault="00F052F6" w:rsidP="00F052F6">
      <w:pPr>
        <w:tabs>
          <w:tab w:val="left" w:pos="280"/>
        </w:tabs>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ç) marrjen e masave të tjera për të garantuar njoftime të rregullta.</w:t>
      </w:r>
    </w:p>
    <w:p w14:paraId="652FBDB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738F1E1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5482C3D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37A07E8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2321DB7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64ECBAA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2C3E31">
        <w:rPr>
          <w:rFonts w:ascii="Garamond" w:hAnsi="Garamond" w:cs="Times New Roman"/>
          <w:bCs/>
          <w:color w:val="000000"/>
          <w:sz w:val="24"/>
          <w:szCs w:val="24"/>
          <w:lang w:eastAsia="sq-AL"/>
        </w:rPr>
        <w:t>,</w:t>
      </w:r>
      <w:r w:rsidRPr="002C3E31">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68C12D0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2C3E31">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55EA0EC8"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color w:val="000000"/>
          <w:sz w:val="24"/>
          <w:szCs w:val="24"/>
          <w:lang w:eastAsia="sq-AL"/>
        </w:rPr>
      </w:pPr>
    </w:p>
    <w:p w14:paraId="0F45FE4D" w14:textId="77777777" w:rsidR="00F052F6" w:rsidRPr="00A62144" w:rsidRDefault="00F052F6"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r w:rsidRPr="00A62144">
        <w:rPr>
          <w:rFonts w:ascii="Garamond" w:hAnsi="Garamond" w:cs="Times New Roman"/>
          <w:bCs/>
          <w:color w:val="000000"/>
          <w:sz w:val="24"/>
          <w:szCs w:val="24"/>
          <w:lang w:eastAsia="sq-AL"/>
        </w:rPr>
        <w:t>2.C  AFTËSIA PËR TË ADMINISTRUAR DOSJEN HETIMORE OSE PRAKTIKAT PËRKATËSE</w:t>
      </w:r>
    </w:p>
    <w:p w14:paraId="0B399C2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sz w:val="24"/>
          <w:szCs w:val="24"/>
          <w:lang w:eastAsia="sq-AL"/>
        </w:rPr>
      </w:pPr>
      <w:r w:rsidRPr="003D5CE4">
        <w:rPr>
          <w:rFonts w:ascii="Garamond" w:hAnsi="Garamond" w:cs="Times New Roman"/>
          <w:b/>
          <w:bCs/>
          <w:sz w:val="24"/>
          <w:szCs w:val="24"/>
          <w:lang w:eastAsia="sq-AL"/>
        </w:rPr>
        <w:t xml:space="preserve">2.C.a </w:t>
      </w:r>
      <w:r w:rsidRPr="003D5CE4">
        <w:rPr>
          <w:rFonts w:ascii="Garamond" w:hAnsi="Garamond" w:cs="Times New Roman"/>
          <w:b/>
          <w:bCs/>
          <w:color w:val="000000"/>
          <w:sz w:val="24"/>
          <w:szCs w:val="24"/>
          <w:lang w:eastAsia="sq-AL"/>
        </w:rPr>
        <w:t>Rregullshmëria e dokumentacionit të dosjes ose praktikës</w:t>
      </w:r>
    </w:p>
    <w:p w14:paraId="3C2939C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në mënyrë të detajuar, të dhënat e secilit burim që lidhen me</w:t>
      </w:r>
      <w:r w:rsidRPr="003D5CE4">
        <w:rPr>
          <w:rFonts w:ascii="Garamond" w:hAnsi="Garamond" w:cs="Times New Roman"/>
          <w:b/>
          <w:bCs/>
          <w:i/>
          <w:iCs/>
          <w:color w:val="2E74B5"/>
          <w:sz w:val="24"/>
          <w:szCs w:val="24"/>
          <w:lang w:eastAsia="sq-AL"/>
        </w:rPr>
        <w:t xml:space="preserve"> renditjen e akteve të dosjes hetimore ose të praktikës përkatëse në mënyrë të tillë që dosja të jetë lehtësisht e shfrytëzueshme.</w:t>
      </w:r>
    </w:p>
    <w:p w14:paraId="149A291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792707C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6961845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5D1F59A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16BFE15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5A33C55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2C3E31">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0F27013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2C3E31">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6667381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sz w:val="24"/>
          <w:szCs w:val="24"/>
          <w:lang w:eastAsia="sq-AL"/>
        </w:rPr>
      </w:pPr>
      <w:r w:rsidRPr="003D5CE4">
        <w:rPr>
          <w:rFonts w:ascii="Garamond" w:hAnsi="Garamond" w:cs="Times New Roman"/>
          <w:b/>
          <w:bCs/>
          <w:color w:val="000000"/>
          <w:sz w:val="24"/>
          <w:szCs w:val="24"/>
          <w:lang w:eastAsia="sq-AL"/>
        </w:rPr>
        <w:t>2.C.b Plotësia dhe saktësia e dokumentacionit të dosjes ose praktikës</w:t>
      </w:r>
    </w:p>
    <w:p w14:paraId="20DF5CF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në mënyrë të detajuar, të dhënat e secilit burim që lidhen me</w:t>
      </w:r>
      <w:r w:rsidRPr="003D5CE4">
        <w:rPr>
          <w:rFonts w:ascii="Garamond" w:hAnsi="Garamond" w:cs="Times New Roman"/>
          <w:b/>
          <w:bCs/>
          <w:i/>
          <w:iCs/>
          <w:color w:val="2E74B5"/>
          <w:sz w:val="24"/>
          <w:szCs w:val="24"/>
          <w:lang w:eastAsia="sq-AL"/>
        </w:rPr>
        <w:t xml:space="preserve"> aftësinë e prokurorit për të garantuar që dosja ose praktika të mos  ketë mungesa aktesh dhe që dokumentacioni i përfshirë në dosje të jetë i duhuri dhe t’i përkasë çështjes konkrete.</w:t>
      </w:r>
    </w:p>
    <w:p w14:paraId="33FD3ED3" w14:textId="77777777" w:rsidR="00F052F6" w:rsidRPr="003D5CE4" w:rsidRDefault="00F052F6" w:rsidP="00F052F6">
      <w:pPr>
        <w:tabs>
          <w:tab w:val="left" w:pos="2800"/>
        </w:tabs>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color w:val="FF0000"/>
          <w:sz w:val="24"/>
          <w:szCs w:val="24"/>
          <w:lang w:eastAsia="sq-AL"/>
        </w:rPr>
        <w:t xml:space="preserve"> </w:t>
      </w:r>
      <w:r w:rsidRPr="003D5CE4">
        <w:rPr>
          <w:rFonts w:ascii="Garamond" w:hAnsi="Garamond" w:cs="Times New Roman"/>
          <w:b/>
          <w:bCs/>
          <w:i/>
          <w:iCs/>
          <w:color w:val="000000"/>
          <w:sz w:val="24"/>
          <w:szCs w:val="24"/>
          <w:lang w:eastAsia="sq-AL"/>
        </w:rPr>
        <w:t>Burimet e vlerësimit:</w:t>
      </w:r>
    </w:p>
    <w:p w14:paraId="1560041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1F8A8FC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21B9699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6115234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02F6DE3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7248F9">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53B8B1A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7248F9">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6F838E2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p>
    <w:p w14:paraId="3BB5F059" w14:textId="77777777" w:rsidR="00794E62" w:rsidRDefault="00794E62"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p>
    <w:p w14:paraId="4DD253BC" w14:textId="77777777" w:rsidR="00794E62" w:rsidRDefault="00794E62"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p>
    <w:p w14:paraId="24F0AFFB" w14:textId="77777777" w:rsidR="00F052F6" w:rsidRPr="00260E7B" w:rsidRDefault="00F052F6"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r w:rsidRPr="00260E7B">
        <w:rPr>
          <w:rFonts w:ascii="Garamond" w:hAnsi="Garamond" w:cs="Times New Roman"/>
          <w:bCs/>
          <w:color w:val="000000"/>
          <w:sz w:val="24"/>
          <w:szCs w:val="24"/>
          <w:lang w:eastAsia="sq-AL"/>
        </w:rPr>
        <w:t>3.  ETIKA DHE ANGAZHIMI NDAJ VLERAVE PROFESIONALE</w:t>
      </w:r>
    </w:p>
    <w:p w14:paraId="409BECF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1F4E79"/>
          <w:sz w:val="24"/>
          <w:szCs w:val="24"/>
          <w:lang w:eastAsia="sq-AL"/>
        </w:rPr>
      </w:pPr>
      <w:r w:rsidRPr="003D5CE4">
        <w:rPr>
          <w:rFonts w:ascii="Garamond" w:hAnsi="Garamond" w:cs="Times New Roman"/>
          <w:b/>
          <w:bCs/>
          <w:i/>
          <w:iCs/>
          <w:color w:val="1F4E79"/>
          <w:sz w:val="24"/>
          <w:szCs w:val="24"/>
          <w:lang w:eastAsia="sq-AL"/>
        </w:rPr>
        <w:t>Për efekt të këtij kriteri, këshilltari përgjegjës për vlerësimin, pasqyron në mënyrë të detajuar të dhënat që rezultojnë nga burimet e vlerësimit, pa bërë analizë dhe vlerësim të tyre.</w:t>
      </w:r>
    </w:p>
    <w:p w14:paraId="38DE0C08" w14:textId="77777777" w:rsidR="00F052F6" w:rsidRDefault="00F052F6"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p>
    <w:p w14:paraId="39805C02" w14:textId="77777777" w:rsidR="00F052F6" w:rsidRPr="00A62144" w:rsidRDefault="00F052F6"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r w:rsidRPr="00A62144">
        <w:rPr>
          <w:rFonts w:ascii="Garamond" w:hAnsi="Garamond" w:cs="Times New Roman"/>
          <w:bCs/>
          <w:color w:val="000000"/>
          <w:sz w:val="24"/>
          <w:szCs w:val="24"/>
          <w:lang w:eastAsia="sq-AL"/>
        </w:rPr>
        <w:t>3.A  ETIKA NË PUNË</w:t>
      </w:r>
    </w:p>
    <w:p w14:paraId="0C568F0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sz w:val="24"/>
          <w:szCs w:val="24"/>
          <w:lang w:eastAsia="sq-AL"/>
        </w:rPr>
      </w:pPr>
      <w:r w:rsidRPr="003D5CE4">
        <w:rPr>
          <w:rFonts w:ascii="Garamond" w:hAnsi="Garamond" w:cs="Times New Roman"/>
          <w:b/>
          <w:bCs/>
          <w:color w:val="000000"/>
          <w:sz w:val="24"/>
          <w:szCs w:val="24"/>
          <w:lang w:eastAsia="sq-AL"/>
        </w:rPr>
        <w:t>3.A.a Angazhimi dhe përgjegjshmëria në funksion</w:t>
      </w:r>
    </w:p>
    <w:p w14:paraId="6FBA7C6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në mënyrë të detajuar, referuar Metodologjisë, të dhënat e secilit burim që evidenton sjellje të prokurorit ndaj angazhimit dhe përgjegjshmërisë së tij në funksion</w:t>
      </w:r>
      <w:r w:rsidRPr="003D5CE4">
        <w:rPr>
          <w:rFonts w:ascii="Garamond" w:hAnsi="Garamond" w:cs="Times New Roman"/>
          <w:b/>
          <w:bCs/>
          <w:i/>
          <w:iCs/>
          <w:color w:val="2E74B5"/>
          <w:sz w:val="24"/>
          <w:szCs w:val="24"/>
          <w:lang w:eastAsia="sq-AL"/>
        </w:rPr>
        <w:t>.</w:t>
      </w:r>
    </w:p>
    <w:p w14:paraId="60443CD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34DFA70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0318837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5E78AC6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567B818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5B25F8A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E94D83">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5AC1173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E94D83">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3CA4EFE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lang w:eastAsia="sq-AL"/>
        </w:rPr>
      </w:pPr>
    </w:p>
    <w:p w14:paraId="1E933C1E" w14:textId="77777777" w:rsidR="00F052F6" w:rsidRPr="00A62144" w:rsidRDefault="00F052F6"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r w:rsidRPr="00A62144">
        <w:rPr>
          <w:rFonts w:ascii="Garamond" w:hAnsi="Garamond" w:cs="Times New Roman"/>
          <w:bCs/>
          <w:color w:val="000000"/>
          <w:sz w:val="24"/>
          <w:szCs w:val="24"/>
          <w:lang w:eastAsia="sq-AL"/>
        </w:rPr>
        <w:t xml:space="preserve">3.B INTEGRITETI </w:t>
      </w:r>
    </w:p>
    <w:p w14:paraId="11761947"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sz w:val="24"/>
          <w:szCs w:val="24"/>
          <w:lang w:eastAsia="sq-AL"/>
        </w:rPr>
      </w:pPr>
      <w:r w:rsidRPr="003D5CE4">
        <w:rPr>
          <w:rFonts w:ascii="Garamond" w:hAnsi="Garamond" w:cs="Times New Roman"/>
          <w:b/>
          <w:bCs/>
          <w:sz w:val="24"/>
          <w:szCs w:val="24"/>
          <w:lang w:eastAsia="sq-AL"/>
        </w:rPr>
        <w:t xml:space="preserve">3.B.a </w:t>
      </w:r>
      <w:r w:rsidRPr="003D5CE4">
        <w:rPr>
          <w:rFonts w:ascii="Garamond" w:hAnsi="Garamond" w:cs="Times New Roman"/>
          <w:b/>
          <w:bCs/>
          <w:color w:val="000000"/>
          <w:sz w:val="24"/>
          <w:szCs w:val="24"/>
          <w:lang w:eastAsia="sq-AL"/>
        </w:rPr>
        <w:t>Imuniteti nga çdo ndikim apo presion i jashtëm, nderi dhe dinjiteti</w:t>
      </w:r>
    </w:p>
    <w:p w14:paraId="7AB46C1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në mënyrë të detajuar, referuar Metodologjisë, të dhënat e secilit burim që evidenton cënimin e integritetit të prokurorit</w:t>
      </w:r>
      <w:r w:rsidRPr="003D5CE4">
        <w:rPr>
          <w:rFonts w:ascii="Garamond" w:hAnsi="Garamond" w:cs="Times New Roman"/>
          <w:b/>
          <w:bCs/>
          <w:i/>
          <w:iCs/>
          <w:color w:val="2E74B5"/>
          <w:sz w:val="24"/>
          <w:szCs w:val="24"/>
          <w:lang w:eastAsia="sq-AL"/>
        </w:rPr>
        <w:t>.</w:t>
      </w:r>
    </w:p>
    <w:p w14:paraId="76A4A4F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255AAC4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228FA09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7B11A72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6F46C0F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08657AF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C0643D">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382AB78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C0643D">
        <w:rPr>
          <w:rFonts w:ascii="Garamond" w:hAnsi="Garamond" w:cs="Times New Roman"/>
          <w:bCs/>
          <w:color w:val="000000"/>
          <w:sz w:val="24"/>
          <w:szCs w:val="24"/>
          <w:lang w:eastAsia="sq-AL"/>
        </w:rPr>
        <w:t>,</w:t>
      </w:r>
      <w:r w:rsidRPr="00C0643D">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59CFD4E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p>
    <w:p w14:paraId="15270BAB" w14:textId="77777777" w:rsidR="00F052F6" w:rsidRPr="00260E7B" w:rsidRDefault="00F052F6" w:rsidP="00F052F6">
      <w:pPr>
        <w:autoSpaceDE w:val="0"/>
        <w:autoSpaceDN w:val="0"/>
        <w:adjustRightInd w:val="0"/>
        <w:spacing w:after="0" w:line="240" w:lineRule="auto"/>
        <w:ind w:firstLine="284"/>
        <w:jc w:val="both"/>
        <w:rPr>
          <w:rFonts w:ascii="Garamond" w:hAnsi="Garamond" w:cs="Times New Roman"/>
          <w:bCs/>
          <w:sz w:val="24"/>
          <w:szCs w:val="24"/>
          <w:lang w:eastAsia="sq-AL"/>
        </w:rPr>
      </w:pPr>
      <w:r w:rsidRPr="00260E7B">
        <w:rPr>
          <w:rFonts w:ascii="Garamond" w:hAnsi="Garamond" w:cs="Times New Roman"/>
          <w:bCs/>
          <w:color w:val="000000"/>
          <w:sz w:val="24"/>
          <w:szCs w:val="24"/>
          <w:lang w:eastAsia="sq-AL"/>
        </w:rPr>
        <w:t xml:space="preserve">3.C PAANËSIA </w:t>
      </w:r>
    </w:p>
    <w:p w14:paraId="15F7549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3.C.a Përdorimi ose jo i gjuhës diskriminuese</w:t>
      </w:r>
    </w:p>
    <w:p w14:paraId="4C7625C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0070C0"/>
          <w:sz w:val="24"/>
          <w:szCs w:val="24"/>
          <w:lang w:eastAsia="sq-AL"/>
        </w:rPr>
        <w:t>Për këtë tregues listohen burimet e vlerësimit dhe përshkruhen, në mënyrë të detajuar, të dhënat e secilit burim në drejtim të përdorimit ose jo të gjuhës diskriminuese apo shfaqjes të tendencës për paragjykime.</w:t>
      </w:r>
    </w:p>
    <w:p w14:paraId="6B93870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p>
    <w:p w14:paraId="15B0D61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3C1103A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73C5B6F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030A174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352AB82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42E7C26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501AD60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3091526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3.C.b Numri tejet i lartë i kërkesave të pranuara të palëve për përjashtimin e prokurorit</w:t>
      </w:r>
    </w:p>
    <w:p w14:paraId="521362C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evidentohet numri i kërkesave të pranuara të palëve për përjashtimin e prokurorit, raporti mes kërkesave të prokurorit për heqje dorë dhe numrit të kërkesave të pranuara të palëve për përjashtimin e tij, si dhe çdo e dhëne tjetër e kërkuar nga relatori për efekt të këtij treguesi.</w:t>
      </w:r>
    </w:p>
    <w:p w14:paraId="4CC0736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0E1943B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7A46930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0083301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43D88CD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659FED9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D3634B">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4369DAB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D3634B">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4EF7C4A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p>
    <w:p w14:paraId="123FA996" w14:textId="77777777" w:rsidR="00F052F6" w:rsidRPr="00260E7B" w:rsidRDefault="00F052F6"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r w:rsidRPr="00260E7B">
        <w:rPr>
          <w:rFonts w:ascii="Garamond" w:hAnsi="Garamond" w:cs="Times New Roman"/>
          <w:bCs/>
          <w:color w:val="000000"/>
          <w:sz w:val="24"/>
          <w:szCs w:val="24"/>
          <w:lang w:eastAsia="sq-AL"/>
        </w:rPr>
        <w:t>4. AFTËSIA PERSONALE DHE ANGAZHIMI PROFESIONAL</w:t>
      </w:r>
    </w:p>
    <w:p w14:paraId="2F59A97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1F4E79"/>
          <w:sz w:val="24"/>
          <w:szCs w:val="24"/>
          <w:lang w:eastAsia="sq-AL"/>
        </w:rPr>
      </w:pPr>
      <w:r w:rsidRPr="003D5CE4">
        <w:rPr>
          <w:rFonts w:ascii="Garamond" w:hAnsi="Garamond" w:cs="Times New Roman"/>
          <w:b/>
          <w:bCs/>
          <w:i/>
          <w:iCs/>
          <w:color w:val="1F4E79"/>
          <w:sz w:val="24"/>
          <w:szCs w:val="24"/>
          <w:lang w:eastAsia="sq-AL"/>
        </w:rPr>
        <w:t>Për efekt të këtij kriteri, këshilltari përgjegjës për vlerësimin pasqyron dhe, kur është rasti, analizon në mënyrë të strukturuar të dhënat që rezultojnë nga burimet e vlerësimit, pa bërë vlerësim të tyre.</w:t>
      </w:r>
    </w:p>
    <w:p w14:paraId="1DC65EF8" w14:textId="77777777" w:rsidR="00F052F6" w:rsidRPr="00260E7B" w:rsidRDefault="00F052F6" w:rsidP="00F052F6">
      <w:pPr>
        <w:autoSpaceDE w:val="0"/>
        <w:autoSpaceDN w:val="0"/>
        <w:adjustRightInd w:val="0"/>
        <w:spacing w:after="0" w:line="240" w:lineRule="auto"/>
        <w:ind w:firstLine="284"/>
        <w:jc w:val="both"/>
        <w:rPr>
          <w:rFonts w:ascii="Garamond" w:hAnsi="Garamond" w:cs="Times New Roman"/>
          <w:bCs/>
          <w:color w:val="000000"/>
          <w:sz w:val="24"/>
          <w:szCs w:val="24"/>
          <w:lang w:eastAsia="sq-AL"/>
        </w:rPr>
      </w:pPr>
      <w:r w:rsidRPr="00260E7B">
        <w:rPr>
          <w:rFonts w:ascii="Garamond" w:hAnsi="Garamond" w:cs="Times New Roman"/>
          <w:bCs/>
          <w:color w:val="000000"/>
          <w:sz w:val="24"/>
          <w:szCs w:val="24"/>
          <w:lang w:eastAsia="sq-AL"/>
        </w:rPr>
        <w:t>4.A AFTËSIA E KOMUNIKIMIT</w:t>
      </w:r>
    </w:p>
    <w:p w14:paraId="5E3620C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4.A.a Komunikimi i qartë dhe transparent me palët në proces, publikun, subjektet e tjera, të tretët</w:t>
      </w:r>
    </w:p>
    <w:p w14:paraId="5D94D74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pasqyrohen në mënyrë të detajuar të dhënat e secilit burim që lidhen me:</w:t>
      </w:r>
    </w:p>
    <w:p w14:paraId="321375D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70C0"/>
          <w:sz w:val="24"/>
          <w:szCs w:val="24"/>
          <w:lang w:eastAsia="sq-AL"/>
        </w:rPr>
      </w:pPr>
      <w:r w:rsidRPr="003D5CE4">
        <w:rPr>
          <w:rFonts w:ascii="Garamond" w:hAnsi="Garamond" w:cs="Times New Roman"/>
          <w:b/>
          <w:bCs/>
          <w:i/>
          <w:iCs/>
          <w:color w:val="0070C0"/>
          <w:sz w:val="24"/>
          <w:szCs w:val="24"/>
          <w:lang w:eastAsia="sq-AL"/>
        </w:rPr>
        <w:t xml:space="preserve">a) </w:t>
      </w:r>
      <w:r>
        <w:rPr>
          <w:rFonts w:ascii="Garamond" w:hAnsi="Garamond" w:cs="Times New Roman"/>
          <w:b/>
          <w:bCs/>
          <w:i/>
          <w:iCs/>
          <w:color w:val="0070C0"/>
          <w:sz w:val="24"/>
          <w:szCs w:val="24"/>
          <w:lang w:eastAsia="sq-AL"/>
        </w:rPr>
        <w:t>k</w:t>
      </w:r>
      <w:r w:rsidRPr="003D5CE4">
        <w:rPr>
          <w:rFonts w:ascii="Garamond" w:hAnsi="Garamond" w:cs="Times New Roman"/>
          <w:b/>
          <w:bCs/>
          <w:i/>
          <w:iCs/>
          <w:color w:val="0070C0"/>
          <w:sz w:val="24"/>
          <w:szCs w:val="24"/>
          <w:lang w:eastAsia="sq-AL"/>
        </w:rPr>
        <w:t>omunikimin transparent dhe efektiv;</w:t>
      </w:r>
    </w:p>
    <w:p w14:paraId="2F9D8C8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70C0"/>
          <w:sz w:val="24"/>
          <w:szCs w:val="24"/>
          <w:lang w:eastAsia="sq-AL"/>
        </w:rPr>
      </w:pPr>
      <w:r w:rsidRPr="003D5CE4">
        <w:rPr>
          <w:rFonts w:ascii="Garamond" w:hAnsi="Garamond" w:cs="Times New Roman"/>
          <w:b/>
          <w:bCs/>
          <w:i/>
          <w:iCs/>
          <w:color w:val="0070C0"/>
          <w:sz w:val="24"/>
          <w:szCs w:val="24"/>
          <w:lang w:eastAsia="sq-AL"/>
        </w:rPr>
        <w:t xml:space="preserve">b) </w:t>
      </w:r>
      <w:r>
        <w:rPr>
          <w:rFonts w:ascii="Garamond" w:hAnsi="Garamond" w:cs="Times New Roman"/>
          <w:b/>
          <w:bCs/>
          <w:i/>
          <w:iCs/>
          <w:color w:val="0070C0"/>
          <w:sz w:val="24"/>
          <w:szCs w:val="24"/>
          <w:lang w:eastAsia="sq-AL"/>
        </w:rPr>
        <w:t>t</w:t>
      </w:r>
      <w:r w:rsidRPr="003D5CE4">
        <w:rPr>
          <w:rFonts w:ascii="Garamond" w:hAnsi="Garamond" w:cs="Times New Roman"/>
          <w:b/>
          <w:bCs/>
          <w:i/>
          <w:iCs/>
          <w:color w:val="0070C0"/>
          <w:sz w:val="24"/>
          <w:szCs w:val="24"/>
          <w:lang w:eastAsia="sq-AL"/>
        </w:rPr>
        <w:t>ë shprehurit në mënyrë të kuptueshme, të qartë dhe të saktë me subjektet e procedimit penal, publikun, subjektet e tjera, të tretët.</w:t>
      </w:r>
    </w:p>
    <w:p w14:paraId="4A2510C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0B0268A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7676BDB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4459F66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4A4E488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3842041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260E7B">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57A4C3E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260E7B">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66FC0F9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4.A.b Respektimi i konfidencialitetit dhe mbrojtjes së të dhënave personale</w:t>
      </w:r>
    </w:p>
    <w:p w14:paraId="6EEF072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pasqyrohen në mënyrë të detajuar të dhënat e secilit burim që lidhen me:</w:t>
      </w:r>
    </w:p>
    <w:p w14:paraId="62F2EB5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a) respektimin e dispozitave ligjore për konfidencialitetin dhe mbrojtjen e të dhënave personale;</w:t>
      </w:r>
    </w:p>
    <w:p w14:paraId="1C3C3A9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b) respektimin e udhëzimeve dhe akteve nënligjore të nxjerra nga Komisioneri për të Drejtën e Informimit dhe Mbrojtjen e të Dhënave Personale, për aq sa gjejnë zbatim;</w:t>
      </w:r>
    </w:p>
    <w:p w14:paraId="4DA134C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c) kushtimin e një vëmendjeje të veçantë ndaj të dhënave personale të rasteve delikate që përfshijnë të miturit, dhunën në familje etj.</w:t>
      </w:r>
    </w:p>
    <w:p w14:paraId="3C71D84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7682376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7C93C1E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4B81CAC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4D4C04E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786449D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125FE2">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3A717A9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125FE2">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2E7A048C" w14:textId="77777777" w:rsidR="00F052F6" w:rsidRDefault="00F052F6" w:rsidP="00F052F6">
      <w:pPr>
        <w:autoSpaceDE w:val="0"/>
        <w:autoSpaceDN w:val="0"/>
        <w:adjustRightInd w:val="0"/>
        <w:spacing w:after="0" w:line="240" w:lineRule="auto"/>
        <w:ind w:firstLine="284"/>
        <w:rPr>
          <w:rFonts w:ascii="Garamond" w:hAnsi="Garamond" w:cs="Times New Roman"/>
          <w:bCs/>
          <w:color w:val="000000"/>
          <w:sz w:val="24"/>
          <w:szCs w:val="24"/>
          <w:lang w:eastAsia="sq-AL"/>
        </w:rPr>
      </w:pPr>
    </w:p>
    <w:p w14:paraId="1A0D4016" w14:textId="77777777" w:rsidR="00F052F6" w:rsidRPr="00311568" w:rsidRDefault="00F052F6" w:rsidP="00F052F6">
      <w:pPr>
        <w:autoSpaceDE w:val="0"/>
        <w:autoSpaceDN w:val="0"/>
        <w:adjustRightInd w:val="0"/>
        <w:spacing w:after="0" w:line="240" w:lineRule="auto"/>
        <w:ind w:firstLine="284"/>
        <w:rPr>
          <w:rFonts w:ascii="Garamond" w:hAnsi="Garamond" w:cs="Times New Roman"/>
          <w:bCs/>
          <w:color w:val="000000"/>
          <w:sz w:val="24"/>
          <w:szCs w:val="24"/>
          <w:lang w:eastAsia="sq-AL"/>
        </w:rPr>
      </w:pPr>
      <w:r w:rsidRPr="00311568">
        <w:rPr>
          <w:rFonts w:ascii="Garamond" w:hAnsi="Garamond" w:cs="Times New Roman"/>
          <w:bCs/>
          <w:color w:val="000000"/>
          <w:sz w:val="24"/>
          <w:szCs w:val="24"/>
          <w:lang w:eastAsia="sq-AL"/>
        </w:rPr>
        <w:t>4.B  AFTËSIA PËR TË BASHKËPUNUAR ME KOLEGËT</w:t>
      </w:r>
    </w:p>
    <w:p w14:paraId="09603B9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color w:val="000000"/>
          <w:sz w:val="24"/>
          <w:szCs w:val="24"/>
          <w:lang w:eastAsia="sq-AL"/>
        </w:rPr>
        <w:t xml:space="preserve">4.B.a Komunikimi dhe bashkëpunimi me kolegët, si dhe shkëmbimi i njohurive </w:t>
      </w:r>
      <w:r>
        <w:rPr>
          <w:rFonts w:ascii="Garamond" w:hAnsi="Garamond" w:cs="Times New Roman"/>
          <w:b/>
          <w:bCs/>
          <w:color w:val="000000"/>
          <w:sz w:val="24"/>
          <w:szCs w:val="24"/>
          <w:lang w:eastAsia="sq-AL"/>
        </w:rPr>
        <w:t>dhe përvojës profesionale me ta</w:t>
      </w:r>
    </w:p>
    <w:p w14:paraId="4BDA36F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sz w:val="24"/>
          <w:szCs w:val="24"/>
          <w:lang w:eastAsia="sq-AL"/>
        </w:rPr>
      </w:pPr>
      <w:r w:rsidRPr="003D5CE4">
        <w:rPr>
          <w:rFonts w:ascii="Garamond" w:hAnsi="Garamond" w:cs="Times New Roman"/>
          <w:b/>
          <w:bCs/>
          <w:i/>
          <w:iCs/>
          <w:color w:val="0070C0"/>
          <w:sz w:val="24"/>
          <w:szCs w:val="24"/>
          <w:lang w:eastAsia="sq-AL"/>
        </w:rPr>
        <w:t>Për këtë tregues listohen burimet e vlerësimit dhe pasqyrohen në mënyrë të detajuar të dhënat e secilit burim që lidhen me:</w:t>
      </w:r>
    </w:p>
    <w:p w14:paraId="0D7C77C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a) </w:t>
      </w:r>
      <w:r>
        <w:rPr>
          <w:rFonts w:ascii="Garamond" w:hAnsi="Garamond" w:cs="Times New Roman"/>
          <w:b/>
          <w:bCs/>
          <w:i/>
          <w:iCs/>
          <w:color w:val="2E74B5"/>
          <w:sz w:val="24"/>
          <w:szCs w:val="24"/>
          <w:lang w:eastAsia="sq-AL"/>
        </w:rPr>
        <w:t>a</w:t>
      </w:r>
      <w:r w:rsidRPr="003D5CE4">
        <w:rPr>
          <w:rFonts w:ascii="Garamond" w:hAnsi="Garamond" w:cs="Times New Roman"/>
          <w:b/>
          <w:bCs/>
          <w:i/>
          <w:iCs/>
          <w:color w:val="2E74B5"/>
          <w:sz w:val="24"/>
          <w:szCs w:val="24"/>
          <w:lang w:eastAsia="sq-AL"/>
        </w:rPr>
        <w:t xml:space="preserve">ngazhimin në ngritjen e problematikave mbi çështje të caktuara juridike, përmirësimet e legjislacionit, diskutimin rreth zbatimit të vendimeve njësuese, hartimin e modeleve të unifikuara të akteve procedurale,  dhe çdo çështje tjetër që lidhet me veprimtarinë e prokurorisë; </w:t>
      </w:r>
    </w:p>
    <w:p w14:paraId="7B0BEE6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2E74B5"/>
          <w:sz w:val="24"/>
          <w:szCs w:val="24"/>
          <w:lang w:eastAsia="sq-AL"/>
        </w:rPr>
      </w:pPr>
      <w:r w:rsidRPr="003D5CE4">
        <w:rPr>
          <w:rFonts w:ascii="Garamond" w:hAnsi="Garamond" w:cs="Times New Roman"/>
          <w:b/>
          <w:bCs/>
          <w:i/>
          <w:iCs/>
          <w:color w:val="2E74B5"/>
          <w:sz w:val="24"/>
          <w:szCs w:val="24"/>
          <w:lang w:eastAsia="sq-AL"/>
        </w:rPr>
        <w:t xml:space="preserve">b) </w:t>
      </w:r>
      <w:r>
        <w:rPr>
          <w:rFonts w:ascii="Garamond" w:hAnsi="Garamond" w:cs="Times New Roman"/>
          <w:b/>
          <w:bCs/>
          <w:i/>
          <w:iCs/>
          <w:color w:val="2E74B5"/>
          <w:sz w:val="24"/>
          <w:szCs w:val="24"/>
          <w:lang w:eastAsia="sq-AL"/>
        </w:rPr>
        <w:t>g</w:t>
      </w:r>
      <w:r w:rsidRPr="003D5CE4">
        <w:rPr>
          <w:rFonts w:ascii="Garamond" w:hAnsi="Garamond" w:cs="Times New Roman"/>
          <w:b/>
          <w:bCs/>
          <w:i/>
          <w:iCs/>
          <w:color w:val="2E74B5"/>
          <w:sz w:val="24"/>
          <w:szCs w:val="24"/>
          <w:lang w:eastAsia="sq-AL"/>
        </w:rPr>
        <w:t xml:space="preserve">atishmërinë për të ndarë me kolegët përvojën e përftuar në aktivitetet e ndryshme trajnuese. </w:t>
      </w:r>
    </w:p>
    <w:p w14:paraId="13C5A87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20DD400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62EE92C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7582B42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3245919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31EFE0E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5A9469A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0AA5A35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color w:val="000000"/>
          <w:sz w:val="24"/>
          <w:szCs w:val="24"/>
          <w:lang w:eastAsia="sq-AL"/>
        </w:rPr>
        <w:t>4.B.b Shkalla e komunikimit dhe bashkëpunimi me administratën</w:t>
      </w:r>
    </w:p>
    <w:p w14:paraId="0F78875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pasqyrohen në mënyrë të detajuar të dhënat e secilit burim që lidhen me shkallën e komunikimit dhe bashkëpunimit të prokurorit me administratën.</w:t>
      </w:r>
    </w:p>
    <w:p w14:paraId="1DEBFD2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015C7D8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5448067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6A2C26E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3ADDF31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6FC2AA0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1A01494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3E65CD8A"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p>
    <w:p w14:paraId="628AF44F" w14:textId="77777777" w:rsidR="00F052F6" w:rsidRPr="00311568" w:rsidRDefault="00F052F6" w:rsidP="00F052F6">
      <w:pPr>
        <w:autoSpaceDE w:val="0"/>
        <w:autoSpaceDN w:val="0"/>
        <w:adjustRightInd w:val="0"/>
        <w:spacing w:after="0" w:line="240" w:lineRule="auto"/>
        <w:ind w:firstLine="284"/>
        <w:jc w:val="both"/>
        <w:rPr>
          <w:rFonts w:ascii="Garamond" w:hAnsi="Garamond" w:cs="Times New Roman"/>
          <w:i/>
          <w:iCs/>
          <w:color w:val="000000"/>
          <w:sz w:val="24"/>
          <w:szCs w:val="24"/>
          <w:lang w:eastAsia="sq-AL"/>
        </w:rPr>
      </w:pPr>
      <w:r w:rsidRPr="00311568">
        <w:rPr>
          <w:rFonts w:ascii="Garamond" w:hAnsi="Garamond" w:cs="Times New Roman"/>
          <w:bCs/>
          <w:color w:val="000000"/>
          <w:sz w:val="24"/>
          <w:szCs w:val="24"/>
          <w:lang w:eastAsia="sq-AL"/>
        </w:rPr>
        <w:t>4.C GATISHMËRIA E PROKURORIT PËR T’U ANGAZHUAR NË VEPRIMTARI TË TJERA</w:t>
      </w:r>
    </w:p>
    <w:p w14:paraId="07CB57F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color w:val="000000"/>
          <w:sz w:val="24"/>
          <w:szCs w:val="24"/>
          <w:lang w:eastAsia="sq-AL"/>
        </w:rPr>
        <w:t>4.C.a Pjesëmarrja në programet e formimit vazhdues të Shkollës së Magjistraturës dhe në trajnime të tjera profesionale</w:t>
      </w:r>
    </w:p>
    <w:p w14:paraId="1EFB3DD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pasqyrohen në mënyrë të detajuar të dhënat e secilit burim që lidhen me:</w:t>
      </w:r>
    </w:p>
    <w:p w14:paraId="2780D63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 xml:space="preserve">a) </w:t>
      </w:r>
      <w:r>
        <w:rPr>
          <w:rFonts w:ascii="Garamond" w:hAnsi="Garamond" w:cs="Times New Roman"/>
          <w:b/>
          <w:bCs/>
          <w:i/>
          <w:iCs/>
          <w:color w:val="0070C0"/>
          <w:sz w:val="24"/>
          <w:szCs w:val="24"/>
          <w:lang w:eastAsia="sq-AL"/>
        </w:rPr>
        <w:t>a</w:t>
      </w:r>
      <w:r w:rsidRPr="003D5CE4">
        <w:rPr>
          <w:rFonts w:ascii="Garamond" w:hAnsi="Garamond" w:cs="Times New Roman"/>
          <w:b/>
          <w:bCs/>
          <w:i/>
          <w:iCs/>
          <w:color w:val="0070C0"/>
          <w:sz w:val="24"/>
          <w:szCs w:val="24"/>
          <w:lang w:eastAsia="sq-AL"/>
        </w:rPr>
        <w:t>ngazhimin e prokurorit në programin e trajnimit vazhdues pranë Shkollës së Magjistraturës</w:t>
      </w:r>
      <w:r>
        <w:rPr>
          <w:rFonts w:ascii="Garamond" w:hAnsi="Garamond" w:cs="Times New Roman"/>
          <w:b/>
          <w:bCs/>
          <w:i/>
          <w:iCs/>
          <w:color w:val="0070C0"/>
          <w:sz w:val="24"/>
          <w:szCs w:val="24"/>
          <w:lang w:eastAsia="sq-AL"/>
        </w:rPr>
        <w:t>;</w:t>
      </w:r>
    </w:p>
    <w:p w14:paraId="14A61BA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 xml:space="preserve">b) </w:t>
      </w:r>
      <w:r>
        <w:rPr>
          <w:rFonts w:ascii="Garamond" w:hAnsi="Garamond" w:cs="Times New Roman"/>
          <w:b/>
          <w:bCs/>
          <w:i/>
          <w:iCs/>
          <w:color w:val="0070C0"/>
          <w:sz w:val="24"/>
          <w:szCs w:val="24"/>
          <w:lang w:eastAsia="sq-AL"/>
        </w:rPr>
        <w:t>a</w:t>
      </w:r>
      <w:r w:rsidRPr="003D5CE4">
        <w:rPr>
          <w:rFonts w:ascii="Garamond" w:hAnsi="Garamond" w:cs="Times New Roman"/>
          <w:b/>
          <w:bCs/>
          <w:i/>
          <w:iCs/>
          <w:color w:val="0070C0"/>
          <w:sz w:val="24"/>
          <w:szCs w:val="24"/>
          <w:lang w:eastAsia="sq-AL"/>
        </w:rPr>
        <w:t>ngazhimin e prokurorit në aktivitete të tjera trajnuese jashtë këtij programi, me qëllim ngritjen profesionale të prokurorit.</w:t>
      </w:r>
    </w:p>
    <w:p w14:paraId="437E8C5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68DA967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24CAF0D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1885C53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5EEAA9E9"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6B8549E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7371F3B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759FC5F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color w:val="000000"/>
          <w:sz w:val="24"/>
          <w:szCs w:val="24"/>
          <w:lang w:eastAsia="sq-AL"/>
        </w:rPr>
        <w:t xml:space="preserve">4.C.b Disponueshmëria e prokurorit për të udhëhequr magjistratët e ardhshëm gjatë stazhit profesional dhe/ose për trajnimin e magjistratëve </w:t>
      </w:r>
      <w:r w:rsidRPr="003D5CE4">
        <w:rPr>
          <w:rFonts w:ascii="Garamond" w:hAnsi="Garamond" w:cs="Times New Roman"/>
          <w:b/>
          <w:bCs/>
          <w:i/>
          <w:iCs/>
          <w:color w:val="000000"/>
          <w:sz w:val="24"/>
          <w:szCs w:val="24"/>
          <w:lang w:eastAsia="sq-AL"/>
        </w:rPr>
        <w:t xml:space="preserve"> </w:t>
      </w:r>
    </w:p>
    <w:p w14:paraId="0D7A72C5"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pasqyrohen në mënyrë të detajuar të dhënat e secilit burim që lidhen me:</w:t>
      </w:r>
    </w:p>
    <w:p w14:paraId="2D91A18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 xml:space="preserve">a) </w:t>
      </w:r>
      <w:r>
        <w:rPr>
          <w:rFonts w:ascii="Garamond" w:hAnsi="Garamond" w:cs="Times New Roman"/>
          <w:b/>
          <w:bCs/>
          <w:i/>
          <w:iCs/>
          <w:color w:val="0070C0"/>
          <w:sz w:val="24"/>
          <w:szCs w:val="24"/>
          <w:lang w:eastAsia="sq-AL"/>
        </w:rPr>
        <w:t>g</w:t>
      </w:r>
      <w:r w:rsidRPr="003D5CE4">
        <w:rPr>
          <w:rFonts w:ascii="Garamond" w:hAnsi="Garamond" w:cs="Times New Roman"/>
          <w:b/>
          <w:bCs/>
          <w:i/>
          <w:iCs/>
          <w:color w:val="0070C0"/>
          <w:sz w:val="24"/>
          <w:szCs w:val="24"/>
          <w:lang w:eastAsia="sq-AL"/>
        </w:rPr>
        <w:t>atishmërinë dhe shfaqjen e vullnetit të prokurorit pranë organeve përkatëse me qëllim përfshirjen në listat e prokurorëve udhëheqës në praktikën profesionale të kandidatëve për prokurorë;</w:t>
      </w:r>
    </w:p>
    <w:p w14:paraId="46EF314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 xml:space="preserve">b) </w:t>
      </w:r>
      <w:r>
        <w:rPr>
          <w:rFonts w:ascii="Garamond" w:hAnsi="Garamond" w:cs="Times New Roman"/>
          <w:b/>
          <w:bCs/>
          <w:i/>
          <w:iCs/>
          <w:color w:val="0070C0"/>
          <w:sz w:val="24"/>
          <w:szCs w:val="24"/>
          <w:lang w:eastAsia="sq-AL"/>
        </w:rPr>
        <w:t>g</w:t>
      </w:r>
      <w:r w:rsidRPr="003D5CE4">
        <w:rPr>
          <w:rFonts w:ascii="Garamond" w:hAnsi="Garamond" w:cs="Times New Roman"/>
          <w:b/>
          <w:bCs/>
          <w:i/>
          <w:iCs/>
          <w:color w:val="0070C0"/>
          <w:sz w:val="24"/>
          <w:szCs w:val="24"/>
          <w:lang w:eastAsia="sq-AL"/>
        </w:rPr>
        <w:t xml:space="preserve">atishmërinë dhe shfaqjen e vullnetit të prokurorit pranë organeve përkatëse me qëllim përfshirjen si ekspert/lehtësues në trajnimin fillestar apo vazhdues të Shkollës së Magjistraturës, apo në trajnime të organizuara nga institucione të tjera. </w:t>
      </w:r>
    </w:p>
    <w:p w14:paraId="614169B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2580BEC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5723044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7568C00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4E9CE13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73796FE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14C7824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44DCE96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4.C.c Pjesëmarrja e prokurorit në veprimtari ndërinstitucionale për përmirësimin e sistemit të drejtësisë dhe në veprimtaritë për marrëdhëniet me publikun</w:t>
      </w:r>
    </w:p>
    <w:p w14:paraId="69F3F76D"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Për këtë tregues listohen burimet e vlerësimit dhe pasqyrohen në mënyrë të detajuar të dhënat e secilit burim që lidhen me:</w:t>
      </w:r>
    </w:p>
    <w:p w14:paraId="4F6801F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a) gatishmërinë e prokurorit për t’u angazhuar në veprimtari  për të përmirësuar sistemin e prokurorisë;</w:t>
      </w:r>
    </w:p>
    <w:p w14:paraId="642033C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 xml:space="preserve">b) veprimtaritë jashtë funksionit, me ose pa pagesë, të tilla si: fjalime publike; prezantime në konferenca shkencore kombëtare dhe ndërkombëtare; </w:t>
      </w:r>
    </w:p>
    <w:p w14:paraId="426E307B"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 xml:space="preserve">c) pjesëmarrjen në programet e edukimit të komunitetit; </w:t>
      </w:r>
    </w:p>
    <w:p w14:paraId="1846AF76"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 xml:space="preserve">ç)   bashkëpunimin me Këshillin për përmirësimin e </w:t>
      </w:r>
      <w:r>
        <w:rPr>
          <w:rFonts w:ascii="Garamond" w:hAnsi="Garamond" w:cs="Times New Roman"/>
          <w:b/>
          <w:bCs/>
          <w:i/>
          <w:iCs/>
          <w:color w:val="0070C0"/>
          <w:sz w:val="24"/>
          <w:szCs w:val="24"/>
          <w:lang w:eastAsia="sq-AL"/>
        </w:rPr>
        <w:t>programeve të formimit</w:t>
      </w:r>
      <w:r w:rsidRPr="003D5CE4">
        <w:rPr>
          <w:rFonts w:ascii="Garamond" w:hAnsi="Garamond" w:cs="Times New Roman"/>
          <w:b/>
          <w:bCs/>
          <w:i/>
          <w:iCs/>
          <w:color w:val="0070C0"/>
          <w:sz w:val="24"/>
          <w:szCs w:val="24"/>
          <w:lang w:eastAsia="sq-AL"/>
        </w:rPr>
        <w:t xml:space="preserve"> vazhdues;</w:t>
      </w:r>
    </w:p>
    <w:p w14:paraId="6AC5EDFF"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d) angazhimin si ekspert në punët e Këshillit për përgatitjen e formave standarde me qëllim rritjen e efi</w:t>
      </w:r>
      <w:r>
        <w:rPr>
          <w:rFonts w:ascii="Garamond" w:hAnsi="Garamond" w:cs="Times New Roman"/>
          <w:b/>
          <w:bCs/>
          <w:i/>
          <w:iCs/>
          <w:color w:val="0070C0"/>
          <w:sz w:val="24"/>
          <w:szCs w:val="24"/>
          <w:lang w:eastAsia="sq-AL"/>
        </w:rPr>
        <w:t>ci</w:t>
      </w:r>
      <w:r w:rsidRPr="003D5CE4">
        <w:rPr>
          <w:rFonts w:ascii="Garamond" w:hAnsi="Garamond" w:cs="Times New Roman"/>
          <w:b/>
          <w:bCs/>
          <w:i/>
          <w:iCs/>
          <w:color w:val="0070C0"/>
          <w:sz w:val="24"/>
          <w:szCs w:val="24"/>
          <w:lang w:eastAsia="sq-AL"/>
        </w:rPr>
        <w:t xml:space="preserve">encës; </w:t>
      </w:r>
    </w:p>
    <w:p w14:paraId="46484F51"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 xml:space="preserve">e) kontributin në hartimin e legjislacionit; </w:t>
      </w:r>
    </w:p>
    <w:p w14:paraId="5F179DA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f) angazhimin në aktivitete mësimdhënëse për çështje ligjore;</w:t>
      </w:r>
    </w:p>
    <w:p w14:paraId="2809127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g)</w:t>
      </w:r>
      <w:r>
        <w:rPr>
          <w:rFonts w:ascii="Garamond" w:hAnsi="Garamond" w:cs="Times New Roman"/>
          <w:b/>
          <w:bCs/>
          <w:i/>
          <w:iCs/>
          <w:color w:val="0070C0"/>
          <w:sz w:val="24"/>
          <w:szCs w:val="24"/>
          <w:lang w:eastAsia="sq-AL"/>
        </w:rPr>
        <w:t xml:space="preserve"> </w:t>
      </w:r>
      <w:r w:rsidRPr="003D5CE4">
        <w:rPr>
          <w:rFonts w:ascii="Garamond" w:hAnsi="Garamond" w:cs="Times New Roman"/>
          <w:b/>
          <w:bCs/>
          <w:i/>
          <w:iCs/>
          <w:color w:val="0070C0"/>
          <w:sz w:val="24"/>
          <w:szCs w:val="24"/>
          <w:lang w:eastAsia="sq-AL"/>
        </w:rPr>
        <w:t>bashkëpunimin me grupe interesi të ndryshëm me qëllim rritjen e cilësisë së gjyqësorit dhe ndërgjegjësimin e publikut për forcën e zbatimit të ligjit;</w:t>
      </w:r>
    </w:p>
    <w:p w14:paraId="7F15916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h) çdo veprimtari tjetër e ngjashme në fushën juridike.</w:t>
      </w:r>
    </w:p>
    <w:p w14:paraId="79771AA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6945EEB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3AE3433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3B973874"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335D83F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p>
    <w:p w14:paraId="259BB18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60F6875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FE6D8A">
        <w:rPr>
          <w:rFonts w:ascii="Garamond" w:hAnsi="Garamond" w:cs="Times New Roman"/>
          <w:bCs/>
          <w:color w:val="000000"/>
          <w:sz w:val="24"/>
          <w:szCs w:val="24"/>
          <w:lang w:eastAsia="sq-AL"/>
        </w:rPr>
        <w:t>,</w:t>
      </w:r>
      <w:r w:rsidRPr="00FE6D8A">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6CB32C1C"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FE6D8A">
        <w:rPr>
          <w:rFonts w:ascii="Garamond" w:hAnsi="Garamond" w:cs="Times New Roman"/>
          <w:bCs/>
          <w:color w:val="000000"/>
          <w:sz w:val="24"/>
          <w:szCs w:val="24"/>
          <w:lang w:eastAsia="sq-AL"/>
        </w:rPr>
        <w:t>,</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30B012A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color w:val="000000"/>
          <w:sz w:val="24"/>
          <w:szCs w:val="24"/>
          <w:lang w:eastAsia="sq-AL"/>
        </w:rPr>
        <w:t>4.C.ç Publikimet ligjore akademike</w:t>
      </w:r>
    </w:p>
    <w:p w14:paraId="6DC85A7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70C0"/>
          <w:sz w:val="24"/>
          <w:szCs w:val="24"/>
          <w:lang w:eastAsia="sq-AL"/>
        </w:rPr>
      </w:pPr>
      <w:r w:rsidRPr="003D5CE4">
        <w:rPr>
          <w:rFonts w:ascii="Garamond" w:hAnsi="Garamond" w:cs="Times New Roman"/>
          <w:b/>
          <w:bCs/>
          <w:i/>
          <w:iCs/>
          <w:color w:val="0070C0"/>
          <w:sz w:val="24"/>
          <w:szCs w:val="24"/>
          <w:lang w:eastAsia="sq-AL"/>
        </w:rPr>
        <w:t>Ky tregues nënkupton  angazhimin e prokurorit në veprimtari që përfshijnë publikime ligjore akademike me qëllim dhënien e kontributit për zhvillimin e doktrinës të tilla si artikuj, kapituj, monografi, ose publikime shkencore të tjera, të botuara brenda dhe jashtë vendit, të shoqëruara me numër identifikimi (ISBN, ISSN).</w:t>
      </w:r>
    </w:p>
    <w:p w14:paraId="3A43AA9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Burimet e vlerësimit:</w:t>
      </w:r>
    </w:p>
    <w:p w14:paraId="50F3A257"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1. Burimi 1;</w:t>
      </w:r>
    </w:p>
    <w:p w14:paraId="2DA7D4C0"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2. Burimi 2;</w:t>
      </w:r>
    </w:p>
    <w:p w14:paraId="1A9987DE"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color w:val="000000"/>
          <w:sz w:val="24"/>
          <w:szCs w:val="24"/>
          <w:lang w:eastAsia="sq-AL"/>
        </w:rPr>
        <w:t>3.</w:t>
      </w:r>
      <w:r>
        <w:rPr>
          <w:rFonts w:ascii="Garamond" w:hAnsi="Garamond" w:cs="Times New Roman"/>
          <w:color w:val="000000"/>
          <w:sz w:val="24"/>
          <w:szCs w:val="24"/>
          <w:lang w:eastAsia="sq-AL"/>
        </w:rPr>
        <w:t xml:space="preserve"> .........</w:t>
      </w:r>
      <w:r w:rsidRPr="003D5CE4">
        <w:rPr>
          <w:rFonts w:ascii="Garamond" w:hAnsi="Garamond" w:cs="Times New Roman"/>
          <w:color w:val="000000"/>
          <w:sz w:val="24"/>
          <w:szCs w:val="24"/>
          <w:lang w:eastAsia="sq-AL"/>
        </w:rPr>
        <w:t>.......</w:t>
      </w:r>
    </w:p>
    <w:p w14:paraId="0EFE1962"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b/>
          <w:bCs/>
          <w:i/>
          <w:iCs/>
          <w:color w:val="000000"/>
          <w:sz w:val="24"/>
          <w:szCs w:val="24"/>
          <w:lang w:eastAsia="sq-AL"/>
        </w:rPr>
      </w:pPr>
      <w:r w:rsidRPr="003D5CE4">
        <w:rPr>
          <w:rFonts w:ascii="Garamond" w:hAnsi="Garamond" w:cs="Times New Roman"/>
          <w:b/>
          <w:bCs/>
          <w:i/>
          <w:iCs/>
          <w:color w:val="000000"/>
          <w:sz w:val="24"/>
          <w:szCs w:val="24"/>
          <w:lang w:eastAsia="sq-AL"/>
        </w:rPr>
        <w:t>Të dhënat që rezultojnë nga vëzhgimi dhe analiza e burimeve të vlerësimit:</w:t>
      </w:r>
    </w:p>
    <w:p w14:paraId="45206DE3"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1,</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08247A88" w14:textId="77777777" w:rsidR="00F052F6" w:rsidRPr="003D5CE4" w:rsidRDefault="00F052F6" w:rsidP="00F052F6">
      <w:pPr>
        <w:autoSpaceDE w:val="0"/>
        <w:autoSpaceDN w:val="0"/>
        <w:adjustRightInd w:val="0"/>
        <w:spacing w:after="0" w:line="240" w:lineRule="auto"/>
        <w:ind w:firstLine="284"/>
        <w:jc w:val="both"/>
        <w:rPr>
          <w:rFonts w:ascii="Garamond" w:hAnsi="Garamond" w:cs="Times New Roman"/>
          <w:color w:val="000000"/>
          <w:sz w:val="24"/>
          <w:szCs w:val="24"/>
          <w:lang w:eastAsia="sq-AL"/>
        </w:rPr>
      </w:pPr>
      <w:r w:rsidRPr="003D5CE4">
        <w:rPr>
          <w:rFonts w:ascii="Garamond" w:hAnsi="Garamond" w:cs="Times New Roman"/>
          <w:b/>
          <w:bCs/>
          <w:color w:val="000000"/>
          <w:sz w:val="24"/>
          <w:szCs w:val="24"/>
          <w:lang w:eastAsia="sq-AL"/>
        </w:rPr>
        <w:t>Referuar burimit 2,</w:t>
      </w:r>
      <w:r w:rsidRPr="003D5CE4">
        <w:rPr>
          <w:rFonts w:ascii="Garamond" w:hAnsi="Garamond" w:cs="Times New Roman"/>
          <w:color w:val="000000"/>
          <w:sz w:val="24"/>
          <w:szCs w:val="24"/>
          <w:lang w:eastAsia="sq-AL"/>
        </w:rPr>
        <w:t xml:space="preserve"> rezulton se</w:t>
      </w:r>
      <w:r>
        <w:rPr>
          <w:rFonts w:ascii="Garamond" w:hAnsi="Garamond" w:cs="Times New Roman"/>
          <w:color w:val="000000"/>
          <w:sz w:val="24"/>
          <w:szCs w:val="24"/>
          <w:lang w:eastAsia="sq-AL"/>
        </w:rPr>
        <w:t>.</w:t>
      </w:r>
      <w:r w:rsidRPr="003D5CE4">
        <w:rPr>
          <w:rFonts w:ascii="Garamond" w:hAnsi="Garamond" w:cs="Times New Roman"/>
          <w:color w:val="000000"/>
          <w:sz w:val="24"/>
          <w:szCs w:val="24"/>
          <w:lang w:eastAsia="sq-AL"/>
        </w:rPr>
        <w:t>................</w:t>
      </w:r>
    </w:p>
    <w:p w14:paraId="7A7D5772" w14:textId="77777777" w:rsidR="00F052F6" w:rsidRPr="003D5CE4" w:rsidRDefault="00F052F6" w:rsidP="00F052F6">
      <w:pPr>
        <w:autoSpaceDE w:val="0"/>
        <w:autoSpaceDN w:val="0"/>
        <w:adjustRightInd w:val="0"/>
        <w:spacing w:after="0" w:line="240" w:lineRule="auto"/>
        <w:ind w:firstLine="284"/>
        <w:rPr>
          <w:rFonts w:ascii="Garamond" w:hAnsi="Garamond" w:cs="Times New Roman"/>
          <w:b/>
          <w:bCs/>
          <w:color w:val="000000"/>
          <w:sz w:val="24"/>
          <w:szCs w:val="24"/>
          <w:lang w:eastAsia="sq-AL"/>
        </w:rPr>
      </w:pPr>
      <w:r w:rsidRPr="003D5CE4">
        <w:rPr>
          <w:rFonts w:ascii="Garamond" w:hAnsi="Garamond" w:cs="Times New Roman"/>
          <w:b/>
          <w:bCs/>
          <w:color w:val="000000"/>
          <w:sz w:val="24"/>
          <w:szCs w:val="24"/>
          <w:lang w:eastAsia="sq-AL"/>
        </w:rPr>
        <w:t xml:space="preserve"> </w:t>
      </w:r>
    </w:p>
    <w:p w14:paraId="3590986A" w14:textId="77777777" w:rsidR="00F052F6" w:rsidRPr="0085769B" w:rsidRDefault="00F052F6" w:rsidP="00F052F6">
      <w:pPr>
        <w:autoSpaceDE w:val="0"/>
        <w:autoSpaceDN w:val="0"/>
        <w:adjustRightInd w:val="0"/>
        <w:spacing w:after="0" w:line="240" w:lineRule="auto"/>
        <w:ind w:firstLine="284"/>
        <w:jc w:val="center"/>
        <w:rPr>
          <w:rFonts w:ascii="Garamond" w:hAnsi="Garamond" w:cs="Garamond"/>
          <w:bCs/>
          <w:sz w:val="24"/>
          <w:szCs w:val="24"/>
        </w:rPr>
      </w:pPr>
      <w:r w:rsidRPr="0085769B">
        <w:rPr>
          <w:rFonts w:ascii="Garamond" w:hAnsi="Garamond" w:cs="Garamond"/>
          <w:bCs/>
          <w:color w:val="000000"/>
          <w:sz w:val="24"/>
          <w:szCs w:val="24"/>
        </w:rPr>
        <w:t>ANEKSI NR. 6</w:t>
      </w:r>
    </w:p>
    <w:p w14:paraId="0733F8D9" w14:textId="77777777" w:rsidR="00F052F6" w:rsidRPr="0085769B" w:rsidRDefault="00F052F6" w:rsidP="00F052F6">
      <w:pPr>
        <w:keepNext/>
        <w:autoSpaceDE w:val="0"/>
        <w:autoSpaceDN w:val="0"/>
        <w:adjustRightInd w:val="0"/>
        <w:spacing w:after="0" w:line="240" w:lineRule="auto"/>
        <w:ind w:firstLine="284"/>
        <w:jc w:val="center"/>
        <w:outlineLvl w:val="0"/>
        <w:rPr>
          <w:rFonts w:ascii="Garamond" w:hAnsi="Garamond" w:cs="Garamond"/>
          <w:bCs/>
          <w:sz w:val="24"/>
          <w:szCs w:val="24"/>
        </w:rPr>
      </w:pPr>
      <w:r w:rsidRPr="0085769B">
        <w:rPr>
          <w:rFonts w:ascii="Garamond" w:hAnsi="Garamond" w:cs="Garamond"/>
          <w:bCs/>
          <w:sz w:val="24"/>
          <w:szCs w:val="24"/>
        </w:rPr>
        <w:t>PROJEKTRAPORT  I VLERËSIMIT ETIK DHE PROFESIONAL TË PROKURORIT</w:t>
      </w:r>
    </w:p>
    <w:p w14:paraId="6FDE443E" w14:textId="77777777" w:rsidR="00F052F6" w:rsidRPr="003D5CE4" w:rsidRDefault="00F052F6" w:rsidP="00F052F6">
      <w:pPr>
        <w:autoSpaceDE w:val="0"/>
        <w:autoSpaceDN w:val="0"/>
        <w:adjustRightInd w:val="0"/>
        <w:spacing w:after="0" w:line="240" w:lineRule="auto"/>
        <w:ind w:firstLine="284"/>
        <w:jc w:val="center"/>
        <w:rPr>
          <w:rFonts w:ascii="Garamond" w:hAnsi="Garamond" w:cs="Garamond"/>
          <w:color w:val="000000"/>
          <w:sz w:val="24"/>
          <w:szCs w:val="24"/>
        </w:rPr>
      </w:pPr>
      <w:r w:rsidRPr="003D5CE4">
        <w:rPr>
          <w:rFonts w:ascii="Garamond" w:hAnsi="Garamond" w:cs="Garamond"/>
          <w:b/>
          <w:bCs/>
          <w:color w:val="000000"/>
          <w:sz w:val="24"/>
          <w:szCs w:val="24"/>
        </w:rPr>
        <w:t xml:space="preserve">  </w:t>
      </w:r>
    </w:p>
    <w:p w14:paraId="3CECED31" w14:textId="77777777" w:rsidR="00F052F6" w:rsidRPr="003D5CE4" w:rsidRDefault="00F052F6" w:rsidP="00F052F6">
      <w:pPr>
        <w:tabs>
          <w:tab w:val="right" w:pos="9080"/>
        </w:tabs>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color w:val="1F4E79"/>
          <w:sz w:val="24"/>
          <w:szCs w:val="24"/>
        </w:rPr>
        <w:t>MODEL</w:t>
      </w:r>
      <w:r w:rsidRPr="003D5CE4">
        <w:rPr>
          <w:rFonts w:ascii="Garamond" w:hAnsi="Garamond" w:cs="Garamond"/>
          <w:b/>
          <w:bCs/>
          <w:color w:val="000000"/>
          <w:sz w:val="24"/>
          <w:szCs w:val="24"/>
        </w:rPr>
        <w:t xml:space="preserve">        Tiranë</w:t>
      </w:r>
      <w:r>
        <w:rPr>
          <w:rFonts w:ascii="Garamond" w:hAnsi="Garamond" w:cs="Garamond"/>
          <w:b/>
          <w:bCs/>
          <w:color w:val="000000"/>
          <w:sz w:val="24"/>
          <w:szCs w:val="24"/>
        </w:rPr>
        <w:t>,</w:t>
      </w:r>
      <w:r w:rsidRPr="003D5CE4">
        <w:rPr>
          <w:rFonts w:ascii="Garamond" w:hAnsi="Garamond" w:cs="Garamond"/>
          <w:b/>
          <w:bCs/>
          <w:color w:val="000000"/>
          <w:sz w:val="24"/>
          <w:szCs w:val="24"/>
        </w:rPr>
        <w:t xml:space="preserve"> më  __</w:t>
      </w:r>
      <w:r>
        <w:rPr>
          <w:rFonts w:ascii="Garamond" w:hAnsi="Garamond" w:cs="Garamond"/>
          <w:b/>
          <w:bCs/>
          <w:color w:val="000000"/>
          <w:sz w:val="24"/>
          <w:szCs w:val="24"/>
        </w:rPr>
        <w:t>.</w:t>
      </w:r>
      <w:r w:rsidRPr="003D5CE4">
        <w:rPr>
          <w:rFonts w:ascii="Garamond" w:hAnsi="Garamond" w:cs="Garamond"/>
          <w:b/>
          <w:bCs/>
          <w:color w:val="000000"/>
          <w:sz w:val="24"/>
          <w:szCs w:val="24"/>
        </w:rPr>
        <w:t>__</w:t>
      </w:r>
      <w:r>
        <w:rPr>
          <w:rFonts w:ascii="Garamond" w:hAnsi="Garamond" w:cs="Garamond"/>
          <w:b/>
          <w:bCs/>
          <w:color w:val="000000"/>
          <w:sz w:val="24"/>
          <w:szCs w:val="24"/>
        </w:rPr>
        <w:t>.</w:t>
      </w:r>
      <w:r w:rsidRPr="003D5CE4">
        <w:rPr>
          <w:rFonts w:ascii="Garamond" w:hAnsi="Garamond" w:cs="Garamond"/>
          <w:b/>
          <w:bCs/>
          <w:color w:val="000000"/>
          <w:sz w:val="24"/>
          <w:szCs w:val="24"/>
        </w:rPr>
        <w:t xml:space="preserve">202___ </w:t>
      </w:r>
    </w:p>
    <w:p w14:paraId="68545594" w14:textId="77777777" w:rsidR="00F052F6" w:rsidRPr="003D5CE4" w:rsidRDefault="00F052F6" w:rsidP="00F052F6">
      <w:pPr>
        <w:autoSpaceDE w:val="0"/>
        <w:autoSpaceDN w:val="0"/>
        <w:adjustRightInd w:val="0"/>
        <w:spacing w:after="0" w:line="240" w:lineRule="auto"/>
        <w:ind w:firstLine="284"/>
        <w:jc w:val="right"/>
        <w:rPr>
          <w:rFonts w:ascii="Garamond" w:hAnsi="Garamond" w:cs="Garamond"/>
          <w:color w:val="000000"/>
          <w:sz w:val="24"/>
          <w:szCs w:val="24"/>
        </w:rPr>
      </w:pPr>
      <w:r w:rsidRPr="003D5CE4">
        <w:rPr>
          <w:rFonts w:ascii="Garamond" w:hAnsi="Garamond" w:cs="Garamond"/>
          <w:b/>
          <w:bCs/>
          <w:color w:val="000000"/>
          <w:sz w:val="24"/>
          <w:szCs w:val="24"/>
        </w:rPr>
        <w:t xml:space="preserve"> </w:t>
      </w:r>
    </w:p>
    <w:p w14:paraId="0663F45F" w14:textId="77777777" w:rsidR="00F052F6" w:rsidRPr="008E362F" w:rsidRDefault="00F052F6" w:rsidP="00F052F6">
      <w:pPr>
        <w:autoSpaceDE w:val="0"/>
        <w:autoSpaceDN w:val="0"/>
        <w:adjustRightInd w:val="0"/>
        <w:spacing w:after="0" w:line="240" w:lineRule="auto"/>
        <w:ind w:firstLine="284"/>
        <w:jc w:val="both"/>
        <w:rPr>
          <w:rFonts w:ascii="Garamond" w:hAnsi="Garamond" w:cs="Garamond"/>
          <w:bCs/>
          <w:color w:val="000000"/>
          <w:sz w:val="24"/>
          <w:szCs w:val="24"/>
        </w:rPr>
      </w:pPr>
      <w:r w:rsidRPr="008E362F">
        <w:rPr>
          <w:rFonts w:ascii="Garamond" w:hAnsi="Garamond" w:cs="Garamond"/>
          <w:bCs/>
          <w:color w:val="000000"/>
          <w:sz w:val="24"/>
          <w:szCs w:val="24"/>
        </w:rPr>
        <w:t>NDARJA</w:t>
      </w:r>
      <w:r w:rsidRPr="008E362F">
        <w:rPr>
          <w:rStyle w:val="FootnoteReference"/>
          <w:rFonts w:ascii="Garamond" w:hAnsi="Garamond" w:cs="Garamond"/>
          <w:bCs/>
          <w:color w:val="000000"/>
          <w:sz w:val="24"/>
          <w:szCs w:val="24"/>
        </w:rPr>
        <w:footnoteReference w:id="7"/>
      </w:r>
      <w:r w:rsidRPr="008E362F">
        <w:rPr>
          <w:rFonts w:ascii="Garamond" w:hAnsi="Garamond" w:cs="Garamond"/>
          <w:bCs/>
          <w:color w:val="000000"/>
          <w:sz w:val="24"/>
          <w:szCs w:val="24"/>
        </w:rPr>
        <w:t xml:space="preserve"> A </w:t>
      </w:r>
    </w:p>
    <w:p w14:paraId="43A29FAD" w14:textId="77777777" w:rsidR="00F052F6" w:rsidRPr="008E362F"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8E362F">
        <w:rPr>
          <w:rFonts w:ascii="Garamond" w:hAnsi="Garamond" w:cs="Garamond"/>
          <w:bCs/>
          <w:color w:val="000000"/>
          <w:sz w:val="24"/>
          <w:szCs w:val="24"/>
        </w:rPr>
        <w:t xml:space="preserve">TË DHËNAT E PROKURORIT </w:t>
      </w:r>
    </w:p>
    <w:p w14:paraId="50D48E68" w14:textId="77777777" w:rsidR="00F052F6" w:rsidRPr="003D5CE4" w:rsidRDefault="00F052F6" w:rsidP="00F052F6">
      <w:pPr>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i/>
          <w:iCs/>
          <w:color w:val="1F4E79"/>
          <w:sz w:val="24"/>
          <w:szCs w:val="24"/>
        </w:rPr>
        <w:t xml:space="preserve">Në këtë rubrikë plotësohen të dhënat personale të prokurorit, të dhënat për gjykatën ku ushtron funksionin, seksionin dhe periudhën e vlerësimit. </w:t>
      </w:r>
    </w:p>
    <w:p w14:paraId="05680E77" w14:textId="77777777" w:rsidR="00F052F6" w:rsidRPr="003D5CE4" w:rsidRDefault="00F052F6" w:rsidP="00F052F6">
      <w:pPr>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color w:val="000000"/>
          <w:sz w:val="24"/>
          <w:szCs w:val="24"/>
        </w:rPr>
        <w:t xml:space="preserve"> </w:t>
      </w:r>
    </w:p>
    <w:p w14:paraId="03FFA72D" w14:textId="77777777" w:rsidR="00F052F6" w:rsidRPr="003D5CE4" w:rsidRDefault="00F052F6" w:rsidP="00F052F6">
      <w:pPr>
        <w:tabs>
          <w:tab w:val="center" w:pos="1440"/>
          <w:tab w:val="center" w:pos="2160"/>
          <w:tab w:val="center" w:pos="2880"/>
          <w:tab w:val="center" w:pos="3600"/>
          <w:tab w:val="center" w:pos="4320"/>
          <w:tab w:val="center" w:pos="5040"/>
        </w:tabs>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 xml:space="preserve">Emri:        </w:t>
      </w:r>
      <w:r w:rsidRPr="003D5CE4">
        <w:rPr>
          <w:rFonts w:ascii="Garamond" w:hAnsi="Garamond" w:cs="Garamond"/>
          <w:color w:val="000000"/>
          <w:sz w:val="24"/>
          <w:szCs w:val="24"/>
        </w:rPr>
        <w:t xml:space="preserve">       </w:t>
      </w:r>
    </w:p>
    <w:p w14:paraId="01BD28D1" w14:textId="77777777" w:rsidR="00F052F6" w:rsidRPr="00BD08CD"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BD08CD">
        <w:rPr>
          <w:rFonts w:ascii="Garamond" w:hAnsi="Garamond" w:cs="Garamond"/>
          <w:color w:val="000000"/>
          <w:sz w:val="14"/>
          <w:szCs w:val="24"/>
        </w:rPr>
        <w:t xml:space="preserve"> </w:t>
      </w:r>
    </w:p>
    <w:p w14:paraId="50D387A2" w14:textId="77777777" w:rsidR="00F052F6" w:rsidRPr="003D5CE4" w:rsidRDefault="00F052F6" w:rsidP="00F052F6">
      <w:pPr>
        <w:tabs>
          <w:tab w:val="center" w:pos="1440"/>
          <w:tab w:val="center" w:pos="2160"/>
          <w:tab w:val="center" w:pos="2880"/>
          <w:tab w:val="center" w:pos="3600"/>
          <w:tab w:val="center" w:pos="4320"/>
          <w:tab w:val="center" w:pos="5040"/>
        </w:tabs>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 xml:space="preserve">Mbiemri:      </w:t>
      </w:r>
      <w:r w:rsidRPr="003D5CE4">
        <w:rPr>
          <w:rFonts w:ascii="Garamond" w:hAnsi="Garamond" w:cs="Garamond"/>
          <w:color w:val="000000"/>
          <w:sz w:val="24"/>
          <w:szCs w:val="24"/>
        </w:rPr>
        <w:t xml:space="preserve">       </w:t>
      </w:r>
    </w:p>
    <w:p w14:paraId="5E07240C" w14:textId="77777777" w:rsidR="00F052F6" w:rsidRPr="00BD08CD"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BD08CD">
        <w:rPr>
          <w:rFonts w:ascii="Garamond" w:hAnsi="Garamond" w:cs="Garamond"/>
          <w:color w:val="000000"/>
          <w:sz w:val="14"/>
          <w:szCs w:val="24"/>
        </w:rPr>
        <w:t xml:space="preserve"> </w:t>
      </w:r>
    </w:p>
    <w:p w14:paraId="52FEDB2A" w14:textId="77777777" w:rsidR="00F052F6" w:rsidRPr="003D5CE4" w:rsidRDefault="00F052F6" w:rsidP="00F052F6">
      <w:pPr>
        <w:tabs>
          <w:tab w:val="center" w:pos="1440"/>
          <w:tab w:val="center" w:pos="2160"/>
          <w:tab w:val="center" w:pos="2880"/>
        </w:tabs>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 xml:space="preserve">Datëlindja:        </w:t>
      </w:r>
      <w:r w:rsidRPr="003D5CE4">
        <w:rPr>
          <w:rFonts w:ascii="Garamond" w:hAnsi="Garamond" w:cs="Garamond"/>
          <w:color w:val="000000"/>
          <w:sz w:val="24"/>
          <w:szCs w:val="24"/>
        </w:rPr>
        <w:t xml:space="preserve"> </w:t>
      </w:r>
    </w:p>
    <w:p w14:paraId="162ACF4C" w14:textId="77777777" w:rsidR="00F052F6" w:rsidRPr="00BD08CD"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BD08CD">
        <w:rPr>
          <w:rFonts w:ascii="Garamond" w:hAnsi="Garamond" w:cs="Garamond"/>
          <w:color w:val="000000"/>
          <w:sz w:val="14"/>
          <w:szCs w:val="24"/>
        </w:rPr>
        <w:t xml:space="preserve">             </w:t>
      </w:r>
    </w:p>
    <w:p w14:paraId="035F65D0"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 xml:space="preserve">Vendbanimi:  </w:t>
      </w:r>
    </w:p>
    <w:p w14:paraId="7DD18FCF" w14:textId="77777777" w:rsidR="00F052F6" w:rsidRPr="00BD08CD"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BD08CD">
        <w:rPr>
          <w:rFonts w:ascii="Garamond" w:hAnsi="Garamond" w:cs="Garamond"/>
          <w:b/>
          <w:bCs/>
          <w:color w:val="000000"/>
          <w:sz w:val="14"/>
          <w:szCs w:val="24"/>
        </w:rPr>
        <w:t xml:space="preserve"> </w:t>
      </w:r>
    </w:p>
    <w:p w14:paraId="6B8701B1"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 xml:space="preserve">Vjetërsia në detyrë:  </w:t>
      </w:r>
    </w:p>
    <w:p w14:paraId="3558C921" w14:textId="77777777" w:rsidR="00F052F6" w:rsidRPr="00BD08CD"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BD08CD">
        <w:rPr>
          <w:rFonts w:ascii="Garamond" w:hAnsi="Garamond" w:cs="Garamond"/>
          <w:b/>
          <w:bCs/>
          <w:color w:val="000000"/>
          <w:sz w:val="14"/>
          <w:szCs w:val="24"/>
        </w:rPr>
        <w:t xml:space="preserve"> </w:t>
      </w:r>
    </w:p>
    <w:p w14:paraId="2A28CB22" w14:textId="77777777" w:rsidR="00F052F6" w:rsidRPr="003D5CE4" w:rsidRDefault="00F052F6" w:rsidP="00F052F6">
      <w:pPr>
        <w:tabs>
          <w:tab w:val="center" w:pos="2880"/>
        </w:tabs>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 xml:space="preserve">Adresa e e-mail-it zyrtar:  </w:t>
      </w:r>
      <w:r w:rsidRPr="003D5CE4">
        <w:rPr>
          <w:rFonts w:ascii="Garamond" w:hAnsi="Garamond" w:cs="Garamond"/>
          <w:color w:val="0000FF"/>
          <w:sz w:val="24"/>
          <w:szCs w:val="24"/>
        </w:rPr>
        <w:t xml:space="preserve"> </w:t>
      </w:r>
    </w:p>
    <w:p w14:paraId="7A05B083" w14:textId="77777777" w:rsidR="00F052F6" w:rsidRPr="00BD08CD"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BD08CD">
        <w:rPr>
          <w:rFonts w:ascii="Garamond" w:hAnsi="Garamond" w:cs="Garamond"/>
          <w:color w:val="0000FF"/>
          <w:sz w:val="14"/>
          <w:szCs w:val="24"/>
        </w:rPr>
        <w:t xml:space="preserve"> </w:t>
      </w:r>
    </w:p>
    <w:p w14:paraId="475197A3" w14:textId="77777777" w:rsidR="00F052F6" w:rsidRPr="003D5CE4" w:rsidRDefault="00F052F6" w:rsidP="00F052F6">
      <w:pPr>
        <w:tabs>
          <w:tab w:val="center" w:pos="2880"/>
        </w:tabs>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 xml:space="preserve">Adresa e e-mail-it privat:  </w:t>
      </w:r>
      <w:r w:rsidRPr="003D5CE4">
        <w:rPr>
          <w:rFonts w:ascii="Garamond" w:hAnsi="Garamond" w:cs="Garamond"/>
          <w:color w:val="000000"/>
          <w:sz w:val="24"/>
          <w:szCs w:val="24"/>
        </w:rPr>
        <w:t xml:space="preserve"> </w:t>
      </w:r>
    </w:p>
    <w:p w14:paraId="20332068" w14:textId="77777777" w:rsidR="00F052F6" w:rsidRPr="00BD08CD"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BD08CD">
        <w:rPr>
          <w:rFonts w:ascii="Garamond" w:hAnsi="Garamond" w:cs="Garamond"/>
          <w:color w:val="000000"/>
          <w:sz w:val="14"/>
          <w:szCs w:val="24"/>
        </w:rPr>
        <w:t xml:space="preserve"> </w:t>
      </w:r>
    </w:p>
    <w:p w14:paraId="646F079A" w14:textId="77777777" w:rsidR="00F052F6" w:rsidRPr="003D5CE4" w:rsidRDefault="00F052F6" w:rsidP="00F052F6">
      <w:pPr>
        <w:tabs>
          <w:tab w:val="center" w:pos="2160"/>
          <w:tab w:val="center" w:pos="2880"/>
        </w:tabs>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Numër telefoni:</w:t>
      </w:r>
      <w:r w:rsidRPr="003D5CE4">
        <w:rPr>
          <w:rFonts w:ascii="Garamond" w:hAnsi="Garamond" w:cs="Garamond"/>
          <w:color w:val="000000"/>
          <w:sz w:val="24"/>
          <w:szCs w:val="24"/>
        </w:rPr>
        <w:t xml:space="preserve">     </w:t>
      </w:r>
    </w:p>
    <w:p w14:paraId="12838646" w14:textId="77777777" w:rsidR="00F052F6" w:rsidRPr="00BD08CD"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BD08CD">
        <w:rPr>
          <w:rFonts w:ascii="Garamond" w:hAnsi="Garamond" w:cs="Garamond"/>
          <w:b/>
          <w:bCs/>
          <w:color w:val="000000"/>
          <w:sz w:val="14"/>
          <w:szCs w:val="24"/>
        </w:rPr>
        <w:t xml:space="preserve"> </w:t>
      </w:r>
    </w:p>
    <w:p w14:paraId="5AC2F169" w14:textId="77777777" w:rsidR="00F052F6" w:rsidRPr="003D5CE4" w:rsidRDefault="00F052F6" w:rsidP="00F052F6">
      <w:pPr>
        <w:tabs>
          <w:tab w:val="center" w:pos="2880"/>
        </w:tabs>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 xml:space="preserve">Prokuroria:   </w:t>
      </w:r>
    </w:p>
    <w:p w14:paraId="03B43C03" w14:textId="77777777" w:rsidR="00F052F6" w:rsidRPr="00BD08CD"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BD08CD">
        <w:rPr>
          <w:rFonts w:ascii="Garamond" w:hAnsi="Garamond" w:cs="Garamond"/>
          <w:b/>
          <w:bCs/>
          <w:color w:val="000000"/>
          <w:sz w:val="14"/>
          <w:szCs w:val="24"/>
        </w:rPr>
        <w:t xml:space="preserve"> </w:t>
      </w:r>
    </w:p>
    <w:p w14:paraId="346F0406" w14:textId="77777777" w:rsidR="00F052F6" w:rsidRPr="00BD08CD" w:rsidRDefault="00F052F6" w:rsidP="00F052F6">
      <w:pPr>
        <w:tabs>
          <w:tab w:val="center" w:pos="1440"/>
          <w:tab w:val="center" w:pos="2160"/>
        </w:tabs>
        <w:autoSpaceDE w:val="0"/>
        <w:autoSpaceDN w:val="0"/>
        <w:adjustRightInd w:val="0"/>
        <w:spacing w:after="0" w:line="240" w:lineRule="auto"/>
        <w:ind w:firstLine="284"/>
        <w:rPr>
          <w:rFonts w:ascii="Garamond" w:hAnsi="Garamond" w:cs="Garamond"/>
          <w:color w:val="000000"/>
          <w:sz w:val="24"/>
          <w:szCs w:val="24"/>
        </w:rPr>
      </w:pPr>
      <w:r w:rsidRPr="00BD08CD">
        <w:rPr>
          <w:rFonts w:ascii="Garamond" w:hAnsi="Garamond" w:cs="Garamond"/>
          <w:b/>
          <w:bCs/>
          <w:color w:val="000000"/>
          <w:sz w:val="24"/>
          <w:szCs w:val="24"/>
        </w:rPr>
        <w:t xml:space="preserve">Funksioni:     </w:t>
      </w:r>
    </w:p>
    <w:p w14:paraId="21FA3838" w14:textId="77777777" w:rsidR="00F052F6" w:rsidRPr="00BD08CD"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BD08CD">
        <w:rPr>
          <w:rFonts w:ascii="Garamond" w:hAnsi="Garamond" w:cs="Garamond"/>
          <w:b/>
          <w:bCs/>
          <w:color w:val="000000"/>
          <w:sz w:val="14"/>
          <w:szCs w:val="24"/>
        </w:rPr>
        <w:t xml:space="preserve">   </w:t>
      </w:r>
    </w:p>
    <w:p w14:paraId="174B6E40" w14:textId="77777777" w:rsidR="00F052F6" w:rsidRPr="003D5CE4" w:rsidRDefault="00F052F6" w:rsidP="00F052F6">
      <w:pPr>
        <w:tabs>
          <w:tab w:val="center" w:pos="3600"/>
          <w:tab w:val="center" w:pos="4320"/>
        </w:tabs>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Dhoma/</w:t>
      </w:r>
      <w:r>
        <w:rPr>
          <w:rFonts w:ascii="Garamond" w:hAnsi="Garamond" w:cs="Garamond"/>
          <w:b/>
          <w:bCs/>
          <w:color w:val="000000"/>
          <w:sz w:val="24"/>
          <w:szCs w:val="24"/>
        </w:rPr>
        <w:t>s</w:t>
      </w:r>
      <w:r w:rsidRPr="003D5CE4">
        <w:rPr>
          <w:rFonts w:ascii="Garamond" w:hAnsi="Garamond" w:cs="Garamond"/>
          <w:b/>
          <w:bCs/>
          <w:color w:val="000000"/>
          <w:sz w:val="24"/>
          <w:szCs w:val="24"/>
        </w:rPr>
        <w:t>eksioni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b/>
          <w:bCs/>
          <w:color w:val="000000"/>
          <w:sz w:val="24"/>
          <w:szCs w:val="24"/>
        </w:rPr>
        <w:t xml:space="preserve">  </w:t>
      </w:r>
    </w:p>
    <w:p w14:paraId="43D13FAD" w14:textId="77777777" w:rsidR="00F052F6" w:rsidRPr="00BD08CD"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BD08CD">
        <w:rPr>
          <w:rFonts w:ascii="Garamond" w:hAnsi="Garamond" w:cs="Garamond"/>
          <w:color w:val="000000"/>
          <w:sz w:val="14"/>
          <w:szCs w:val="24"/>
        </w:rPr>
        <w:t xml:space="preserve"> </w:t>
      </w:r>
    </w:p>
    <w:p w14:paraId="4D84B30D"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 xml:space="preserve">Vlerësimi i mëparshëm:                        </w:t>
      </w:r>
    </w:p>
    <w:p w14:paraId="76D5E671" w14:textId="77777777" w:rsidR="00F052F6" w:rsidRPr="00BD08CD"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BD08CD">
        <w:rPr>
          <w:rFonts w:ascii="Garamond" w:hAnsi="Garamond" w:cs="Garamond"/>
          <w:b/>
          <w:bCs/>
          <w:color w:val="000000"/>
          <w:sz w:val="14"/>
          <w:szCs w:val="24"/>
        </w:rPr>
        <w:t xml:space="preserve"> </w:t>
      </w:r>
    </w:p>
    <w:p w14:paraId="06F66C66"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 xml:space="preserve">Masa disiplinore:           </w:t>
      </w:r>
    </w:p>
    <w:p w14:paraId="36A93589" w14:textId="77777777" w:rsidR="00F052F6" w:rsidRPr="00BD08CD"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BD08CD">
        <w:rPr>
          <w:rFonts w:ascii="Garamond" w:hAnsi="Garamond" w:cs="Garamond"/>
          <w:b/>
          <w:bCs/>
          <w:color w:val="000000"/>
          <w:sz w:val="14"/>
          <w:szCs w:val="24"/>
        </w:rPr>
        <w:t xml:space="preserve">                         </w:t>
      </w:r>
    </w:p>
    <w:p w14:paraId="14779041"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Periudha e vlerësimit</w:t>
      </w:r>
      <w:r>
        <w:rPr>
          <w:rFonts w:ascii="Garamond" w:hAnsi="Garamond" w:cs="Garamond"/>
          <w:b/>
          <w:bCs/>
          <w:color w:val="000000"/>
          <w:sz w:val="24"/>
          <w:szCs w:val="24"/>
        </w:rPr>
        <w:t>:</w:t>
      </w:r>
      <w:r w:rsidRPr="003D5CE4">
        <w:rPr>
          <w:rFonts w:ascii="Garamond" w:hAnsi="Garamond" w:cs="Garamond"/>
          <w:b/>
          <w:bCs/>
          <w:color w:val="000000"/>
          <w:sz w:val="24"/>
          <w:szCs w:val="24"/>
        </w:rPr>
        <w:t xml:space="preserve">  </w:t>
      </w:r>
    </w:p>
    <w:p w14:paraId="49E5CC07" w14:textId="77777777" w:rsidR="00F052F6" w:rsidRPr="003D5CE4" w:rsidRDefault="00F052F6" w:rsidP="00F052F6">
      <w:pPr>
        <w:autoSpaceDE w:val="0"/>
        <w:autoSpaceDN w:val="0"/>
        <w:adjustRightInd w:val="0"/>
        <w:spacing w:after="0" w:line="240" w:lineRule="auto"/>
        <w:ind w:firstLine="284"/>
        <w:rPr>
          <w:rFonts w:ascii="Garamond" w:hAnsi="Garamond" w:cs="Garamond"/>
          <w:b/>
          <w:bCs/>
          <w:color w:val="000000"/>
          <w:sz w:val="24"/>
          <w:szCs w:val="24"/>
        </w:rPr>
      </w:pPr>
      <w:r w:rsidRPr="003D5CE4">
        <w:rPr>
          <w:rFonts w:ascii="Garamond" w:hAnsi="Garamond" w:cs="Garamond"/>
          <w:b/>
          <w:bCs/>
          <w:color w:val="000000"/>
          <w:sz w:val="24"/>
          <w:szCs w:val="24"/>
        </w:rPr>
        <w:t xml:space="preserve"> </w:t>
      </w:r>
    </w:p>
    <w:p w14:paraId="0FD10E26" w14:textId="77777777" w:rsidR="00F052F6" w:rsidRPr="008E362F" w:rsidRDefault="00F052F6" w:rsidP="00F052F6">
      <w:pPr>
        <w:autoSpaceDE w:val="0"/>
        <w:autoSpaceDN w:val="0"/>
        <w:adjustRightInd w:val="0"/>
        <w:spacing w:after="0" w:line="240" w:lineRule="auto"/>
        <w:ind w:firstLine="284"/>
        <w:jc w:val="both"/>
        <w:rPr>
          <w:rFonts w:ascii="Garamond" w:hAnsi="Garamond" w:cs="Garamond"/>
          <w:bCs/>
          <w:color w:val="000000"/>
          <w:sz w:val="24"/>
          <w:szCs w:val="24"/>
        </w:rPr>
      </w:pPr>
      <w:r w:rsidRPr="008E362F">
        <w:rPr>
          <w:rFonts w:ascii="Garamond" w:hAnsi="Garamond" w:cs="Garamond"/>
          <w:bCs/>
          <w:color w:val="000000"/>
          <w:sz w:val="24"/>
          <w:szCs w:val="24"/>
        </w:rPr>
        <w:t>NDARJA B</w:t>
      </w:r>
    </w:p>
    <w:p w14:paraId="621886F8" w14:textId="77777777" w:rsidR="00F052F6" w:rsidRPr="008E362F"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8E362F">
        <w:rPr>
          <w:rFonts w:ascii="Garamond" w:hAnsi="Garamond" w:cs="Garamond"/>
          <w:bCs/>
          <w:color w:val="000000"/>
          <w:sz w:val="24"/>
          <w:szCs w:val="24"/>
        </w:rPr>
        <w:t xml:space="preserve">VLERËSUES  </w:t>
      </w:r>
    </w:p>
    <w:p w14:paraId="61FEB6A7" w14:textId="77777777" w:rsidR="00F052F6" w:rsidRPr="003D5CE4" w:rsidRDefault="00F052F6" w:rsidP="00F052F6">
      <w:pPr>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 xml:space="preserve"> </w:t>
      </w:r>
    </w:p>
    <w:p w14:paraId="03B2075A"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Relator</w:t>
      </w:r>
      <w:r>
        <w:rPr>
          <w:rFonts w:ascii="Garamond" w:hAnsi="Garamond" w:cs="Garamond"/>
          <w:b/>
          <w:bCs/>
          <w:color w:val="000000"/>
          <w:sz w:val="24"/>
          <w:szCs w:val="24"/>
        </w:rPr>
        <w:t>:</w:t>
      </w:r>
      <w:r w:rsidRPr="003D5CE4">
        <w:rPr>
          <w:rFonts w:ascii="Garamond" w:hAnsi="Garamond" w:cs="Garamond"/>
          <w:b/>
          <w:bCs/>
          <w:color w:val="000000"/>
          <w:sz w:val="24"/>
          <w:szCs w:val="24"/>
        </w:rPr>
        <w:t xml:space="preserve">_____________________  </w:t>
      </w:r>
    </w:p>
    <w:p w14:paraId="5FD0C3A3" w14:textId="77777777" w:rsidR="00F052F6" w:rsidRPr="00A62144"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3D5CE4">
        <w:rPr>
          <w:rFonts w:ascii="Garamond" w:hAnsi="Garamond" w:cs="Garamond"/>
          <w:b/>
          <w:bCs/>
          <w:color w:val="000000"/>
          <w:sz w:val="24"/>
          <w:szCs w:val="24"/>
        </w:rPr>
        <w:t xml:space="preserve"> </w:t>
      </w:r>
    </w:p>
    <w:p w14:paraId="66EE2A0A"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Nëpunës përgjegjës për vlerësimin</w:t>
      </w:r>
      <w:r>
        <w:rPr>
          <w:rFonts w:ascii="Garamond" w:hAnsi="Garamond" w:cs="Garamond"/>
          <w:b/>
          <w:bCs/>
          <w:color w:val="000000"/>
          <w:sz w:val="24"/>
          <w:szCs w:val="24"/>
        </w:rPr>
        <w:t>:</w:t>
      </w:r>
      <w:r w:rsidRPr="003D5CE4">
        <w:rPr>
          <w:rFonts w:ascii="Garamond" w:hAnsi="Garamond" w:cs="Garamond"/>
          <w:b/>
          <w:bCs/>
          <w:color w:val="000000"/>
          <w:sz w:val="24"/>
          <w:szCs w:val="24"/>
        </w:rPr>
        <w:t xml:space="preserve">  __________________________</w:t>
      </w:r>
    </w:p>
    <w:p w14:paraId="59CFBC10" w14:textId="77777777" w:rsidR="00F052F6" w:rsidRPr="003D5CE4" w:rsidRDefault="00F052F6" w:rsidP="00F052F6">
      <w:pPr>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 xml:space="preserve"> </w:t>
      </w:r>
    </w:p>
    <w:p w14:paraId="116EAA60" w14:textId="77777777" w:rsidR="00F052F6" w:rsidRPr="008E362F" w:rsidRDefault="00F052F6" w:rsidP="00F052F6">
      <w:pPr>
        <w:autoSpaceDE w:val="0"/>
        <w:autoSpaceDN w:val="0"/>
        <w:adjustRightInd w:val="0"/>
        <w:spacing w:after="0" w:line="240" w:lineRule="auto"/>
        <w:ind w:firstLine="284"/>
        <w:rPr>
          <w:rFonts w:ascii="Garamond" w:hAnsi="Garamond" w:cs="Garamond"/>
          <w:bCs/>
          <w:color w:val="000000"/>
          <w:sz w:val="24"/>
          <w:szCs w:val="24"/>
        </w:rPr>
      </w:pPr>
      <w:r w:rsidRPr="008E362F">
        <w:rPr>
          <w:rFonts w:ascii="Garamond" w:hAnsi="Garamond" w:cs="Garamond"/>
          <w:bCs/>
          <w:color w:val="000000"/>
          <w:sz w:val="24"/>
          <w:szCs w:val="24"/>
        </w:rPr>
        <w:t>NDARJA C</w:t>
      </w:r>
    </w:p>
    <w:p w14:paraId="5D8AE251" w14:textId="77777777" w:rsidR="00F052F6" w:rsidRPr="008E362F"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8E362F">
        <w:rPr>
          <w:rFonts w:ascii="Garamond" w:hAnsi="Garamond" w:cs="Garamond"/>
          <w:bCs/>
          <w:color w:val="000000"/>
          <w:sz w:val="24"/>
          <w:szCs w:val="24"/>
        </w:rPr>
        <w:t xml:space="preserve">QËLLIMI    </w:t>
      </w:r>
    </w:p>
    <w:p w14:paraId="3419152B"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1F4E79"/>
          <w:sz w:val="24"/>
          <w:szCs w:val="24"/>
        </w:rPr>
      </w:pPr>
      <w:r w:rsidRPr="003D5CE4">
        <w:rPr>
          <w:rFonts w:ascii="Garamond" w:hAnsi="Garamond" w:cs="Garamond"/>
          <w:i/>
          <w:iCs/>
          <w:color w:val="1F4E79"/>
          <w:sz w:val="24"/>
          <w:szCs w:val="24"/>
        </w:rPr>
        <w:t xml:space="preserve">Projektraporti i vlerësimit etik dhe profesional të prokurorit, i përgatitur nga relatori i caktuar me short, ka për qëllim vlerësimin e shkallës së aftësisë së prokurorit në drejtim të etikës dhe veprimtarisë profesionale të tij. Kjo shkallë aftësie ndiqet nga një pikëzim, mbi të cilin përcaktohet niveli i vlerësimit për çdonjërin nga katër kriteret e vlerësimit, si dhe ai i përgjithshëm, të cilët i propozohen për miratim Mbledhjes Plenare.  </w:t>
      </w:r>
    </w:p>
    <w:p w14:paraId="414DE0FF"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1F4E79"/>
          <w:sz w:val="24"/>
          <w:szCs w:val="24"/>
        </w:rPr>
      </w:pPr>
      <w:r w:rsidRPr="003D5CE4">
        <w:rPr>
          <w:rFonts w:ascii="Garamond" w:hAnsi="Garamond" w:cs="Garamond"/>
          <w:i/>
          <w:iCs/>
          <w:color w:val="1F4E79"/>
          <w:sz w:val="24"/>
          <w:szCs w:val="24"/>
        </w:rPr>
        <w:t>Projekt raporti i vlerësimit etik dhe profesional të prokurorit hartohet bazuar në parashikimet e neneve  68, 89 e vijues dhe 93</w:t>
      </w:r>
      <w:r>
        <w:rPr>
          <w:rFonts w:ascii="Garamond" w:hAnsi="Garamond" w:cs="Garamond"/>
          <w:i/>
          <w:iCs/>
          <w:color w:val="1F4E79"/>
          <w:sz w:val="24"/>
          <w:szCs w:val="24"/>
        </w:rPr>
        <w:t>,</w:t>
      </w:r>
      <w:r w:rsidRPr="003D5CE4">
        <w:rPr>
          <w:rFonts w:ascii="Garamond" w:hAnsi="Garamond" w:cs="Garamond"/>
          <w:i/>
          <w:iCs/>
          <w:color w:val="1F4E79"/>
          <w:sz w:val="24"/>
          <w:szCs w:val="24"/>
        </w:rPr>
        <w:t xml:space="preserve"> të </w:t>
      </w:r>
      <w:r>
        <w:rPr>
          <w:rFonts w:ascii="Garamond" w:hAnsi="Garamond" w:cs="Garamond"/>
          <w:i/>
          <w:iCs/>
          <w:color w:val="1F4E79"/>
          <w:sz w:val="24"/>
          <w:szCs w:val="24"/>
        </w:rPr>
        <w:t>l</w:t>
      </w:r>
      <w:r w:rsidRPr="003D5CE4">
        <w:rPr>
          <w:rFonts w:ascii="Garamond" w:hAnsi="Garamond" w:cs="Garamond"/>
          <w:i/>
          <w:iCs/>
          <w:color w:val="1F4E79"/>
          <w:sz w:val="24"/>
          <w:szCs w:val="24"/>
        </w:rPr>
        <w:t xml:space="preserve">igjit nr. 96/2016, “Për statusin e gjyqtarëve dhe prokurorëve në Republikën e Shqipërisë”, i ndryshuar (në vijim </w:t>
      </w:r>
      <w:r>
        <w:rPr>
          <w:rFonts w:ascii="Garamond" w:hAnsi="Garamond" w:cs="Garamond"/>
          <w:i/>
          <w:iCs/>
          <w:color w:val="1F4E79"/>
          <w:sz w:val="24"/>
          <w:szCs w:val="24"/>
        </w:rPr>
        <w:t>“l</w:t>
      </w:r>
      <w:r w:rsidRPr="003D5CE4">
        <w:rPr>
          <w:rFonts w:ascii="Garamond" w:hAnsi="Garamond" w:cs="Garamond"/>
          <w:i/>
          <w:iCs/>
          <w:color w:val="1F4E79"/>
          <w:sz w:val="24"/>
          <w:szCs w:val="24"/>
        </w:rPr>
        <w:t xml:space="preserve">igji për </w:t>
      </w:r>
      <w:r>
        <w:rPr>
          <w:rFonts w:ascii="Garamond" w:hAnsi="Garamond" w:cs="Garamond"/>
          <w:i/>
          <w:iCs/>
          <w:color w:val="1F4E79"/>
          <w:sz w:val="24"/>
          <w:szCs w:val="24"/>
        </w:rPr>
        <w:t>s</w:t>
      </w:r>
      <w:r w:rsidRPr="003D5CE4">
        <w:rPr>
          <w:rFonts w:ascii="Garamond" w:hAnsi="Garamond" w:cs="Garamond"/>
          <w:i/>
          <w:iCs/>
          <w:color w:val="1F4E79"/>
          <w:sz w:val="24"/>
          <w:szCs w:val="24"/>
        </w:rPr>
        <w:t>tatusin</w:t>
      </w:r>
      <w:r>
        <w:rPr>
          <w:rFonts w:ascii="Garamond" w:hAnsi="Garamond" w:cs="Garamond"/>
          <w:i/>
          <w:iCs/>
          <w:color w:val="1F4E79"/>
          <w:sz w:val="24"/>
          <w:szCs w:val="24"/>
        </w:rPr>
        <w:t>”</w:t>
      </w:r>
      <w:r w:rsidRPr="003D5CE4">
        <w:rPr>
          <w:rFonts w:ascii="Garamond" w:hAnsi="Garamond" w:cs="Garamond"/>
          <w:i/>
          <w:iCs/>
          <w:color w:val="1F4E79"/>
          <w:sz w:val="24"/>
          <w:szCs w:val="24"/>
        </w:rPr>
        <w:t xml:space="preserve">). </w:t>
      </w:r>
    </w:p>
    <w:p w14:paraId="63BD7053"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i/>
          <w:iCs/>
          <w:color w:val="1F4E79"/>
          <w:sz w:val="24"/>
          <w:szCs w:val="24"/>
        </w:rPr>
        <w:t>Me qëllim përcaktimin e shkallës së aftësisë së prokurorit për çdo tregues, aspekt dhe kriter vlerësimi, relatori bën analizë të integruar të të gjitha të dhënave të marra nga burimet e vlerësimit ashtu sikundër ato përshkruhen dhe detajohen në raportin analitik të përgatitur nga nëpunësi përgjegjës për vlerësimin</w:t>
      </w:r>
      <w:r w:rsidRPr="003D5CE4">
        <w:rPr>
          <w:rFonts w:ascii="Garamond" w:hAnsi="Garamond" w:cs="Garamond"/>
          <w:i/>
          <w:iCs/>
          <w:color w:val="000000"/>
          <w:sz w:val="24"/>
          <w:szCs w:val="24"/>
        </w:rPr>
        <w:t xml:space="preserve">.  </w:t>
      </w:r>
    </w:p>
    <w:p w14:paraId="758B0A3F" w14:textId="77777777" w:rsidR="00F052F6" w:rsidRDefault="00F052F6" w:rsidP="00F052F6">
      <w:pPr>
        <w:autoSpaceDE w:val="0"/>
        <w:autoSpaceDN w:val="0"/>
        <w:adjustRightInd w:val="0"/>
        <w:spacing w:after="0" w:line="240" w:lineRule="auto"/>
        <w:ind w:firstLine="284"/>
        <w:rPr>
          <w:rFonts w:ascii="Garamond" w:hAnsi="Garamond" w:cs="Garamond"/>
          <w:b/>
          <w:bCs/>
          <w:color w:val="000000"/>
          <w:sz w:val="24"/>
          <w:szCs w:val="24"/>
        </w:rPr>
      </w:pPr>
    </w:p>
    <w:p w14:paraId="72151AE1" w14:textId="77777777" w:rsidR="00F052F6" w:rsidRPr="00A652B4" w:rsidRDefault="00F052F6" w:rsidP="00F052F6">
      <w:pPr>
        <w:autoSpaceDE w:val="0"/>
        <w:autoSpaceDN w:val="0"/>
        <w:adjustRightInd w:val="0"/>
        <w:spacing w:after="0" w:line="240" w:lineRule="auto"/>
        <w:ind w:firstLine="284"/>
        <w:rPr>
          <w:rFonts w:ascii="Garamond" w:hAnsi="Garamond" w:cs="Garamond"/>
          <w:bCs/>
          <w:color w:val="000000"/>
          <w:sz w:val="24"/>
          <w:szCs w:val="24"/>
        </w:rPr>
      </w:pPr>
      <w:r w:rsidRPr="00A652B4">
        <w:rPr>
          <w:rFonts w:ascii="Garamond" w:hAnsi="Garamond" w:cs="Garamond"/>
          <w:bCs/>
          <w:color w:val="000000"/>
          <w:sz w:val="24"/>
          <w:szCs w:val="24"/>
        </w:rPr>
        <w:t>NDARJA Ç</w:t>
      </w:r>
    </w:p>
    <w:p w14:paraId="2EB51DA7"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A652B4">
        <w:rPr>
          <w:rFonts w:ascii="Garamond" w:hAnsi="Garamond" w:cs="Garamond"/>
          <w:bCs/>
          <w:color w:val="000000"/>
          <w:sz w:val="24"/>
          <w:szCs w:val="24"/>
        </w:rPr>
        <w:t xml:space="preserve">PROCEDURA </w:t>
      </w:r>
    </w:p>
    <w:p w14:paraId="753F6981" w14:textId="77777777" w:rsidR="00F052F6" w:rsidRPr="003D5CE4" w:rsidRDefault="00F052F6" w:rsidP="00F052F6">
      <w:pPr>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 xml:space="preserve"> </w:t>
      </w:r>
      <w:r w:rsidRPr="003D5CE4">
        <w:rPr>
          <w:rFonts w:ascii="Garamond" w:hAnsi="Garamond" w:cs="Garamond"/>
          <w:i/>
          <w:iCs/>
          <w:color w:val="1F4E79"/>
          <w:sz w:val="24"/>
          <w:szCs w:val="24"/>
        </w:rPr>
        <w:t xml:space="preserve">Në këtë rubrikë përshkruhet, në rend kronologjik, procedura e ndjekur nga momenti i fillimit të procedurës së vlerësimit etik dhe profesional të prokurorit, deri në momentin e hartimit të projektraportit të vlerësimit. </w:t>
      </w:r>
    </w:p>
    <w:p w14:paraId="1CBF71E7" w14:textId="77777777" w:rsidR="00F052F6" w:rsidRDefault="00F052F6" w:rsidP="00F052F6">
      <w:pPr>
        <w:autoSpaceDE w:val="0"/>
        <w:autoSpaceDN w:val="0"/>
        <w:adjustRightInd w:val="0"/>
        <w:spacing w:after="0" w:line="240" w:lineRule="auto"/>
        <w:ind w:firstLine="284"/>
        <w:rPr>
          <w:rFonts w:ascii="Garamond" w:hAnsi="Garamond" w:cs="Garamond"/>
          <w:i/>
          <w:iCs/>
          <w:color w:val="1F4E79"/>
          <w:sz w:val="24"/>
          <w:szCs w:val="24"/>
        </w:rPr>
      </w:pPr>
    </w:p>
    <w:p w14:paraId="77815E17" w14:textId="77777777" w:rsidR="00F052F6" w:rsidRPr="00A652B4" w:rsidRDefault="00F052F6" w:rsidP="00F052F6">
      <w:pPr>
        <w:autoSpaceDE w:val="0"/>
        <w:autoSpaceDN w:val="0"/>
        <w:adjustRightInd w:val="0"/>
        <w:spacing w:after="0" w:line="240" w:lineRule="auto"/>
        <w:ind w:firstLine="284"/>
        <w:rPr>
          <w:rFonts w:ascii="Garamond" w:hAnsi="Garamond" w:cs="Garamond"/>
          <w:bCs/>
          <w:color w:val="000000"/>
          <w:sz w:val="24"/>
          <w:szCs w:val="24"/>
        </w:rPr>
      </w:pPr>
      <w:r w:rsidRPr="00A652B4">
        <w:rPr>
          <w:rFonts w:ascii="Garamond" w:hAnsi="Garamond" w:cs="Garamond"/>
          <w:bCs/>
          <w:color w:val="000000"/>
          <w:sz w:val="24"/>
          <w:szCs w:val="24"/>
        </w:rPr>
        <w:t>NDARJA D</w:t>
      </w:r>
    </w:p>
    <w:p w14:paraId="39039AE2"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A652B4">
        <w:rPr>
          <w:rFonts w:ascii="Garamond" w:hAnsi="Garamond" w:cs="Garamond"/>
          <w:bCs/>
          <w:color w:val="000000"/>
          <w:sz w:val="24"/>
          <w:szCs w:val="24"/>
        </w:rPr>
        <w:t xml:space="preserve">ANALIZA E TË DHËNAVE TË MARRA NGA BURIMET E VLERËSIMIT DHE PROPOZIMI PËR NIVELIN E VLERËSIMIT PËR ÇDO KRITER VLERËSIMI </w:t>
      </w:r>
    </w:p>
    <w:p w14:paraId="5A5993C3" w14:textId="77777777" w:rsidR="00F052F6" w:rsidRPr="003D5CE4" w:rsidRDefault="00F052F6" w:rsidP="00F052F6">
      <w:pPr>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 xml:space="preserve"> </w:t>
      </w:r>
      <w:r w:rsidRPr="003D5CE4">
        <w:rPr>
          <w:rFonts w:ascii="Garamond" w:hAnsi="Garamond" w:cs="Garamond"/>
          <w:i/>
          <w:iCs/>
          <w:color w:val="1F4E79"/>
          <w:sz w:val="24"/>
          <w:szCs w:val="24"/>
        </w:rPr>
        <w:t xml:space="preserve">Në këtë rubrikë analizohen të dhënat që rezultojnë nga burimet e vlerësimit, vlerësohet shkalla e aftësisë/nivelit të veprimtarisë së prokurorit për çdo tregues vlerësimi, bëhet pikëzimi dhe propozimi për nivelin e vlerësimit të prokurorit, për secilin nga katër kriteret e vlerësimit. </w:t>
      </w:r>
    </w:p>
    <w:p w14:paraId="39867A81"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A652B4">
        <w:rPr>
          <w:rFonts w:ascii="Garamond" w:hAnsi="Garamond" w:cs="Times New Roman"/>
          <w:bCs/>
          <w:color w:val="000000"/>
          <w:sz w:val="24"/>
          <w:szCs w:val="24"/>
        </w:rPr>
        <w:t xml:space="preserve">1. </w:t>
      </w:r>
      <w:r w:rsidRPr="00A652B4">
        <w:rPr>
          <w:rFonts w:ascii="Garamond" w:hAnsi="Garamond" w:cs="Garamond"/>
          <w:bCs/>
          <w:color w:val="000000"/>
          <w:sz w:val="24"/>
          <w:szCs w:val="24"/>
        </w:rPr>
        <w:t xml:space="preserve">AFTËSITË PROFESIONALE TË PROKURORIT </w:t>
      </w:r>
    </w:p>
    <w:p w14:paraId="77167875" w14:textId="77777777" w:rsidR="00F052F6" w:rsidRPr="003D5CE4" w:rsidRDefault="00F052F6" w:rsidP="00F052F6">
      <w:pPr>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i/>
          <w:iCs/>
          <w:color w:val="1F4E79"/>
          <w:sz w:val="24"/>
          <w:szCs w:val="24"/>
        </w:rPr>
        <w:t xml:space="preserve"> </w:t>
      </w:r>
      <w:r w:rsidRPr="003D5CE4">
        <w:rPr>
          <w:rFonts w:ascii="Garamond" w:hAnsi="Garamond" w:cs="Garamond"/>
          <w:i/>
          <w:iCs/>
          <w:color w:val="1F4E79"/>
          <w:sz w:val="24"/>
          <w:szCs w:val="24"/>
        </w:rPr>
        <w:t>Për të pikëzuar aftësinë e prokurorit në drejtim të aspekteve të njohurive ligjore dhe arsyetimit të aktit, vlerësuesi përqendrohet në metodologjinë e përgjithshme të punës së prokurorit bazuar në dosjet e përzgjedhura dhe nuk vlerëson meritat ligjore të akteve individuale, të cilat përcaktohen vetëm në kuadër të një procesi kontrolli nga ana e gjykatës.</w:t>
      </w:r>
      <w:r w:rsidRPr="003D5CE4">
        <w:rPr>
          <w:rFonts w:ascii="Garamond" w:hAnsi="Garamond" w:cs="Garamond"/>
          <w:color w:val="000000"/>
          <w:sz w:val="24"/>
          <w:szCs w:val="24"/>
        </w:rPr>
        <w:t xml:space="preserve"> </w:t>
      </w:r>
      <w:r w:rsidRPr="003D5CE4">
        <w:rPr>
          <w:rFonts w:ascii="Garamond" w:hAnsi="Garamond" w:cs="Garamond"/>
          <w:i/>
          <w:iCs/>
          <w:color w:val="1F4E79"/>
          <w:sz w:val="24"/>
          <w:szCs w:val="24"/>
        </w:rPr>
        <w:t>Aftësia profesionale të prokurorit pikëzohet sipas dy treguesve, njohuritë ligjore dhe arsyetimi ligjor, të cilët ndahen në disa nën tregues.</w:t>
      </w:r>
    </w:p>
    <w:p w14:paraId="3418194A"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A652B4">
        <w:rPr>
          <w:rFonts w:ascii="Garamond" w:hAnsi="Garamond" w:cs="Times New Roman"/>
          <w:bCs/>
          <w:color w:val="000000"/>
          <w:sz w:val="24"/>
          <w:szCs w:val="24"/>
        </w:rPr>
        <w:t xml:space="preserve">1.A </w:t>
      </w:r>
      <w:r w:rsidRPr="00A652B4">
        <w:rPr>
          <w:rFonts w:ascii="Garamond" w:hAnsi="Garamond" w:cs="Garamond"/>
          <w:bCs/>
          <w:color w:val="000000"/>
          <w:sz w:val="24"/>
          <w:szCs w:val="24"/>
        </w:rPr>
        <w:t>NJOHURITË LIGJORE</w:t>
      </w:r>
    </w:p>
    <w:p w14:paraId="1B8EFE3B" w14:textId="77777777" w:rsidR="00F052F6" w:rsidRPr="003D5CE4" w:rsidRDefault="00F052F6" w:rsidP="00F052F6">
      <w:pPr>
        <w:autoSpaceDE w:val="0"/>
        <w:autoSpaceDN w:val="0"/>
        <w:adjustRightInd w:val="0"/>
        <w:spacing w:after="0" w:line="240" w:lineRule="auto"/>
        <w:ind w:firstLine="284"/>
        <w:rPr>
          <w:rFonts w:ascii="Garamond" w:hAnsi="Garamond" w:cs="Garamond"/>
          <w:b/>
          <w:bCs/>
          <w:color w:val="000000"/>
          <w:sz w:val="24"/>
          <w:szCs w:val="24"/>
        </w:rPr>
      </w:pPr>
      <w:r w:rsidRPr="003D5CE4">
        <w:rPr>
          <w:rFonts w:ascii="Garamond" w:hAnsi="Garamond" w:cs="Times New Roman"/>
          <w:b/>
          <w:bCs/>
          <w:color w:val="000000"/>
          <w:sz w:val="24"/>
          <w:szCs w:val="24"/>
        </w:rPr>
        <w:t xml:space="preserve">1.A.a </w:t>
      </w:r>
      <w:r w:rsidRPr="003D5CE4">
        <w:rPr>
          <w:rFonts w:ascii="Garamond" w:hAnsi="Garamond" w:cs="Garamond"/>
          <w:b/>
          <w:bCs/>
          <w:i/>
          <w:iCs/>
          <w:color w:val="000000"/>
          <w:sz w:val="24"/>
          <w:szCs w:val="24"/>
        </w:rPr>
        <w:t xml:space="preserve"> </w:t>
      </w:r>
      <w:r w:rsidRPr="003D5CE4">
        <w:rPr>
          <w:rFonts w:ascii="Garamond" w:hAnsi="Garamond" w:cs="Garamond"/>
          <w:b/>
          <w:bCs/>
          <w:color w:val="000000"/>
          <w:sz w:val="24"/>
          <w:szCs w:val="24"/>
        </w:rPr>
        <w:t>Aftësia për të ndërmarrë logjikisht hetimin apo procedura të tjera të sistemit të proku</w:t>
      </w:r>
      <w:r>
        <w:rPr>
          <w:rFonts w:ascii="Garamond" w:hAnsi="Garamond" w:cs="Garamond"/>
          <w:b/>
          <w:bCs/>
          <w:color w:val="000000"/>
          <w:sz w:val="24"/>
          <w:szCs w:val="24"/>
        </w:rPr>
        <w:t>rorisë, sipas kërkesave ligjore</w:t>
      </w:r>
    </w:p>
    <w:p w14:paraId="57BBE8CF"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i/>
          <w:iCs/>
          <w:color w:val="0070C0"/>
          <w:sz w:val="24"/>
          <w:szCs w:val="24"/>
        </w:rPr>
        <w:t>Për të vlerësuar këtë tregues, analizohen në mënyrë të integruar të dhënat që rezultojnë nga burimet e vlerësimit dhe vlerësohen aftësitë e prokurorit, në lidhje me</w:t>
      </w:r>
      <w:r w:rsidRPr="003D5CE4">
        <w:rPr>
          <w:rFonts w:ascii="Garamond" w:hAnsi="Garamond" w:cs="Garamond"/>
          <w:i/>
          <w:iCs/>
          <w:color w:val="2E74B5"/>
          <w:sz w:val="24"/>
          <w:szCs w:val="24"/>
        </w:rPr>
        <w:t>: përcaktimin dhe evidentimin e fakteve të çështjes apo praktikës, objektin e ndjekjes penale, si dhe rrethanat dhe faktet që janë të nevojshme për t’u provuar apo aktet që duhen administruar; evidentimin e pikave të forta dhe të dobëta të hetimit duke  urdhëruar kryerjen e veprimeve të nevojshme hetimore; efektivitetin në ushtrimin e ndjekjes penale apo ndjekjes së procedurave të tjera të sistemit të prokurorisë, në mënyrë që të respektohen afatet ligjore të çështjes; individualizimin dhe argumentimin e përgjegjësisë penale.</w:t>
      </w:r>
    </w:p>
    <w:p w14:paraId="5EDF430F"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w:t>
      </w:r>
      <w:r>
        <w:rPr>
          <w:rFonts w:ascii="Garamond" w:hAnsi="Garamond" w:cs="Garamond"/>
          <w:i/>
          <w:iCs/>
          <w:color w:val="2E74B5"/>
          <w:sz w:val="24"/>
          <w:szCs w:val="24"/>
        </w:rPr>
        <w:t xml:space="preserve"> e propozuara për këtë tregues.)</w:t>
      </w:r>
    </w:p>
    <w:p w14:paraId="361C8BF0" w14:textId="77777777" w:rsidR="00F052F6" w:rsidRPr="003D5CE4" w:rsidRDefault="00F052F6" w:rsidP="00F052F6">
      <w:pPr>
        <w:autoSpaceDE w:val="0"/>
        <w:autoSpaceDN w:val="0"/>
        <w:adjustRightInd w:val="0"/>
        <w:spacing w:after="0" w:line="240" w:lineRule="auto"/>
        <w:ind w:firstLine="284"/>
        <w:rPr>
          <w:rFonts w:ascii="Garamond" w:hAnsi="Garamond" w:cs="Garamond"/>
          <w:b/>
          <w:bCs/>
          <w:color w:val="000000"/>
          <w:sz w:val="24"/>
          <w:szCs w:val="24"/>
        </w:rPr>
      </w:pPr>
      <w:r w:rsidRPr="003D5CE4">
        <w:rPr>
          <w:rFonts w:ascii="Garamond" w:hAnsi="Garamond" w:cs="Garamond"/>
          <w:color w:val="000000"/>
          <w:sz w:val="24"/>
          <w:szCs w:val="24"/>
        </w:rPr>
        <w:t xml:space="preserve"> </w:t>
      </w:r>
      <w:r w:rsidRPr="003D5CE4">
        <w:rPr>
          <w:rFonts w:ascii="Garamond" w:hAnsi="Garamond" w:cs="Times New Roman"/>
          <w:b/>
          <w:bCs/>
          <w:color w:val="000000"/>
          <w:sz w:val="24"/>
          <w:szCs w:val="24"/>
        </w:rPr>
        <w:t xml:space="preserve">1.A.b </w:t>
      </w:r>
      <w:r w:rsidRPr="003D5CE4">
        <w:rPr>
          <w:rFonts w:ascii="Garamond" w:hAnsi="Garamond" w:cs="Garamond"/>
          <w:b/>
          <w:bCs/>
          <w:i/>
          <w:iCs/>
          <w:color w:val="000000"/>
          <w:sz w:val="24"/>
          <w:szCs w:val="24"/>
        </w:rPr>
        <w:t xml:space="preserve"> </w:t>
      </w:r>
      <w:r w:rsidRPr="003D5CE4">
        <w:rPr>
          <w:rFonts w:ascii="Garamond" w:hAnsi="Garamond" w:cs="Garamond"/>
          <w:b/>
          <w:bCs/>
          <w:color w:val="000000"/>
          <w:sz w:val="24"/>
          <w:szCs w:val="24"/>
        </w:rPr>
        <w:t>Aftësia për të mble</w:t>
      </w:r>
      <w:r>
        <w:rPr>
          <w:rFonts w:ascii="Garamond" w:hAnsi="Garamond" w:cs="Garamond"/>
          <w:b/>
          <w:bCs/>
          <w:color w:val="000000"/>
          <w:sz w:val="24"/>
          <w:szCs w:val="24"/>
        </w:rPr>
        <w:t>dhur provat e kërkuara me ligj</w:t>
      </w:r>
    </w:p>
    <w:p w14:paraId="003148D6"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i/>
          <w:iCs/>
          <w:color w:val="0070C0"/>
          <w:sz w:val="24"/>
          <w:szCs w:val="24"/>
        </w:rPr>
        <w:t>Për të vlerësuar këtë tregues, analizohen në mënyrë të integruar të dhënat që rezultojnë nga burimet e vlerësimit dhe vlerësohen aftësitë e prokurorit, në lidhje me</w:t>
      </w:r>
      <w:r w:rsidRPr="003D5CE4">
        <w:rPr>
          <w:rFonts w:ascii="Garamond" w:hAnsi="Garamond" w:cs="Garamond"/>
          <w:color w:val="0070C0"/>
          <w:sz w:val="24"/>
          <w:szCs w:val="24"/>
        </w:rPr>
        <w:t xml:space="preserve">: </w:t>
      </w:r>
      <w:r w:rsidRPr="003D5CE4">
        <w:rPr>
          <w:rFonts w:ascii="Garamond" w:hAnsi="Garamond" w:cs="Garamond"/>
          <w:i/>
          <w:iCs/>
          <w:color w:val="2E74B5"/>
          <w:sz w:val="24"/>
          <w:szCs w:val="24"/>
        </w:rPr>
        <w:t>mbledhjen e provave të kërkuara me ligj, për të mbështetur objektin e hetimit sipas natyrës së çështjes, apo aftësia për të administruar aktet e nevojshme për plotësimin e praktikës; përdorimin e mjeteve të përshtatshme dhe efektive për kërkimin e provës apo për administrimin e akteve; zbatimin e parashikimeve ligjore gjatë procedurës së marrjes dhe administrimit të provave dhe akteve</w:t>
      </w:r>
      <w:r>
        <w:rPr>
          <w:rFonts w:ascii="Garamond" w:hAnsi="Garamond" w:cs="Garamond"/>
          <w:i/>
          <w:iCs/>
          <w:color w:val="2E74B5"/>
          <w:sz w:val="24"/>
          <w:szCs w:val="24"/>
        </w:rPr>
        <w:t xml:space="preserve"> etj.</w:t>
      </w:r>
    </w:p>
    <w:p w14:paraId="7DC3FAA0"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w:t>
      </w:r>
      <w:r>
        <w:rPr>
          <w:rFonts w:ascii="Garamond" w:hAnsi="Garamond" w:cs="Garamond"/>
          <w:i/>
          <w:iCs/>
          <w:color w:val="2E74B5"/>
          <w:sz w:val="24"/>
          <w:szCs w:val="24"/>
        </w:rPr>
        <w:t xml:space="preserve"> e propozuara për këtë tregues.)</w:t>
      </w:r>
    </w:p>
    <w:p w14:paraId="6272D7DE" w14:textId="77777777" w:rsidR="00F052F6" w:rsidRPr="003D5CE4" w:rsidRDefault="00F052F6" w:rsidP="00F052F6">
      <w:pPr>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1.A.c Aftësia për të interpretuar ligjin dhe për të analizuar jurisprudencën në zgjidhjen e çështjes</w:t>
      </w:r>
    </w:p>
    <w:p w14:paraId="6AD03EBB"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000000"/>
          <w:sz w:val="24"/>
          <w:szCs w:val="24"/>
        </w:rPr>
      </w:pPr>
      <w:r w:rsidRPr="003D5CE4">
        <w:rPr>
          <w:rFonts w:ascii="Garamond" w:hAnsi="Garamond" w:cs="Garamond"/>
          <w:i/>
          <w:iCs/>
          <w:color w:val="0070C0"/>
          <w:sz w:val="24"/>
          <w:szCs w:val="24"/>
        </w:rPr>
        <w:t>Për të vlerësuar këtë tregues, analizohen në mënyrë të integruar të dhënat që rezultojnë nga burimet e vlerësimit dhe vlerësohen aftësitë e prokurorit, në lidhje me</w:t>
      </w:r>
      <w:r w:rsidRPr="003D5CE4">
        <w:rPr>
          <w:rFonts w:ascii="Garamond" w:hAnsi="Garamond" w:cs="Garamond"/>
          <w:color w:val="0070C0"/>
          <w:sz w:val="24"/>
          <w:szCs w:val="24"/>
        </w:rPr>
        <w:t>:</w:t>
      </w:r>
      <w:r w:rsidRPr="003D5CE4">
        <w:rPr>
          <w:rFonts w:ascii="Garamond" w:hAnsi="Garamond" w:cs="Garamond"/>
          <w:i/>
          <w:iCs/>
          <w:color w:val="2E74B5"/>
          <w:sz w:val="24"/>
          <w:szCs w:val="24"/>
        </w:rPr>
        <w:t xml:space="preserve"> interpretimin e ligjit dhe arsyetimin e tij për mënyrën e zbatimit të ligjit mbi faktet objekt hetimi;</w:t>
      </w:r>
      <w:r w:rsidRPr="003D5CE4">
        <w:rPr>
          <w:rFonts w:ascii="Garamond" w:hAnsi="Garamond" w:cs="Garamond"/>
          <w:i/>
          <w:iCs/>
          <w:color w:val="0070C0"/>
          <w:sz w:val="24"/>
          <w:szCs w:val="24"/>
        </w:rPr>
        <w:t xml:space="preserve"> zbatimin e parimeve të përgjithshme të së drejtës materiale dhe procedurale që kanë lidhje me interpretimin e ligjit dhe zgjidhjen e çështjes; kërkimin, identifikimin, organizimin dhe përdorimin e jurisprudencës vendase dhe ndërkombëtare; referimin dhe menaxhimin me efikasitet, në vendin e duhur dhe sipas llojit të qëllimit të aktit, të praktikës së konsoliduar gjyqësore, praktikës së unifikuar/njësuar të Gjykatës së Lartë, praktikës gjyqësore të Gjykatës Kushtetuese, GJEDNJ</w:t>
      </w:r>
      <w:r>
        <w:rPr>
          <w:rFonts w:ascii="Garamond" w:hAnsi="Garamond" w:cs="Garamond"/>
          <w:i/>
          <w:iCs/>
          <w:color w:val="0070C0"/>
          <w:sz w:val="24"/>
          <w:szCs w:val="24"/>
        </w:rPr>
        <w:t>-s</w:t>
      </w:r>
      <w:r w:rsidRPr="003D5CE4">
        <w:rPr>
          <w:rFonts w:ascii="Garamond" w:hAnsi="Garamond" w:cs="Garamond"/>
          <w:i/>
          <w:iCs/>
          <w:color w:val="0070C0"/>
          <w:sz w:val="24"/>
          <w:szCs w:val="24"/>
        </w:rPr>
        <w:t>ë dhe gjithë jurisprudencës në tërësi.</w:t>
      </w:r>
      <w:r w:rsidRPr="003D5CE4">
        <w:rPr>
          <w:rFonts w:ascii="Garamond" w:hAnsi="Garamond" w:cs="Garamond"/>
          <w:i/>
          <w:iCs/>
          <w:color w:val="000000"/>
          <w:sz w:val="24"/>
          <w:szCs w:val="24"/>
        </w:rPr>
        <w:t xml:space="preserve"> </w:t>
      </w:r>
    </w:p>
    <w:p w14:paraId="52037907"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w:t>
      </w:r>
      <w:r>
        <w:rPr>
          <w:rFonts w:ascii="Garamond" w:hAnsi="Garamond" w:cs="Garamond"/>
          <w:i/>
          <w:iCs/>
          <w:color w:val="2E74B5"/>
          <w:sz w:val="24"/>
          <w:szCs w:val="24"/>
        </w:rPr>
        <w:t xml:space="preserve"> e propozuara për këtë tregues.)</w:t>
      </w:r>
      <w:r w:rsidRPr="003D5CE4">
        <w:rPr>
          <w:rFonts w:ascii="Garamond" w:hAnsi="Garamond" w:cs="Garamond"/>
          <w:i/>
          <w:iCs/>
          <w:color w:val="2E74B5"/>
          <w:sz w:val="24"/>
          <w:szCs w:val="24"/>
        </w:rPr>
        <w:t xml:space="preserve"> </w:t>
      </w:r>
    </w:p>
    <w:p w14:paraId="6A46ED5D"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A652B4">
        <w:rPr>
          <w:rFonts w:ascii="Garamond" w:hAnsi="Garamond" w:cs="Times New Roman"/>
          <w:bCs/>
          <w:color w:val="000000"/>
          <w:sz w:val="24"/>
          <w:szCs w:val="24"/>
        </w:rPr>
        <w:t xml:space="preserve">1.B </w:t>
      </w:r>
      <w:r w:rsidRPr="00A652B4">
        <w:rPr>
          <w:rFonts w:ascii="Garamond" w:hAnsi="Garamond" w:cs="Garamond"/>
          <w:bCs/>
          <w:color w:val="000000"/>
          <w:sz w:val="24"/>
          <w:szCs w:val="24"/>
        </w:rPr>
        <w:t xml:space="preserve">ARSYETIMI LIGJOR </w:t>
      </w:r>
    </w:p>
    <w:p w14:paraId="3E0CF13C"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b/>
          <w:bCs/>
          <w:color w:val="000000"/>
          <w:sz w:val="24"/>
          <w:szCs w:val="24"/>
        </w:rPr>
      </w:pPr>
      <w:r w:rsidRPr="003D5CE4">
        <w:rPr>
          <w:rFonts w:ascii="Garamond" w:hAnsi="Garamond" w:cs="Garamond"/>
          <w:b/>
          <w:bCs/>
          <w:color w:val="000000"/>
          <w:sz w:val="24"/>
          <w:szCs w:val="24"/>
        </w:rPr>
        <w:t xml:space="preserve"> </w:t>
      </w:r>
      <w:r w:rsidRPr="003D5CE4">
        <w:rPr>
          <w:rFonts w:ascii="Garamond" w:hAnsi="Garamond" w:cs="Times New Roman"/>
          <w:b/>
          <w:bCs/>
          <w:color w:val="000000"/>
          <w:sz w:val="24"/>
          <w:szCs w:val="24"/>
        </w:rPr>
        <w:t xml:space="preserve">1.B.a </w:t>
      </w:r>
      <w:r w:rsidRPr="003D5CE4">
        <w:rPr>
          <w:rFonts w:ascii="Garamond" w:hAnsi="Garamond" w:cs="Garamond"/>
          <w:b/>
          <w:bCs/>
          <w:color w:val="000000"/>
          <w:sz w:val="24"/>
          <w:szCs w:val="24"/>
        </w:rPr>
        <w:t xml:space="preserve">Qartësia, saktësia dhe kuptueshmëria e akteve </w:t>
      </w:r>
    </w:p>
    <w:p w14:paraId="118F6C95"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i/>
          <w:iCs/>
          <w:color w:val="0070C0"/>
          <w:sz w:val="24"/>
          <w:szCs w:val="24"/>
        </w:rPr>
        <w:t>Për të vlerësuar këtë tregues, analizohen në mënyrë të integruar të dhënat që rezultojnë nga burimet e vlerësimit dhe vlerësohen aftësitë e prokurorit, në lidhje me</w:t>
      </w:r>
      <w:r w:rsidRPr="003D5CE4">
        <w:rPr>
          <w:rFonts w:ascii="Garamond" w:hAnsi="Garamond" w:cs="Garamond"/>
          <w:i/>
          <w:iCs/>
          <w:color w:val="2E74B5"/>
          <w:sz w:val="24"/>
          <w:szCs w:val="24"/>
        </w:rPr>
        <w:t xml:space="preserve">: përdorimin e thjeshtë dhe të drejtpërdrejtë të gjuhës; aftësinë për të shprehur mendimin qartë dhe me sa më pak fjalë; zbatimin e saktë të rregullave gramatikore dhe atyre të sintaksës; përzgjedhjen e kujdesshme të gjuhës dhe përdorimin e të gjitha shkronjave të alfabetit shqip (ë dhe ç), paragrafëve dhe e strukturës së fjalisë, për të shprehur kuptimin dhe përdorimin në mënyrë korrekte dhe të qëndrueshme të termave teknikë. </w:t>
      </w:r>
    </w:p>
    <w:p w14:paraId="4645452E"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 e propozuara për këtë tregues</w:t>
      </w:r>
      <w:r>
        <w:rPr>
          <w:rFonts w:ascii="Garamond" w:hAnsi="Garamond" w:cs="Garamond"/>
          <w:i/>
          <w:iCs/>
          <w:color w:val="2E74B5"/>
          <w:sz w:val="24"/>
          <w:szCs w:val="24"/>
        </w:rPr>
        <w:t>.</w:t>
      </w:r>
      <w:r w:rsidRPr="003D5CE4">
        <w:rPr>
          <w:rFonts w:ascii="Garamond" w:hAnsi="Garamond" w:cs="Garamond"/>
          <w:i/>
          <w:iCs/>
          <w:color w:val="2E74B5"/>
          <w:sz w:val="24"/>
          <w:szCs w:val="24"/>
        </w:rPr>
        <w:t xml:space="preserve">) </w:t>
      </w:r>
    </w:p>
    <w:p w14:paraId="6A7BC043"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Times New Roman"/>
          <w:b/>
          <w:bCs/>
          <w:color w:val="000000"/>
          <w:sz w:val="24"/>
          <w:szCs w:val="24"/>
        </w:rPr>
        <w:t xml:space="preserve">1.B.b </w:t>
      </w:r>
      <w:r w:rsidRPr="003D5CE4">
        <w:rPr>
          <w:rFonts w:ascii="Garamond" w:hAnsi="Garamond" w:cs="Garamond"/>
          <w:b/>
          <w:bCs/>
          <w:color w:val="000000"/>
          <w:sz w:val="24"/>
          <w:szCs w:val="24"/>
        </w:rPr>
        <w:t>Struktura e qëndrueshme dhe e mirorganizuar e akteve</w:t>
      </w:r>
    </w:p>
    <w:p w14:paraId="288BC047"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b/>
          <w:bCs/>
          <w:color w:val="000000"/>
          <w:sz w:val="24"/>
          <w:szCs w:val="24"/>
        </w:rPr>
        <w:t xml:space="preserve"> </w:t>
      </w:r>
      <w:r w:rsidRPr="003D5CE4">
        <w:rPr>
          <w:rFonts w:ascii="Garamond" w:hAnsi="Garamond" w:cs="Garamond"/>
          <w:i/>
          <w:iCs/>
          <w:color w:val="0070C0"/>
          <w:sz w:val="24"/>
          <w:szCs w:val="24"/>
        </w:rPr>
        <w:t xml:space="preserve">Për të vlerësuar këtë tregues, analizohen në mënyrë të integruar të dhënat që rezultojnë nga burimet e vlerësimit dhe vlerësohen aftësitë e prokurorit, në lidhje me: </w:t>
      </w:r>
      <w:r w:rsidRPr="003D5CE4">
        <w:rPr>
          <w:rFonts w:ascii="Garamond" w:hAnsi="Garamond" w:cs="Garamond"/>
          <w:i/>
          <w:iCs/>
          <w:color w:val="2E74B5"/>
          <w:sz w:val="24"/>
          <w:szCs w:val="24"/>
        </w:rPr>
        <w:t>ndjekjen e një metodologjie të caktuar sipas pjesëve përbërëse të dokumentit ligjor, në funksion të orientimit të lexuesit dhe kuptueshmërisë së përmbajtjes së dokumentit; strukturën e qartë, të qëndrueshme dhe të mirorganizuar, e cila përmban prezantimin e fakteve, identifikimin e dispozitave të zbatueshme të ligjit, analizën ligjore të fakteve; përfundimet; dispozitivin dhe mënyrën se si lidhen këta elementë me njëri tjetrin.</w:t>
      </w:r>
    </w:p>
    <w:p w14:paraId="145C39E3"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 xml:space="preserve">Pas analizës së të dhënave që rezultojnë nga burimet e vlerësimit për këtë tregues, relatori përcakton shkallën e aftësisë së prokurorit dhe pikët </w:t>
      </w:r>
      <w:r>
        <w:rPr>
          <w:rFonts w:ascii="Garamond" w:hAnsi="Garamond" w:cs="Garamond"/>
          <w:i/>
          <w:iCs/>
          <w:color w:val="2E74B5"/>
          <w:sz w:val="24"/>
          <w:szCs w:val="24"/>
        </w:rPr>
        <w:t>e propozuara për këtë tregues.)</w:t>
      </w:r>
    </w:p>
    <w:p w14:paraId="312587FE"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b/>
          <w:bCs/>
          <w:color w:val="000000"/>
          <w:sz w:val="24"/>
          <w:szCs w:val="24"/>
        </w:rPr>
      </w:pPr>
      <w:r w:rsidRPr="003D5CE4">
        <w:rPr>
          <w:rFonts w:ascii="Garamond" w:hAnsi="Garamond" w:cs="Garamond"/>
          <w:color w:val="000000"/>
          <w:sz w:val="24"/>
          <w:szCs w:val="24"/>
        </w:rPr>
        <w:t xml:space="preserve"> </w:t>
      </w:r>
      <w:r w:rsidRPr="003D5CE4">
        <w:rPr>
          <w:rFonts w:ascii="Garamond" w:hAnsi="Garamond" w:cs="Times New Roman"/>
          <w:b/>
          <w:bCs/>
          <w:color w:val="000000"/>
          <w:sz w:val="24"/>
          <w:szCs w:val="24"/>
        </w:rPr>
        <w:t xml:space="preserve">1.B.c </w:t>
      </w:r>
      <w:r w:rsidRPr="003D5CE4">
        <w:rPr>
          <w:rFonts w:ascii="Garamond" w:hAnsi="Garamond" w:cs="Garamond"/>
          <w:b/>
          <w:bCs/>
          <w:i/>
          <w:iCs/>
          <w:color w:val="000000"/>
          <w:sz w:val="24"/>
          <w:szCs w:val="24"/>
        </w:rPr>
        <w:t xml:space="preserve"> </w:t>
      </w:r>
      <w:r w:rsidRPr="003D5CE4">
        <w:rPr>
          <w:rFonts w:ascii="Garamond" w:hAnsi="Garamond" w:cs="Garamond"/>
          <w:b/>
          <w:bCs/>
          <w:color w:val="000000"/>
          <w:sz w:val="24"/>
          <w:szCs w:val="24"/>
        </w:rPr>
        <w:t>Aftësia për të marrë në</w:t>
      </w:r>
      <w:r>
        <w:rPr>
          <w:rFonts w:ascii="Garamond" w:hAnsi="Garamond" w:cs="Garamond"/>
          <w:b/>
          <w:bCs/>
          <w:color w:val="000000"/>
          <w:sz w:val="24"/>
          <w:szCs w:val="24"/>
        </w:rPr>
        <w:t xml:space="preserve"> pyetje</w:t>
      </w:r>
    </w:p>
    <w:p w14:paraId="07DEDC8A"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i/>
          <w:iCs/>
          <w:color w:val="0070C0"/>
          <w:sz w:val="24"/>
          <w:szCs w:val="24"/>
        </w:rPr>
        <w:t>Për të vlerësuar këtë tregues, analizohen në mënyrë të integruar të dhënat që rezultojnë nga burimet e vlerësimit dhe vlerësohen aftësitë e prokurorit, në drejtim të</w:t>
      </w:r>
      <w:r w:rsidRPr="003D5CE4">
        <w:rPr>
          <w:rFonts w:ascii="Garamond" w:hAnsi="Garamond" w:cs="Garamond"/>
          <w:i/>
          <w:iCs/>
          <w:color w:val="2E74B5"/>
          <w:sz w:val="24"/>
          <w:szCs w:val="24"/>
        </w:rPr>
        <w:t>: aftësisë për të bërë pyetjet e duhura, të cilat lidhen me objektin e hetimit; mënyrës së ndërtimit  të pyetjeve, qartësisë dhe saktësisë së tyre; garantimit dhe respektimit të të drejtave që jep ligji, për personin që  merret në pyetje.</w:t>
      </w:r>
    </w:p>
    <w:p w14:paraId="0BBF55A1"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i/>
          <w:iCs/>
          <w:color w:val="2E74B5"/>
          <w:sz w:val="24"/>
          <w:szCs w:val="24"/>
        </w:rPr>
        <w:t>Në rastin e prokurorit të ekzekutimeve, në mungesë të akteve që dokumentojnë aftësinë e marrjes në pyetje të prokurorit, për të vlerësuar këtë kriter do të shërbejnë aftësitë e prokurorit për të administruar të dhënat e nevojshme, për plotësimin e praktikës dhe mbështetjen e objektit të çështjes.</w:t>
      </w:r>
    </w:p>
    <w:p w14:paraId="4644BD81"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w:t>
      </w:r>
      <w:r>
        <w:rPr>
          <w:rFonts w:ascii="Garamond" w:hAnsi="Garamond" w:cs="Garamond"/>
          <w:i/>
          <w:iCs/>
          <w:color w:val="2E74B5"/>
          <w:sz w:val="24"/>
          <w:szCs w:val="24"/>
        </w:rPr>
        <w:t xml:space="preserve"> e propozuara për këtë tregues.)</w:t>
      </w:r>
    </w:p>
    <w:p w14:paraId="5626EAA8"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b/>
          <w:bCs/>
          <w:color w:val="000000"/>
          <w:sz w:val="24"/>
          <w:szCs w:val="24"/>
        </w:rPr>
      </w:pPr>
      <w:r w:rsidRPr="003D5CE4">
        <w:rPr>
          <w:rFonts w:ascii="Garamond" w:hAnsi="Garamond" w:cs="Garamond"/>
          <w:color w:val="000000"/>
          <w:sz w:val="24"/>
          <w:szCs w:val="24"/>
        </w:rPr>
        <w:t xml:space="preserve"> </w:t>
      </w:r>
      <w:r w:rsidRPr="003D5CE4">
        <w:rPr>
          <w:rFonts w:ascii="Garamond" w:hAnsi="Garamond" w:cs="Garamond"/>
          <w:b/>
          <w:bCs/>
          <w:color w:val="000000"/>
          <w:sz w:val="24"/>
          <w:szCs w:val="24"/>
        </w:rPr>
        <w:t>1.B.ç  Cilësia e a</w:t>
      </w:r>
      <w:r>
        <w:rPr>
          <w:rFonts w:ascii="Garamond" w:hAnsi="Garamond" w:cs="Garamond"/>
          <w:b/>
          <w:bCs/>
          <w:color w:val="000000"/>
          <w:sz w:val="24"/>
          <w:szCs w:val="24"/>
        </w:rPr>
        <w:t>nalizës dhe argumentimit logjik</w:t>
      </w:r>
    </w:p>
    <w:p w14:paraId="2E052558"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2E74B5"/>
          <w:sz w:val="24"/>
          <w:szCs w:val="24"/>
        </w:rPr>
      </w:pPr>
      <w:r w:rsidRPr="003D5CE4">
        <w:rPr>
          <w:rFonts w:ascii="Garamond" w:hAnsi="Garamond" w:cs="Garamond"/>
          <w:i/>
          <w:iCs/>
          <w:color w:val="0070C0"/>
          <w:sz w:val="24"/>
          <w:szCs w:val="24"/>
        </w:rPr>
        <w:t xml:space="preserve">Për të vlerësuar këtë tregues, analizohen në mënyrë të integruar të dhënat që rezultojnë nga burimet e vlerësimit dhe vlerësohen aftësitë e prokurorit, në drejtim të cilësisë së </w:t>
      </w:r>
      <w:r w:rsidRPr="003D5CE4">
        <w:rPr>
          <w:rFonts w:ascii="Garamond" w:hAnsi="Garamond" w:cs="Garamond"/>
          <w:i/>
          <w:iCs/>
          <w:color w:val="2E74B5"/>
          <w:sz w:val="24"/>
          <w:szCs w:val="24"/>
        </w:rPr>
        <w:t>analizës bazuar në zhvillimin logjik të koncepteve ligjore, lidhur me:</w:t>
      </w:r>
      <w:r w:rsidRPr="003D5CE4">
        <w:rPr>
          <w:rFonts w:ascii="Garamond" w:hAnsi="Garamond" w:cs="Garamond"/>
          <w:color w:val="2E74B5"/>
          <w:sz w:val="24"/>
          <w:szCs w:val="24"/>
        </w:rPr>
        <w:t xml:space="preserve"> </w:t>
      </w:r>
      <w:r w:rsidRPr="003D5CE4">
        <w:rPr>
          <w:rFonts w:ascii="Garamond" w:hAnsi="Garamond" w:cs="Garamond"/>
          <w:i/>
          <w:iCs/>
          <w:color w:val="2E74B5"/>
          <w:sz w:val="24"/>
          <w:szCs w:val="24"/>
        </w:rPr>
        <w:t>identifikimin e marrëdhënieve shkak-pasojë ndërmjet faktit penal, provave të mbledhura  dhe dispozitave ligjore; analizës se si konceptet, institutet dhe dispozitat lidhen midis tyre, ose se si ato zbatohen në një situatë të caktuar; nëse niveli i arsyetimit plotëson standardin e procesit të rregullt ligjor; nëse përmbajtja është gjithëpërfshirëse, duke u dhënë përgjigje të gjitha fakteve të pretenduara (të argumentuara) apo të evidentuara gjatë hetimit.</w:t>
      </w:r>
    </w:p>
    <w:p w14:paraId="1676738B"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w:t>
      </w:r>
      <w:r>
        <w:rPr>
          <w:rFonts w:ascii="Garamond" w:hAnsi="Garamond" w:cs="Garamond"/>
          <w:i/>
          <w:iCs/>
          <w:color w:val="2E74B5"/>
          <w:sz w:val="24"/>
          <w:szCs w:val="24"/>
        </w:rPr>
        <w:t xml:space="preserve"> e propozuara për këtë tregues.)</w:t>
      </w:r>
    </w:p>
    <w:p w14:paraId="593B556A" w14:textId="77777777" w:rsidR="00F052F6" w:rsidRPr="003E43EA" w:rsidRDefault="00F052F6" w:rsidP="00F052F6">
      <w:pPr>
        <w:autoSpaceDE w:val="0"/>
        <w:autoSpaceDN w:val="0"/>
        <w:adjustRightInd w:val="0"/>
        <w:spacing w:after="0" w:line="240" w:lineRule="auto"/>
        <w:ind w:firstLine="284"/>
        <w:rPr>
          <w:rFonts w:ascii="Garamond" w:hAnsi="Garamond" w:cs="Garamond"/>
          <w:color w:val="000000"/>
          <w:sz w:val="14"/>
          <w:szCs w:val="24"/>
        </w:rPr>
      </w:pPr>
    </w:p>
    <w:tbl>
      <w:tblPr>
        <w:tblW w:w="5000" w:type="pct"/>
        <w:tblCellMar>
          <w:top w:w="7" w:type="dxa"/>
          <w:left w:w="107" w:type="dxa"/>
          <w:right w:w="115" w:type="dxa"/>
        </w:tblCellMar>
        <w:tblLook w:val="04A0" w:firstRow="1" w:lastRow="0" w:firstColumn="1" w:lastColumn="0" w:noHBand="0" w:noVBand="1"/>
      </w:tblPr>
      <w:tblGrid>
        <w:gridCol w:w="4632"/>
        <w:gridCol w:w="4950"/>
      </w:tblGrid>
      <w:tr w:rsidR="00F052F6" w:rsidRPr="003D5CE4" w14:paraId="442E50B8" w14:textId="77777777" w:rsidTr="003464CC">
        <w:trPr>
          <w:trHeight w:val="43"/>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BDD6EE"/>
          </w:tcPr>
          <w:p w14:paraId="5448AD02" w14:textId="77777777" w:rsidR="00F052F6" w:rsidRPr="00623C42" w:rsidRDefault="00F052F6" w:rsidP="003464CC">
            <w:pPr>
              <w:spacing w:after="0" w:line="240" w:lineRule="auto"/>
              <w:jc w:val="center"/>
              <w:rPr>
                <w:rFonts w:ascii="Garamond" w:hAnsi="Garamond" w:cs="Times New Roman"/>
                <w:b/>
                <w:sz w:val="24"/>
                <w:szCs w:val="24"/>
              </w:rPr>
            </w:pPr>
            <w:r w:rsidRPr="00623C42">
              <w:rPr>
                <w:rFonts w:ascii="Garamond" w:eastAsia="Times New Roman" w:hAnsi="Garamond" w:cs="Times New Roman"/>
                <w:b/>
                <w:sz w:val="24"/>
                <w:szCs w:val="24"/>
              </w:rPr>
              <w:t xml:space="preserve">Propozim për nivelin e vlerësimit  </w:t>
            </w:r>
          </w:p>
          <w:p w14:paraId="0321F5FB" w14:textId="77777777" w:rsidR="00F052F6" w:rsidRPr="008E362F" w:rsidRDefault="00F052F6" w:rsidP="003464CC">
            <w:pPr>
              <w:spacing w:after="0" w:line="240" w:lineRule="auto"/>
              <w:jc w:val="center"/>
              <w:rPr>
                <w:rFonts w:ascii="Garamond" w:hAnsi="Garamond" w:cs="Times New Roman"/>
                <w:sz w:val="24"/>
                <w:szCs w:val="24"/>
              </w:rPr>
            </w:pPr>
            <w:r w:rsidRPr="008E362F">
              <w:rPr>
                <w:rFonts w:ascii="Garamond" w:eastAsia="Times New Roman" w:hAnsi="Garamond" w:cs="Times New Roman"/>
                <w:sz w:val="24"/>
                <w:szCs w:val="24"/>
              </w:rPr>
              <w:t xml:space="preserve">KRITERI </w:t>
            </w:r>
          </w:p>
          <w:p w14:paraId="48E63FE7" w14:textId="77777777" w:rsidR="00F052F6" w:rsidRPr="00623C42" w:rsidRDefault="00F052F6" w:rsidP="003464CC">
            <w:pPr>
              <w:spacing w:after="0" w:line="240" w:lineRule="auto"/>
              <w:jc w:val="center"/>
              <w:rPr>
                <w:rFonts w:ascii="Garamond" w:hAnsi="Garamond" w:cs="Times New Roman"/>
                <w:b/>
                <w:sz w:val="24"/>
                <w:szCs w:val="24"/>
              </w:rPr>
            </w:pPr>
            <w:r w:rsidRPr="008E362F">
              <w:rPr>
                <w:rFonts w:ascii="Garamond" w:eastAsia="Times New Roman" w:hAnsi="Garamond" w:cs="Times New Roman"/>
                <w:sz w:val="24"/>
                <w:szCs w:val="24"/>
              </w:rPr>
              <w:t>AFTËSITË PROFESIONALE TË PROKURORIT</w:t>
            </w:r>
            <w:r w:rsidRPr="00623C42">
              <w:rPr>
                <w:rFonts w:ascii="Garamond" w:eastAsia="Times New Roman" w:hAnsi="Garamond" w:cs="Times New Roman"/>
                <w:b/>
                <w:sz w:val="24"/>
                <w:szCs w:val="24"/>
              </w:rPr>
              <w:t xml:space="preserve"> </w:t>
            </w:r>
          </w:p>
        </w:tc>
      </w:tr>
      <w:tr w:rsidR="00F052F6" w:rsidRPr="003D5CE4" w14:paraId="4C6192A7" w14:textId="77777777" w:rsidTr="003464CC">
        <w:trPr>
          <w:trHeight w:val="43"/>
        </w:trPr>
        <w:tc>
          <w:tcPr>
            <w:tcW w:w="2417" w:type="pct"/>
            <w:tcBorders>
              <w:top w:val="single" w:sz="4" w:space="0" w:color="000000"/>
              <w:left w:val="single" w:sz="4" w:space="0" w:color="000000"/>
              <w:bottom w:val="single" w:sz="4" w:space="0" w:color="000000"/>
              <w:right w:val="single" w:sz="4" w:space="0" w:color="000000"/>
            </w:tcBorders>
            <w:shd w:val="clear" w:color="auto" w:fill="ACB9CA"/>
          </w:tcPr>
          <w:p w14:paraId="3FDB7E7B" w14:textId="77777777" w:rsidR="00F052F6" w:rsidRPr="00623C42" w:rsidRDefault="00F052F6" w:rsidP="003464CC">
            <w:pPr>
              <w:spacing w:after="0" w:line="240" w:lineRule="auto"/>
              <w:jc w:val="center"/>
              <w:rPr>
                <w:rFonts w:ascii="Garamond" w:hAnsi="Garamond" w:cs="Times New Roman"/>
                <w:b/>
                <w:sz w:val="24"/>
                <w:szCs w:val="24"/>
              </w:rPr>
            </w:pPr>
            <w:r w:rsidRPr="00623C42">
              <w:rPr>
                <w:rFonts w:ascii="Garamond" w:eastAsia="Times New Roman" w:hAnsi="Garamond" w:cs="Times New Roman"/>
                <w:b/>
                <w:sz w:val="24"/>
                <w:szCs w:val="24"/>
              </w:rPr>
              <w:t xml:space="preserve">Pikët </w:t>
            </w:r>
          </w:p>
        </w:tc>
        <w:tc>
          <w:tcPr>
            <w:tcW w:w="2583" w:type="pct"/>
            <w:tcBorders>
              <w:top w:val="single" w:sz="4" w:space="0" w:color="000000"/>
              <w:left w:val="single" w:sz="4" w:space="0" w:color="000000"/>
              <w:bottom w:val="single" w:sz="4" w:space="0" w:color="000000"/>
              <w:right w:val="single" w:sz="4" w:space="0" w:color="000000"/>
            </w:tcBorders>
            <w:shd w:val="clear" w:color="auto" w:fill="ACB9CA"/>
          </w:tcPr>
          <w:p w14:paraId="62901424" w14:textId="77777777" w:rsidR="00F052F6" w:rsidRPr="00623C42" w:rsidRDefault="00F052F6" w:rsidP="003464CC">
            <w:pPr>
              <w:spacing w:after="0" w:line="240" w:lineRule="auto"/>
              <w:jc w:val="center"/>
              <w:rPr>
                <w:rFonts w:ascii="Garamond" w:hAnsi="Garamond" w:cs="Times New Roman"/>
                <w:b/>
                <w:sz w:val="24"/>
                <w:szCs w:val="24"/>
              </w:rPr>
            </w:pPr>
            <w:r w:rsidRPr="00623C42">
              <w:rPr>
                <w:rFonts w:ascii="Garamond" w:eastAsia="Times New Roman" w:hAnsi="Garamond" w:cs="Times New Roman"/>
                <w:b/>
                <w:sz w:val="24"/>
                <w:szCs w:val="24"/>
              </w:rPr>
              <w:t xml:space="preserve">Niveli i vlerësimit  </w:t>
            </w:r>
          </w:p>
        </w:tc>
      </w:tr>
      <w:tr w:rsidR="00F052F6" w:rsidRPr="003D5CE4" w14:paraId="22A72CC6" w14:textId="77777777" w:rsidTr="003464CC">
        <w:trPr>
          <w:trHeight w:val="43"/>
        </w:trPr>
        <w:tc>
          <w:tcPr>
            <w:tcW w:w="2417" w:type="pct"/>
            <w:tcBorders>
              <w:top w:val="single" w:sz="4" w:space="0" w:color="000000"/>
              <w:left w:val="single" w:sz="4" w:space="0" w:color="000000"/>
              <w:bottom w:val="single" w:sz="4" w:space="0" w:color="000000"/>
              <w:right w:val="single" w:sz="4" w:space="0" w:color="000000"/>
            </w:tcBorders>
          </w:tcPr>
          <w:p w14:paraId="5643E7E2"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 </w:t>
            </w:r>
          </w:p>
        </w:tc>
        <w:tc>
          <w:tcPr>
            <w:tcW w:w="2583" w:type="pct"/>
            <w:tcBorders>
              <w:top w:val="single" w:sz="4" w:space="0" w:color="000000"/>
              <w:left w:val="single" w:sz="4" w:space="0" w:color="000000"/>
              <w:bottom w:val="single" w:sz="4" w:space="0" w:color="000000"/>
              <w:right w:val="single" w:sz="4" w:space="0" w:color="000000"/>
            </w:tcBorders>
          </w:tcPr>
          <w:p w14:paraId="0623B36E"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 </w:t>
            </w:r>
          </w:p>
        </w:tc>
      </w:tr>
    </w:tbl>
    <w:p w14:paraId="026D690C" w14:textId="77777777" w:rsidR="00F052F6" w:rsidRPr="00ED6686" w:rsidRDefault="00F052F6" w:rsidP="00F052F6">
      <w:pPr>
        <w:tabs>
          <w:tab w:val="left" w:pos="4111"/>
          <w:tab w:val="left" w:pos="8505"/>
        </w:tabs>
        <w:autoSpaceDE w:val="0"/>
        <w:autoSpaceDN w:val="0"/>
        <w:adjustRightInd w:val="0"/>
        <w:spacing w:after="0" w:line="240" w:lineRule="auto"/>
        <w:ind w:firstLine="284"/>
        <w:rPr>
          <w:rFonts w:ascii="Garamond" w:hAnsi="Garamond" w:cs="Garamond"/>
          <w:color w:val="000000"/>
          <w:sz w:val="14"/>
          <w:szCs w:val="24"/>
        </w:rPr>
      </w:pPr>
    </w:p>
    <w:p w14:paraId="3A639EEB"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A652B4">
        <w:rPr>
          <w:rFonts w:ascii="Garamond" w:hAnsi="Garamond" w:cs="Times New Roman"/>
          <w:bCs/>
          <w:color w:val="000000"/>
          <w:sz w:val="24"/>
          <w:szCs w:val="24"/>
        </w:rPr>
        <w:t xml:space="preserve">2. </w:t>
      </w:r>
      <w:r w:rsidRPr="00A652B4">
        <w:rPr>
          <w:rFonts w:ascii="Garamond" w:hAnsi="Garamond" w:cs="Garamond"/>
          <w:bCs/>
          <w:color w:val="000000"/>
          <w:sz w:val="24"/>
          <w:szCs w:val="24"/>
        </w:rPr>
        <w:t xml:space="preserve">AFTËSITË ORGANIZATIVE TË PROKURORIT </w:t>
      </w:r>
    </w:p>
    <w:p w14:paraId="1AD461A3" w14:textId="77777777" w:rsidR="00F052F6" w:rsidRPr="003D5CE4" w:rsidRDefault="00F052F6" w:rsidP="00F052F6">
      <w:pPr>
        <w:autoSpaceDE w:val="0"/>
        <w:autoSpaceDN w:val="0"/>
        <w:adjustRightInd w:val="0"/>
        <w:spacing w:after="0" w:line="240" w:lineRule="auto"/>
        <w:ind w:firstLine="284"/>
        <w:rPr>
          <w:rFonts w:ascii="Garamond" w:hAnsi="Garamond" w:cs="Garamond"/>
          <w:i/>
          <w:iCs/>
          <w:color w:val="1F4E79"/>
          <w:sz w:val="24"/>
          <w:szCs w:val="24"/>
        </w:rPr>
      </w:pPr>
      <w:r w:rsidRPr="003D5CE4">
        <w:rPr>
          <w:rFonts w:ascii="Garamond" w:hAnsi="Garamond" w:cs="Garamond"/>
          <w:b/>
          <w:bCs/>
          <w:color w:val="000000"/>
          <w:sz w:val="24"/>
          <w:szCs w:val="24"/>
        </w:rPr>
        <w:t xml:space="preserve"> </w:t>
      </w:r>
      <w:r w:rsidRPr="003D5CE4">
        <w:rPr>
          <w:rFonts w:ascii="Garamond" w:hAnsi="Garamond" w:cs="Garamond"/>
          <w:i/>
          <w:iCs/>
          <w:color w:val="1F4E79"/>
          <w:sz w:val="24"/>
          <w:szCs w:val="24"/>
        </w:rPr>
        <w:t xml:space="preserve">Për të vlerësuar dhe pikëzuar aftësinë e prokurorit në drejtim të aftësive organizative, vlerësuesi përqendrohet në aftësinë e prokurorit në çdo nivel dhe në çdo detyrë, që të ketë cilësi të mira organizative në mënyrë që të jetë produktiv. Prokurori nuk mund të jetë efektiv pa pasur aftësinë për të organizuar, menaxhuar dhe kontrolluar efektivisht procedurat hetimore. Produktiviteti është rrjedhojë e menaxhimit të kohës, i cili tregon sa mirë prokurori përdor kohën e tij/saj, si në fazën e hetimit ashtu edhe në fazën e gjykimit.  </w:t>
      </w:r>
    </w:p>
    <w:p w14:paraId="60B26089"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A652B4">
        <w:rPr>
          <w:rFonts w:ascii="Garamond" w:hAnsi="Garamond" w:cs="Times New Roman"/>
          <w:bCs/>
          <w:color w:val="000000"/>
          <w:sz w:val="24"/>
          <w:szCs w:val="24"/>
        </w:rPr>
        <w:t xml:space="preserve">2.A </w:t>
      </w:r>
      <w:r w:rsidRPr="00A652B4">
        <w:rPr>
          <w:rFonts w:ascii="Garamond" w:hAnsi="Garamond" w:cs="Garamond"/>
          <w:bCs/>
          <w:color w:val="000000"/>
          <w:sz w:val="24"/>
          <w:szCs w:val="24"/>
        </w:rPr>
        <w:t>AFTËSIA PËR TË PËRBALLUAR NGARKESËN E PUNËS</w:t>
      </w:r>
    </w:p>
    <w:p w14:paraId="362E5C0F" w14:textId="77777777" w:rsidR="00F052F6" w:rsidRPr="003D5CE4" w:rsidRDefault="00F052F6" w:rsidP="00F052F6">
      <w:pPr>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 xml:space="preserve"> </w:t>
      </w:r>
      <w:r w:rsidRPr="003D5CE4">
        <w:rPr>
          <w:rFonts w:ascii="Garamond" w:hAnsi="Garamond" w:cs="Times New Roman"/>
          <w:b/>
          <w:bCs/>
          <w:color w:val="000000"/>
          <w:sz w:val="24"/>
          <w:szCs w:val="24"/>
        </w:rPr>
        <w:t xml:space="preserve">2.A.a </w:t>
      </w:r>
      <w:r w:rsidRPr="003D5CE4">
        <w:rPr>
          <w:rFonts w:ascii="Garamond" w:hAnsi="Garamond" w:cs="Garamond"/>
          <w:b/>
          <w:bCs/>
          <w:color w:val="000000"/>
          <w:sz w:val="24"/>
          <w:szCs w:val="24"/>
        </w:rPr>
        <w:t>Respektimi i afateve ligjore</w:t>
      </w:r>
    </w:p>
    <w:p w14:paraId="2B8E81B1" w14:textId="77777777" w:rsidR="00F052F6" w:rsidRPr="003D5CE4" w:rsidRDefault="00F052F6" w:rsidP="00F052F6">
      <w:pPr>
        <w:autoSpaceDE w:val="0"/>
        <w:autoSpaceDN w:val="0"/>
        <w:adjustRightInd w:val="0"/>
        <w:spacing w:after="0" w:line="240" w:lineRule="auto"/>
        <w:ind w:firstLine="284"/>
        <w:rPr>
          <w:rFonts w:ascii="Garamond" w:hAnsi="Garamond" w:cs="Garamond"/>
          <w:i/>
          <w:iCs/>
          <w:color w:val="0070C0"/>
          <w:sz w:val="24"/>
          <w:szCs w:val="24"/>
        </w:rPr>
      </w:pPr>
      <w:r w:rsidRPr="003D5CE4">
        <w:rPr>
          <w:rFonts w:ascii="Garamond" w:hAnsi="Garamond" w:cs="Garamond"/>
          <w:i/>
          <w:iCs/>
          <w:color w:val="0070C0"/>
          <w:sz w:val="24"/>
          <w:szCs w:val="24"/>
        </w:rPr>
        <w:t xml:space="preserve">Për të vlerësuar këtë tregues, analizohen në mënyrë të integruar të dhënat që rezultojnë nga burimet e vlerësimit, të pasqyruara në raportin analitik dhe vlerësohen aftësitë e prokurorit lidhur me </w:t>
      </w:r>
      <w:r w:rsidRPr="003D5CE4">
        <w:rPr>
          <w:rFonts w:ascii="Garamond" w:hAnsi="Garamond" w:cs="Garamond"/>
          <w:i/>
          <w:iCs/>
          <w:color w:val="2E74B5"/>
          <w:sz w:val="24"/>
          <w:szCs w:val="24"/>
        </w:rPr>
        <w:t xml:space="preserve">respektimin e afateve të parashikuara në ligj brenda të cilave duhet të përfundojnë procedurat hetimore ose procedurat e tjera të sistemit të prokurorisë. Vlerësimi bëhet referuar afatit brenda të cilit është marrë vendimi (akti përfundimtar), në raport me numrin total të çështjeve të përfunduara, të së njëjtës kategori, për të cilat ligji parashikon të njëjtat afate. </w:t>
      </w:r>
    </w:p>
    <w:p w14:paraId="15123FC4"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 e pro</w:t>
      </w:r>
      <w:r>
        <w:rPr>
          <w:rFonts w:ascii="Garamond" w:hAnsi="Garamond" w:cs="Garamond"/>
          <w:i/>
          <w:iCs/>
          <w:color w:val="2E74B5"/>
          <w:sz w:val="24"/>
          <w:szCs w:val="24"/>
        </w:rPr>
        <w:t>pozuara për këtë tregues.)</w:t>
      </w:r>
    </w:p>
    <w:p w14:paraId="7824FB38" w14:textId="77777777" w:rsidR="00F052F6" w:rsidRPr="003D5CE4" w:rsidRDefault="00F052F6" w:rsidP="00F052F6">
      <w:pPr>
        <w:autoSpaceDE w:val="0"/>
        <w:autoSpaceDN w:val="0"/>
        <w:adjustRightInd w:val="0"/>
        <w:spacing w:after="0" w:line="240" w:lineRule="auto"/>
        <w:ind w:firstLine="284"/>
        <w:rPr>
          <w:rFonts w:ascii="Garamond" w:hAnsi="Garamond" w:cs="Garamond"/>
          <w:b/>
          <w:bCs/>
          <w:color w:val="000000"/>
          <w:sz w:val="24"/>
          <w:szCs w:val="24"/>
        </w:rPr>
      </w:pPr>
      <w:r w:rsidRPr="003D5CE4">
        <w:rPr>
          <w:rFonts w:ascii="Garamond" w:hAnsi="Garamond" w:cs="Times New Roman"/>
          <w:b/>
          <w:bCs/>
          <w:color w:val="000000"/>
          <w:sz w:val="24"/>
          <w:szCs w:val="24"/>
        </w:rPr>
        <w:t xml:space="preserve">2.A.b </w:t>
      </w:r>
      <w:r w:rsidRPr="003D5CE4">
        <w:rPr>
          <w:rFonts w:ascii="Garamond" w:hAnsi="Garamond" w:cs="Garamond"/>
          <w:b/>
          <w:bCs/>
          <w:color w:val="000000"/>
          <w:sz w:val="24"/>
          <w:szCs w:val="24"/>
        </w:rPr>
        <w:t>Koha mesatare që i dedikohet çdo çështjeje deri në marrjen e vendimit, aktit përfundimtar</w:t>
      </w:r>
    </w:p>
    <w:p w14:paraId="3DC69C50"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i/>
          <w:iCs/>
          <w:color w:val="0070C0"/>
          <w:sz w:val="24"/>
          <w:szCs w:val="24"/>
        </w:rPr>
        <w:t>Për të vlerësuar këtë tregues, analizohen në mënyrë të integruar të dhënat që rezultojnë nga burimet e vlerësimit, të pasqyruara në raportin analitik  dhe vlerësohen</w:t>
      </w:r>
      <w:r w:rsidRPr="003D5CE4">
        <w:rPr>
          <w:rFonts w:ascii="Garamond" w:hAnsi="Garamond" w:cs="Garamond"/>
          <w:b/>
          <w:bCs/>
          <w:i/>
          <w:iCs/>
          <w:color w:val="000000"/>
          <w:sz w:val="24"/>
          <w:szCs w:val="24"/>
        </w:rPr>
        <w:t xml:space="preserve"> </w:t>
      </w:r>
      <w:r w:rsidRPr="003D5CE4">
        <w:rPr>
          <w:rFonts w:ascii="Garamond" w:hAnsi="Garamond" w:cs="Garamond"/>
          <w:i/>
          <w:iCs/>
          <w:color w:val="2E74B5"/>
          <w:sz w:val="24"/>
          <w:szCs w:val="24"/>
        </w:rPr>
        <w:t xml:space="preserve">aftësitë e prokurorit për të përfunduar çështjet brenda një afati sa më të shkurtër në raport me kohën mesataren, që i është dedikuar të njëjtës kategori çështjesh nga prokurorët që kanë ushtruar funksionin në të njëjtën periudhë dhe në të njëjtin seksion, në mungesë të seksioneve në të njëjtën prokurori, me prokurorin subjekt vlerësimi. Koha mesatare vlerësohet më vete për secilën kategori çështjesh. </w:t>
      </w:r>
    </w:p>
    <w:p w14:paraId="07678467"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w:t>
      </w:r>
      <w:r>
        <w:rPr>
          <w:rFonts w:ascii="Garamond" w:hAnsi="Garamond" w:cs="Garamond"/>
          <w:i/>
          <w:iCs/>
          <w:color w:val="2E74B5"/>
          <w:sz w:val="24"/>
          <w:szCs w:val="24"/>
        </w:rPr>
        <w:t xml:space="preserve"> e propozuara për këtë tregues.)</w:t>
      </w:r>
    </w:p>
    <w:p w14:paraId="294F2701" w14:textId="77777777" w:rsidR="00F052F6" w:rsidRPr="003D5CE4" w:rsidRDefault="00F052F6" w:rsidP="00F052F6">
      <w:pPr>
        <w:autoSpaceDE w:val="0"/>
        <w:autoSpaceDN w:val="0"/>
        <w:adjustRightInd w:val="0"/>
        <w:spacing w:after="0" w:line="240" w:lineRule="auto"/>
        <w:ind w:firstLine="284"/>
        <w:rPr>
          <w:rFonts w:ascii="Garamond" w:hAnsi="Garamond" w:cs="Garamond"/>
          <w:b/>
          <w:bCs/>
          <w:color w:val="000000"/>
          <w:sz w:val="24"/>
          <w:szCs w:val="24"/>
        </w:rPr>
      </w:pPr>
      <w:r w:rsidRPr="003D5CE4">
        <w:rPr>
          <w:rFonts w:ascii="Garamond" w:hAnsi="Garamond" w:cs="Times New Roman"/>
          <w:b/>
          <w:bCs/>
          <w:color w:val="000000"/>
          <w:sz w:val="24"/>
          <w:szCs w:val="24"/>
        </w:rPr>
        <w:t xml:space="preserve">2.A.c </w:t>
      </w:r>
      <w:r w:rsidRPr="003D5CE4">
        <w:rPr>
          <w:rFonts w:ascii="Garamond" w:hAnsi="Garamond" w:cs="Garamond"/>
          <w:b/>
          <w:bCs/>
          <w:color w:val="000000"/>
          <w:sz w:val="24"/>
          <w:szCs w:val="24"/>
        </w:rPr>
        <w:t xml:space="preserve"> Rendim</w:t>
      </w:r>
      <w:r>
        <w:rPr>
          <w:rFonts w:ascii="Garamond" w:hAnsi="Garamond" w:cs="Garamond"/>
          <w:b/>
          <w:bCs/>
          <w:color w:val="000000"/>
          <w:sz w:val="24"/>
          <w:szCs w:val="24"/>
        </w:rPr>
        <w:t>enti i përfundimit të çështjeve</w:t>
      </w:r>
    </w:p>
    <w:p w14:paraId="5C98250F"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i/>
          <w:iCs/>
          <w:color w:val="0070C0"/>
          <w:sz w:val="24"/>
          <w:szCs w:val="24"/>
        </w:rPr>
        <w:t xml:space="preserve">Për të vlerësuar këtë tregues, analizohen në mënyrë të integruar të dhënat që rezultojnë nga burimet e vlerësimit, të pasqyruara në raportin analitik dhe vlerësohet shkalla e aftësisë së prokurorit  në lidhje </w:t>
      </w:r>
      <w:r w:rsidRPr="003D5CE4">
        <w:rPr>
          <w:rFonts w:ascii="Garamond" w:hAnsi="Garamond" w:cs="Garamond"/>
          <w:i/>
          <w:iCs/>
          <w:color w:val="2E74B5"/>
          <w:sz w:val="24"/>
          <w:szCs w:val="24"/>
        </w:rPr>
        <w:t xml:space="preserve">me rendimentin e përfundimit të çështjeve apo praktikave përkatëse, duke iu referuar  raporti i numrit të çështjeve apo praktikave   të përfunduara nga prokurori brenda një viti kalendarik, me numrin e çështjeve apo praktikave që i janë caktuar brenda atij viti kalendarik duke përfshirë edhe çështjet apo praktikat e mbartura nga viti i mëparshëm.  </w:t>
      </w:r>
    </w:p>
    <w:p w14:paraId="53D2862B"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 e propozuara p</w:t>
      </w:r>
      <w:r>
        <w:rPr>
          <w:rFonts w:ascii="Garamond" w:hAnsi="Garamond" w:cs="Garamond"/>
          <w:i/>
          <w:iCs/>
          <w:color w:val="2E74B5"/>
          <w:sz w:val="24"/>
          <w:szCs w:val="24"/>
        </w:rPr>
        <w:t>ër këtë tregues.)</w:t>
      </w:r>
    </w:p>
    <w:p w14:paraId="4E71F1AB" w14:textId="77777777" w:rsidR="00F052F6" w:rsidRPr="00A652B4" w:rsidRDefault="00F052F6" w:rsidP="00F052F6">
      <w:pPr>
        <w:autoSpaceDE w:val="0"/>
        <w:autoSpaceDN w:val="0"/>
        <w:adjustRightInd w:val="0"/>
        <w:spacing w:after="0" w:line="240" w:lineRule="auto"/>
        <w:ind w:firstLine="284"/>
        <w:rPr>
          <w:rFonts w:ascii="Garamond" w:hAnsi="Garamond" w:cs="Garamond"/>
          <w:bCs/>
          <w:color w:val="000000"/>
          <w:sz w:val="24"/>
          <w:szCs w:val="24"/>
        </w:rPr>
      </w:pPr>
      <w:r w:rsidRPr="00A652B4">
        <w:rPr>
          <w:rFonts w:ascii="Garamond" w:hAnsi="Garamond" w:cs="Garamond"/>
          <w:bCs/>
          <w:color w:val="000000"/>
          <w:sz w:val="24"/>
          <w:szCs w:val="24"/>
        </w:rPr>
        <w:t>2.B AFTËSIA PËR TË KRYER PROCEDURAT HETIMORE DHE PROCEDURA TË TJERA TË SISTEMIT TË PROKURORISË</w:t>
      </w:r>
    </w:p>
    <w:p w14:paraId="045102FE"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b/>
          <w:bCs/>
          <w:color w:val="000000"/>
          <w:sz w:val="24"/>
          <w:szCs w:val="24"/>
        </w:rPr>
      </w:pPr>
      <w:r w:rsidRPr="003D5CE4">
        <w:rPr>
          <w:rFonts w:ascii="Garamond" w:hAnsi="Garamond" w:cs="Garamond"/>
          <w:b/>
          <w:bCs/>
          <w:color w:val="000000"/>
          <w:sz w:val="24"/>
          <w:szCs w:val="24"/>
        </w:rPr>
        <w:t>2.B.a</w:t>
      </w:r>
      <w:r w:rsidRPr="003D5CE4">
        <w:rPr>
          <w:rFonts w:ascii="Garamond" w:hAnsi="Garamond" w:cs="Garamond"/>
          <w:b/>
          <w:bCs/>
          <w:i/>
          <w:iCs/>
          <w:color w:val="000000"/>
          <w:sz w:val="24"/>
          <w:szCs w:val="24"/>
        </w:rPr>
        <w:t xml:space="preserve"> </w:t>
      </w:r>
      <w:r w:rsidRPr="003D5CE4">
        <w:rPr>
          <w:rFonts w:ascii="Garamond" w:hAnsi="Garamond" w:cs="Garamond"/>
          <w:b/>
          <w:bCs/>
          <w:color w:val="000000"/>
          <w:sz w:val="24"/>
          <w:szCs w:val="24"/>
        </w:rPr>
        <w:t>Aftësia e prokurorit për të kryer brenda një afati kohor të përcaktuar, veprimet e nevojshme hetimore dhe procedurale</w:t>
      </w:r>
    </w:p>
    <w:p w14:paraId="32EC83E5"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i/>
          <w:iCs/>
          <w:color w:val="0070C0"/>
          <w:sz w:val="24"/>
          <w:szCs w:val="24"/>
        </w:rPr>
        <w:t xml:space="preserve">Për të vlerësuar këtë tregues, analizohen në mënyrë të integruar të dhënat që rezultojnë nga burimet e vlerësimit, të pasqyruara në raportin analitik dhe vlerësohet shkalla e aftësisë së prokurorit </w:t>
      </w:r>
      <w:r w:rsidRPr="003D5CE4">
        <w:rPr>
          <w:rFonts w:ascii="Garamond" w:hAnsi="Garamond" w:cs="Garamond"/>
          <w:i/>
          <w:iCs/>
          <w:color w:val="2E74B5"/>
          <w:sz w:val="24"/>
          <w:szCs w:val="24"/>
        </w:rPr>
        <w:t>për të kryer në mënyrë efektive dhe dinamike veprimet hetimore dhe procedurale, brenda afateve ligjore, urdhërimin e kryerjes së veprimeve hetimore nga policia gjyqësore, si dhe kontrollin mbi veprimtarinë e policisë gjyqësore.</w:t>
      </w:r>
    </w:p>
    <w:p w14:paraId="368CB5D1"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w:t>
      </w:r>
      <w:r>
        <w:rPr>
          <w:rFonts w:ascii="Garamond" w:hAnsi="Garamond" w:cs="Garamond"/>
          <w:i/>
          <w:iCs/>
          <w:color w:val="2E74B5"/>
          <w:sz w:val="24"/>
          <w:szCs w:val="24"/>
        </w:rPr>
        <w:t xml:space="preserve"> e propozuara për këtë tregues.)</w:t>
      </w:r>
    </w:p>
    <w:p w14:paraId="4F27F3A8" w14:textId="77777777" w:rsidR="00F052F6" w:rsidRPr="003D5CE4" w:rsidRDefault="00F052F6" w:rsidP="00F052F6">
      <w:pPr>
        <w:autoSpaceDE w:val="0"/>
        <w:autoSpaceDN w:val="0"/>
        <w:adjustRightInd w:val="0"/>
        <w:spacing w:after="0" w:line="240" w:lineRule="auto"/>
        <w:ind w:firstLine="284"/>
        <w:rPr>
          <w:rFonts w:ascii="Garamond" w:hAnsi="Garamond" w:cs="Garamond"/>
          <w:b/>
          <w:bCs/>
          <w:color w:val="000000"/>
          <w:sz w:val="24"/>
          <w:szCs w:val="24"/>
        </w:rPr>
      </w:pPr>
      <w:r w:rsidRPr="003D5CE4">
        <w:rPr>
          <w:rFonts w:ascii="Garamond" w:hAnsi="Garamond" w:cs="Garamond"/>
          <w:b/>
          <w:bCs/>
          <w:color w:val="000000"/>
          <w:sz w:val="24"/>
          <w:szCs w:val="24"/>
        </w:rPr>
        <w:t>2.B.b Aftësia e prokurorit për të mbledhur provat e nevojshme</w:t>
      </w:r>
    </w:p>
    <w:p w14:paraId="4ABB60FA"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i/>
          <w:iCs/>
          <w:color w:val="0070C0"/>
          <w:sz w:val="24"/>
          <w:szCs w:val="24"/>
        </w:rPr>
        <w:t xml:space="preserve">Për të vlerësuar këtë tregues, analizohen në mënyrë të integruar të dhënat që rezultojnë nga burimet e vlerësimit, të pasqyruara në raportin analitik dhe vlerësohet shkalla e aftësisë së prokurorit për të </w:t>
      </w:r>
      <w:r w:rsidRPr="003D5CE4">
        <w:rPr>
          <w:rFonts w:ascii="Garamond" w:hAnsi="Garamond" w:cs="Garamond"/>
          <w:i/>
          <w:iCs/>
          <w:color w:val="2E74B5"/>
          <w:sz w:val="24"/>
          <w:szCs w:val="24"/>
        </w:rPr>
        <w:t>mbledhur prova që janë të nevojshme për të mbështetur objektin e hetimit, si dhe ndikimin e tyre në zgjidhjen përfundimtare të çështjes, për të urdhëruar kryerjen e veprimeve të nevojshme hetimore, efikasiteti i veprimeve hetimore të urdhëruar, si dhe ndjekja në dinamikë e veprimeve të urdhëruara dhe të kryera nga Policia Gjyqësore, si dhe për të kërkuar administrimin e provave të nevojshme, që mbështesin aktin e prokurorit, si dhe për të mbajtur qëndrim në lidhje me provat e kërkuara nga i pandehuri.</w:t>
      </w:r>
    </w:p>
    <w:p w14:paraId="118434B5"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w:t>
      </w:r>
      <w:r>
        <w:rPr>
          <w:rFonts w:ascii="Garamond" w:hAnsi="Garamond" w:cs="Garamond"/>
          <w:i/>
          <w:iCs/>
          <w:color w:val="2E74B5"/>
          <w:sz w:val="24"/>
          <w:szCs w:val="24"/>
        </w:rPr>
        <w:t xml:space="preserve"> e propozuara për këtë tregues.)</w:t>
      </w:r>
    </w:p>
    <w:p w14:paraId="17E6CE16" w14:textId="77777777" w:rsidR="00F052F6" w:rsidRPr="003D5CE4" w:rsidRDefault="00F052F6" w:rsidP="00F052F6">
      <w:pPr>
        <w:autoSpaceDE w:val="0"/>
        <w:autoSpaceDN w:val="0"/>
        <w:adjustRightInd w:val="0"/>
        <w:spacing w:after="0" w:line="240" w:lineRule="auto"/>
        <w:ind w:firstLine="284"/>
        <w:rPr>
          <w:rFonts w:ascii="Garamond" w:hAnsi="Garamond" w:cs="Garamond"/>
          <w:color w:val="2E74B5"/>
          <w:sz w:val="24"/>
          <w:szCs w:val="24"/>
        </w:rPr>
      </w:pPr>
      <w:r w:rsidRPr="003D5CE4">
        <w:rPr>
          <w:rFonts w:ascii="Garamond" w:hAnsi="Garamond" w:cs="Garamond"/>
          <w:color w:val="2E74B5"/>
          <w:sz w:val="24"/>
          <w:szCs w:val="24"/>
        </w:rPr>
        <w:t xml:space="preserve"> </w:t>
      </w:r>
      <w:r w:rsidRPr="003D5CE4">
        <w:rPr>
          <w:rFonts w:ascii="Garamond" w:hAnsi="Garamond" w:cs="Garamond"/>
          <w:b/>
          <w:bCs/>
          <w:color w:val="000000"/>
          <w:sz w:val="24"/>
          <w:szCs w:val="24"/>
        </w:rPr>
        <w:t>2.B.c Aftësia e prokurorit për të mbikëqyrur dërgimin pa vonesë të akteve të nevojshme të njoftimit</w:t>
      </w:r>
    </w:p>
    <w:p w14:paraId="0C7CDCAA"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i/>
          <w:iCs/>
          <w:color w:val="0070C0"/>
          <w:sz w:val="24"/>
          <w:szCs w:val="24"/>
        </w:rPr>
        <w:t>Për të vlerësuar këtë tregues, analizohen në mënyrë të integruar të dhënat që rezultojnë nga burimet e vlerësimit, të pasqyruara në raportin analitik dhe vlerësohet shkalla e aftësisë së prokurorit</w:t>
      </w:r>
      <w:r w:rsidRPr="003D5CE4">
        <w:rPr>
          <w:rFonts w:ascii="Garamond" w:hAnsi="Garamond" w:cs="Garamond"/>
          <w:i/>
          <w:iCs/>
          <w:color w:val="000000"/>
          <w:sz w:val="24"/>
          <w:szCs w:val="24"/>
        </w:rPr>
        <w:t xml:space="preserve"> </w:t>
      </w:r>
      <w:r w:rsidRPr="003D5CE4">
        <w:rPr>
          <w:rFonts w:ascii="Garamond" w:hAnsi="Garamond" w:cs="Garamond"/>
          <w:i/>
          <w:iCs/>
          <w:color w:val="2E74B5"/>
          <w:sz w:val="24"/>
          <w:szCs w:val="24"/>
        </w:rPr>
        <w:t>për dërgimin e akteve të njoftimit të çështjes brenda afateve ligjore dhe brenda kohës së nevojshme të kërkuar nga hetimi, hartimin me shpejtësi dhe brenda afateve ligjore të akteve të njoftimit, mbikëqyrjen nga prokurori për dërgimin pa vonesë të akteve të nevojshme të njoftimit dhe marrjen e masave të tjera për të garantuar njoftime të rregullta.</w:t>
      </w:r>
    </w:p>
    <w:p w14:paraId="2D2A21DA"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w:t>
      </w:r>
      <w:r>
        <w:rPr>
          <w:rFonts w:ascii="Garamond" w:hAnsi="Garamond" w:cs="Garamond"/>
          <w:i/>
          <w:iCs/>
          <w:color w:val="2E74B5"/>
          <w:sz w:val="24"/>
          <w:szCs w:val="24"/>
        </w:rPr>
        <w:t xml:space="preserve"> e propozuara për këtë tregues.)</w:t>
      </w:r>
    </w:p>
    <w:p w14:paraId="44617599"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bCs/>
          <w:color w:val="000000"/>
          <w:sz w:val="24"/>
          <w:szCs w:val="24"/>
        </w:rPr>
      </w:pPr>
      <w:r w:rsidRPr="00A652B4">
        <w:rPr>
          <w:rFonts w:ascii="Garamond" w:hAnsi="Garamond" w:cs="Garamond"/>
          <w:bCs/>
          <w:color w:val="000000"/>
          <w:sz w:val="24"/>
          <w:szCs w:val="24"/>
        </w:rPr>
        <w:t>2.C</w:t>
      </w:r>
      <w:r>
        <w:rPr>
          <w:rFonts w:ascii="Garamond" w:hAnsi="Garamond" w:cs="Garamond"/>
          <w:bCs/>
          <w:color w:val="000000"/>
          <w:sz w:val="24"/>
          <w:szCs w:val="24"/>
        </w:rPr>
        <w:t xml:space="preserve"> </w:t>
      </w:r>
      <w:r w:rsidRPr="00A652B4">
        <w:rPr>
          <w:rFonts w:ascii="Garamond" w:hAnsi="Garamond" w:cs="Garamond"/>
          <w:bCs/>
          <w:color w:val="000000"/>
          <w:sz w:val="24"/>
          <w:szCs w:val="24"/>
        </w:rPr>
        <w:t>AFTËSIA PËR TË ADMINISTRUAR DOSJEN HETIMORE OSE PRAKTIKËN PËRKATËSE</w:t>
      </w:r>
    </w:p>
    <w:p w14:paraId="69E93A68" w14:textId="77777777" w:rsidR="00F052F6" w:rsidRPr="003D5CE4" w:rsidRDefault="00F052F6" w:rsidP="00F052F6">
      <w:pPr>
        <w:tabs>
          <w:tab w:val="center" w:pos="3200"/>
        </w:tabs>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2.C.a Rregullshmëria e dokumentacionit të dosjes ose praktikës</w:t>
      </w:r>
    </w:p>
    <w:p w14:paraId="3372A117"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000000"/>
          <w:sz w:val="24"/>
          <w:szCs w:val="24"/>
        </w:rPr>
      </w:pPr>
      <w:r w:rsidRPr="003D5CE4">
        <w:rPr>
          <w:rFonts w:ascii="Garamond" w:hAnsi="Garamond" w:cs="Garamond"/>
          <w:i/>
          <w:iCs/>
          <w:color w:val="0070C0"/>
          <w:sz w:val="24"/>
          <w:szCs w:val="24"/>
        </w:rPr>
        <w:t xml:space="preserve">Për të vlerësuar këtë tregues, analizohen në mënyrë të integruar të dhënat që rezultojnë nga burimet e vlerësimit në lidhje me aftësinë e prokurorit për të pasqyruara në raportin analitik dhe vlerësohet shkalla e aftësisë së prokurorit në lidhje me rregullshmërinë e dokumentacionit të </w:t>
      </w:r>
      <w:r w:rsidRPr="003D5CE4">
        <w:rPr>
          <w:rFonts w:ascii="Garamond" w:hAnsi="Garamond" w:cs="Garamond"/>
          <w:i/>
          <w:iCs/>
          <w:color w:val="2E74B5"/>
          <w:sz w:val="24"/>
          <w:szCs w:val="24"/>
        </w:rPr>
        <w:t>dosjes hetimore ose të praktikës përkatëse</w:t>
      </w:r>
      <w:r w:rsidRPr="003D5CE4">
        <w:rPr>
          <w:rFonts w:ascii="Garamond" w:hAnsi="Garamond" w:cs="Garamond"/>
          <w:i/>
          <w:iCs/>
          <w:color w:val="0070C0"/>
          <w:sz w:val="24"/>
          <w:szCs w:val="24"/>
        </w:rPr>
        <w:t xml:space="preserve"> në mënyrë që dosja të jetë lehtësisht e shfrytëzueshme</w:t>
      </w:r>
      <w:r w:rsidRPr="003D5CE4">
        <w:rPr>
          <w:rFonts w:ascii="Garamond" w:hAnsi="Garamond" w:cs="Garamond"/>
          <w:i/>
          <w:iCs/>
          <w:color w:val="000000"/>
          <w:sz w:val="24"/>
          <w:szCs w:val="24"/>
        </w:rPr>
        <w:t xml:space="preserve">.  </w:t>
      </w:r>
    </w:p>
    <w:p w14:paraId="4F9ACC1E"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w:t>
      </w:r>
      <w:r>
        <w:rPr>
          <w:rFonts w:ascii="Garamond" w:hAnsi="Garamond" w:cs="Garamond"/>
          <w:i/>
          <w:iCs/>
          <w:color w:val="2E74B5"/>
          <w:sz w:val="24"/>
          <w:szCs w:val="24"/>
        </w:rPr>
        <w:t xml:space="preserve"> e propozuara për këtë tregues.)</w:t>
      </w:r>
    </w:p>
    <w:p w14:paraId="00956FCC" w14:textId="77777777" w:rsidR="00F052F6" w:rsidRPr="003D5CE4" w:rsidRDefault="00F052F6" w:rsidP="00F052F6">
      <w:pPr>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color w:val="000000"/>
          <w:sz w:val="24"/>
          <w:szCs w:val="24"/>
        </w:rPr>
        <w:t xml:space="preserve"> </w:t>
      </w:r>
      <w:r w:rsidRPr="003D5CE4">
        <w:rPr>
          <w:rFonts w:ascii="Garamond" w:hAnsi="Garamond" w:cs="Garamond"/>
          <w:b/>
          <w:bCs/>
          <w:color w:val="000000"/>
          <w:sz w:val="24"/>
          <w:szCs w:val="24"/>
        </w:rPr>
        <w:t>2.C.b</w:t>
      </w:r>
      <w:r w:rsidRPr="003D5CE4">
        <w:rPr>
          <w:rFonts w:ascii="Garamond" w:hAnsi="Garamond" w:cs="Garamond"/>
          <w:color w:val="000000"/>
          <w:sz w:val="24"/>
          <w:szCs w:val="24"/>
        </w:rPr>
        <w:t xml:space="preserve"> </w:t>
      </w:r>
      <w:r w:rsidRPr="003D5CE4">
        <w:rPr>
          <w:rFonts w:ascii="Garamond" w:hAnsi="Garamond" w:cs="Garamond"/>
          <w:b/>
          <w:bCs/>
          <w:color w:val="000000"/>
          <w:sz w:val="24"/>
          <w:szCs w:val="24"/>
        </w:rPr>
        <w:t>Plotësia dhe saktësia e dokumentacionit të dosjes ose praktikës</w:t>
      </w:r>
    </w:p>
    <w:p w14:paraId="7FEE90DD"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0070C0"/>
          <w:sz w:val="24"/>
          <w:szCs w:val="24"/>
        </w:rPr>
      </w:pPr>
      <w:r w:rsidRPr="003D5CE4">
        <w:rPr>
          <w:rFonts w:ascii="Garamond" w:hAnsi="Garamond" w:cs="Garamond"/>
          <w:i/>
          <w:iCs/>
          <w:color w:val="0070C0"/>
          <w:sz w:val="24"/>
          <w:szCs w:val="24"/>
        </w:rPr>
        <w:t>Për të vlerësuar këtë tregues, analizohen në mënyrë të integruar të dhënat që rezultojnë nga burimet e vlerësimit të pasqyruara në raportin analitik dhe vlerësohet shkalla e aftësisë së prokurorit në lidhje me përfshirjen në dosje ose praktikë të dokumentacionit të plotë, të saktë dhe që i përket çështjes konkrete.</w:t>
      </w:r>
    </w:p>
    <w:p w14:paraId="7E38717B"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w:t>
      </w:r>
      <w:r>
        <w:rPr>
          <w:rFonts w:ascii="Garamond" w:hAnsi="Garamond" w:cs="Garamond"/>
          <w:i/>
          <w:iCs/>
          <w:color w:val="2E74B5"/>
          <w:sz w:val="24"/>
          <w:szCs w:val="24"/>
        </w:rPr>
        <w:t xml:space="preserve"> e propozuara për këtë tregues.)</w:t>
      </w:r>
    </w:p>
    <w:p w14:paraId="56668986" w14:textId="77777777" w:rsidR="00F052F6" w:rsidRPr="00D45130"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3D5CE4">
        <w:rPr>
          <w:rFonts w:ascii="Garamond" w:hAnsi="Garamond" w:cs="Garamond"/>
          <w:b/>
          <w:bCs/>
          <w:i/>
          <w:iCs/>
          <w:color w:val="2E74B5"/>
          <w:sz w:val="24"/>
          <w:szCs w:val="24"/>
        </w:rPr>
        <w:t xml:space="preserve"> </w:t>
      </w:r>
    </w:p>
    <w:tbl>
      <w:tblPr>
        <w:tblW w:w="5000" w:type="pct"/>
        <w:tblCellMar>
          <w:top w:w="6" w:type="dxa"/>
          <w:left w:w="107" w:type="dxa"/>
          <w:right w:w="115" w:type="dxa"/>
        </w:tblCellMar>
        <w:tblLook w:val="04A0" w:firstRow="1" w:lastRow="0" w:firstColumn="1" w:lastColumn="0" w:noHBand="0" w:noVBand="1"/>
      </w:tblPr>
      <w:tblGrid>
        <w:gridCol w:w="5805"/>
        <w:gridCol w:w="3777"/>
      </w:tblGrid>
      <w:tr w:rsidR="00F052F6" w:rsidRPr="00300487" w14:paraId="555D3562" w14:textId="77777777" w:rsidTr="003464CC">
        <w:trPr>
          <w:trHeight w:val="4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BDD6EE"/>
          </w:tcPr>
          <w:p w14:paraId="36B6ADAD" w14:textId="77777777" w:rsidR="00F052F6" w:rsidRPr="00300487" w:rsidRDefault="00F052F6" w:rsidP="003464CC">
            <w:pPr>
              <w:spacing w:after="0" w:line="240" w:lineRule="auto"/>
              <w:jc w:val="center"/>
              <w:rPr>
                <w:rFonts w:ascii="Garamond" w:hAnsi="Garamond" w:cs="Times New Roman"/>
                <w:b/>
                <w:sz w:val="24"/>
                <w:szCs w:val="24"/>
              </w:rPr>
            </w:pPr>
            <w:r w:rsidRPr="00300487">
              <w:rPr>
                <w:rFonts w:ascii="Garamond" w:eastAsia="Times New Roman" w:hAnsi="Garamond" w:cs="Times New Roman"/>
                <w:b/>
                <w:sz w:val="24"/>
                <w:szCs w:val="24"/>
              </w:rPr>
              <w:t xml:space="preserve">Propozim për nivelin e vlerësimit </w:t>
            </w:r>
          </w:p>
          <w:p w14:paraId="19319114" w14:textId="77777777" w:rsidR="00F052F6" w:rsidRPr="00A652B4" w:rsidRDefault="00F052F6" w:rsidP="003464CC">
            <w:pPr>
              <w:spacing w:after="0" w:line="240" w:lineRule="auto"/>
              <w:jc w:val="center"/>
              <w:rPr>
                <w:rFonts w:ascii="Garamond" w:hAnsi="Garamond" w:cs="Times New Roman"/>
                <w:sz w:val="24"/>
                <w:szCs w:val="24"/>
              </w:rPr>
            </w:pPr>
            <w:r w:rsidRPr="00A652B4">
              <w:rPr>
                <w:rFonts w:ascii="Garamond" w:eastAsia="Times New Roman" w:hAnsi="Garamond" w:cs="Times New Roman"/>
                <w:sz w:val="24"/>
                <w:szCs w:val="24"/>
              </w:rPr>
              <w:t xml:space="preserve">KRITERI  </w:t>
            </w:r>
          </w:p>
          <w:p w14:paraId="1D976DD5" w14:textId="77777777" w:rsidR="00F052F6" w:rsidRPr="00300487" w:rsidRDefault="00F052F6" w:rsidP="003464CC">
            <w:pPr>
              <w:spacing w:after="0" w:line="240" w:lineRule="auto"/>
              <w:jc w:val="center"/>
              <w:rPr>
                <w:rFonts w:ascii="Garamond" w:hAnsi="Garamond" w:cs="Times New Roman"/>
                <w:b/>
                <w:sz w:val="24"/>
                <w:szCs w:val="24"/>
              </w:rPr>
            </w:pPr>
            <w:r w:rsidRPr="00A652B4">
              <w:rPr>
                <w:rFonts w:ascii="Garamond" w:eastAsia="Times New Roman" w:hAnsi="Garamond" w:cs="Times New Roman"/>
                <w:sz w:val="24"/>
                <w:szCs w:val="24"/>
              </w:rPr>
              <w:t>AFTËSITË ORGANIZATIVE TË PROKURORIT</w:t>
            </w:r>
            <w:r w:rsidRPr="00300487">
              <w:rPr>
                <w:rFonts w:ascii="Garamond" w:eastAsia="Times New Roman" w:hAnsi="Garamond" w:cs="Times New Roman"/>
                <w:b/>
                <w:sz w:val="24"/>
                <w:szCs w:val="24"/>
              </w:rPr>
              <w:t xml:space="preserve"> </w:t>
            </w:r>
          </w:p>
        </w:tc>
      </w:tr>
      <w:tr w:rsidR="00F052F6" w:rsidRPr="00300487" w14:paraId="354D1430" w14:textId="77777777" w:rsidTr="003464CC">
        <w:trPr>
          <w:trHeight w:val="44"/>
        </w:trPr>
        <w:tc>
          <w:tcPr>
            <w:tcW w:w="3029" w:type="pct"/>
            <w:tcBorders>
              <w:top w:val="single" w:sz="4" w:space="0" w:color="000000"/>
              <w:left w:val="single" w:sz="4" w:space="0" w:color="000000"/>
              <w:bottom w:val="single" w:sz="4" w:space="0" w:color="000000"/>
              <w:right w:val="single" w:sz="4" w:space="0" w:color="000000"/>
            </w:tcBorders>
            <w:shd w:val="clear" w:color="auto" w:fill="ACB9CA"/>
          </w:tcPr>
          <w:p w14:paraId="73D5C27F" w14:textId="77777777" w:rsidR="00F052F6" w:rsidRPr="00300487" w:rsidRDefault="00F052F6" w:rsidP="003464CC">
            <w:pPr>
              <w:spacing w:after="0" w:line="240" w:lineRule="auto"/>
              <w:jc w:val="center"/>
              <w:rPr>
                <w:rFonts w:ascii="Garamond" w:hAnsi="Garamond" w:cs="Times New Roman"/>
                <w:b/>
                <w:sz w:val="24"/>
                <w:szCs w:val="24"/>
              </w:rPr>
            </w:pPr>
            <w:r w:rsidRPr="00300487">
              <w:rPr>
                <w:rFonts w:ascii="Garamond" w:eastAsia="Times New Roman" w:hAnsi="Garamond" w:cs="Times New Roman"/>
                <w:b/>
                <w:sz w:val="24"/>
                <w:szCs w:val="24"/>
              </w:rPr>
              <w:t xml:space="preserve">Pikët  </w:t>
            </w:r>
          </w:p>
        </w:tc>
        <w:tc>
          <w:tcPr>
            <w:tcW w:w="1971" w:type="pct"/>
            <w:tcBorders>
              <w:top w:val="single" w:sz="4" w:space="0" w:color="000000"/>
              <w:left w:val="single" w:sz="4" w:space="0" w:color="000000"/>
              <w:bottom w:val="single" w:sz="4" w:space="0" w:color="000000"/>
              <w:right w:val="single" w:sz="4" w:space="0" w:color="000000"/>
            </w:tcBorders>
            <w:shd w:val="clear" w:color="auto" w:fill="ACB9CA"/>
          </w:tcPr>
          <w:p w14:paraId="6A93706E" w14:textId="77777777" w:rsidR="00F052F6" w:rsidRPr="00300487" w:rsidRDefault="00F052F6" w:rsidP="003464CC">
            <w:pPr>
              <w:spacing w:after="0" w:line="240" w:lineRule="auto"/>
              <w:jc w:val="center"/>
              <w:rPr>
                <w:rFonts w:ascii="Garamond" w:hAnsi="Garamond" w:cs="Times New Roman"/>
                <w:b/>
                <w:sz w:val="24"/>
                <w:szCs w:val="24"/>
              </w:rPr>
            </w:pPr>
            <w:r w:rsidRPr="00300487">
              <w:rPr>
                <w:rFonts w:ascii="Garamond" w:eastAsia="Times New Roman" w:hAnsi="Garamond" w:cs="Times New Roman"/>
                <w:b/>
                <w:sz w:val="24"/>
                <w:szCs w:val="24"/>
              </w:rPr>
              <w:t xml:space="preserve">Niveli i vlerësimit </w:t>
            </w:r>
          </w:p>
        </w:tc>
      </w:tr>
      <w:tr w:rsidR="00F052F6" w:rsidRPr="00300487" w14:paraId="6A69A788" w14:textId="77777777" w:rsidTr="003464CC">
        <w:trPr>
          <w:trHeight w:val="172"/>
        </w:trPr>
        <w:tc>
          <w:tcPr>
            <w:tcW w:w="3029" w:type="pct"/>
            <w:tcBorders>
              <w:top w:val="single" w:sz="4" w:space="0" w:color="000000"/>
              <w:left w:val="single" w:sz="4" w:space="0" w:color="000000"/>
              <w:bottom w:val="single" w:sz="4" w:space="0" w:color="000000"/>
              <w:right w:val="single" w:sz="4" w:space="0" w:color="000000"/>
            </w:tcBorders>
          </w:tcPr>
          <w:p w14:paraId="690C4250" w14:textId="77777777" w:rsidR="00F052F6" w:rsidRPr="00300487" w:rsidRDefault="00F052F6" w:rsidP="003464CC">
            <w:pPr>
              <w:spacing w:after="0" w:line="240" w:lineRule="auto"/>
              <w:rPr>
                <w:rFonts w:ascii="Garamond" w:hAnsi="Garamond" w:cs="Times New Roman"/>
                <w:b/>
                <w:sz w:val="24"/>
                <w:szCs w:val="24"/>
              </w:rPr>
            </w:pPr>
            <w:r w:rsidRPr="00300487">
              <w:rPr>
                <w:rFonts w:ascii="Garamond" w:eastAsia="Times New Roman" w:hAnsi="Garamond" w:cs="Times New Roman"/>
                <w:b/>
                <w:sz w:val="24"/>
                <w:szCs w:val="24"/>
              </w:rPr>
              <w:t xml:space="preserve"> </w:t>
            </w:r>
          </w:p>
        </w:tc>
        <w:tc>
          <w:tcPr>
            <w:tcW w:w="1971" w:type="pct"/>
            <w:tcBorders>
              <w:top w:val="single" w:sz="4" w:space="0" w:color="000000"/>
              <w:left w:val="single" w:sz="4" w:space="0" w:color="000000"/>
              <w:bottom w:val="single" w:sz="4" w:space="0" w:color="000000"/>
              <w:right w:val="single" w:sz="4" w:space="0" w:color="000000"/>
            </w:tcBorders>
          </w:tcPr>
          <w:p w14:paraId="1658DED7" w14:textId="77777777" w:rsidR="00F052F6" w:rsidRPr="00300487" w:rsidRDefault="00F052F6" w:rsidP="003464CC">
            <w:pPr>
              <w:spacing w:after="0" w:line="240" w:lineRule="auto"/>
              <w:rPr>
                <w:rFonts w:ascii="Garamond" w:hAnsi="Garamond" w:cs="Times New Roman"/>
                <w:b/>
                <w:sz w:val="24"/>
                <w:szCs w:val="24"/>
              </w:rPr>
            </w:pPr>
            <w:r w:rsidRPr="00300487">
              <w:rPr>
                <w:rFonts w:ascii="Garamond" w:eastAsia="Times New Roman" w:hAnsi="Garamond" w:cs="Times New Roman"/>
                <w:b/>
                <w:sz w:val="24"/>
                <w:szCs w:val="24"/>
              </w:rPr>
              <w:t xml:space="preserve"> </w:t>
            </w:r>
          </w:p>
        </w:tc>
      </w:tr>
    </w:tbl>
    <w:p w14:paraId="724D0CE8" w14:textId="77777777" w:rsidR="00F052F6" w:rsidRPr="00D45130" w:rsidRDefault="00F052F6" w:rsidP="00F052F6">
      <w:pPr>
        <w:tabs>
          <w:tab w:val="left" w:pos="5152"/>
          <w:tab w:val="left" w:pos="8505"/>
        </w:tabs>
        <w:autoSpaceDE w:val="0"/>
        <w:autoSpaceDN w:val="0"/>
        <w:adjustRightInd w:val="0"/>
        <w:spacing w:after="0" w:line="240" w:lineRule="auto"/>
        <w:ind w:firstLine="284"/>
        <w:rPr>
          <w:rFonts w:ascii="Garamond" w:hAnsi="Garamond" w:cs="Garamond"/>
          <w:color w:val="000000"/>
          <w:sz w:val="14"/>
          <w:szCs w:val="24"/>
        </w:rPr>
      </w:pPr>
    </w:p>
    <w:p w14:paraId="7F57EB44" w14:textId="77777777" w:rsidR="00323CFA" w:rsidRDefault="00323CFA" w:rsidP="00F052F6">
      <w:pPr>
        <w:autoSpaceDE w:val="0"/>
        <w:autoSpaceDN w:val="0"/>
        <w:adjustRightInd w:val="0"/>
        <w:spacing w:after="0" w:line="240" w:lineRule="auto"/>
        <w:ind w:firstLine="284"/>
        <w:jc w:val="both"/>
        <w:rPr>
          <w:rFonts w:ascii="Garamond" w:hAnsi="Garamond" w:cs="Times New Roman"/>
          <w:bCs/>
          <w:color w:val="000000"/>
          <w:sz w:val="24"/>
          <w:szCs w:val="24"/>
        </w:rPr>
      </w:pPr>
    </w:p>
    <w:p w14:paraId="10F50DD4"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A652B4">
        <w:rPr>
          <w:rFonts w:ascii="Garamond" w:hAnsi="Garamond" w:cs="Times New Roman"/>
          <w:bCs/>
          <w:color w:val="000000"/>
          <w:sz w:val="24"/>
          <w:szCs w:val="24"/>
        </w:rPr>
        <w:t xml:space="preserve">3. </w:t>
      </w:r>
      <w:r w:rsidRPr="00A652B4">
        <w:rPr>
          <w:rFonts w:ascii="Garamond" w:hAnsi="Garamond" w:cs="Garamond"/>
          <w:bCs/>
          <w:color w:val="000000"/>
          <w:sz w:val="24"/>
          <w:szCs w:val="24"/>
        </w:rPr>
        <w:t xml:space="preserve">ETIKA DHE ANGAZHIMI NDAJ VLERAVE PROFESIONALE </w:t>
      </w:r>
    </w:p>
    <w:p w14:paraId="24204713"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 xml:space="preserve"> </w:t>
      </w:r>
      <w:r w:rsidRPr="003D5CE4">
        <w:rPr>
          <w:rFonts w:ascii="Garamond" w:hAnsi="Garamond" w:cs="Garamond"/>
          <w:i/>
          <w:iCs/>
          <w:color w:val="1F4E79"/>
          <w:sz w:val="24"/>
          <w:szCs w:val="24"/>
        </w:rPr>
        <w:t>Vlerësimi i kriterit të etikës dhe angazhimit ndaj vlerave profesionale bëhet duke u bazuar në parimin kushtetues që çdo prokuror, për shkak të statusit të tij, ka etikë, integritet dhe shfaq paanësi në funksion. Pikëzimi për shumicën e treguesve të këtij kriteri bëhet në rend zbritës dhe çdo prokuror e fillon procesin e vlerësimit me totalin e pikëve referuar treguesit përkatës, duke zbritur sipas rastit pikët, në varësi të rezultateve të analizës objektive të të dhënave të burimeve të vlerësimit.</w:t>
      </w:r>
    </w:p>
    <w:p w14:paraId="05535B34"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A652B4">
        <w:rPr>
          <w:rFonts w:ascii="Garamond" w:hAnsi="Garamond" w:cs="Times New Roman"/>
          <w:bCs/>
          <w:color w:val="000000"/>
          <w:sz w:val="24"/>
          <w:szCs w:val="24"/>
        </w:rPr>
        <w:t xml:space="preserve">3.A </w:t>
      </w:r>
      <w:r w:rsidRPr="00A652B4">
        <w:rPr>
          <w:rFonts w:ascii="Garamond" w:hAnsi="Garamond" w:cs="Garamond"/>
          <w:bCs/>
          <w:color w:val="000000"/>
          <w:sz w:val="24"/>
          <w:szCs w:val="24"/>
        </w:rPr>
        <w:t xml:space="preserve">ETIKA NË PUNË </w:t>
      </w:r>
    </w:p>
    <w:p w14:paraId="69DE8F50"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b/>
          <w:bCs/>
          <w:color w:val="000000"/>
          <w:sz w:val="24"/>
          <w:szCs w:val="24"/>
        </w:rPr>
      </w:pPr>
      <w:r w:rsidRPr="003D5CE4">
        <w:rPr>
          <w:rFonts w:ascii="Garamond" w:hAnsi="Garamond" w:cs="Garamond"/>
          <w:b/>
          <w:bCs/>
          <w:color w:val="000000"/>
          <w:sz w:val="24"/>
          <w:szCs w:val="24"/>
        </w:rPr>
        <w:t>3.A.a Angazhimi dhe përgjegjshmëria në funksion</w:t>
      </w:r>
    </w:p>
    <w:p w14:paraId="1A2CDD76"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0070C0"/>
          <w:sz w:val="24"/>
          <w:szCs w:val="24"/>
        </w:rPr>
      </w:pPr>
      <w:r w:rsidRPr="003D5CE4">
        <w:rPr>
          <w:rFonts w:ascii="Garamond" w:hAnsi="Garamond" w:cs="Garamond"/>
          <w:i/>
          <w:iCs/>
          <w:color w:val="0070C0"/>
          <w:sz w:val="24"/>
          <w:szCs w:val="24"/>
        </w:rPr>
        <w:t>Për të vlerësuar këtë tregues, analizohen në mënyrë të integruar të dhënat që rezultojnë nga burimet e vlerësimit të pasqyruara në raportin analitik, me qëllim vlerësimin e angazhimit dhe përgjegjshmërisë në funksion të prokurorit, sjelljen e kujdesshme, objektive, me vetëpërmbajtje dhe maturi të tij, gjatë ushtrimit të detyrës në mënyrë korrekte, të ndërgjegjshme, sistematike dhe në kohë të arsyeshme.</w:t>
      </w:r>
    </w:p>
    <w:p w14:paraId="4638B2D6"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etikës në punë të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etikës në punë të prokurorit dhe pikët</w:t>
      </w:r>
      <w:r>
        <w:rPr>
          <w:rFonts w:ascii="Garamond" w:hAnsi="Garamond" w:cs="Garamond"/>
          <w:i/>
          <w:iCs/>
          <w:color w:val="2E74B5"/>
          <w:sz w:val="24"/>
          <w:szCs w:val="24"/>
        </w:rPr>
        <w:t xml:space="preserve"> e propozuara për këtë tregues.)</w:t>
      </w:r>
    </w:p>
    <w:p w14:paraId="083193B6"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A652B4">
        <w:rPr>
          <w:rFonts w:ascii="Garamond" w:hAnsi="Garamond" w:cs="Times New Roman"/>
          <w:bCs/>
          <w:color w:val="000000"/>
          <w:sz w:val="24"/>
          <w:szCs w:val="24"/>
        </w:rPr>
        <w:t xml:space="preserve">3.B </w:t>
      </w:r>
      <w:r w:rsidRPr="00A652B4">
        <w:rPr>
          <w:rFonts w:ascii="Garamond" w:hAnsi="Garamond" w:cs="Garamond"/>
          <w:bCs/>
          <w:color w:val="000000"/>
          <w:sz w:val="24"/>
          <w:szCs w:val="24"/>
        </w:rPr>
        <w:t xml:space="preserve">INTEGRITETI </w:t>
      </w:r>
    </w:p>
    <w:p w14:paraId="70FC6A08" w14:textId="77777777" w:rsidR="00F052F6" w:rsidRPr="003D5CE4" w:rsidRDefault="00F052F6" w:rsidP="00F052F6">
      <w:pPr>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i/>
          <w:iCs/>
          <w:color w:val="000000"/>
          <w:sz w:val="24"/>
          <w:szCs w:val="24"/>
        </w:rPr>
        <w:t xml:space="preserve"> </w:t>
      </w:r>
      <w:r w:rsidRPr="003D5CE4">
        <w:rPr>
          <w:rFonts w:ascii="Garamond" w:hAnsi="Garamond" w:cs="Garamond"/>
          <w:b/>
          <w:bCs/>
          <w:color w:val="000000"/>
          <w:sz w:val="24"/>
          <w:szCs w:val="24"/>
        </w:rPr>
        <w:t>3.B.a  Imuniteti nga çdo ndikim apo presion i jashtëm, nderi dhe dinjiteti</w:t>
      </w:r>
    </w:p>
    <w:p w14:paraId="1E7CA899"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000000"/>
          <w:sz w:val="24"/>
          <w:szCs w:val="24"/>
        </w:rPr>
      </w:pPr>
      <w:r w:rsidRPr="003D5CE4">
        <w:rPr>
          <w:rFonts w:ascii="Garamond" w:hAnsi="Garamond" w:cs="Garamond"/>
          <w:i/>
          <w:iCs/>
          <w:color w:val="0070C0"/>
          <w:sz w:val="24"/>
          <w:szCs w:val="24"/>
        </w:rPr>
        <w:t>Për këtë tregues, për shkak të parimit të prezumimit, në rast se nuk ka të dhëna për cenimin e integritetit të prokurorit, shkalla e integritetit prezumohet të jetë shumë e lartë. Në rast se  nga burimet e vlerësimit rezultojnë të dhëna të mjaftueshme dhe të besueshme që mund të cenojnë integritetin e prokurorit, shkalla e integritetit vlerësohet me 0 pikë.</w:t>
      </w:r>
    </w:p>
    <w:p w14:paraId="2F5CBA71"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color w:val="000000"/>
          <w:sz w:val="24"/>
          <w:szCs w:val="24"/>
        </w:rPr>
        <w:t>Shkalla e integritetit të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 xml:space="preserve">Pas analizës së të dhënave që rezultojnë nga burimet e vlerësimit për këtë tregues, relatori përcakton shkallën e integritetit të prokurorit dhe pikët </w:t>
      </w:r>
      <w:r>
        <w:rPr>
          <w:rFonts w:ascii="Garamond" w:hAnsi="Garamond" w:cs="Garamond"/>
          <w:i/>
          <w:iCs/>
          <w:color w:val="2E74B5"/>
          <w:sz w:val="24"/>
          <w:szCs w:val="24"/>
        </w:rPr>
        <w:t>e propozuara për këtë tregues.)</w:t>
      </w:r>
    </w:p>
    <w:p w14:paraId="1369581F"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A652B4">
        <w:rPr>
          <w:rFonts w:ascii="Garamond" w:hAnsi="Garamond" w:cs="Times New Roman"/>
          <w:bCs/>
          <w:color w:val="000000"/>
          <w:sz w:val="24"/>
          <w:szCs w:val="24"/>
        </w:rPr>
        <w:t xml:space="preserve">3.C </w:t>
      </w:r>
      <w:r w:rsidRPr="00A652B4">
        <w:rPr>
          <w:rFonts w:ascii="Garamond" w:hAnsi="Garamond" w:cs="Garamond"/>
          <w:bCs/>
          <w:color w:val="000000"/>
          <w:sz w:val="24"/>
          <w:szCs w:val="24"/>
        </w:rPr>
        <w:t xml:space="preserve">PAANËSIA </w:t>
      </w:r>
    </w:p>
    <w:p w14:paraId="4B665349"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1F4E79"/>
          <w:sz w:val="24"/>
          <w:szCs w:val="24"/>
        </w:rPr>
      </w:pPr>
      <w:r w:rsidRPr="003D5CE4">
        <w:rPr>
          <w:rFonts w:ascii="Garamond" w:hAnsi="Garamond" w:cs="Garamond"/>
          <w:i/>
          <w:iCs/>
          <w:color w:val="1F4E79"/>
          <w:sz w:val="24"/>
          <w:szCs w:val="24"/>
        </w:rPr>
        <w:t xml:space="preserve">Paanësia e prokurorit nënkupton mungesë paragjykimi në favor ose kundër palëve, apo grupeve të veçanta. </w:t>
      </w:r>
    </w:p>
    <w:p w14:paraId="2F95EFF0" w14:textId="77777777" w:rsidR="00F052F6" w:rsidRPr="003D5CE4" w:rsidRDefault="00F052F6" w:rsidP="00F052F6">
      <w:pPr>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3.C.a Përdorimi ose jo i gjuhës diskriminuese</w:t>
      </w:r>
    </w:p>
    <w:p w14:paraId="26228A8E" w14:textId="77777777" w:rsidR="00F052F6" w:rsidRPr="003D5CE4" w:rsidRDefault="00F052F6" w:rsidP="00F052F6">
      <w:pPr>
        <w:autoSpaceDE w:val="0"/>
        <w:autoSpaceDN w:val="0"/>
        <w:adjustRightInd w:val="0"/>
        <w:spacing w:after="0" w:line="240" w:lineRule="auto"/>
        <w:ind w:firstLine="284"/>
        <w:rPr>
          <w:rFonts w:ascii="Garamond" w:hAnsi="Garamond" w:cs="Garamond"/>
          <w:i/>
          <w:iCs/>
          <w:color w:val="0070C0"/>
          <w:sz w:val="24"/>
          <w:szCs w:val="24"/>
        </w:rPr>
      </w:pPr>
      <w:r w:rsidRPr="003D5CE4">
        <w:rPr>
          <w:rFonts w:ascii="Garamond" w:hAnsi="Garamond" w:cs="Garamond"/>
          <w:b/>
          <w:bCs/>
          <w:i/>
          <w:iCs/>
          <w:color w:val="000000"/>
          <w:sz w:val="24"/>
          <w:szCs w:val="24"/>
        </w:rPr>
        <w:t xml:space="preserve"> </w:t>
      </w:r>
      <w:r w:rsidRPr="003D5CE4">
        <w:rPr>
          <w:rFonts w:ascii="Garamond" w:hAnsi="Garamond" w:cs="Garamond"/>
          <w:i/>
          <w:iCs/>
          <w:color w:val="0070C0"/>
          <w:sz w:val="24"/>
          <w:szCs w:val="24"/>
        </w:rPr>
        <w:t xml:space="preserve">Për të vlerësuar këtë tregues, analizohen në mënyrë të integruar të dhënat që rezultojnë nga burimet e vlerësimit të pasqyruara në raportin analitik, në drejtim të shmangies së përdorimit të gjuhës diskriminuese, tendencës për paragjykime dhe ndikimit të qëndrimeve personale në vendimmarrjen </w:t>
      </w:r>
      <w:r w:rsidRPr="003D5CE4">
        <w:rPr>
          <w:rFonts w:ascii="Garamond" w:hAnsi="Garamond" w:cs="Garamond"/>
          <w:i/>
          <w:iCs/>
          <w:color w:val="2E74B5"/>
          <w:sz w:val="24"/>
          <w:szCs w:val="24"/>
        </w:rPr>
        <w:t xml:space="preserve">e prokurorit. </w:t>
      </w:r>
    </w:p>
    <w:p w14:paraId="162A1E30"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 xml:space="preserve">Pas analizës së të dhënave që rezultojnë nga burimet e vlerësimit për këtë tregues, relatori përcakton shkallën e aftësisë së prokurorit dhe pikët e </w:t>
      </w:r>
      <w:r>
        <w:rPr>
          <w:rFonts w:ascii="Garamond" w:hAnsi="Garamond" w:cs="Garamond"/>
          <w:i/>
          <w:iCs/>
          <w:color w:val="2E74B5"/>
          <w:sz w:val="24"/>
          <w:szCs w:val="24"/>
        </w:rPr>
        <w:t>propozuara për këtë tregues.)</w:t>
      </w:r>
    </w:p>
    <w:p w14:paraId="68D4DE8B"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3.C.b Numri tejet i lartë i kërkesave të pranuara të palëve për përjashtimin e prokurorit</w:t>
      </w:r>
    </w:p>
    <w:p w14:paraId="496A62CC" w14:textId="77777777" w:rsidR="00F052F6" w:rsidRPr="003D5CE4" w:rsidRDefault="00F052F6" w:rsidP="00F052F6">
      <w:pPr>
        <w:autoSpaceDE w:val="0"/>
        <w:autoSpaceDN w:val="0"/>
        <w:adjustRightInd w:val="0"/>
        <w:spacing w:after="0" w:line="240" w:lineRule="auto"/>
        <w:ind w:firstLine="284"/>
        <w:rPr>
          <w:rFonts w:ascii="Garamond" w:hAnsi="Garamond" w:cs="Garamond"/>
          <w:b/>
          <w:bCs/>
          <w:i/>
          <w:iCs/>
          <w:color w:val="0070C0"/>
          <w:sz w:val="24"/>
          <w:szCs w:val="24"/>
        </w:rPr>
      </w:pPr>
      <w:r w:rsidRPr="003D5CE4">
        <w:rPr>
          <w:rFonts w:ascii="Garamond" w:hAnsi="Garamond" w:cs="Garamond"/>
          <w:b/>
          <w:bCs/>
          <w:i/>
          <w:iCs/>
          <w:color w:val="000000"/>
          <w:sz w:val="24"/>
          <w:szCs w:val="24"/>
        </w:rPr>
        <w:t xml:space="preserve"> </w:t>
      </w:r>
      <w:r w:rsidRPr="003D5CE4">
        <w:rPr>
          <w:rFonts w:ascii="Garamond" w:hAnsi="Garamond" w:cs="Garamond"/>
          <w:i/>
          <w:iCs/>
          <w:color w:val="0070C0"/>
          <w:sz w:val="24"/>
          <w:szCs w:val="24"/>
        </w:rPr>
        <w:t>Për të vlerësuar këtë tregues, pasi analizohen në mënyrë të integruar dhe vlerësohen të dhënat që rezultojnë nga burimet e vlerësimit të pasqyruara në raportin analitik, relatori konkludon nëse numri i kërkesave të pranuara të palëve për përjashtimin e prokurorit, është tejet i lartë apo i pakonsiderueshëm</w:t>
      </w:r>
      <w:r w:rsidRPr="003D5CE4">
        <w:rPr>
          <w:rFonts w:ascii="Garamond" w:hAnsi="Garamond" w:cs="Garamond"/>
          <w:b/>
          <w:bCs/>
          <w:i/>
          <w:iCs/>
          <w:color w:val="0070C0"/>
          <w:sz w:val="24"/>
          <w:szCs w:val="24"/>
        </w:rPr>
        <w:t>.</w:t>
      </w:r>
    </w:p>
    <w:p w14:paraId="115CFFF5"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w:t>
      </w:r>
      <w:r>
        <w:rPr>
          <w:rFonts w:ascii="Garamond" w:hAnsi="Garamond" w:cs="Garamond"/>
          <w:i/>
          <w:iCs/>
          <w:color w:val="2E74B5"/>
          <w:sz w:val="24"/>
          <w:szCs w:val="24"/>
        </w:rPr>
        <w:t xml:space="preserve"> e propozuara për këtë tregues.)</w:t>
      </w:r>
    </w:p>
    <w:p w14:paraId="37D4174C" w14:textId="77777777" w:rsidR="00F052F6" w:rsidRPr="00B41963"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3D5CE4">
        <w:rPr>
          <w:rFonts w:ascii="Garamond" w:hAnsi="Garamond" w:cs="Garamond"/>
          <w:b/>
          <w:bCs/>
          <w:i/>
          <w:iCs/>
          <w:color w:val="2E74B5"/>
          <w:sz w:val="24"/>
          <w:szCs w:val="24"/>
        </w:rPr>
        <w:t xml:space="preserve"> </w:t>
      </w:r>
    </w:p>
    <w:tbl>
      <w:tblPr>
        <w:tblW w:w="5000" w:type="pct"/>
        <w:tblCellMar>
          <w:top w:w="6" w:type="dxa"/>
          <w:left w:w="107" w:type="dxa"/>
          <w:right w:w="115" w:type="dxa"/>
        </w:tblCellMar>
        <w:tblLook w:val="04A0" w:firstRow="1" w:lastRow="0" w:firstColumn="1" w:lastColumn="0" w:noHBand="0" w:noVBand="1"/>
      </w:tblPr>
      <w:tblGrid>
        <w:gridCol w:w="5740"/>
        <w:gridCol w:w="3842"/>
      </w:tblGrid>
      <w:tr w:rsidR="00F052F6" w:rsidRPr="00E01CE7" w14:paraId="5F0E0274" w14:textId="77777777" w:rsidTr="003464CC">
        <w:trPr>
          <w:trHeight w:val="4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BDD6EE"/>
          </w:tcPr>
          <w:p w14:paraId="5E8E886A" w14:textId="77777777" w:rsidR="00F052F6" w:rsidRPr="00E01CE7" w:rsidRDefault="00F052F6" w:rsidP="003464CC">
            <w:pPr>
              <w:spacing w:after="0" w:line="240" w:lineRule="auto"/>
              <w:jc w:val="center"/>
              <w:rPr>
                <w:rFonts w:ascii="Garamond" w:hAnsi="Garamond" w:cs="Times New Roman"/>
                <w:b/>
                <w:sz w:val="24"/>
                <w:szCs w:val="24"/>
              </w:rPr>
            </w:pPr>
            <w:r w:rsidRPr="00E01CE7">
              <w:rPr>
                <w:rFonts w:ascii="Garamond" w:eastAsia="Times New Roman" w:hAnsi="Garamond" w:cs="Times New Roman"/>
                <w:b/>
                <w:sz w:val="24"/>
                <w:szCs w:val="24"/>
              </w:rPr>
              <w:t xml:space="preserve">Propozim për nivelin e vlerësimit </w:t>
            </w:r>
          </w:p>
          <w:p w14:paraId="1D142121" w14:textId="77777777" w:rsidR="00F052F6" w:rsidRPr="00A652B4" w:rsidRDefault="00F052F6" w:rsidP="003464CC">
            <w:pPr>
              <w:spacing w:after="0" w:line="240" w:lineRule="auto"/>
              <w:jc w:val="center"/>
              <w:rPr>
                <w:rFonts w:ascii="Garamond" w:hAnsi="Garamond" w:cs="Times New Roman"/>
                <w:sz w:val="24"/>
                <w:szCs w:val="24"/>
              </w:rPr>
            </w:pPr>
            <w:r w:rsidRPr="00A652B4">
              <w:rPr>
                <w:rFonts w:ascii="Garamond" w:eastAsia="Times New Roman" w:hAnsi="Garamond" w:cs="Times New Roman"/>
                <w:sz w:val="24"/>
                <w:szCs w:val="24"/>
              </w:rPr>
              <w:t xml:space="preserve">KRITERI  </w:t>
            </w:r>
          </w:p>
          <w:p w14:paraId="2847A191" w14:textId="77777777" w:rsidR="00F052F6" w:rsidRPr="00E01CE7" w:rsidRDefault="00F052F6" w:rsidP="003464CC">
            <w:pPr>
              <w:spacing w:after="0" w:line="240" w:lineRule="auto"/>
              <w:jc w:val="center"/>
              <w:rPr>
                <w:rFonts w:ascii="Garamond" w:hAnsi="Garamond" w:cs="Times New Roman"/>
                <w:b/>
                <w:sz w:val="24"/>
                <w:szCs w:val="24"/>
              </w:rPr>
            </w:pPr>
            <w:r w:rsidRPr="00A652B4">
              <w:rPr>
                <w:rFonts w:ascii="Garamond" w:eastAsia="Times New Roman" w:hAnsi="Garamond" w:cs="Times New Roman"/>
                <w:sz w:val="24"/>
                <w:szCs w:val="24"/>
              </w:rPr>
              <w:t>ETIKA DHE ANGAZHIMI NDAJ VLERAVE PROFESIONALE</w:t>
            </w:r>
            <w:r w:rsidRPr="00E01CE7">
              <w:rPr>
                <w:rFonts w:ascii="Garamond" w:eastAsia="Times New Roman" w:hAnsi="Garamond" w:cs="Times New Roman"/>
                <w:b/>
                <w:sz w:val="24"/>
                <w:szCs w:val="24"/>
              </w:rPr>
              <w:t xml:space="preserve"> </w:t>
            </w:r>
          </w:p>
        </w:tc>
      </w:tr>
      <w:tr w:rsidR="00F052F6" w:rsidRPr="00E01CE7" w14:paraId="3803BA6C" w14:textId="77777777" w:rsidTr="003464CC">
        <w:trPr>
          <w:trHeight w:val="44"/>
        </w:trPr>
        <w:tc>
          <w:tcPr>
            <w:tcW w:w="2995" w:type="pct"/>
            <w:tcBorders>
              <w:top w:val="single" w:sz="4" w:space="0" w:color="000000"/>
              <w:left w:val="single" w:sz="4" w:space="0" w:color="000000"/>
              <w:bottom w:val="single" w:sz="4" w:space="0" w:color="000000"/>
              <w:right w:val="single" w:sz="4" w:space="0" w:color="000000"/>
            </w:tcBorders>
            <w:shd w:val="clear" w:color="auto" w:fill="ACB9CA"/>
          </w:tcPr>
          <w:p w14:paraId="3781009F" w14:textId="77777777" w:rsidR="00F052F6" w:rsidRPr="00E01CE7" w:rsidRDefault="00F052F6" w:rsidP="003464CC">
            <w:pPr>
              <w:spacing w:after="0" w:line="240" w:lineRule="auto"/>
              <w:jc w:val="center"/>
              <w:rPr>
                <w:rFonts w:ascii="Garamond" w:hAnsi="Garamond" w:cs="Times New Roman"/>
                <w:b/>
                <w:sz w:val="24"/>
                <w:szCs w:val="24"/>
              </w:rPr>
            </w:pPr>
            <w:r w:rsidRPr="00E01CE7">
              <w:rPr>
                <w:rFonts w:ascii="Garamond" w:eastAsia="Times New Roman" w:hAnsi="Garamond" w:cs="Times New Roman"/>
                <w:b/>
                <w:sz w:val="24"/>
                <w:szCs w:val="24"/>
              </w:rPr>
              <w:t xml:space="preserve">Pikët  </w:t>
            </w:r>
          </w:p>
        </w:tc>
        <w:tc>
          <w:tcPr>
            <w:tcW w:w="2005" w:type="pct"/>
            <w:tcBorders>
              <w:top w:val="single" w:sz="4" w:space="0" w:color="000000"/>
              <w:left w:val="single" w:sz="4" w:space="0" w:color="000000"/>
              <w:bottom w:val="single" w:sz="4" w:space="0" w:color="000000"/>
              <w:right w:val="single" w:sz="4" w:space="0" w:color="000000"/>
            </w:tcBorders>
            <w:shd w:val="clear" w:color="auto" w:fill="ACB9CA"/>
          </w:tcPr>
          <w:p w14:paraId="6B019D7D" w14:textId="77777777" w:rsidR="00F052F6" w:rsidRPr="00E01CE7" w:rsidRDefault="00F052F6" w:rsidP="003464CC">
            <w:pPr>
              <w:spacing w:after="0" w:line="240" w:lineRule="auto"/>
              <w:jc w:val="center"/>
              <w:rPr>
                <w:rFonts w:ascii="Garamond" w:hAnsi="Garamond" w:cs="Times New Roman"/>
                <w:b/>
                <w:sz w:val="24"/>
                <w:szCs w:val="24"/>
              </w:rPr>
            </w:pPr>
            <w:r w:rsidRPr="00E01CE7">
              <w:rPr>
                <w:rFonts w:ascii="Garamond" w:eastAsia="Times New Roman" w:hAnsi="Garamond" w:cs="Times New Roman"/>
                <w:b/>
                <w:sz w:val="24"/>
                <w:szCs w:val="24"/>
              </w:rPr>
              <w:t xml:space="preserve">Niveli i vlerësimit </w:t>
            </w:r>
          </w:p>
        </w:tc>
      </w:tr>
      <w:tr w:rsidR="00F052F6" w:rsidRPr="00E01CE7" w14:paraId="76FD88FB" w14:textId="77777777" w:rsidTr="003464CC">
        <w:trPr>
          <w:trHeight w:val="44"/>
        </w:trPr>
        <w:tc>
          <w:tcPr>
            <w:tcW w:w="2995" w:type="pct"/>
            <w:tcBorders>
              <w:top w:val="single" w:sz="4" w:space="0" w:color="000000"/>
              <w:left w:val="single" w:sz="4" w:space="0" w:color="000000"/>
              <w:bottom w:val="single" w:sz="4" w:space="0" w:color="000000"/>
              <w:right w:val="single" w:sz="4" w:space="0" w:color="000000"/>
            </w:tcBorders>
          </w:tcPr>
          <w:p w14:paraId="02139E60" w14:textId="77777777" w:rsidR="00F052F6" w:rsidRPr="00E01CE7" w:rsidRDefault="00F052F6" w:rsidP="003464CC">
            <w:pPr>
              <w:spacing w:after="0" w:line="240" w:lineRule="auto"/>
              <w:rPr>
                <w:rFonts w:ascii="Garamond" w:hAnsi="Garamond" w:cs="Times New Roman"/>
                <w:b/>
                <w:sz w:val="24"/>
                <w:szCs w:val="24"/>
              </w:rPr>
            </w:pPr>
            <w:r w:rsidRPr="00E01CE7">
              <w:rPr>
                <w:rFonts w:ascii="Garamond" w:eastAsia="Times New Roman" w:hAnsi="Garamond" w:cs="Times New Roman"/>
                <w:b/>
                <w:sz w:val="24"/>
                <w:szCs w:val="24"/>
              </w:rPr>
              <w:t xml:space="preserve"> </w:t>
            </w:r>
          </w:p>
        </w:tc>
        <w:tc>
          <w:tcPr>
            <w:tcW w:w="2005" w:type="pct"/>
            <w:tcBorders>
              <w:top w:val="single" w:sz="4" w:space="0" w:color="000000"/>
              <w:left w:val="single" w:sz="4" w:space="0" w:color="000000"/>
              <w:bottom w:val="single" w:sz="4" w:space="0" w:color="000000"/>
              <w:right w:val="single" w:sz="4" w:space="0" w:color="000000"/>
            </w:tcBorders>
          </w:tcPr>
          <w:p w14:paraId="45AF73E2" w14:textId="77777777" w:rsidR="00F052F6" w:rsidRPr="00E01CE7" w:rsidRDefault="00F052F6" w:rsidP="003464CC">
            <w:pPr>
              <w:spacing w:after="0" w:line="240" w:lineRule="auto"/>
              <w:rPr>
                <w:rFonts w:ascii="Garamond" w:hAnsi="Garamond" w:cs="Times New Roman"/>
                <w:b/>
                <w:sz w:val="24"/>
                <w:szCs w:val="24"/>
              </w:rPr>
            </w:pPr>
            <w:r w:rsidRPr="00E01CE7">
              <w:rPr>
                <w:rFonts w:ascii="Garamond" w:eastAsia="Times New Roman" w:hAnsi="Garamond" w:cs="Times New Roman"/>
                <w:b/>
                <w:sz w:val="24"/>
                <w:szCs w:val="24"/>
              </w:rPr>
              <w:t xml:space="preserve"> </w:t>
            </w:r>
          </w:p>
        </w:tc>
      </w:tr>
    </w:tbl>
    <w:p w14:paraId="777CFAE5" w14:textId="77777777" w:rsidR="00F052F6" w:rsidRPr="00B41963" w:rsidRDefault="00F052F6" w:rsidP="00F052F6">
      <w:pPr>
        <w:tabs>
          <w:tab w:val="left" w:pos="5010"/>
          <w:tab w:val="left" w:pos="8363"/>
        </w:tabs>
        <w:autoSpaceDE w:val="0"/>
        <w:autoSpaceDN w:val="0"/>
        <w:adjustRightInd w:val="0"/>
        <w:spacing w:after="0" w:line="240" w:lineRule="auto"/>
        <w:ind w:firstLine="284"/>
        <w:rPr>
          <w:rFonts w:ascii="Garamond" w:hAnsi="Garamond" w:cs="Garamond"/>
          <w:b/>
          <w:bCs/>
          <w:i/>
          <w:iCs/>
          <w:color w:val="2E74B5"/>
          <w:sz w:val="14"/>
          <w:szCs w:val="24"/>
        </w:rPr>
      </w:pPr>
      <w:r w:rsidRPr="003D5CE4">
        <w:rPr>
          <w:rFonts w:ascii="Garamond" w:hAnsi="Garamond" w:cs="Garamond"/>
          <w:b/>
          <w:bCs/>
          <w:i/>
          <w:iCs/>
          <w:color w:val="2E74B5"/>
          <w:sz w:val="24"/>
          <w:szCs w:val="24"/>
        </w:rPr>
        <w:t xml:space="preserve"> </w:t>
      </w:r>
    </w:p>
    <w:p w14:paraId="0D9D83F6" w14:textId="77777777" w:rsidR="008F5397" w:rsidRDefault="008F5397" w:rsidP="00F052F6">
      <w:pPr>
        <w:autoSpaceDE w:val="0"/>
        <w:autoSpaceDN w:val="0"/>
        <w:adjustRightInd w:val="0"/>
        <w:spacing w:after="0" w:line="240" w:lineRule="auto"/>
        <w:ind w:firstLine="284"/>
        <w:jc w:val="both"/>
        <w:rPr>
          <w:rFonts w:ascii="Garamond" w:hAnsi="Garamond" w:cs="Times New Roman"/>
          <w:bCs/>
          <w:color w:val="000000"/>
          <w:sz w:val="24"/>
          <w:szCs w:val="24"/>
        </w:rPr>
      </w:pPr>
    </w:p>
    <w:p w14:paraId="6EDC2A9D" w14:textId="77777777" w:rsidR="008F5397" w:rsidRDefault="008F5397" w:rsidP="00F052F6">
      <w:pPr>
        <w:autoSpaceDE w:val="0"/>
        <w:autoSpaceDN w:val="0"/>
        <w:adjustRightInd w:val="0"/>
        <w:spacing w:after="0" w:line="240" w:lineRule="auto"/>
        <w:ind w:firstLine="284"/>
        <w:jc w:val="both"/>
        <w:rPr>
          <w:rFonts w:ascii="Garamond" w:hAnsi="Garamond" w:cs="Times New Roman"/>
          <w:bCs/>
          <w:color w:val="000000"/>
          <w:sz w:val="24"/>
          <w:szCs w:val="24"/>
        </w:rPr>
      </w:pPr>
    </w:p>
    <w:p w14:paraId="0F5BB65C" w14:textId="77777777" w:rsidR="008F5397" w:rsidRDefault="008F5397" w:rsidP="00F052F6">
      <w:pPr>
        <w:autoSpaceDE w:val="0"/>
        <w:autoSpaceDN w:val="0"/>
        <w:adjustRightInd w:val="0"/>
        <w:spacing w:after="0" w:line="240" w:lineRule="auto"/>
        <w:ind w:firstLine="284"/>
        <w:jc w:val="both"/>
        <w:rPr>
          <w:rFonts w:ascii="Garamond" w:hAnsi="Garamond" w:cs="Times New Roman"/>
          <w:bCs/>
          <w:color w:val="000000"/>
          <w:sz w:val="24"/>
          <w:szCs w:val="24"/>
        </w:rPr>
      </w:pPr>
    </w:p>
    <w:p w14:paraId="10B20AD2"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bookmarkStart w:id="0" w:name="_GoBack"/>
      <w:bookmarkEnd w:id="0"/>
      <w:r w:rsidRPr="00A652B4">
        <w:rPr>
          <w:rFonts w:ascii="Garamond" w:hAnsi="Garamond" w:cs="Times New Roman"/>
          <w:bCs/>
          <w:color w:val="000000"/>
          <w:sz w:val="24"/>
          <w:szCs w:val="24"/>
        </w:rPr>
        <w:t xml:space="preserve">4. </w:t>
      </w:r>
      <w:r w:rsidRPr="00A652B4">
        <w:rPr>
          <w:rFonts w:ascii="Garamond" w:hAnsi="Garamond" w:cs="Garamond"/>
          <w:bCs/>
          <w:color w:val="000000"/>
          <w:sz w:val="24"/>
          <w:szCs w:val="24"/>
        </w:rPr>
        <w:t xml:space="preserve">AFTËSITË PERSONALE DHE ANGAZHIMI PROFESIONAL </w:t>
      </w:r>
    </w:p>
    <w:p w14:paraId="1955D5DC"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1F4E79"/>
          <w:sz w:val="24"/>
          <w:szCs w:val="24"/>
        </w:rPr>
      </w:pPr>
      <w:r w:rsidRPr="003D5CE4">
        <w:rPr>
          <w:rFonts w:ascii="Garamond" w:hAnsi="Garamond" w:cs="Garamond"/>
          <w:b/>
          <w:bCs/>
          <w:color w:val="000000"/>
          <w:sz w:val="24"/>
          <w:szCs w:val="24"/>
        </w:rPr>
        <w:t xml:space="preserve"> </w:t>
      </w:r>
      <w:r w:rsidRPr="003D5CE4">
        <w:rPr>
          <w:rFonts w:ascii="Garamond" w:hAnsi="Garamond" w:cs="Garamond"/>
          <w:i/>
          <w:iCs/>
          <w:color w:val="1F4E79"/>
          <w:sz w:val="24"/>
          <w:szCs w:val="24"/>
        </w:rPr>
        <w:t xml:space="preserve">Në këtë kriter vlerësohet kapaciteti personal dhe angazhimi profesional i prokurorit në drejtim të aftësive të komunikimit, bashkëpunimit dhe angazhimit ndaj vlerave profesionale. </w:t>
      </w:r>
    </w:p>
    <w:p w14:paraId="0CFA1BE9"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A652B4">
        <w:rPr>
          <w:rFonts w:ascii="Garamond" w:hAnsi="Garamond" w:cs="Times New Roman"/>
          <w:bCs/>
          <w:color w:val="000000"/>
          <w:sz w:val="24"/>
          <w:szCs w:val="24"/>
        </w:rPr>
        <w:t xml:space="preserve">4.A </w:t>
      </w:r>
      <w:r w:rsidRPr="00A652B4">
        <w:rPr>
          <w:rFonts w:ascii="Garamond" w:hAnsi="Garamond" w:cs="Garamond"/>
          <w:bCs/>
          <w:color w:val="000000"/>
          <w:sz w:val="24"/>
          <w:szCs w:val="24"/>
        </w:rPr>
        <w:t>AFTËSIA E KOMUNIKIMIT</w:t>
      </w:r>
    </w:p>
    <w:p w14:paraId="720D7BF4"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b/>
          <w:bCs/>
          <w:color w:val="000000"/>
          <w:sz w:val="24"/>
          <w:szCs w:val="24"/>
        </w:rPr>
      </w:pPr>
      <w:r w:rsidRPr="003D5CE4">
        <w:rPr>
          <w:rFonts w:ascii="Garamond" w:hAnsi="Garamond" w:cs="Garamond"/>
          <w:b/>
          <w:bCs/>
          <w:color w:val="000000"/>
          <w:sz w:val="24"/>
          <w:szCs w:val="24"/>
        </w:rPr>
        <w:t>4.A.a Komunikimi i qartë dhe transparent me palët në proces, publikun, subjektet e tjera, të tretët</w:t>
      </w:r>
    </w:p>
    <w:p w14:paraId="0A593655"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i/>
          <w:iCs/>
          <w:color w:val="0070C0"/>
          <w:sz w:val="24"/>
          <w:szCs w:val="24"/>
        </w:rPr>
        <w:t xml:space="preserve">Për të vlerësuar këtë tregues, analizohen në mënyrë të integruar të dhënat që rezultojnë nga burimet e vlerësimit të pasqyruara në raportin analitik në drejtim të komunikimit </w:t>
      </w:r>
      <w:r w:rsidRPr="003D5CE4">
        <w:rPr>
          <w:rFonts w:ascii="Garamond" w:hAnsi="Garamond" w:cs="Garamond"/>
          <w:i/>
          <w:iCs/>
          <w:color w:val="2E74B5"/>
          <w:sz w:val="24"/>
          <w:szCs w:val="24"/>
        </w:rPr>
        <w:t xml:space="preserve">efektiv dhe transparent dhe aftësinë për t’u shprehur në mënyrë të kuptueshme, të qartë dhe të saktë me subjektet e procedimit penal, publikun, subjektet e tjera dhe të tretët.  </w:t>
      </w:r>
    </w:p>
    <w:p w14:paraId="1B860391"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 e propozuara për këtë tregues</w:t>
      </w:r>
      <w:r>
        <w:rPr>
          <w:rFonts w:ascii="Garamond" w:hAnsi="Garamond" w:cs="Garamond"/>
          <w:i/>
          <w:iCs/>
          <w:color w:val="2E74B5"/>
          <w:sz w:val="24"/>
          <w:szCs w:val="24"/>
        </w:rPr>
        <w:t>.</w:t>
      </w:r>
      <w:r w:rsidRPr="003D5CE4">
        <w:rPr>
          <w:rFonts w:ascii="Garamond" w:hAnsi="Garamond" w:cs="Garamond"/>
          <w:i/>
          <w:iCs/>
          <w:color w:val="2E74B5"/>
          <w:sz w:val="24"/>
          <w:szCs w:val="24"/>
        </w:rPr>
        <w:t>)</w:t>
      </w:r>
      <w:r w:rsidRPr="003D5CE4">
        <w:rPr>
          <w:rFonts w:ascii="Garamond" w:hAnsi="Garamond" w:cs="Garamond"/>
          <w:color w:val="000000"/>
          <w:sz w:val="24"/>
          <w:szCs w:val="24"/>
        </w:rPr>
        <w:t xml:space="preserve"> </w:t>
      </w:r>
    </w:p>
    <w:p w14:paraId="7F439D5A"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4.A.b Respektimi i konfidencialitetit dhe mbrojtjes së të dhënave personale</w:t>
      </w:r>
    </w:p>
    <w:p w14:paraId="5FF87111"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i/>
          <w:iCs/>
          <w:color w:val="0070C0"/>
          <w:sz w:val="24"/>
          <w:szCs w:val="24"/>
        </w:rPr>
        <w:t>Për këtë tregues, për shkak të parimit të prezumimit, analizohen në mënyrë të integruar dhe vlerësohen të dhënat që rezultojnë nga burimet e vlerësimit të pasqyruara në raportin analitik, të tilla që mund të çojnë në c</w:t>
      </w:r>
      <w:r>
        <w:rPr>
          <w:rFonts w:ascii="Garamond" w:hAnsi="Garamond" w:cs="Garamond"/>
          <w:i/>
          <w:iCs/>
          <w:color w:val="0070C0"/>
          <w:sz w:val="24"/>
          <w:szCs w:val="24"/>
        </w:rPr>
        <w:t>e</w:t>
      </w:r>
      <w:r w:rsidRPr="003D5CE4">
        <w:rPr>
          <w:rFonts w:ascii="Garamond" w:hAnsi="Garamond" w:cs="Garamond"/>
          <w:i/>
          <w:iCs/>
          <w:color w:val="0070C0"/>
          <w:sz w:val="24"/>
          <w:szCs w:val="24"/>
        </w:rPr>
        <w:t>nimin e konfidencialitetit dhe të dhënave personale, për të cilat prokurori vihet në dijeni për shkak të funksionit</w:t>
      </w:r>
      <w:r w:rsidRPr="003D5CE4">
        <w:rPr>
          <w:rFonts w:ascii="Garamond" w:hAnsi="Garamond" w:cs="Garamond"/>
          <w:i/>
          <w:iCs/>
          <w:color w:val="2E74B5"/>
          <w:sz w:val="24"/>
          <w:szCs w:val="24"/>
        </w:rPr>
        <w:t xml:space="preserve">. </w:t>
      </w:r>
    </w:p>
    <w:p w14:paraId="59167E41"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Respektimi i konfidencialitetit nga prokurori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respektimit nga ana e prokurorit dhe pikët</w:t>
      </w:r>
      <w:r>
        <w:rPr>
          <w:rFonts w:ascii="Garamond" w:hAnsi="Garamond" w:cs="Garamond"/>
          <w:i/>
          <w:iCs/>
          <w:color w:val="2E74B5"/>
          <w:sz w:val="24"/>
          <w:szCs w:val="24"/>
        </w:rPr>
        <w:t xml:space="preserve"> e propozuara për këtë tregues.)</w:t>
      </w:r>
    </w:p>
    <w:p w14:paraId="4EF65EBA"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A652B4">
        <w:rPr>
          <w:rFonts w:ascii="Garamond" w:hAnsi="Garamond" w:cs="Times New Roman"/>
          <w:bCs/>
          <w:color w:val="000000"/>
          <w:sz w:val="24"/>
          <w:szCs w:val="24"/>
        </w:rPr>
        <w:t xml:space="preserve">4.B </w:t>
      </w:r>
      <w:r w:rsidRPr="00A652B4">
        <w:rPr>
          <w:rFonts w:ascii="Garamond" w:hAnsi="Garamond" w:cs="Garamond"/>
          <w:bCs/>
          <w:color w:val="000000"/>
          <w:sz w:val="24"/>
          <w:szCs w:val="24"/>
        </w:rPr>
        <w:t xml:space="preserve">AFTËSIA PËR TË BASHKËPUNUAR ME KOLEGËT </w:t>
      </w:r>
    </w:p>
    <w:p w14:paraId="5C9CDA9D"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4.B.a Shkalla e komunikimit dhe bashkëpunimit me kolegët, duke përfshirë shkëmbimin e njohurive dhe përvojës profesionale me ta</w:t>
      </w:r>
    </w:p>
    <w:p w14:paraId="087B9919"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i/>
          <w:iCs/>
          <w:color w:val="0070C0"/>
          <w:sz w:val="24"/>
          <w:szCs w:val="24"/>
        </w:rPr>
        <w:t>Për të vlerësuar këtë tregues, analizohen në mënyrë të integruar dhe vlerësohen të dhënat që rezultojnë nga burimet e vlerësimit të pasqyruara në raportin analitik në drejtim të aftësisë dhe</w:t>
      </w:r>
      <w:r w:rsidRPr="003D5CE4">
        <w:rPr>
          <w:rFonts w:ascii="Garamond" w:hAnsi="Garamond" w:cs="Garamond"/>
          <w:i/>
          <w:iCs/>
          <w:color w:val="000000"/>
          <w:sz w:val="24"/>
          <w:szCs w:val="24"/>
        </w:rPr>
        <w:t xml:space="preserve"> </w:t>
      </w:r>
      <w:r w:rsidRPr="003D5CE4">
        <w:rPr>
          <w:rFonts w:ascii="Garamond" w:hAnsi="Garamond" w:cs="Garamond"/>
          <w:i/>
          <w:iCs/>
          <w:color w:val="2E74B5"/>
          <w:sz w:val="24"/>
          <w:szCs w:val="24"/>
        </w:rPr>
        <w:t>gatishmërisë së prokurorit për të bashkëpunuar me kolegët pa cenuar pavarësinë e tij në vendimmarrje, angazhimin në ngritjen e problematikave mbi çështje të caktuara juridike, përmirësimet e legjislacionit, diskutimin rreth zbatimit të vendimeve njësuese...</w:t>
      </w:r>
      <w:r>
        <w:rPr>
          <w:rFonts w:ascii="Garamond" w:hAnsi="Garamond" w:cs="Garamond"/>
          <w:i/>
          <w:iCs/>
          <w:color w:val="2E74B5"/>
          <w:sz w:val="24"/>
          <w:szCs w:val="24"/>
        </w:rPr>
        <w:t xml:space="preserve"> </w:t>
      </w:r>
      <w:r w:rsidRPr="003D5CE4">
        <w:rPr>
          <w:rFonts w:ascii="Garamond" w:hAnsi="Garamond" w:cs="Garamond"/>
          <w:i/>
          <w:iCs/>
          <w:color w:val="2E74B5"/>
          <w:sz w:val="24"/>
          <w:szCs w:val="24"/>
        </w:rPr>
        <w:t xml:space="preserve">etj. </w:t>
      </w:r>
    </w:p>
    <w:p w14:paraId="08AD0251"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w:t>
      </w:r>
      <w:r>
        <w:rPr>
          <w:rFonts w:ascii="Garamond" w:hAnsi="Garamond" w:cs="Garamond"/>
          <w:i/>
          <w:iCs/>
          <w:color w:val="2E74B5"/>
          <w:sz w:val="24"/>
          <w:szCs w:val="24"/>
        </w:rPr>
        <w:t xml:space="preserve"> e propozuara për këtë tregues.)</w:t>
      </w:r>
      <w:r w:rsidRPr="003D5CE4">
        <w:rPr>
          <w:rFonts w:ascii="Garamond" w:hAnsi="Garamond" w:cs="Garamond"/>
          <w:color w:val="000000"/>
          <w:sz w:val="24"/>
          <w:szCs w:val="24"/>
        </w:rPr>
        <w:t xml:space="preserve"> </w:t>
      </w:r>
    </w:p>
    <w:p w14:paraId="703E93AC"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4.B.b Shkalla e komunikimit dhe e bashkëpunimit me administratën</w:t>
      </w:r>
    </w:p>
    <w:p w14:paraId="2BB41ACE"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0070C0"/>
          <w:sz w:val="24"/>
          <w:szCs w:val="24"/>
        </w:rPr>
      </w:pPr>
      <w:r w:rsidRPr="003D5CE4">
        <w:rPr>
          <w:rFonts w:ascii="Garamond" w:hAnsi="Garamond" w:cs="Garamond"/>
          <w:i/>
          <w:iCs/>
          <w:color w:val="0070C0"/>
          <w:sz w:val="24"/>
          <w:szCs w:val="24"/>
        </w:rPr>
        <w:t xml:space="preserve">Për të vlerësuar këtë tregues, analizohen në mënyrë të integruar dhe vlerësohen të dhënat që rezultojnë nga burimet e vlerësimit të pasqyruara në raportin analitik në lidhje me shkallën e komunikimit dhe bashkëpunimit të prokurorit me administratën e prokurorisë.  </w:t>
      </w:r>
    </w:p>
    <w:p w14:paraId="37752B46"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Shkalla e aftësisë së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përcakton shkallën e aftësisë së prokurorit dhe pikët e propo</w:t>
      </w:r>
      <w:r>
        <w:rPr>
          <w:rFonts w:ascii="Garamond" w:hAnsi="Garamond" w:cs="Garamond"/>
          <w:i/>
          <w:iCs/>
          <w:color w:val="2E74B5"/>
          <w:sz w:val="24"/>
          <w:szCs w:val="24"/>
        </w:rPr>
        <w:t>zuara për këtë tregues.)</w:t>
      </w:r>
    </w:p>
    <w:p w14:paraId="2509FF7D" w14:textId="77777777" w:rsidR="00F052F6" w:rsidRPr="00A652B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A652B4">
        <w:rPr>
          <w:rFonts w:ascii="Garamond" w:hAnsi="Garamond" w:cs="Times New Roman"/>
          <w:bCs/>
          <w:color w:val="000000"/>
          <w:sz w:val="24"/>
          <w:szCs w:val="24"/>
        </w:rPr>
        <w:t xml:space="preserve">4.C </w:t>
      </w:r>
      <w:r w:rsidRPr="00A652B4">
        <w:rPr>
          <w:rFonts w:ascii="Garamond" w:hAnsi="Garamond" w:cs="Garamond"/>
          <w:bCs/>
          <w:color w:val="000000"/>
          <w:sz w:val="24"/>
          <w:szCs w:val="24"/>
        </w:rPr>
        <w:t>GATISHMËRIA E PROKURORIT PËR T’U ANGAZHUAR NË VEPRIMTARI TË TJERA</w:t>
      </w:r>
    </w:p>
    <w:p w14:paraId="0B9B16D6"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4.C.a Pjesëmarrja e prokurorit në programet e formimit vazhdues të Shkollës së Magjistraturës dhe në trajnime të tjera profesionale</w:t>
      </w:r>
    </w:p>
    <w:p w14:paraId="57C7BA9A"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b/>
          <w:bCs/>
          <w:color w:val="0070C0"/>
          <w:sz w:val="24"/>
          <w:szCs w:val="24"/>
        </w:rPr>
        <w:t xml:space="preserve"> </w:t>
      </w:r>
      <w:r w:rsidRPr="003D5CE4">
        <w:rPr>
          <w:rFonts w:ascii="Garamond" w:hAnsi="Garamond" w:cs="Garamond"/>
          <w:i/>
          <w:iCs/>
          <w:color w:val="0070C0"/>
          <w:sz w:val="24"/>
          <w:szCs w:val="24"/>
        </w:rPr>
        <w:t>Për të vlerësuar këtë tregues, analizohen në mënyrë të integruar dhe vlerësohen të dhënat që rezultojnë nga burimet e vlerësimit të pasqyruara në raportin analitik në lidhje me angazhimin e prokurorit në programin e trajnimit vazhdues pranë Shkollës së Magjistraturës apo në aktivitete të tjera trajnuese jashtë këtij programi, që synojnë ngritjen e tij profesionale</w:t>
      </w:r>
      <w:r w:rsidRPr="003D5CE4">
        <w:rPr>
          <w:rFonts w:ascii="Garamond" w:hAnsi="Garamond" w:cs="Garamond"/>
          <w:i/>
          <w:iCs/>
          <w:color w:val="2E74B5"/>
          <w:sz w:val="24"/>
          <w:szCs w:val="24"/>
        </w:rPr>
        <w:t>.</w:t>
      </w:r>
    </w:p>
    <w:p w14:paraId="244E7BE4"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Pjesëmarrja e prokurorit në trajnime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propozon pikëzimin mbi bazën e shkallës së angazhimit që tregon prokurori në drejtim të ngritjes së tij profesionale nëpërmjet trajnimeve</w:t>
      </w:r>
      <w:r>
        <w:rPr>
          <w:rFonts w:ascii="Garamond" w:hAnsi="Garamond" w:cs="Garamond"/>
          <w:i/>
          <w:iCs/>
          <w:color w:val="2E74B5"/>
          <w:sz w:val="24"/>
          <w:szCs w:val="24"/>
        </w:rPr>
        <w:t>.</w:t>
      </w:r>
      <w:r w:rsidRPr="003D5CE4">
        <w:rPr>
          <w:rFonts w:ascii="Garamond" w:hAnsi="Garamond" w:cs="Garamond"/>
          <w:i/>
          <w:iCs/>
          <w:color w:val="2E74B5"/>
          <w:sz w:val="24"/>
          <w:szCs w:val="24"/>
        </w:rPr>
        <w:t xml:space="preserve">) </w:t>
      </w:r>
      <w:r w:rsidRPr="003D5CE4">
        <w:rPr>
          <w:rFonts w:ascii="Garamond" w:hAnsi="Garamond" w:cs="Garamond"/>
          <w:color w:val="000000"/>
          <w:sz w:val="24"/>
          <w:szCs w:val="24"/>
        </w:rPr>
        <w:t xml:space="preserve"> </w:t>
      </w:r>
    </w:p>
    <w:p w14:paraId="71F39A6A"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4.C.b Disponueshmëria e prokurorit për të udhëhequr kandidatët për prokurorë gjatë stazhit profesional dhe/ose për trajnimin e prokurorëve</w:t>
      </w:r>
    </w:p>
    <w:p w14:paraId="2977C461"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i/>
          <w:iCs/>
          <w:color w:val="0070C0"/>
          <w:sz w:val="24"/>
          <w:szCs w:val="24"/>
        </w:rPr>
        <w:t xml:space="preserve">Për të vlerësuar këtë tregues, analizohen në mënyrë të integruar dhe vlerësohen të dhënat që rezultojnë nga burimet e vlerësimit, të pasqyruara në raportin analitik, në drejtim të </w:t>
      </w:r>
      <w:r w:rsidRPr="003D5CE4">
        <w:rPr>
          <w:rFonts w:ascii="Garamond" w:hAnsi="Garamond" w:cs="Garamond"/>
          <w:i/>
          <w:iCs/>
          <w:color w:val="2E74B5"/>
          <w:sz w:val="24"/>
          <w:szCs w:val="24"/>
        </w:rPr>
        <w:t>gatishmërisë për të kontribuar si prokuror udhëheqës në praktikën profesionale të kandidatëve për prokurorë, dhe/ose si ekspert/lehtësues në trajnimin fillestar apo vazhdues të Shkollës së Magjistraturës, apo në trajnime të organizuara nga institucione të tjera.</w:t>
      </w:r>
    </w:p>
    <w:p w14:paraId="72B5780E"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2E74B5"/>
          <w:sz w:val="24"/>
          <w:szCs w:val="24"/>
        </w:rPr>
      </w:pPr>
      <w:r w:rsidRPr="003D5CE4">
        <w:rPr>
          <w:rFonts w:ascii="Garamond" w:hAnsi="Garamond" w:cs="Garamond"/>
          <w:color w:val="000000"/>
          <w:sz w:val="24"/>
          <w:szCs w:val="24"/>
        </w:rPr>
        <w:t>Disponueshmëria e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propozon pikëzimin mbi bazën e angazhimit të prokurorit</w:t>
      </w:r>
      <w:r>
        <w:rPr>
          <w:rFonts w:ascii="Garamond" w:hAnsi="Garamond" w:cs="Garamond"/>
          <w:i/>
          <w:iCs/>
          <w:color w:val="2E74B5"/>
          <w:sz w:val="24"/>
          <w:szCs w:val="24"/>
        </w:rPr>
        <w:t xml:space="preserve"> në veprimtaritë e mësipërme.)</w:t>
      </w:r>
    </w:p>
    <w:p w14:paraId="36CBA17B"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b/>
          <w:bCs/>
          <w:color w:val="000000"/>
          <w:sz w:val="24"/>
          <w:szCs w:val="24"/>
        </w:rPr>
        <w:t xml:space="preserve">4.C.c Pjesëmarrja e prokurorit në veprimtari ndërinstitucionale për përmirësimin e sistemit të drejtësisë dhe në veprimtaritë për marrëdhëniet me publikun </w:t>
      </w:r>
    </w:p>
    <w:p w14:paraId="3CFEB0D8"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i/>
          <w:iCs/>
          <w:color w:val="0070C0"/>
          <w:sz w:val="24"/>
          <w:szCs w:val="24"/>
        </w:rPr>
      </w:pPr>
      <w:r w:rsidRPr="003D5CE4">
        <w:rPr>
          <w:rFonts w:ascii="Garamond" w:hAnsi="Garamond" w:cs="Garamond"/>
          <w:i/>
          <w:iCs/>
          <w:color w:val="0070C0"/>
          <w:sz w:val="24"/>
          <w:szCs w:val="24"/>
        </w:rPr>
        <w:t xml:space="preserve">Për të vlerësuar këtë tregues, analizohen në mënyrë të integruar dhe vlerësohen të dhënat që rezultojnë nga burimet e vlerësimit të pasqyruara në raportin analitik, në drejtim të gatishmërisë së prokurorit për pjesëmarrje në veprimtari ndërinstitucionale </w:t>
      </w:r>
      <w:r w:rsidRPr="003D5CE4">
        <w:rPr>
          <w:rFonts w:ascii="Garamond" w:hAnsi="Garamond" w:cs="Garamond"/>
          <w:i/>
          <w:iCs/>
          <w:color w:val="2E74B5"/>
          <w:sz w:val="24"/>
          <w:szCs w:val="24"/>
        </w:rPr>
        <w:t xml:space="preserve">për përmirësimin e sistemit të prokurorisë dhe në veprimtaritë për ndërgjegjësimin e publikut, për forcën e zbatimit të ligjit. </w:t>
      </w:r>
      <w:r w:rsidRPr="003D5CE4">
        <w:rPr>
          <w:rFonts w:ascii="Garamond" w:hAnsi="Garamond" w:cs="Garamond"/>
          <w:i/>
          <w:iCs/>
          <w:color w:val="0070C0"/>
          <w:sz w:val="24"/>
          <w:szCs w:val="24"/>
        </w:rPr>
        <w:t xml:space="preserve"> </w:t>
      </w:r>
    </w:p>
    <w:p w14:paraId="11D31B0C"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Pjesëmarrja, kontributi i prokurorit dhe pikëzimi. (</w:t>
      </w:r>
      <w:r w:rsidRPr="003D5CE4">
        <w:rPr>
          <w:rFonts w:ascii="Garamond" w:hAnsi="Garamond" w:cs="Garamond"/>
          <w:i/>
          <w:iCs/>
          <w:color w:val="2E74B5"/>
          <w:sz w:val="24"/>
          <w:szCs w:val="24"/>
        </w:rPr>
        <w:t>Pas analizës së të dhënave që rezultojnë nga burimet e vlerësimit për këtë tregues, relatori propozon pikëzimin jo vetëm mbi bazën e angazhimit të prokurorit në veprimtaritë e mësipërme, por edhe të sasisë dhe cilësisë s</w:t>
      </w:r>
      <w:r>
        <w:rPr>
          <w:rFonts w:ascii="Garamond" w:hAnsi="Garamond" w:cs="Garamond"/>
          <w:i/>
          <w:iCs/>
          <w:color w:val="2E74B5"/>
          <w:sz w:val="24"/>
          <w:szCs w:val="24"/>
        </w:rPr>
        <w:t>ë kontributit të dhënë prej tij.</w:t>
      </w:r>
      <w:r w:rsidRPr="003D5CE4">
        <w:rPr>
          <w:rFonts w:ascii="Garamond" w:hAnsi="Garamond" w:cs="Garamond"/>
          <w:i/>
          <w:iCs/>
          <w:color w:val="2E74B5"/>
          <w:sz w:val="24"/>
          <w:szCs w:val="24"/>
        </w:rPr>
        <w:t xml:space="preserve">) </w:t>
      </w:r>
      <w:r w:rsidRPr="003D5CE4">
        <w:rPr>
          <w:rFonts w:ascii="Garamond" w:hAnsi="Garamond" w:cs="Garamond"/>
          <w:color w:val="000000"/>
          <w:sz w:val="24"/>
          <w:szCs w:val="24"/>
        </w:rPr>
        <w:t xml:space="preserve"> </w:t>
      </w:r>
    </w:p>
    <w:p w14:paraId="6AC16742" w14:textId="77777777" w:rsidR="00F052F6" w:rsidRPr="003D5CE4" w:rsidRDefault="00F052F6" w:rsidP="00F052F6">
      <w:pPr>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color w:val="000000"/>
          <w:sz w:val="24"/>
          <w:szCs w:val="24"/>
        </w:rPr>
        <w:t>4.C.ç Publikimet ligjore akademike</w:t>
      </w:r>
    </w:p>
    <w:p w14:paraId="18A34F42" w14:textId="77777777" w:rsidR="00F052F6" w:rsidRPr="003D5CE4" w:rsidRDefault="00F052F6" w:rsidP="00F052F6">
      <w:pPr>
        <w:autoSpaceDE w:val="0"/>
        <w:autoSpaceDN w:val="0"/>
        <w:adjustRightInd w:val="0"/>
        <w:spacing w:after="0" w:line="240" w:lineRule="auto"/>
        <w:ind w:firstLine="284"/>
        <w:rPr>
          <w:rFonts w:ascii="Garamond" w:hAnsi="Garamond" w:cs="Garamond"/>
          <w:i/>
          <w:iCs/>
          <w:color w:val="0070C0"/>
          <w:sz w:val="24"/>
          <w:szCs w:val="24"/>
        </w:rPr>
      </w:pPr>
      <w:r w:rsidRPr="003D5CE4">
        <w:rPr>
          <w:rFonts w:ascii="Garamond" w:hAnsi="Garamond" w:cs="Garamond"/>
          <w:b/>
          <w:bCs/>
          <w:i/>
          <w:iCs/>
          <w:color w:val="000000"/>
          <w:sz w:val="24"/>
          <w:szCs w:val="24"/>
        </w:rPr>
        <w:t xml:space="preserve"> </w:t>
      </w:r>
      <w:r w:rsidRPr="003D5CE4">
        <w:rPr>
          <w:rFonts w:ascii="Garamond" w:hAnsi="Garamond" w:cs="Garamond"/>
          <w:i/>
          <w:iCs/>
          <w:color w:val="0070C0"/>
          <w:sz w:val="24"/>
          <w:szCs w:val="24"/>
        </w:rPr>
        <w:t xml:space="preserve">Për të vlerësuar këtë tregues, analizohen në mënyrë të integruar dhe vlerësohen të dhënat që rezultojnë nga burimet e vlerësimit, në lidhje me angazhimin e prokurorit në veprimtari që përfshijnë publikime ligjore akademike me qëllim dhënien e kontributit për zhvillimin e doktrinës të tilla si, artikuj, kapituj, monografi, ose publikime shkencore të tjera, të botuara brenda dhe jashtë vendit, të shoqëruara me numër identifikimi (ISBN, ISSN).  </w:t>
      </w:r>
    </w:p>
    <w:p w14:paraId="4C244941"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color w:val="000000"/>
          <w:sz w:val="24"/>
          <w:szCs w:val="24"/>
        </w:rPr>
        <w:t>Angazhimi i prokurorit dhe pikëzimi</w:t>
      </w:r>
      <w:r>
        <w:rPr>
          <w:rFonts w:ascii="Garamond" w:hAnsi="Garamond" w:cs="Garamond"/>
          <w:color w:val="000000"/>
          <w:sz w:val="24"/>
          <w:szCs w:val="24"/>
        </w:rPr>
        <w:t>.</w:t>
      </w:r>
      <w:r w:rsidRPr="003D5CE4">
        <w:rPr>
          <w:rFonts w:ascii="Garamond" w:hAnsi="Garamond" w:cs="Garamond"/>
          <w:color w:val="000000"/>
          <w:sz w:val="24"/>
          <w:szCs w:val="24"/>
        </w:rPr>
        <w:t xml:space="preserve"> (</w:t>
      </w:r>
      <w:r w:rsidRPr="003D5CE4">
        <w:rPr>
          <w:rFonts w:ascii="Garamond" w:hAnsi="Garamond" w:cs="Garamond"/>
          <w:i/>
          <w:iCs/>
          <w:color w:val="2E74B5"/>
          <w:sz w:val="24"/>
          <w:szCs w:val="24"/>
        </w:rPr>
        <w:t>Pas analizës së të dhënave që rezultojnë nga burimet e vlerësimit për këtë tregues, relatori propozon pikëzimin mbi bazën e shkallës së kontributit të dhënë nga prokuro</w:t>
      </w:r>
      <w:r>
        <w:rPr>
          <w:rFonts w:ascii="Garamond" w:hAnsi="Garamond" w:cs="Garamond"/>
          <w:i/>
          <w:iCs/>
          <w:color w:val="2E74B5"/>
          <w:sz w:val="24"/>
          <w:szCs w:val="24"/>
        </w:rPr>
        <w:t>ri  për zhvillimin e doktrinës.)</w:t>
      </w:r>
      <w:r w:rsidRPr="003D5CE4">
        <w:rPr>
          <w:rFonts w:ascii="Garamond" w:hAnsi="Garamond" w:cs="Garamond"/>
          <w:b/>
          <w:bCs/>
          <w:i/>
          <w:iCs/>
          <w:color w:val="2E74B5"/>
          <w:sz w:val="24"/>
          <w:szCs w:val="24"/>
        </w:rPr>
        <w:t xml:space="preserve"> </w:t>
      </w:r>
      <w:r w:rsidRPr="003D5CE4">
        <w:rPr>
          <w:rFonts w:ascii="Garamond" w:hAnsi="Garamond" w:cs="Garamond"/>
          <w:color w:val="000000"/>
          <w:sz w:val="24"/>
          <w:szCs w:val="24"/>
        </w:rPr>
        <w:t xml:space="preserve"> </w:t>
      </w:r>
    </w:p>
    <w:p w14:paraId="271B17E2" w14:textId="77777777" w:rsidR="00F052F6" w:rsidRPr="00025728" w:rsidRDefault="00F052F6" w:rsidP="00F052F6">
      <w:pPr>
        <w:autoSpaceDE w:val="0"/>
        <w:autoSpaceDN w:val="0"/>
        <w:adjustRightInd w:val="0"/>
        <w:spacing w:after="0" w:line="240" w:lineRule="auto"/>
        <w:ind w:firstLine="284"/>
        <w:rPr>
          <w:rFonts w:ascii="Garamond" w:hAnsi="Garamond" w:cs="Garamond"/>
          <w:b/>
          <w:bCs/>
          <w:i/>
          <w:iCs/>
          <w:color w:val="2E74B5"/>
          <w:sz w:val="14"/>
          <w:szCs w:val="24"/>
        </w:rPr>
      </w:pPr>
      <w:r w:rsidRPr="003D5CE4">
        <w:rPr>
          <w:rFonts w:ascii="Garamond" w:hAnsi="Garamond" w:cs="Garamond"/>
          <w:b/>
          <w:bCs/>
          <w:i/>
          <w:iCs/>
          <w:color w:val="2E74B5"/>
          <w:sz w:val="24"/>
          <w:szCs w:val="24"/>
        </w:rPr>
        <w:t xml:space="preserve"> </w:t>
      </w:r>
    </w:p>
    <w:tbl>
      <w:tblPr>
        <w:tblW w:w="5000" w:type="pct"/>
        <w:tblCellMar>
          <w:top w:w="6" w:type="dxa"/>
          <w:left w:w="107" w:type="dxa"/>
          <w:right w:w="115" w:type="dxa"/>
        </w:tblCellMar>
        <w:tblLook w:val="04A0" w:firstRow="1" w:lastRow="0" w:firstColumn="1" w:lastColumn="0" w:noHBand="0" w:noVBand="1"/>
      </w:tblPr>
      <w:tblGrid>
        <w:gridCol w:w="5805"/>
        <w:gridCol w:w="3777"/>
      </w:tblGrid>
      <w:tr w:rsidR="00F052F6" w:rsidRPr="003D5CE4" w14:paraId="0A15E3E5" w14:textId="77777777" w:rsidTr="003464CC">
        <w:trPr>
          <w:trHeight w:val="837"/>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BDD6EE"/>
          </w:tcPr>
          <w:p w14:paraId="557007B3" w14:textId="77777777" w:rsidR="00F052F6" w:rsidRPr="00D72FD2" w:rsidRDefault="00F052F6" w:rsidP="003464CC">
            <w:pPr>
              <w:spacing w:after="0" w:line="240" w:lineRule="auto"/>
              <w:jc w:val="center"/>
              <w:rPr>
                <w:rFonts w:ascii="Garamond" w:hAnsi="Garamond" w:cs="Times New Roman"/>
                <w:b/>
                <w:sz w:val="24"/>
                <w:szCs w:val="24"/>
              </w:rPr>
            </w:pPr>
            <w:r w:rsidRPr="00D72FD2">
              <w:rPr>
                <w:rFonts w:ascii="Garamond" w:eastAsia="Times New Roman" w:hAnsi="Garamond" w:cs="Times New Roman"/>
                <w:b/>
                <w:sz w:val="24"/>
                <w:szCs w:val="24"/>
              </w:rPr>
              <w:t xml:space="preserve">Propozim për nivelin e vlerësimit  </w:t>
            </w:r>
          </w:p>
          <w:p w14:paraId="45E44C9F" w14:textId="77777777" w:rsidR="00F052F6" w:rsidRPr="00A652B4" w:rsidRDefault="00F052F6" w:rsidP="003464CC">
            <w:pPr>
              <w:spacing w:after="0" w:line="240" w:lineRule="auto"/>
              <w:jc w:val="center"/>
              <w:rPr>
                <w:rFonts w:ascii="Garamond" w:hAnsi="Garamond" w:cs="Times New Roman"/>
                <w:sz w:val="24"/>
                <w:szCs w:val="24"/>
              </w:rPr>
            </w:pPr>
            <w:r w:rsidRPr="00A652B4">
              <w:rPr>
                <w:rFonts w:ascii="Garamond" w:eastAsia="Times New Roman" w:hAnsi="Garamond" w:cs="Times New Roman"/>
                <w:sz w:val="24"/>
                <w:szCs w:val="24"/>
              </w:rPr>
              <w:t xml:space="preserve">KRITERI </w:t>
            </w:r>
          </w:p>
          <w:p w14:paraId="625C4D7F" w14:textId="77777777" w:rsidR="00F052F6" w:rsidRPr="00D72FD2" w:rsidRDefault="00F052F6" w:rsidP="003464CC">
            <w:pPr>
              <w:spacing w:after="0" w:line="240" w:lineRule="auto"/>
              <w:jc w:val="center"/>
              <w:rPr>
                <w:rFonts w:ascii="Garamond" w:hAnsi="Garamond" w:cs="Times New Roman"/>
                <w:b/>
                <w:sz w:val="24"/>
                <w:szCs w:val="24"/>
              </w:rPr>
            </w:pPr>
            <w:r w:rsidRPr="00A652B4">
              <w:rPr>
                <w:rFonts w:ascii="Garamond" w:eastAsia="Times New Roman" w:hAnsi="Garamond" w:cs="Times New Roman"/>
                <w:sz w:val="24"/>
                <w:szCs w:val="24"/>
              </w:rPr>
              <w:t>AFTËSITË PERSONALE DHE ANGAZHIMI PROFESIONAL</w:t>
            </w:r>
            <w:r w:rsidRPr="00D72FD2">
              <w:rPr>
                <w:rFonts w:ascii="Garamond" w:eastAsia="Times New Roman" w:hAnsi="Garamond" w:cs="Times New Roman"/>
                <w:b/>
                <w:sz w:val="24"/>
                <w:szCs w:val="24"/>
              </w:rPr>
              <w:t xml:space="preserve"> </w:t>
            </w:r>
          </w:p>
        </w:tc>
      </w:tr>
      <w:tr w:rsidR="00F052F6" w:rsidRPr="003D5CE4" w14:paraId="58351A9C" w14:textId="77777777" w:rsidTr="003464CC">
        <w:trPr>
          <w:trHeight w:val="284"/>
        </w:trPr>
        <w:tc>
          <w:tcPr>
            <w:tcW w:w="3029" w:type="pct"/>
            <w:tcBorders>
              <w:top w:val="single" w:sz="4" w:space="0" w:color="000000"/>
              <w:left w:val="single" w:sz="4" w:space="0" w:color="000000"/>
              <w:bottom w:val="single" w:sz="4" w:space="0" w:color="000000"/>
              <w:right w:val="single" w:sz="4" w:space="0" w:color="000000"/>
            </w:tcBorders>
            <w:shd w:val="clear" w:color="auto" w:fill="ACB9CA"/>
          </w:tcPr>
          <w:p w14:paraId="04D48B1B" w14:textId="77777777" w:rsidR="00F052F6" w:rsidRPr="00D72FD2" w:rsidRDefault="00F052F6" w:rsidP="003464CC">
            <w:pPr>
              <w:spacing w:after="0" w:line="240" w:lineRule="auto"/>
              <w:jc w:val="center"/>
              <w:rPr>
                <w:rFonts w:ascii="Garamond" w:hAnsi="Garamond" w:cs="Times New Roman"/>
                <w:b/>
                <w:sz w:val="24"/>
                <w:szCs w:val="24"/>
              </w:rPr>
            </w:pPr>
            <w:r w:rsidRPr="00D72FD2">
              <w:rPr>
                <w:rFonts w:ascii="Garamond" w:eastAsia="Times New Roman" w:hAnsi="Garamond" w:cs="Times New Roman"/>
                <w:b/>
                <w:sz w:val="24"/>
                <w:szCs w:val="24"/>
              </w:rPr>
              <w:t xml:space="preserve">Pikët  </w:t>
            </w:r>
          </w:p>
        </w:tc>
        <w:tc>
          <w:tcPr>
            <w:tcW w:w="1971" w:type="pct"/>
            <w:tcBorders>
              <w:top w:val="single" w:sz="4" w:space="0" w:color="000000"/>
              <w:left w:val="single" w:sz="4" w:space="0" w:color="000000"/>
              <w:bottom w:val="single" w:sz="4" w:space="0" w:color="000000"/>
              <w:right w:val="single" w:sz="4" w:space="0" w:color="000000"/>
            </w:tcBorders>
            <w:shd w:val="clear" w:color="auto" w:fill="ACB9CA"/>
          </w:tcPr>
          <w:p w14:paraId="68E94626" w14:textId="77777777" w:rsidR="00F052F6" w:rsidRPr="00D72FD2" w:rsidRDefault="00F052F6" w:rsidP="003464CC">
            <w:pPr>
              <w:spacing w:after="0" w:line="240" w:lineRule="auto"/>
              <w:jc w:val="center"/>
              <w:rPr>
                <w:rFonts w:ascii="Garamond" w:hAnsi="Garamond" w:cs="Times New Roman"/>
                <w:b/>
                <w:sz w:val="24"/>
                <w:szCs w:val="24"/>
              </w:rPr>
            </w:pPr>
            <w:r w:rsidRPr="00D72FD2">
              <w:rPr>
                <w:rFonts w:ascii="Garamond" w:eastAsia="Times New Roman" w:hAnsi="Garamond" w:cs="Times New Roman"/>
                <w:b/>
                <w:sz w:val="24"/>
                <w:szCs w:val="24"/>
              </w:rPr>
              <w:t xml:space="preserve">Niveli i vlerësimit </w:t>
            </w:r>
          </w:p>
        </w:tc>
      </w:tr>
      <w:tr w:rsidR="00F052F6" w:rsidRPr="003D5CE4" w14:paraId="1C67DD0B" w14:textId="77777777" w:rsidTr="003464CC">
        <w:trPr>
          <w:trHeight w:val="229"/>
        </w:trPr>
        <w:tc>
          <w:tcPr>
            <w:tcW w:w="3029" w:type="pct"/>
            <w:tcBorders>
              <w:top w:val="single" w:sz="4" w:space="0" w:color="000000"/>
              <w:left w:val="single" w:sz="4" w:space="0" w:color="000000"/>
              <w:bottom w:val="single" w:sz="4" w:space="0" w:color="000000"/>
              <w:right w:val="single" w:sz="4" w:space="0" w:color="000000"/>
            </w:tcBorders>
          </w:tcPr>
          <w:p w14:paraId="084AC7B7"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 </w:t>
            </w:r>
          </w:p>
        </w:tc>
        <w:tc>
          <w:tcPr>
            <w:tcW w:w="1971" w:type="pct"/>
            <w:tcBorders>
              <w:top w:val="single" w:sz="4" w:space="0" w:color="000000"/>
              <w:left w:val="single" w:sz="4" w:space="0" w:color="000000"/>
              <w:bottom w:val="single" w:sz="4" w:space="0" w:color="000000"/>
              <w:right w:val="single" w:sz="4" w:space="0" w:color="000000"/>
            </w:tcBorders>
          </w:tcPr>
          <w:p w14:paraId="37DC6051"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 </w:t>
            </w:r>
          </w:p>
        </w:tc>
      </w:tr>
    </w:tbl>
    <w:p w14:paraId="5797ABC3" w14:textId="77777777" w:rsidR="00F052F6" w:rsidRPr="0072746C" w:rsidRDefault="00F052F6" w:rsidP="00F052F6">
      <w:pPr>
        <w:tabs>
          <w:tab w:val="left" w:pos="5152"/>
          <w:tab w:val="left" w:pos="8505"/>
        </w:tabs>
        <w:autoSpaceDE w:val="0"/>
        <w:autoSpaceDN w:val="0"/>
        <w:adjustRightInd w:val="0"/>
        <w:spacing w:after="0" w:line="240" w:lineRule="auto"/>
        <w:ind w:firstLine="284"/>
        <w:rPr>
          <w:rFonts w:ascii="Garamond" w:hAnsi="Garamond" w:cs="Garamond"/>
          <w:color w:val="000000"/>
          <w:sz w:val="14"/>
          <w:szCs w:val="24"/>
        </w:rPr>
      </w:pPr>
    </w:p>
    <w:p w14:paraId="70A53D97" w14:textId="77777777" w:rsidR="00F052F6" w:rsidRPr="00F23A3C"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F23A3C">
        <w:rPr>
          <w:rFonts w:ascii="Garamond" w:hAnsi="Garamond" w:cs="Garamond"/>
          <w:bCs/>
          <w:color w:val="000000"/>
          <w:sz w:val="24"/>
          <w:szCs w:val="24"/>
        </w:rPr>
        <w:t xml:space="preserve">NDARJA F. PROPOZIMI PËR NIVELIN E VLERËSIMIT PËR ÇDO KRITER VLERËSIMI DHE  NIVELIN E PËRGJITHSHËM TË VLERËSIMIT </w:t>
      </w:r>
    </w:p>
    <w:p w14:paraId="0E38BD53"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i/>
          <w:iCs/>
          <w:color w:val="2E74B5"/>
          <w:sz w:val="24"/>
          <w:szCs w:val="24"/>
        </w:rPr>
        <w:t>Në ketë pjesë, relatori, bazuar në parashikimet e nenit 93, pika 5, shkronja “c”</w:t>
      </w:r>
      <w:r>
        <w:rPr>
          <w:rFonts w:ascii="Garamond" w:hAnsi="Garamond" w:cs="Garamond"/>
          <w:i/>
          <w:iCs/>
          <w:color w:val="2E74B5"/>
          <w:sz w:val="24"/>
          <w:szCs w:val="24"/>
        </w:rPr>
        <w:t>,</w:t>
      </w:r>
      <w:r w:rsidRPr="003D5CE4">
        <w:rPr>
          <w:rFonts w:ascii="Garamond" w:hAnsi="Garamond" w:cs="Garamond"/>
          <w:i/>
          <w:iCs/>
          <w:color w:val="2E74B5"/>
          <w:sz w:val="24"/>
          <w:szCs w:val="24"/>
        </w:rPr>
        <w:t xml:space="preserve"> të </w:t>
      </w:r>
      <w:r>
        <w:rPr>
          <w:rFonts w:ascii="Garamond" w:hAnsi="Garamond" w:cs="Garamond"/>
          <w:i/>
          <w:iCs/>
          <w:color w:val="2E74B5"/>
          <w:sz w:val="24"/>
          <w:szCs w:val="24"/>
        </w:rPr>
        <w:t>l</w:t>
      </w:r>
      <w:r w:rsidRPr="003D5CE4">
        <w:rPr>
          <w:rFonts w:ascii="Garamond" w:hAnsi="Garamond" w:cs="Garamond"/>
          <w:i/>
          <w:iCs/>
          <w:color w:val="2E74B5"/>
          <w:sz w:val="24"/>
          <w:szCs w:val="24"/>
        </w:rPr>
        <w:t>igjit nr.</w:t>
      </w:r>
      <w:r>
        <w:rPr>
          <w:rFonts w:ascii="Garamond" w:hAnsi="Garamond" w:cs="Garamond"/>
          <w:i/>
          <w:iCs/>
          <w:color w:val="2E74B5"/>
          <w:sz w:val="24"/>
          <w:szCs w:val="24"/>
        </w:rPr>
        <w:t xml:space="preserve"> </w:t>
      </w:r>
      <w:r w:rsidRPr="003D5CE4">
        <w:rPr>
          <w:rFonts w:ascii="Garamond" w:hAnsi="Garamond" w:cs="Garamond"/>
          <w:i/>
          <w:iCs/>
          <w:color w:val="2E74B5"/>
          <w:sz w:val="24"/>
          <w:szCs w:val="24"/>
        </w:rPr>
        <w:t xml:space="preserve">96/2016, “Për statusin e gjyqtarëve dhe prokurorëve në Republikën e Shqipërisë”, i ndryshuar, mbi bazën e pikëzimit të kryer prej tij, propozon nivelin e vlerësimit për secilin nga katër kriteret e vlerësimit, si dhe nivelin e përgjithshëm të vlerësimit të prokurorit. </w:t>
      </w:r>
    </w:p>
    <w:p w14:paraId="31C3C92F" w14:textId="77777777" w:rsidR="00F052F6" w:rsidRPr="000C66B0"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3D5CE4">
        <w:rPr>
          <w:rFonts w:ascii="Garamond" w:hAnsi="Garamond" w:cs="Garamond"/>
          <w:b/>
          <w:bCs/>
          <w:i/>
          <w:iCs/>
          <w:color w:val="2E74B5"/>
          <w:sz w:val="24"/>
          <w:szCs w:val="24"/>
        </w:rPr>
        <w:t xml:space="preserve"> </w:t>
      </w:r>
    </w:p>
    <w:tbl>
      <w:tblPr>
        <w:tblW w:w="5000" w:type="pct"/>
        <w:tblCellMar>
          <w:top w:w="7" w:type="dxa"/>
          <w:right w:w="115" w:type="dxa"/>
        </w:tblCellMar>
        <w:tblLook w:val="04A0" w:firstRow="1" w:lastRow="0" w:firstColumn="1" w:lastColumn="0" w:noHBand="0" w:noVBand="1"/>
      </w:tblPr>
      <w:tblGrid>
        <w:gridCol w:w="5805"/>
        <w:gridCol w:w="1543"/>
        <w:gridCol w:w="2235"/>
      </w:tblGrid>
      <w:tr w:rsidR="00F052F6" w:rsidRPr="003D5CE4" w14:paraId="771B0D4F" w14:textId="77777777" w:rsidTr="003464CC">
        <w:trPr>
          <w:trHeight w:val="43"/>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DD6EE"/>
          </w:tcPr>
          <w:p w14:paraId="3F09D41C" w14:textId="77777777" w:rsidR="00F052F6" w:rsidRPr="003D5CE4" w:rsidRDefault="00F052F6" w:rsidP="003464CC">
            <w:pPr>
              <w:spacing w:after="0" w:line="240" w:lineRule="auto"/>
              <w:jc w:val="center"/>
              <w:rPr>
                <w:rFonts w:ascii="Garamond" w:hAnsi="Garamond" w:cs="Times New Roman"/>
                <w:sz w:val="24"/>
                <w:szCs w:val="24"/>
              </w:rPr>
            </w:pPr>
            <w:r w:rsidRPr="003D5CE4">
              <w:rPr>
                <w:rFonts w:ascii="Garamond" w:eastAsia="Times New Roman" w:hAnsi="Garamond" w:cs="Times New Roman"/>
                <w:b/>
                <w:sz w:val="24"/>
                <w:szCs w:val="24"/>
              </w:rPr>
              <w:t>Propozim për nivelin e vlerësimit për çdo kriter</w:t>
            </w:r>
          </w:p>
        </w:tc>
      </w:tr>
      <w:tr w:rsidR="00F052F6" w:rsidRPr="003D5CE4" w14:paraId="78AC20A4" w14:textId="77777777" w:rsidTr="003464CC">
        <w:trPr>
          <w:trHeight w:val="43"/>
        </w:trPr>
        <w:tc>
          <w:tcPr>
            <w:tcW w:w="3029" w:type="pct"/>
            <w:tcBorders>
              <w:top w:val="single" w:sz="4" w:space="0" w:color="000000"/>
              <w:left w:val="single" w:sz="4" w:space="0" w:color="000000"/>
              <w:bottom w:val="single" w:sz="4" w:space="0" w:color="000000"/>
              <w:right w:val="single" w:sz="4" w:space="0" w:color="000000"/>
            </w:tcBorders>
            <w:shd w:val="clear" w:color="auto" w:fill="ACB9CA"/>
          </w:tcPr>
          <w:p w14:paraId="63DA996A" w14:textId="77777777" w:rsidR="00F052F6" w:rsidRPr="00D72FD2" w:rsidRDefault="00F052F6" w:rsidP="003464CC">
            <w:pPr>
              <w:spacing w:after="0" w:line="240" w:lineRule="auto"/>
              <w:jc w:val="center"/>
              <w:rPr>
                <w:rFonts w:ascii="Garamond" w:hAnsi="Garamond" w:cs="Times New Roman"/>
                <w:b/>
                <w:sz w:val="24"/>
                <w:szCs w:val="24"/>
              </w:rPr>
            </w:pPr>
            <w:r w:rsidRPr="00D72FD2">
              <w:rPr>
                <w:rFonts w:ascii="Garamond" w:eastAsia="Times New Roman" w:hAnsi="Garamond" w:cs="Times New Roman"/>
                <w:b/>
                <w:sz w:val="24"/>
                <w:szCs w:val="24"/>
              </w:rPr>
              <w:t xml:space="preserve">Kriteri </w:t>
            </w:r>
          </w:p>
        </w:tc>
        <w:tc>
          <w:tcPr>
            <w:tcW w:w="805" w:type="pct"/>
            <w:tcBorders>
              <w:top w:val="single" w:sz="4" w:space="0" w:color="000000"/>
              <w:left w:val="single" w:sz="4" w:space="0" w:color="000000"/>
              <w:bottom w:val="single" w:sz="4" w:space="0" w:color="000000"/>
              <w:right w:val="single" w:sz="4" w:space="0" w:color="000000"/>
            </w:tcBorders>
            <w:shd w:val="clear" w:color="auto" w:fill="ACB9CA"/>
          </w:tcPr>
          <w:p w14:paraId="543C7250" w14:textId="77777777" w:rsidR="00F052F6" w:rsidRPr="00D72FD2" w:rsidRDefault="00F052F6" w:rsidP="003464CC">
            <w:pPr>
              <w:spacing w:after="0" w:line="240" w:lineRule="auto"/>
              <w:jc w:val="center"/>
              <w:rPr>
                <w:rFonts w:ascii="Garamond" w:hAnsi="Garamond" w:cs="Times New Roman"/>
                <w:b/>
                <w:sz w:val="24"/>
                <w:szCs w:val="24"/>
              </w:rPr>
            </w:pPr>
            <w:r w:rsidRPr="00D72FD2">
              <w:rPr>
                <w:rFonts w:ascii="Garamond" w:eastAsia="Times New Roman" w:hAnsi="Garamond" w:cs="Times New Roman"/>
                <w:b/>
                <w:sz w:val="24"/>
                <w:szCs w:val="24"/>
              </w:rPr>
              <w:t xml:space="preserve">Pikët </w:t>
            </w:r>
          </w:p>
        </w:tc>
        <w:tc>
          <w:tcPr>
            <w:tcW w:w="1166" w:type="pct"/>
            <w:tcBorders>
              <w:top w:val="single" w:sz="4" w:space="0" w:color="000000"/>
              <w:left w:val="single" w:sz="4" w:space="0" w:color="000000"/>
              <w:bottom w:val="single" w:sz="4" w:space="0" w:color="000000"/>
              <w:right w:val="single" w:sz="4" w:space="0" w:color="000000"/>
            </w:tcBorders>
            <w:shd w:val="clear" w:color="auto" w:fill="ACB9CA"/>
          </w:tcPr>
          <w:p w14:paraId="2DFA5C1A" w14:textId="77777777" w:rsidR="00F052F6" w:rsidRPr="00D72FD2" w:rsidRDefault="00F052F6" w:rsidP="003464CC">
            <w:pPr>
              <w:spacing w:after="0" w:line="240" w:lineRule="auto"/>
              <w:jc w:val="center"/>
              <w:rPr>
                <w:rFonts w:ascii="Garamond" w:hAnsi="Garamond" w:cs="Times New Roman"/>
                <w:b/>
                <w:sz w:val="24"/>
                <w:szCs w:val="24"/>
              </w:rPr>
            </w:pPr>
            <w:r w:rsidRPr="00D72FD2">
              <w:rPr>
                <w:rFonts w:ascii="Garamond" w:eastAsia="Times New Roman" w:hAnsi="Garamond" w:cs="Times New Roman"/>
                <w:b/>
                <w:sz w:val="24"/>
                <w:szCs w:val="24"/>
              </w:rPr>
              <w:t xml:space="preserve">Niveli i vlerësimit </w:t>
            </w:r>
          </w:p>
        </w:tc>
      </w:tr>
      <w:tr w:rsidR="00F052F6" w:rsidRPr="003D5CE4" w14:paraId="22B96DC5" w14:textId="77777777" w:rsidTr="003464CC">
        <w:trPr>
          <w:trHeight w:val="43"/>
        </w:trPr>
        <w:tc>
          <w:tcPr>
            <w:tcW w:w="3029" w:type="pct"/>
            <w:tcBorders>
              <w:top w:val="single" w:sz="4" w:space="0" w:color="000000"/>
              <w:left w:val="single" w:sz="4" w:space="0" w:color="000000"/>
              <w:bottom w:val="single" w:sz="4" w:space="0" w:color="000000"/>
              <w:right w:val="single" w:sz="4" w:space="0" w:color="000000"/>
            </w:tcBorders>
            <w:vAlign w:val="center"/>
          </w:tcPr>
          <w:p w14:paraId="7E6D338D"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1.</w:t>
            </w:r>
            <w:r w:rsidRPr="003D5CE4">
              <w:rPr>
                <w:rFonts w:ascii="Garamond" w:eastAsia="Arial" w:hAnsi="Garamond" w:cs="Times New Roman"/>
                <w:sz w:val="24"/>
                <w:szCs w:val="24"/>
              </w:rPr>
              <w:t xml:space="preserve"> </w:t>
            </w:r>
            <w:r w:rsidRPr="003D5CE4">
              <w:rPr>
                <w:rFonts w:ascii="Garamond" w:eastAsia="Times New Roman" w:hAnsi="Garamond" w:cs="Times New Roman"/>
                <w:sz w:val="24"/>
                <w:szCs w:val="24"/>
              </w:rPr>
              <w:t xml:space="preserve">Aftësitë profesionale të prokurorit </w:t>
            </w:r>
          </w:p>
        </w:tc>
        <w:tc>
          <w:tcPr>
            <w:tcW w:w="805" w:type="pct"/>
            <w:tcBorders>
              <w:top w:val="single" w:sz="4" w:space="0" w:color="000000"/>
              <w:left w:val="single" w:sz="4" w:space="0" w:color="000000"/>
              <w:bottom w:val="single" w:sz="4" w:space="0" w:color="000000"/>
              <w:right w:val="single" w:sz="4" w:space="0" w:color="000000"/>
            </w:tcBorders>
            <w:vAlign w:val="center"/>
          </w:tcPr>
          <w:p w14:paraId="3E5FB1B7"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 </w:t>
            </w:r>
          </w:p>
        </w:tc>
        <w:tc>
          <w:tcPr>
            <w:tcW w:w="1166" w:type="pct"/>
            <w:tcBorders>
              <w:top w:val="single" w:sz="4" w:space="0" w:color="000000"/>
              <w:left w:val="single" w:sz="4" w:space="0" w:color="000000"/>
              <w:bottom w:val="single" w:sz="4" w:space="0" w:color="000000"/>
              <w:right w:val="single" w:sz="4" w:space="0" w:color="000000"/>
            </w:tcBorders>
            <w:vAlign w:val="center"/>
          </w:tcPr>
          <w:p w14:paraId="78319F4E"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 </w:t>
            </w:r>
          </w:p>
        </w:tc>
      </w:tr>
      <w:tr w:rsidR="00F052F6" w:rsidRPr="003D5CE4" w14:paraId="45B0015B" w14:textId="77777777" w:rsidTr="003464CC">
        <w:trPr>
          <w:trHeight w:val="43"/>
        </w:trPr>
        <w:tc>
          <w:tcPr>
            <w:tcW w:w="3029" w:type="pct"/>
            <w:tcBorders>
              <w:top w:val="single" w:sz="4" w:space="0" w:color="000000"/>
              <w:left w:val="single" w:sz="4" w:space="0" w:color="000000"/>
              <w:bottom w:val="single" w:sz="4" w:space="0" w:color="000000"/>
              <w:right w:val="single" w:sz="4" w:space="0" w:color="000000"/>
            </w:tcBorders>
            <w:vAlign w:val="center"/>
          </w:tcPr>
          <w:p w14:paraId="3EB4F0EA"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2.</w:t>
            </w:r>
            <w:r w:rsidRPr="003D5CE4">
              <w:rPr>
                <w:rFonts w:ascii="Garamond" w:eastAsia="Arial" w:hAnsi="Garamond" w:cs="Times New Roman"/>
                <w:sz w:val="24"/>
                <w:szCs w:val="24"/>
              </w:rPr>
              <w:t xml:space="preserve"> </w:t>
            </w:r>
            <w:r w:rsidRPr="003D5CE4">
              <w:rPr>
                <w:rFonts w:ascii="Garamond" w:eastAsia="Times New Roman" w:hAnsi="Garamond" w:cs="Times New Roman"/>
                <w:sz w:val="24"/>
                <w:szCs w:val="24"/>
              </w:rPr>
              <w:t xml:space="preserve">Aftësitë organizative të prokurorit </w:t>
            </w:r>
          </w:p>
        </w:tc>
        <w:tc>
          <w:tcPr>
            <w:tcW w:w="805" w:type="pct"/>
            <w:tcBorders>
              <w:top w:val="single" w:sz="4" w:space="0" w:color="000000"/>
              <w:left w:val="single" w:sz="4" w:space="0" w:color="000000"/>
              <w:bottom w:val="single" w:sz="4" w:space="0" w:color="000000"/>
              <w:right w:val="single" w:sz="4" w:space="0" w:color="000000"/>
            </w:tcBorders>
            <w:vAlign w:val="center"/>
          </w:tcPr>
          <w:p w14:paraId="3E8B0C63"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 </w:t>
            </w:r>
          </w:p>
        </w:tc>
        <w:tc>
          <w:tcPr>
            <w:tcW w:w="1166" w:type="pct"/>
            <w:tcBorders>
              <w:top w:val="single" w:sz="4" w:space="0" w:color="000000"/>
              <w:left w:val="single" w:sz="4" w:space="0" w:color="000000"/>
              <w:bottom w:val="single" w:sz="4" w:space="0" w:color="000000"/>
              <w:right w:val="single" w:sz="4" w:space="0" w:color="000000"/>
            </w:tcBorders>
            <w:vAlign w:val="center"/>
          </w:tcPr>
          <w:p w14:paraId="77670176"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 </w:t>
            </w:r>
          </w:p>
        </w:tc>
      </w:tr>
      <w:tr w:rsidR="00F052F6" w:rsidRPr="003D5CE4" w14:paraId="615119A0" w14:textId="77777777" w:rsidTr="003464CC">
        <w:trPr>
          <w:trHeight w:val="43"/>
        </w:trPr>
        <w:tc>
          <w:tcPr>
            <w:tcW w:w="3029" w:type="pct"/>
            <w:tcBorders>
              <w:top w:val="single" w:sz="4" w:space="0" w:color="000000"/>
              <w:left w:val="single" w:sz="4" w:space="0" w:color="000000"/>
              <w:bottom w:val="single" w:sz="4" w:space="0" w:color="000000"/>
              <w:right w:val="single" w:sz="4" w:space="0" w:color="000000"/>
            </w:tcBorders>
            <w:vAlign w:val="center"/>
          </w:tcPr>
          <w:p w14:paraId="0C30D2B5"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3.</w:t>
            </w:r>
            <w:r w:rsidRPr="003D5CE4">
              <w:rPr>
                <w:rFonts w:ascii="Garamond" w:eastAsia="Arial" w:hAnsi="Garamond" w:cs="Times New Roman"/>
                <w:sz w:val="24"/>
                <w:szCs w:val="24"/>
              </w:rPr>
              <w:t xml:space="preserve"> </w:t>
            </w:r>
            <w:r w:rsidRPr="003D5CE4">
              <w:rPr>
                <w:rFonts w:ascii="Garamond" w:eastAsia="Times New Roman" w:hAnsi="Garamond" w:cs="Times New Roman"/>
                <w:sz w:val="24"/>
                <w:szCs w:val="24"/>
              </w:rPr>
              <w:t xml:space="preserve">Etika dhe angazhimi ndaj vlerave profesionale </w:t>
            </w:r>
          </w:p>
        </w:tc>
        <w:tc>
          <w:tcPr>
            <w:tcW w:w="805" w:type="pct"/>
            <w:tcBorders>
              <w:top w:val="single" w:sz="4" w:space="0" w:color="000000"/>
              <w:left w:val="single" w:sz="4" w:space="0" w:color="000000"/>
              <w:bottom w:val="single" w:sz="4" w:space="0" w:color="000000"/>
              <w:right w:val="single" w:sz="4" w:space="0" w:color="000000"/>
            </w:tcBorders>
            <w:vAlign w:val="center"/>
          </w:tcPr>
          <w:p w14:paraId="48102AA4"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 </w:t>
            </w:r>
          </w:p>
        </w:tc>
        <w:tc>
          <w:tcPr>
            <w:tcW w:w="1166" w:type="pct"/>
            <w:tcBorders>
              <w:top w:val="single" w:sz="4" w:space="0" w:color="000000"/>
              <w:left w:val="single" w:sz="4" w:space="0" w:color="000000"/>
              <w:bottom w:val="single" w:sz="4" w:space="0" w:color="000000"/>
              <w:right w:val="single" w:sz="4" w:space="0" w:color="000000"/>
            </w:tcBorders>
            <w:vAlign w:val="center"/>
          </w:tcPr>
          <w:p w14:paraId="2F40BAF5"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 </w:t>
            </w:r>
          </w:p>
        </w:tc>
      </w:tr>
      <w:tr w:rsidR="00F052F6" w:rsidRPr="003D5CE4" w14:paraId="1054EE66" w14:textId="77777777" w:rsidTr="003464CC">
        <w:trPr>
          <w:trHeight w:val="43"/>
        </w:trPr>
        <w:tc>
          <w:tcPr>
            <w:tcW w:w="3029" w:type="pct"/>
            <w:tcBorders>
              <w:top w:val="single" w:sz="4" w:space="0" w:color="000000"/>
              <w:left w:val="single" w:sz="4" w:space="0" w:color="000000"/>
              <w:bottom w:val="single" w:sz="4" w:space="0" w:color="000000"/>
              <w:right w:val="single" w:sz="4" w:space="0" w:color="000000"/>
            </w:tcBorders>
            <w:vAlign w:val="center"/>
          </w:tcPr>
          <w:p w14:paraId="7F50FA0B"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4.</w:t>
            </w:r>
            <w:r w:rsidRPr="003D5CE4">
              <w:rPr>
                <w:rFonts w:ascii="Garamond" w:eastAsia="Arial" w:hAnsi="Garamond" w:cs="Times New Roman"/>
                <w:sz w:val="24"/>
                <w:szCs w:val="24"/>
              </w:rPr>
              <w:t xml:space="preserve"> </w:t>
            </w:r>
            <w:r w:rsidRPr="003D5CE4">
              <w:rPr>
                <w:rFonts w:ascii="Garamond" w:eastAsia="Times New Roman" w:hAnsi="Garamond" w:cs="Times New Roman"/>
                <w:sz w:val="24"/>
                <w:szCs w:val="24"/>
              </w:rPr>
              <w:t xml:space="preserve">Aftësitë personale dhe angazhimi profesional </w:t>
            </w:r>
          </w:p>
        </w:tc>
        <w:tc>
          <w:tcPr>
            <w:tcW w:w="805" w:type="pct"/>
            <w:tcBorders>
              <w:top w:val="single" w:sz="4" w:space="0" w:color="000000"/>
              <w:left w:val="single" w:sz="4" w:space="0" w:color="000000"/>
              <w:bottom w:val="single" w:sz="4" w:space="0" w:color="000000"/>
              <w:right w:val="single" w:sz="4" w:space="0" w:color="000000"/>
            </w:tcBorders>
            <w:vAlign w:val="center"/>
          </w:tcPr>
          <w:p w14:paraId="60957FEA"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 </w:t>
            </w:r>
          </w:p>
        </w:tc>
        <w:tc>
          <w:tcPr>
            <w:tcW w:w="1166" w:type="pct"/>
            <w:tcBorders>
              <w:top w:val="single" w:sz="4" w:space="0" w:color="000000"/>
              <w:left w:val="single" w:sz="4" w:space="0" w:color="000000"/>
              <w:bottom w:val="single" w:sz="4" w:space="0" w:color="000000"/>
              <w:right w:val="single" w:sz="4" w:space="0" w:color="000000"/>
            </w:tcBorders>
            <w:vAlign w:val="center"/>
          </w:tcPr>
          <w:p w14:paraId="62592107"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 </w:t>
            </w:r>
          </w:p>
        </w:tc>
      </w:tr>
      <w:tr w:rsidR="00F052F6" w:rsidRPr="003D5CE4" w14:paraId="36E73CBF" w14:textId="77777777" w:rsidTr="003464CC">
        <w:trPr>
          <w:trHeight w:val="43"/>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BDD6EE"/>
            <w:vAlign w:val="center"/>
          </w:tcPr>
          <w:p w14:paraId="254A8544" w14:textId="77777777" w:rsidR="00F052F6" w:rsidRPr="003D5CE4" w:rsidRDefault="00F052F6" w:rsidP="003464CC">
            <w:pPr>
              <w:spacing w:after="0" w:line="240" w:lineRule="auto"/>
              <w:jc w:val="center"/>
              <w:rPr>
                <w:rFonts w:ascii="Garamond" w:hAnsi="Garamond" w:cs="Times New Roman"/>
                <w:sz w:val="24"/>
                <w:szCs w:val="24"/>
              </w:rPr>
            </w:pPr>
            <w:r w:rsidRPr="003D5CE4">
              <w:rPr>
                <w:rFonts w:ascii="Garamond" w:eastAsia="Times New Roman" w:hAnsi="Garamond" w:cs="Times New Roman"/>
                <w:b/>
                <w:sz w:val="24"/>
                <w:szCs w:val="24"/>
              </w:rPr>
              <w:t>Propozim për nivelin e përgjithshëm të vlerësimit</w:t>
            </w:r>
          </w:p>
        </w:tc>
      </w:tr>
      <w:tr w:rsidR="00F052F6" w:rsidRPr="003D5CE4" w14:paraId="23B13386" w14:textId="77777777" w:rsidTr="003464CC">
        <w:trPr>
          <w:trHeight w:val="43"/>
        </w:trPr>
        <w:tc>
          <w:tcPr>
            <w:tcW w:w="3029" w:type="pct"/>
            <w:tcBorders>
              <w:top w:val="single" w:sz="4" w:space="0" w:color="000000"/>
              <w:left w:val="single" w:sz="4" w:space="0" w:color="000000"/>
              <w:bottom w:val="single" w:sz="4" w:space="0" w:color="000000"/>
              <w:right w:val="single" w:sz="4" w:space="0" w:color="000000"/>
            </w:tcBorders>
            <w:vAlign w:val="center"/>
          </w:tcPr>
          <w:p w14:paraId="60124A52"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Vlerësimi i përgjithshëm </w:t>
            </w:r>
          </w:p>
        </w:tc>
        <w:tc>
          <w:tcPr>
            <w:tcW w:w="805" w:type="pct"/>
            <w:tcBorders>
              <w:top w:val="single" w:sz="4" w:space="0" w:color="000000"/>
              <w:left w:val="single" w:sz="4" w:space="0" w:color="000000"/>
              <w:bottom w:val="single" w:sz="4" w:space="0" w:color="000000"/>
              <w:right w:val="single" w:sz="4" w:space="0" w:color="000000"/>
            </w:tcBorders>
            <w:vAlign w:val="center"/>
          </w:tcPr>
          <w:p w14:paraId="38BA0AF3"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 </w:t>
            </w:r>
          </w:p>
        </w:tc>
        <w:tc>
          <w:tcPr>
            <w:tcW w:w="1166" w:type="pct"/>
            <w:tcBorders>
              <w:top w:val="single" w:sz="4" w:space="0" w:color="000000"/>
              <w:left w:val="single" w:sz="4" w:space="0" w:color="000000"/>
              <w:bottom w:val="single" w:sz="4" w:space="0" w:color="000000"/>
              <w:right w:val="single" w:sz="4" w:space="0" w:color="000000"/>
            </w:tcBorders>
            <w:vAlign w:val="center"/>
          </w:tcPr>
          <w:p w14:paraId="5442D9FA" w14:textId="77777777" w:rsidR="00F052F6" w:rsidRPr="003D5CE4" w:rsidRDefault="00F052F6" w:rsidP="003464CC">
            <w:pPr>
              <w:spacing w:after="0" w:line="240" w:lineRule="auto"/>
              <w:rPr>
                <w:rFonts w:ascii="Garamond" w:hAnsi="Garamond" w:cs="Times New Roman"/>
                <w:sz w:val="24"/>
                <w:szCs w:val="24"/>
              </w:rPr>
            </w:pPr>
            <w:r w:rsidRPr="003D5CE4">
              <w:rPr>
                <w:rFonts w:ascii="Garamond" w:eastAsia="Times New Roman" w:hAnsi="Garamond" w:cs="Times New Roman"/>
                <w:sz w:val="24"/>
                <w:szCs w:val="24"/>
              </w:rPr>
              <w:t xml:space="preserve"> </w:t>
            </w:r>
          </w:p>
        </w:tc>
      </w:tr>
    </w:tbl>
    <w:p w14:paraId="60125E24" w14:textId="77777777" w:rsidR="00F052F6" w:rsidRPr="0072746C" w:rsidRDefault="00F052F6" w:rsidP="00F052F6">
      <w:pPr>
        <w:autoSpaceDE w:val="0"/>
        <w:autoSpaceDN w:val="0"/>
        <w:adjustRightInd w:val="0"/>
        <w:spacing w:after="0" w:line="240" w:lineRule="auto"/>
        <w:ind w:firstLine="284"/>
        <w:rPr>
          <w:rFonts w:ascii="Garamond" w:hAnsi="Garamond" w:cs="Garamond"/>
          <w:color w:val="000000"/>
          <w:sz w:val="14"/>
          <w:szCs w:val="24"/>
        </w:rPr>
      </w:pPr>
      <w:r w:rsidRPr="003D5CE4">
        <w:rPr>
          <w:rFonts w:ascii="Garamond" w:hAnsi="Garamond" w:cs="Garamond"/>
          <w:color w:val="000000"/>
          <w:sz w:val="24"/>
          <w:szCs w:val="24"/>
        </w:rPr>
        <w:t xml:space="preserve"> </w:t>
      </w:r>
    </w:p>
    <w:p w14:paraId="3BB26957" w14:textId="77777777" w:rsidR="00F052F6" w:rsidRPr="00C00BFF" w:rsidRDefault="00F052F6" w:rsidP="00F052F6">
      <w:pPr>
        <w:autoSpaceDE w:val="0"/>
        <w:autoSpaceDN w:val="0"/>
        <w:adjustRightInd w:val="0"/>
        <w:spacing w:after="0" w:line="240" w:lineRule="auto"/>
        <w:ind w:firstLine="284"/>
        <w:jc w:val="both"/>
        <w:rPr>
          <w:rFonts w:ascii="Garamond" w:hAnsi="Garamond" w:cs="Garamond"/>
          <w:bCs/>
          <w:color w:val="000000"/>
          <w:sz w:val="24"/>
          <w:szCs w:val="24"/>
        </w:rPr>
      </w:pPr>
      <w:r w:rsidRPr="00C00BFF">
        <w:rPr>
          <w:rFonts w:ascii="Garamond" w:hAnsi="Garamond" w:cs="Garamond"/>
          <w:bCs/>
          <w:color w:val="000000"/>
          <w:sz w:val="24"/>
          <w:szCs w:val="24"/>
        </w:rPr>
        <w:t xml:space="preserve">NDARJA G. PROPOZIME DHE REKOMANDIME </w:t>
      </w:r>
    </w:p>
    <w:p w14:paraId="467FF56A" w14:textId="77777777" w:rsidR="00F052F6" w:rsidRPr="003D5CE4" w:rsidRDefault="00F052F6" w:rsidP="00F052F6">
      <w:pPr>
        <w:autoSpaceDE w:val="0"/>
        <w:autoSpaceDN w:val="0"/>
        <w:adjustRightInd w:val="0"/>
        <w:spacing w:after="0" w:line="240" w:lineRule="auto"/>
        <w:ind w:firstLine="284"/>
        <w:jc w:val="both"/>
        <w:rPr>
          <w:rFonts w:ascii="Garamond" w:hAnsi="Garamond" w:cs="Garamond"/>
          <w:color w:val="000000"/>
          <w:sz w:val="24"/>
          <w:szCs w:val="24"/>
        </w:rPr>
      </w:pPr>
      <w:r w:rsidRPr="003D5CE4">
        <w:rPr>
          <w:rFonts w:ascii="Garamond" w:hAnsi="Garamond" w:cs="Garamond"/>
          <w:i/>
          <w:iCs/>
          <w:color w:val="2E74B5"/>
          <w:sz w:val="24"/>
          <w:szCs w:val="24"/>
        </w:rPr>
        <w:t>Në këtë pjesë, relatori, bazuar në parashikimet e nenit 93</w:t>
      </w:r>
      <w:r>
        <w:rPr>
          <w:rFonts w:ascii="Garamond" w:hAnsi="Garamond" w:cs="Garamond"/>
          <w:i/>
          <w:iCs/>
          <w:color w:val="2E74B5"/>
          <w:sz w:val="24"/>
          <w:szCs w:val="24"/>
        </w:rPr>
        <w:t>,</w:t>
      </w:r>
      <w:r w:rsidRPr="003D5CE4">
        <w:rPr>
          <w:rFonts w:ascii="Garamond" w:hAnsi="Garamond" w:cs="Garamond"/>
          <w:i/>
          <w:iCs/>
          <w:color w:val="2E74B5"/>
          <w:sz w:val="24"/>
          <w:szCs w:val="24"/>
        </w:rPr>
        <w:t xml:space="preserve"> pika 5</w:t>
      </w:r>
      <w:r>
        <w:rPr>
          <w:rFonts w:ascii="Garamond" w:hAnsi="Garamond" w:cs="Garamond"/>
          <w:i/>
          <w:iCs/>
          <w:color w:val="2E74B5"/>
          <w:sz w:val="24"/>
          <w:szCs w:val="24"/>
        </w:rPr>
        <w:t>,</w:t>
      </w:r>
      <w:r w:rsidRPr="003D5CE4">
        <w:rPr>
          <w:rFonts w:ascii="Garamond" w:hAnsi="Garamond" w:cs="Garamond"/>
          <w:i/>
          <w:iCs/>
          <w:color w:val="2E74B5"/>
          <w:sz w:val="24"/>
          <w:szCs w:val="24"/>
        </w:rPr>
        <w:t xml:space="preserve"> shkronja “ç”</w:t>
      </w:r>
      <w:r>
        <w:rPr>
          <w:rFonts w:ascii="Garamond" w:hAnsi="Garamond" w:cs="Garamond"/>
          <w:i/>
          <w:iCs/>
          <w:color w:val="2E74B5"/>
          <w:sz w:val="24"/>
          <w:szCs w:val="24"/>
        </w:rPr>
        <w:t>,</w:t>
      </w:r>
      <w:r w:rsidRPr="003D5CE4">
        <w:rPr>
          <w:rFonts w:ascii="Garamond" w:hAnsi="Garamond" w:cs="Garamond"/>
          <w:i/>
          <w:iCs/>
          <w:color w:val="2E74B5"/>
          <w:sz w:val="24"/>
          <w:szCs w:val="24"/>
        </w:rPr>
        <w:t xml:space="preserve"> të </w:t>
      </w:r>
      <w:r>
        <w:rPr>
          <w:rFonts w:ascii="Garamond" w:hAnsi="Garamond" w:cs="Garamond"/>
          <w:i/>
          <w:iCs/>
          <w:color w:val="2E74B5"/>
          <w:sz w:val="24"/>
          <w:szCs w:val="24"/>
        </w:rPr>
        <w:t>l</w:t>
      </w:r>
      <w:r w:rsidRPr="003D5CE4">
        <w:rPr>
          <w:rFonts w:ascii="Garamond" w:hAnsi="Garamond" w:cs="Garamond"/>
          <w:i/>
          <w:iCs/>
          <w:color w:val="2E74B5"/>
          <w:sz w:val="24"/>
          <w:szCs w:val="24"/>
        </w:rPr>
        <w:t>igjit nr.</w:t>
      </w:r>
      <w:r>
        <w:rPr>
          <w:rFonts w:ascii="Garamond" w:hAnsi="Garamond" w:cs="Garamond"/>
          <w:i/>
          <w:iCs/>
          <w:color w:val="2E74B5"/>
          <w:sz w:val="24"/>
          <w:szCs w:val="24"/>
        </w:rPr>
        <w:t xml:space="preserve"> </w:t>
      </w:r>
      <w:r w:rsidRPr="003D5CE4">
        <w:rPr>
          <w:rFonts w:ascii="Garamond" w:hAnsi="Garamond" w:cs="Garamond"/>
          <w:i/>
          <w:iCs/>
          <w:color w:val="2E74B5"/>
          <w:sz w:val="24"/>
          <w:szCs w:val="24"/>
        </w:rPr>
        <w:t xml:space="preserve">96/2016, “Për statusin e gjyqtarëve dhe prokurorëve në Republikën e Shqipërisë”, i ndryshuar, referuar të dhënave të analizuara dhe vlerësuara në raport me kriteret e vlerësimit, bën propozim për trajnime dhe/ose rekomandon hapa të cilët i vlerëson të nevojshëm për t’u ndërmarrë nga prokurori me qëllim përmirësimin e veprimtarisë së tij. </w:t>
      </w:r>
    </w:p>
    <w:p w14:paraId="35F6AFF0" w14:textId="77777777" w:rsidR="00F052F6" w:rsidRPr="003D5CE4" w:rsidRDefault="00F052F6" w:rsidP="00F052F6">
      <w:pPr>
        <w:autoSpaceDE w:val="0"/>
        <w:autoSpaceDN w:val="0"/>
        <w:adjustRightInd w:val="0"/>
        <w:spacing w:after="0" w:line="240" w:lineRule="auto"/>
        <w:ind w:firstLine="284"/>
        <w:rPr>
          <w:rFonts w:ascii="Garamond" w:hAnsi="Garamond" w:cs="Garamond"/>
          <w:color w:val="000000"/>
          <w:sz w:val="24"/>
          <w:szCs w:val="24"/>
        </w:rPr>
      </w:pPr>
      <w:r w:rsidRPr="003D5CE4">
        <w:rPr>
          <w:rFonts w:ascii="Garamond" w:hAnsi="Garamond" w:cs="Garamond"/>
          <w:b/>
          <w:bCs/>
          <w:i/>
          <w:iCs/>
          <w:color w:val="2E74B5"/>
          <w:sz w:val="24"/>
          <w:szCs w:val="24"/>
        </w:rPr>
        <w:t xml:space="preserve"> </w:t>
      </w:r>
    </w:p>
    <w:p w14:paraId="53C84827" w14:textId="77777777" w:rsidR="00F052F6" w:rsidRPr="003D5CE4" w:rsidRDefault="00F052F6" w:rsidP="00F052F6">
      <w:pPr>
        <w:autoSpaceDE w:val="0"/>
        <w:autoSpaceDN w:val="0"/>
        <w:adjustRightInd w:val="0"/>
        <w:spacing w:after="0" w:line="240" w:lineRule="auto"/>
        <w:ind w:firstLine="284"/>
        <w:jc w:val="right"/>
        <w:rPr>
          <w:rFonts w:ascii="Garamond" w:hAnsi="Garamond" w:cs="Garamond"/>
          <w:color w:val="000000"/>
          <w:sz w:val="24"/>
          <w:szCs w:val="24"/>
        </w:rPr>
      </w:pPr>
      <w:r w:rsidRPr="006F7B9C">
        <w:rPr>
          <w:rFonts w:ascii="Garamond" w:hAnsi="Garamond" w:cs="Garamond"/>
          <w:bCs/>
          <w:color w:val="000000"/>
          <w:sz w:val="24"/>
          <w:szCs w:val="24"/>
        </w:rPr>
        <w:t>RELATOR</w:t>
      </w:r>
      <w:r w:rsidRPr="003D5CE4">
        <w:rPr>
          <w:rFonts w:ascii="Garamond" w:hAnsi="Garamond" w:cs="Garamond"/>
          <w:b/>
          <w:bCs/>
          <w:color w:val="000000"/>
          <w:sz w:val="24"/>
          <w:szCs w:val="24"/>
        </w:rPr>
        <w:t xml:space="preserve"> </w:t>
      </w:r>
    </w:p>
    <w:p w14:paraId="4584E253" w14:textId="77777777" w:rsidR="00F052F6" w:rsidRPr="003D5CE4" w:rsidRDefault="00F052F6" w:rsidP="00F052F6">
      <w:pPr>
        <w:autoSpaceDE w:val="0"/>
        <w:autoSpaceDN w:val="0"/>
        <w:adjustRightInd w:val="0"/>
        <w:spacing w:after="0" w:line="240" w:lineRule="auto"/>
        <w:ind w:firstLine="284"/>
        <w:jc w:val="right"/>
        <w:rPr>
          <w:rFonts w:ascii="Garamond" w:hAnsi="Garamond" w:cs="Times New Roman"/>
          <w:b/>
          <w:bCs/>
          <w:color w:val="000000"/>
          <w:sz w:val="24"/>
          <w:szCs w:val="24"/>
        </w:rPr>
      </w:pPr>
      <w:r w:rsidRPr="003D5CE4">
        <w:rPr>
          <w:rFonts w:ascii="Garamond" w:hAnsi="Garamond" w:cs="Garamond"/>
          <w:i/>
          <w:iCs/>
          <w:color w:val="2E74B5"/>
          <w:sz w:val="24"/>
          <w:szCs w:val="24"/>
        </w:rPr>
        <w:t>(EMRI, MBIEMRI DHE NËNSHKRIMI)</w:t>
      </w:r>
      <w:r w:rsidRPr="003D5CE4">
        <w:rPr>
          <w:rFonts w:ascii="Garamond" w:hAnsi="Garamond" w:cs="Garamond"/>
          <w:color w:val="000000"/>
          <w:sz w:val="24"/>
          <w:szCs w:val="24"/>
        </w:rPr>
        <w:t xml:space="preserve"> </w:t>
      </w:r>
    </w:p>
    <w:p w14:paraId="15EB620C" w14:textId="77777777" w:rsidR="00F052F6" w:rsidRPr="003D5CE4" w:rsidRDefault="00F052F6" w:rsidP="00F052F6">
      <w:pPr>
        <w:spacing w:after="0" w:line="240" w:lineRule="auto"/>
        <w:jc w:val="right"/>
        <w:rPr>
          <w:sz w:val="24"/>
          <w:szCs w:val="24"/>
        </w:rPr>
      </w:pPr>
    </w:p>
    <w:p w14:paraId="021D1C50" w14:textId="77777777" w:rsidR="00F052F6" w:rsidRPr="003D5CE4" w:rsidRDefault="00F052F6" w:rsidP="00F052F6">
      <w:pPr>
        <w:autoSpaceDE w:val="0"/>
        <w:autoSpaceDN w:val="0"/>
        <w:adjustRightInd w:val="0"/>
        <w:spacing w:after="0" w:line="240" w:lineRule="auto"/>
        <w:ind w:firstLine="284"/>
        <w:rPr>
          <w:rFonts w:ascii="Garamond" w:hAnsi="Garamond"/>
          <w:sz w:val="24"/>
          <w:szCs w:val="24"/>
        </w:rPr>
      </w:pPr>
    </w:p>
    <w:p w14:paraId="31D3D426" w14:textId="77777777" w:rsidR="00F052F6" w:rsidRPr="003D5CE4" w:rsidRDefault="00F052F6" w:rsidP="00F052F6">
      <w:pPr>
        <w:autoSpaceDE w:val="0"/>
        <w:autoSpaceDN w:val="0"/>
        <w:adjustRightInd w:val="0"/>
        <w:spacing w:after="0" w:line="240" w:lineRule="auto"/>
        <w:ind w:firstLine="284"/>
        <w:rPr>
          <w:rFonts w:ascii="Garamond" w:hAnsi="Garamond"/>
          <w:sz w:val="24"/>
          <w:szCs w:val="24"/>
        </w:rPr>
      </w:pPr>
    </w:p>
    <w:p w14:paraId="267E7A4B" w14:textId="77777777" w:rsidR="00F052F6" w:rsidRPr="003D5CE4" w:rsidRDefault="00F052F6" w:rsidP="00F052F6">
      <w:pPr>
        <w:autoSpaceDE w:val="0"/>
        <w:autoSpaceDN w:val="0"/>
        <w:adjustRightInd w:val="0"/>
        <w:spacing w:after="0" w:line="240" w:lineRule="auto"/>
        <w:ind w:firstLine="284"/>
        <w:rPr>
          <w:rFonts w:ascii="Garamond" w:hAnsi="Garamond"/>
          <w:sz w:val="24"/>
          <w:szCs w:val="24"/>
        </w:rPr>
        <w:sectPr w:rsidR="00F052F6" w:rsidRPr="003D5CE4" w:rsidSect="00DC3455">
          <w:pgSz w:w="12240" w:h="15840"/>
          <w:pgMar w:top="1440" w:right="1440" w:bottom="1440" w:left="1440" w:header="720" w:footer="720" w:gutter="0"/>
          <w:cols w:space="720"/>
          <w:noEndnote/>
        </w:sectPr>
      </w:pPr>
    </w:p>
    <w:p w14:paraId="5D265A79" w14:textId="77777777" w:rsidR="00F052F6" w:rsidRPr="00CA5200" w:rsidRDefault="00F052F6" w:rsidP="00F052F6">
      <w:pPr>
        <w:tabs>
          <w:tab w:val="center" w:pos="5852"/>
          <w:tab w:val="center" w:pos="7340"/>
        </w:tabs>
        <w:spacing w:after="0" w:line="240" w:lineRule="auto"/>
        <w:jc w:val="center"/>
        <w:rPr>
          <w:rFonts w:ascii="Times New Roman" w:eastAsia="Times New Roman" w:hAnsi="Times New Roman" w:cs="Times New Roman"/>
          <w:sz w:val="24"/>
          <w:szCs w:val="24"/>
        </w:rPr>
      </w:pPr>
      <w:r w:rsidRPr="00CA5200">
        <w:rPr>
          <w:rFonts w:ascii="Times New Roman" w:eastAsia="Times New Roman" w:hAnsi="Times New Roman" w:cs="Times New Roman"/>
          <w:sz w:val="24"/>
          <w:szCs w:val="24"/>
        </w:rPr>
        <w:t>SHTOJCË 1</w:t>
      </w:r>
    </w:p>
    <w:p w14:paraId="2369BBE2" w14:textId="77777777" w:rsidR="00F052F6" w:rsidRPr="003D5CE4" w:rsidRDefault="00F052F6" w:rsidP="00F052F6">
      <w:pPr>
        <w:tabs>
          <w:tab w:val="center" w:pos="5852"/>
          <w:tab w:val="center" w:pos="7340"/>
        </w:tabs>
        <w:spacing w:after="0" w:line="240" w:lineRule="auto"/>
        <w:jc w:val="center"/>
        <w:rPr>
          <w:rFonts w:ascii="Times New Roman" w:eastAsia="Times New Roman" w:hAnsi="Times New Roman" w:cs="Times New Roman"/>
          <w:b/>
          <w:color w:val="1F3864"/>
          <w:sz w:val="24"/>
          <w:szCs w:val="24"/>
        </w:rPr>
      </w:pPr>
      <w:r w:rsidRPr="003D5CE4">
        <w:rPr>
          <w:rFonts w:ascii="Times New Roman" w:eastAsia="Times New Roman" w:hAnsi="Times New Roman" w:cs="Times New Roman"/>
          <w:i/>
          <w:color w:val="2E74B5"/>
          <w:sz w:val="24"/>
          <w:szCs w:val="24"/>
        </w:rPr>
        <w:t>Shtojca 1 përbëhet nga një format tabel</w:t>
      </w:r>
      <w:r>
        <w:rPr>
          <w:rFonts w:ascii="Times New Roman" w:eastAsia="Times New Roman" w:hAnsi="Times New Roman" w:cs="Times New Roman"/>
          <w:i/>
          <w:color w:val="2E74B5"/>
          <w:sz w:val="24"/>
          <w:szCs w:val="24"/>
        </w:rPr>
        <w:t>o</w:t>
      </w:r>
      <w:r w:rsidRPr="003D5CE4">
        <w:rPr>
          <w:rFonts w:ascii="Times New Roman" w:eastAsia="Times New Roman" w:hAnsi="Times New Roman" w:cs="Times New Roman"/>
          <w:i/>
          <w:color w:val="2E74B5"/>
          <w:sz w:val="24"/>
          <w:szCs w:val="24"/>
        </w:rPr>
        <w:t>r që përmban kriteret e vlerësimit, treguesit, burimet e vlerësimit, shkallën e aftësisë, pikëzimin për çdo tregues dhe kriter dhe nivelin e vlerësimit dhe pikëzimin total të prokurorit</w:t>
      </w:r>
    </w:p>
    <w:tbl>
      <w:tblPr>
        <w:tblW w:w="5000" w:type="pct"/>
        <w:tblLook w:val="04A0" w:firstRow="1" w:lastRow="0" w:firstColumn="1" w:lastColumn="0" w:noHBand="0" w:noVBand="1"/>
      </w:tblPr>
      <w:tblGrid>
        <w:gridCol w:w="1983"/>
        <w:gridCol w:w="2730"/>
        <w:gridCol w:w="3575"/>
        <w:gridCol w:w="1632"/>
        <w:gridCol w:w="867"/>
        <w:gridCol w:w="3433"/>
      </w:tblGrid>
      <w:tr w:rsidR="00F052F6" w:rsidRPr="003D5CE4" w14:paraId="4C07617D" w14:textId="77777777" w:rsidTr="003464CC">
        <w:trPr>
          <w:trHeight w:val="60"/>
        </w:trPr>
        <w:tc>
          <w:tcPr>
            <w:tcW w:w="5000" w:type="pct"/>
            <w:gridSpan w:val="6"/>
            <w:tcBorders>
              <w:top w:val="single" w:sz="8" w:space="0" w:color="auto"/>
              <w:left w:val="single" w:sz="8" w:space="0" w:color="auto"/>
              <w:bottom w:val="single" w:sz="8" w:space="0" w:color="auto"/>
              <w:right w:val="single" w:sz="8" w:space="0" w:color="000000"/>
            </w:tcBorders>
            <w:shd w:val="clear" w:color="auto" w:fill="auto"/>
            <w:vAlign w:val="center"/>
            <w:hideMark/>
          </w:tcPr>
          <w:p w14:paraId="2A59A478" w14:textId="77777777" w:rsidR="00F052F6" w:rsidRPr="006F7B9C" w:rsidRDefault="00F052F6" w:rsidP="003464CC">
            <w:pPr>
              <w:spacing w:after="0" w:line="240" w:lineRule="auto"/>
              <w:jc w:val="center"/>
              <w:rPr>
                <w:rFonts w:ascii="Garamond" w:eastAsia="Times New Roman" w:hAnsi="Garamond" w:cs="Times New Roman"/>
                <w:bCs/>
                <w:color w:val="1F3864"/>
                <w:sz w:val="24"/>
                <w:szCs w:val="24"/>
              </w:rPr>
            </w:pPr>
            <w:r w:rsidRPr="006F7B9C">
              <w:rPr>
                <w:rFonts w:ascii="Garamond" w:eastAsia="Times New Roman" w:hAnsi="Garamond" w:cs="Times New Roman"/>
                <w:bCs/>
                <w:sz w:val="24"/>
                <w:szCs w:val="24"/>
              </w:rPr>
              <w:t xml:space="preserve">KRITERET E VLERËSIMIT, TREGUESIT, BURIMET E VLERËSIMIT, SHKALLA E AFTËSISË, PIKËZIMI, NIVELI I VLERËSIMIT  DHE PIKËZIMI TOTAL I PROKURORIT </w:t>
            </w:r>
          </w:p>
        </w:tc>
      </w:tr>
      <w:tr w:rsidR="00F052F6" w:rsidRPr="003D5CE4" w14:paraId="6249F3B6" w14:textId="77777777" w:rsidTr="00D353E3">
        <w:trPr>
          <w:trHeight w:val="46"/>
        </w:trPr>
        <w:tc>
          <w:tcPr>
            <w:tcW w:w="3488" w:type="pct"/>
            <w:gridSpan w:val="4"/>
            <w:tcBorders>
              <w:top w:val="single" w:sz="8" w:space="0" w:color="auto"/>
              <w:left w:val="single" w:sz="8" w:space="0" w:color="auto"/>
              <w:bottom w:val="single" w:sz="8" w:space="0" w:color="000000"/>
              <w:right w:val="single" w:sz="8" w:space="0" w:color="000000"/>
            </w:tcBorders>
            <w:shd w:val="clear" w:color="000000" w:fill="BFBFBF"/>
            <w:noWrap/>
            <w:vAlign w:val="center"/>
            <w:hideMark/>
          </w:tcPr>
          <w:p w14:paraId="5233E6B4" w14:textId="77777777" w:rsidR="00F052F6" w:rsidRPr="006F7B9C" w:rsidRDefault="00F052F6" w:rsidP="003464CC">
            <w:pPr>
              <w:spacing w:after="0" w:line="240" w:lineRule="auto"/>
              <w:jc w:val="center"/>
              <w:rPr>
                <w:rFonts w:ascii="Garamond" w:eastAsia="Times New Roman" w:hAnsi="Garamond" w:cs="Times New Roman"/>
                <w:bCs/>
                <w:sz w:val="24"/>
                <w:szCs w:val="24"/>
              </w:rPr>
            </w:pPr>
            <w:r w:rsidRPr="006F7B9C">
              <w:rPr>
                <w:rFonts w:ascii="Garamond" w:eastAsia="Times New Roman" w:hAnsi="Garamond" w:cs="Times New Roman"/>
                <w:bCs/>
                <w:sz w:val="24"/>
                <w:szCs w:val="24"/>
              </w:rPr>
              <w:t>1. AFTËSITË PROFESIONALE TË PROKURORIT</w:t>
            </w:r>
          </w:p>
        </w:tc>
        <w:tc>
          <w:tcPr>
            <w:tcW w:w="305" w:type="pct"/>
            <w:tcBorders>
              <w:top w:val="single" w:sz="8" w:space="0" w:color="auto"/>
              <w:left w:val="nil"/>
              <w:bottom w:val="single" w:sz="4" w:space="0" w:color="auto"/>
              <w:right w:val="nil"/>
            </w:tcBorders>
            <w:shd w:val="clear" w:color="000000" w:fill="D5DCE4"/>
            <w:vAlign w:val="center"/>
            <w:hideMark/>
          </w:tcPr>
          <w:p w14:paraId="5994CD46" w14:textId="0DFCA72B" w:rsidR="00F052F6" w:rsidRPr="003D5CE4" w:rsidRDefault="00F052F6" w:rsidP="00D353E3">
            <w:pPr>
              <w:spacing w:after="0" w:line="240" w:lineRule="auto"/>
              <w:jc w:val="center"/>
              <w:rPr>
                <w:rFonts w:ascii="Garamond" w:eastAsia="Times New Roman" w:hAnsi="Garamond" w:cs="Times New Roman"/>
                <w:b/>
                <w:bCs/>
                <w:sz w:val="24"/>
                <w:szCs w:val="24"/>
              </w:rPr>
            </w:pPr>
            <w:r w:rsidRPr="003D5CE4">
              <w:rPr>
                <w:rFonts w:ascii="Garamond" w:eastAsia="Times New Roman" w:hAnsi="Garamond" w:cs="Times New Roman"/>
                <w:b/>
                <w:bCs/>
                <w:sz w:val="24"/>
                <w:szCs w:val="24"/>
              </w:rPr>
              <w:t>Pikët total </w:t>
            </w:r>
          </w:p>
        </w:tc>
        <w:tc>
          <w:tcPr>
            <w:tcW w:w="1207" w:type="pct"/>
            <w:tcBorders>
              <w:top w:val="single" w:sz="8" w:space="0" w:color="auto"/>
              <w:left w:val="single" w:sz="8" w:space="0" w:color="auto"/>
              <w:bottom w:val="single" w:sz="4" w:space="0" w:color="auto"/>
              <w:right w:val="single" w:sz="8" w:space="0" w:color="auto"/>
            </w:tcBorders>
            <w:shd w:val="clear" w:color="000000" w:fill="D5DCE4"/>
            <w:vAlign w:val="center"/>
            <w:hideMark/>
          </w:tcPr>
          <w:p w14:paraId="3C93DE35" w14:textId="77777777" w:rsidR="00F052F6" w:rsidRPr="003D5CE4" w:rsidRDefault="00F052F6" w:rsidP="003464CC">
            <w:pPr>
              <w:spacing w:after="0" w:line="240" w:lineRule="auto"/>
              <w:jc w:val="center"/>
              <w:rPr>
                <w:rFonts w:ascii="Garamond" w:eastAsia="Times New Roman" w:hAnsi="Garamond" w:cs="Times New Roman"/>
                <w:b/>
                <w:bCs/>
                <w:sz w:val="24"/>
                <w:szCs w:val="24"/>
              </w:rPr>
            </w:pPr>
            <w:r w:rsidRPr="003D5CE4">
              <w:rPr>
                <w:rFonts w:ascii="Garamond" w:eastAsia="Times New Roman" w:hAnsi="Garamond" w:cs="Times New Roman"/>
                <w:b/>
                <w:bCs/>
                <w:sz w:val="24"/>
                <w:szCs w:val="24"/>
              </w:rPr>
              <w:t>Niveli i vlerësimit</w:t>
            </w:r>
          </w:p>
          <w:p w14:paraId="0FC060B0" w14:textId="77777777" w:rsidR="00F052F6" w:rsidRPr="003D5CE4" w:rsidRDefault="00F052F6" w:rsidP="003464CC">
            <w:pPr>
              <w:spacing w:after="0" w:line="240" w:lineRule="auto"/>
              <w:jc w:val="center"/>
              <w:rPr>
                <w:rFonts w:ascii="Garamond" w:eastAsia="Times New Roman" w:hAnsi="Garamond" w:cs="Times New Roman"/>
                <w:b/>
                <w:bCs/>
                <w:sz w:val="24"/>
                <w:szCs w:val="24"/>
              </w:rPr>
            </w:pPr>
            <w:r w:rsidRPr="003D5CE4">
              <w:rPr>
                <w:rFonts w:ascii="Garamond" w:eastAsia="Times New Roman" w:hAnsi="Garamond" w:cs="Times New Roman"/>
                <w:b/>
                <w:bCs/>
                <w:sz w:val="24"/>
                <w:szCs w:val="24"/>
              </w:rPr>
              <w:t> </w:t>
            </w:r>
          </w:p>
        </w:tc>
      </w:tr>
      <w:tr w:rsidR="00F052F6" w:rsidRPr="003D5CE4" w14:paraId="38A96683" w14:textId="77777777" w:rsidTr="003464CC">
        <w:trPr>
          <w:trHeight w:val="60"/>
        </w:trPr>
        <w:tc>
          <w:tcPr>
            <w:tcW w:w="1657" w:type="pct"/>
            <w:gridSpan w:val="2"/>
            <w:tcBorders>
              <w:top w:val="single" w:sz="8" w:space="0" w:color="auto"/>
              <w:left w:val="single" w:sz="8" w:space="0" w:color="auto"/>
              <w:bottom w:val="single" w:sz="8" w:space="0" w:color="auto"/>
              <w:right w:val="single" w:sz="8" w:space="0" w:color="000000"/>
            </w:tcBorders>
            <w:shd w:val="clear" w:color="000000" w:fill="BDD6EE"/>
            <w:vAlign w:val="center"/>
            <w:hideMark/>
          </w:tcPr>
          <w:p w14:paraId="4A177AA9" w14:textId="77777777" w:rsidR="00F052F6" w:rsidRPr="003D5CE4" w:rsidRDefault="00F052F6" w:rsidP="003464CC">
            <w:pPr>
              <w:spacing w:after="0" w:line="240" w:lineRule="auto"/>
              <w:jc w:val="center"/>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Treguesit </w:t>
            </w:r>
          </w:p>
        </w:tc>
        <w:tc>
          <w:tcPr>
            <w:tcW w:w="1257" w:type="pct"/>
            <w:tcBorders>
              <w:top w:val="nil"/>
              <w:left w:val="nil"/>
              <w:bottom w:val="single" w:sz="8" w:space="0" w:color="auto"/>
              <w:right w:val="single" w:sz="8" w:space="0" w:color="auto"/>
            </w:tcBorders>
            <w:shd w:val="clear" w:color="000000" w:fill="BDD6EE"/>
            <w:vAlign w:val="center"/>
            <w:hideMark/>
          </w:tcPr>
          <w:p w14:paraId="01C994AB" w14:textId="77777777" w:rsidR="00F052F6" w:rsidRPr="003D5CE4" w:rsidRDefault="00F052F6" w:rsidP="003464CC">
            <w:pPr>
              <w:spacing w:after="0" w:line="240" w:lineRule="auto"/>
              <w:jc w:val="center"/>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Burimet </w:t>
            </w:r>
          </w:p>
        </w:tc>
        <w:tc>
          <w:tcPr>
            <w:tcW w:w="574" w:type="pct"/>
            <w:tcBorders>
              <w:top w:val="nil"/>
              <w:left w:val="nil"/>
              <w:bottom w:val="single" w:sz="8" w:space="0" w:color="auto"/>
              <w:right w:val="single" w:sz="8" w:space="0" w:color="000000"/>
            </w:tcBorders>
            <w:shd w:val="clear" w:color="000000" w:fill="BDD6EE"/>
            <w:vAlign w:val="center"/>
            <w:hideMark/>
          </w:tcPr>
          <w:p w14:paraId="2D590D7C" w14:textId="77777777" w:rsidR="00F052F6" w:rsidRPr="003D5CE4" w:rsidRDefault="00F052F6" w:rsidP="003464CC">
            <w:pPr>
              <w:spacing w:after="0" w:line="240" w:lineRule="auto"/>
              <w:jc w:val="center"/>
              <w:rPr>
                <w:rFonts w:ascii="Garamond" w:eastAsia="Times New Roman" w:hAnsi="Garamond" w:cs="Times New Roman"/>
                <w:b/>
                <w:bCs/>
                <w:sz w:val="24"/>
                <w:szCs w:val="24"/>
              </w:rPr>
            </w:pPr>
            <w:r w:rsidRPr="003D5CE4">
              <w:rPr>
                <w:rFonts w:ascii="Garamond" w:eastAsia="Times New Roman" w:hAnsi="Garamond" w:cs="Times New Roman"/>
                <w:b/>
                <w:bCs/>
                <w:sz w:val="24"/>
                <w:szCs w:val="24"/>
              </w:rPr>
              <w:t>Shkalla e aftësisë</w:t>
            </w:r>
          </w:p>
        </w:tc>
        <w:tc>
          <w:tcPr>
            <w:tcW w:w="305" w:type="pct"/>
            <w:tcBorders>
              <w:top w:val="single" w:sz="4" w:space="0" w:color="auto"/>
              <w:left w:val="nil"/>
              <w:bottom w:val="single" w:sz="8" w:space="0" w:color="auto"/>
              <w:right w:val="nil"/>
            </w:tcBorders>
            <w:shd w:val="clear" w:color="000000" w:fill="BDD6EE"/>
            <w:vAlign w:val="center"/>
            <w:hideMark/>
          </w:tcPr>
          <w:p w14:paraId="4C670BB7" w14:textId="77777777" w:rsidR="00F052F6" w:rsidRPr="003D5CE4" w:rsidRDefault="00F052F6" w:rsidP="003464CC">
            <w:pPr>
              <w:spacing w:after="0" w:line="240" w:lineRule="auto"/>
              <w:jc w:val="center"/>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Pikët </w:t>
            </w:r>
          </w:p>
        </w:tc>
        <w:tc>
          <w:tcPr>
            <w:tcW w:w="1207" w:type="pct"/>
            <w:tcBorders>
              <w:top w:val="single" w:sz="4" w:space="0" w:color="auto"/>
              <w:left w:val="single" w:sz="8" w:space="0" w:color="auto"/>
              <w:bottom w:val="single" w:sz="8" w:space="0" w:color="auto"/>
              <w:right w:val="single" w:sz="8" w:space="0" w:color="auto"/>
            </w:tcBorders>
            <w:shd w:val="clear" w:color="000000" w:fill="BDD6EE"/>
            <w:vAlign w:val="center"/>
            <w:hideMark/>
          </w:tcPr>
          <w:p w14:paraId="283948C5" w14:textId="77777777" w:rsidR="00F052F6" w:rsidRPr="003D5CE4" w:rsidRDefault="00F052F6" w:rsidP="003464CC">
            <w:pPr>
              <w:spacing w:after="0" w:line="240" w:lineRule="auto"/>
              <w:jc w:val="center"/>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Metodologjia </w:t>
            </w:r>
          </w:p>
        </w:tc>
      </w:tr>
      <w:tr w:rsidR="00F052F6" w:rsidRPr="003D5CE4" w14:paraId="5844ED8D" w14:textId="77777777" w:rsidTr="003464CC">
        <w:trPr>
          <w:trHeight w:val="60"/>
        </w:trPr>
        <w:tc>
          <w:tcPr>
            <w:tcW w:w="697" w:type="pct"/>
            <w:vMerge w:val="restart"/>
            <w:tcBorders>
              <w:top w:val="nil"/>
              <w:left w:val="single" w:sz="8" w:space="0" w:color="auto"/>
              <w:bottom w:val="single" w:sz="8" w:space="0" w:color="000000"/>
              <w:right w:val="single" w:sz="8" w:space="0" w:color="auto"/>
            </w:tcBorders>
            <w:shd w:val="clear" w:color="auto" w:fill="auto"/>
            <w:vAlign w:val="center"/>
            <w:hideMark/>
          </w:tcPr>
          <w:p w14:paraId="55CE8B3A"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A. Njohuritë ligjore </w:t>
            </w:r>
          </w:p>
        </w:tc>
        <w:tc>
          <w:tcPr>
            <w:tcW w:w="960" w:type="pct"/>
            <w:tcBorders>
              <w:top w:val="nil"/>
              <w:left w:val="nil"/>
              <w:bottom w:val="single" w:sz="4" w:space="0" w:color="auto"/>
              <w:right w:val="single" w:sz="4" w:space="0" w:color="auto"/>
            </w:tcBorders>
            <w:shd w:val="clear" w:color="auto" w:fill="auto"/>
            <w:vAlign w:val="center"/>
            <w:hideMark/>
          </w:tcPr>
          <w:p w14:paraId="6FC00F8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a.  Aftësia për të ndërmarrë logjikisht hetimin apo procedura të tjera të sistemit të prokurorisë, sipas  kërkesave ligjore</w:t>
            </w:r>
          </w:p>
        </w:tc>
        <w:tc>
          <w:tcPr>
            <w:tcW w:w="1257" w:type="pct"/>
            <w:tcBorders>
              <w:top w:val="nil"/>
              <w:left w:val="nil"/>
              <w:bottom w:val="single" w:sz="4" w:space="0" w:color="auto"/>
              <w:right w:val="single" w:sz="4" w:space="0" w:color="auto"/>
            </w:tcBorders>
            <w:shd w:val="clear" w:color="auto" w:fill="auto"/>
            <w:vAlign w:val="center"/>
            <w:hideMark/>
          </w:tcPr>
          <w:p w14:paraId="3620979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Dokumentet ligjore të dorëzuara nga prokurori;                                                         </w:t>
            </w:r>
          </w:p>
          <w:p w14:paraId="1B655FB1" w14:textId="4F905326"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imit të prokurorit</w:t>
            </w:r>
            <w:r>
              <w:rPr>
                <w:rFonts w:ascii="Garamond" w:eastAsia="Times New Roman" w:hAnsi="Garamond" w:cs="Times New Roman"/>
                <w:sz w:val="24"/>
                <w:szCs w:val="24"/>
              </w:rPr>
              <w:t>;</w:t>
            </w:r>
          </w:p>
          <w:p w14:paraId="1B14D43B"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3. Aktet e dosjeve të përzgjedhura me short. </w:t>
            </w:r>
          </w:p>
        </w:tc>
        <w:tc>
          <w:tcPr>
            <w:tcW w:w="574" w:type="pct"/>
            <w:tcBorders>
              <w:top w:val="nil"/>
              <w:left w:val="nil"/>
              <w:bottom w:val="single" w:sz="4" w:space="0" w:color="auto"/>
              <w:right w:val="single" w:sz="4" w:space="0" w:color="auto"/>
            </w:tcBorders>
            <w:shd w:val="clear" w:color="auto" w:fill="auto"/>
            <w:vAlign w:val="center"/>
            <w:hideMark/>
          </w:tcPr>
          <w:p w14:paraId="091EA77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305" w:type="pct"/>
            <w:tcBorders>
              <w:top w:val="nil"/>
              <w:left w:val="nil"/>
              <w:bottom w:val="single" w:sz="4" w:space="0" w:color="auto"/>
              <w:right w:val="single" w:sz="4" w:space="0" w:color="auto"/>
            </w:tcBorders>
            <w:shd w:val="clear" w:color="auto" w:fill="auto"/>
            <w:vAlign w:val="center"/>
            <w:hideMark/>
          </w:tcPr>
          <w:p w14:paraId="780C27E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1207" w:type="pct"/>
            <w:tcBorders>
              <w:top w:val="nil"/>
              <w:left w:val="nil"/>
              <w:bottom w:val="single" w:sz="4" w:space="0" w:color="auto"/>
              <w:right w:val="single" w:sz="4" w:space="0" w:color="auto"/>
            </w:tcBorders>
            <w:shd w:val="clear" w:color="auto" w:fill="auto"/>
            <w:vAlign w:val="center"/>
            <w:hideMark/>
          </w:tcPr>
          <w:p w14:paraId="056372F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Shkalla e aftësisë së prokurorit</w:t>
            </w:r>
            <w:r w:rsidRPr="003D5CE4">
              <w:rPr>
                <w:rFonts w:ascii="Garamond" w:eastAsia="Times New Roman" w:hAnsi="Garamond" w:cs="Times New Roman"/>
                <w:sz w:val="24"/>
                <w:szCs w:val="24"/>
              </w:rPr>
              <w:t xml:space="preserve">:   </w:t>
            </w:r>
          </w:p>
          <w:p w14:paraId="533DD0BB"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3 pikë</w:t>
            </w:r>
          </w:p>
          <w:p w14:paraId="057D8AD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6 pikë</w:t>
            </w:r>
          </w:p>
          <w:p w14:paraId="3C4381E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9 pikë               </w:t>
            </w:r>
          </w:p>
          <w:p w14:paraId="04DBCFD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12 pikë</w:t>
            </w:r>
          </w:p>
          <w:p w14:paraId="7FC233AA"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sz w:val="24"/>
                <w:szCs w:val="24"/>
              </w:rPr>
              <w:t>Shumë e lartë         – 15 pikë</w:t>
            </w:r>
          </w:p>
        </w:tc>
      </w:tr>
      <w:tr w:rsidR="00F052F6" w:rsidRPr="003D5CE4" w14:paraId="01F8008D" w14:textId="77777777" w:rsidTr="003464CC">
        <w:trPr>
          <w:trHeight w:val="1715"/>
        </w:trPr>
        <w:tc>
          <w:tcPr>
            <w:tcW w:w="697" w:type="pct"/>
            <w:vMerge/>
            <w:tcBorders>
              <w:top w:val="nil"/>
              <w:left w:val="single" w:sz="8" w:space="0" w:color="auto"/>
              <w:bottom w:val="single" w:sz="8" w:space="0" w:color="000000"/>
              <w:right w:val="single" w:sz="8" w:space="0" w:color="auto"/>
            </w:tcBorders>
            <w:vAlign w:val="center"/>
            <w:hideMark/>
          </w:tcPr>
          <w:p w14:paraId="675A3088"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single" w:sz="4" w:space="0" w:color="auto"/>
              <w:right w:val="single" w:sz="4" w:space="0" w:color="auto"/>
            </w:tcBorders>
            <w:shd w:val="clear" w:color="auto" w:fill="auto"/>
            <w:vAlign w:val="center"/>
            <w:hideMark/>
          </w:tcPr>
          <w:p w14:paraId="0A04CA5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b.  Aftësia për të mbledhur provat e kërkuara me ligj</w:t>
            </w:r>
          </w:p>
        </w:tc>
        <w:tc>
          <w:tcPr>
            <w:tcW w:w="1257" w:type="pct"/>
            <w:tcBorders>
              <w:top w:val="nil"/>
              <w:left w:val="nil"/>
              <w:bottom w:val="single" w:sz="4" w:space="0" w:color="auto"/>
              <w:right w:val="single" w:sz="4" w:space="0" w:color="auto"/>
            </w:tcBorders>
            <w:shd w:val="clear" w:color="auto" w:fill="auto"/>
            <w:vAlign w:val="center"/>
            <w:hideMark/>
          </w:tcPr>
          <w:p w14:paraId="74D34BE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Dokumentet ligjore të dorëzuara nga prokurori;                                                        </w:t>
            </w:r>
          </w:p>
          <w:p w14:paraId="69132CF6" w14:textId="26555C02"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imit të prokurorit;</w:t>
            </w:r>
          </w:p>
          <w:p w14:paraId="1FB0CFFB"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3. Aktet e dosjeve të përzgjedhura me short.</w:t>
            </w:r>
          </w:p>
        </w:tc>
        <w:tc>
          <w:tcPr>
            <w:tcW w:w="574" w:type="pct"/>
            <w:tcBorders>
              <w:top w:val="nil"/>
              <w:left w:val="nil"/>
              <w:bottom w:val="single" w:sz="4" w:space="0" w:color="auto"/>
              <w:right w:val="single" w:sz="4" w:space="0" w:color="auto"/>
            </w:tcBorders>
            <w:shd w:val="clear" w:color="auto" w:fill="auto"/>
            <w:vAlign w:val="center"/>
            <w:hideMark/>
          </w:tcPr>
          <w:p w14:paraId="5D27984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305" w:type="pct"/>
            <w:tcBorders>
              <w:top w:val="nil"/>
              <w:left w:val="nil"/>
              <w:bottom w:val="single" w:sz="4" w:space="0" w:color="auto"/>
              <w:right w:val="single" w:sz="4" w:space="0" w:color="auto"/>
            </w:tcBorders>
            <w:shd w:val="clear" w:color="auto" w:fill="auto"/>
            <w:vAlign w:val="center"/>
            <w:hideMark/>
          </w:tcPr>
          <w:p w14:paraId="53093880"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1207" w:type="pct"/>
            <w:tcBorders>
              <w:top w:val="nil"/>
              <w:left w:val="nil"/>
              <w:bottom w:val="single" w:sz="4" w:space="0" w:color="auto"/>
              <w:right w:val="single" w:sz="4" w:space="0" w:color="auto"/>
            </w:tcBorders>
            <w:shd w:val="clear" w:color="auto" w:fill="auto"/>
            <w:vAlign w:val="center"/>
            <w:hideMark/>
          </w:tcPr>
          <w:p w14:paraId="23C97180"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Shkalla e aftësisë së prokurorit</w:t>
            </w:r>
            <w:r w:rsidRPr="003D5CE4">
              <w:rPr>
                <w:rFonts w:ascii="Garamond" w:eastAsia="Times New Roman" w:hAnsi="Garamond" w:cs="Times New Roman"/>
                <w:sz w:val="24"/>
                <w:szCs w:val="24"/>
              </w:rPr>
              <w:t xml:space="preserve">:   </w:t>
            </w:r>
          </w:p>
          <w:p w14:paraId="0213FDA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3 pikë</w:t>
            </w:r>
          </w:p>
          <w:p w14:paraId="53F7252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6 pikë</w:t>
            </w:r>
          </w:p>
          <w:p w14:paraId="4B58D3B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9 pikë               </w:t>
            </w:r>
          </w:p>
          <w:p w14:paraId="29BFB53B"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12 pikë</w:t>
            </w:r>
          </w:p>
          <w:p w14:paraId="3A985B6C"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sz w:val="24"/>
                <w:szCs w:val="24"/>
              </w:rPr>
              <w:t>Shumë e lartë         – 15 pikë</w:t>
            </w:r>
          </w:p>
        </w:tc>
      </w:tr>
      <w:tr w:rsidR="00F052F6" w:rsidRPr="003D5CE4" w14:paraId="6CC31667" w14:textId="77777777" w:rsidTr="003464CC">
        <w:trPr>
          <w:trHeight w:val="60"/>
        </w:trPr>
        <w:tc>
          <w:tcPr>
            <w:tcW w:w="697" w:type="pct"/>
            <w:vMerge/>
            <w:tcBorders>
              <w:top w:val="nil"/>
              <w:left w:val="single" w:sz="8" w:space="0" w:color="auto"/>
              <w:bottom w:val="single" w:sz="8" w:space="0" w:color="000000"/>
              <w:right w:val="single" w:sz="8" w:space="0" w:color="auto"/>
            </w:tcBorders>
            <w:vAlign w:val="center"/>
            <w:hideMark/>
          </w:tcPr>
          <w:p w14:paraId="2239CB2F"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nil"/>
              <w:right w:val="single" w:sz="4" w:space="0" w:color="auto"/>
            </w:tcBorders>
            <w:shd w:val="clear" w:color="auto" w:fill="auto"/>
            <w:vAlign w:val="center"/>
            <w:hideMark/>
          </w:tcPr>
          <w:p w14:paraId="1E349921"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c.  Aftësia për të interpretuar ligjin dhe për të analizuar jurisprudencën në zgjidhjen e çështjes</w:t>
            </w:r>
          </w:p>
        </w:tc>
        <w:tc>
          <w:tcPr>
            <w:tcW w:w="1257" w:type="pct"/>
            <w:tcBorders>
              <w:top w:val="nil"/>
              <w:left w:val="nil"/>
              <w:bottom w:val="single" w:sz="4" w:space="0" w:color="auto"/>
              <w:right w:val="single" w:sz="4" w:space="0" w:color="auto"/>
            </w:tcBorders>
            <w:shd w:val="clear" w:color="auto" w:fill="auto"/>
            <w:vAlign w:val="center"/>
            <w:hideMark/>
          </w:tcPr>
          <w:p w14:paraId="62E3434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Dokumentet ligjore të dorëzuara nga prokurori;                                                       </w:t>
            </w:r>
          </w:p>
          <w:p w14:paraId="4399E9A4" w14:textId="22E0A8F9"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 xml:space="preserve">imit të prokurorit; </w:t>
            </w:r>
          </w:p>
          <w:p w14:paraId="02A51E69"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3. Aktet e dosjeve të përzgjedhura me short. </w:t>
            </w:r>
          </w:p>
        </w:tc>
        <w:tc>
          <w:tcPr>
            <w:tcW w:w="574" w:type="pct"/>
            <w:tcBorders>
              <w:top w:val="nil"/>
              <w:left w:val="nil"/>
              <w:bottom w:val="nil"/>
              <w:right w:val="single" w:sz="4" w:space="0" w:color="auto"/>
            </w:tcBorders>
            <w:shd w:val="clear" w:color="auto" w:fill="auto"/>
            <w:vAlign w:val="center"/>
            <w:hideMark/>
          </w:tcPr>
          <w:p w14:paraId="138C4FDB"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nil"/>
              <w:right w:val="single" w:sz="4" w:space="0" w:color="auto"/>
            </w:tcBorders>
            <w:shd w:val="clear" w:color="auto" w:fill="auto"/>
            <w:vAlign w:val="center"/>
            <w:hideMark/>
          </w:tcPr>
          <w:p w14:paraId="08E03066"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nil"/>
              <w:left w:val="nil"/>
              <w:bottom w:val="single" w:sz="8" w:space="0" w:color="auto"/>
              <w:right w:val="single" w:sz="4" w:space="0" w:color="auto"/>
            </w:tcBorders>
            <w:shd w:val="clear" w:color="auto" w:fill="auto"/>
            <w:vAlign w:val="center"/>
            <w:hideMark/>
          </w:tcPr>
          <w:p w14:paraId="1BAD672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Shkalla e aftësisë së prokurorit</w:t>
            </w:r>
            <w:r w:rsidRPr="003D5CE4">
              <w:rPr>
                <w:rFonts w:ascii="Garamond" w:eastAsia="Times New Roman" w:hAnsi="Garamond" w:cs="Times New Roman"/>
                <w:sz w:val="24"/>
                <w:szCs w:val="24"/>
              </w:rPr>
              <w:t xml:space="preserve">:   </w:t>
            </w:r>
          </w:p>
          <w:p w14:paraId="665A786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4 pikë</w:t>
            </w:r>
          </w:p>
          <w:p w14:paraId="37C9638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8 pikë</w:t>
            </w:r>
          </w:p>
          <w:p w14:paraId="43FC0BA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12 pikë               </w:t>
            </w:r>
          </w:p>
          <w:p w14:paraId="37580F2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16 pikë</w:t>
            </w:r>
          </w:p>
          <w:p w14:paraId="484A7DA6"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sz w:val="24"/>
                <w:szCs w:val="24"/>
              </w:rPr>
              <w:t>Shumë e lartë         – 20 pikë</w:t>
            </w:r>
          </w:p>
        </w:tc>
      </w:tr>
      <w:tr w:rsidR="00F052F6" w:rsidRPr="003D5CE4" w14:paraId="7BCDBD06" w14:textId="77777777" w:rsidTr="003464CC">
        <w:trPr>
          <w:trHeight w:val="1575"/>
        </w:trPr>
        <w:tc>
          <w:tcPr>
            <w:tcW w:w="697" w:type="pct"/>
            <w:vMerge w:val="restart"/>
            <w:tcBorders>
              <w:top w:val="nil"/>
              <w:left w:val="single" w:sz="8" w:space="0" w:color="auto"/>
              <w:bottom w:val="nil"/>
              <w:right w:val="single" w:sz="8" w:space="0" w:color="auto"/>
            </w:tcBorders>
            <w:shd w:val="clear" w:color="auto" w:fill="auto"/>
            <w:vAlign w:val="center"/>
            <w:hideMark/>
          </w:tcPr>
          <w:p w14:paraId="133F6A1A"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B. Arsyetimi ligjor </w:t>
            </w:r>
          </w:p>
        </w:tc>
        <w:tc>
          <w:tcPr>
            <w:tcW w:w="960" w:type="pct"/>
            <w:tcBorders>
              <w:top w:val="single" w:sz="8" w:space="0" w:color="auto"/>
              <w:left w:val="nil"/>
              <w:bottom w:val="single" w:sz="4" w:space="0" w:color="auto"/>
              <w:right w:val="single" w:sz="4" w:space="0" w:color="auto"/>
            </w:tcBorders>
            <w:shd w:val="clear" w:color="auto" w:fill="auto"/>
            <w:vAlign w:val="center"/>
            <w:hideMark/>
          </w:tcPr>
          <w:p w14:paraId="02D62484"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a. Qartësia, saktësia dhe kuptueshmëria e akteve</w:t>
            </w:r>
          </w:p>
        </w:tc>
        <w:tc>
          <w:tcPr>
            <w:tcW w:w="1257" w:type="pct"/>
            <w:tcBorders>
              <w:top w:val="single" w:sz="8" w:space="0" w:color="auto"/>
              <w:left w:val="nil"/>
              <w:bottom w:val="single" w:sz="4" w:space="0" w:color="auto"/>
              <w:right w:val="single" w:sz="4" w:space="0" w:color="auto"/>
            </w:tcBorders>
            <w:shd w:val="clear" w:color="auto" w:fill="auto"/>
            <w:vAlign w:val="center"/>
            <w:hideMark/>
          </w:tcPr>
          <w:p w14:paraId="6C4390D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Dokumentet ligjore të dorëzuara nga prokurorit;                                                       </w:t>
            </w:r>
          </w:p>
          <w:p w14:paraId="7718DE2D" w14:textId="01DA433D"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 xml:space="preserve">imit të prokurorit; </w:t>
            </w:r>
          </w:p>
          <w:p w14:paraId="1010532B"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3. Aktet e dosjeve të përzgjedhura me short; </w:t>
            </w:r>
          </w:p>
        </w:tc>
        <w:tc>
          <w:tcPr>
            <w:tcW w:w="574" w:type="pct"/>
            <w:tcBorders>
              <w:top w:val="single" w:sz="8" w:space="0" w:color="auto"/>
              <w:left w:val="nil"/>
              <w:bottom w:val="single" w:sz="4" w:space="0" w:color="auto"/>
              <w:right w:val="single" w:sz="4" w:space="0" w:color="auto"/>
            </w:tcBorders>
            <w:shd w:val="clear" w:color="auto" w:fill="auto"/>
            <w:vAlign w:val="center"/>
            <w:hideMark/>
          </w:tcPr>
          <w:p w14:paraId="5D5364F9"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305" w:type="pct"/>
            <w:tcBorders>
              <w:top w:val="single" w:sz="8" w:space="0" w:color="auto"/>
              <w:left w:val="nil"/>
              <w:bottom w:val="single" w:sz="4" w:space="0" w:color="auto"/>
              <w:right w:val="single" w:sz="4" w:space="0" w:color="auto"/>
            </w:tcBorders>
            <w:shd w:val="clear" w:color="auto" w:fill="auto"/>
            <w:vAlign w:val="center"/>
            <w:hideMark/>
          </w:tcPr>
          <w:p w14:paraId="635581D1"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nil"/>
              <w:left w:val="nil"/>
              <w:bottom w:val="single" w:sz="4" w:space="0" w:color="auto"/>
              <w:right w:val="single" w:sz="4" w:space="0" w:color="auto"/>
            </w:tcBorders>
            <w:shd w:val="clear" w:color="auto" w:fill="auto"/>
            <w:vAlign w:val="center"/>
            <w:hideMark/>
          </w:tcPr>
          <w:p w14:paraId="6262153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Shkalla e aftësisë së prokurorit</w:t>
            </w:r>
            <w:r w:rsidRPr="003D5CE4">
              <w:rPr>
                <w:rFonts w:ascii="Garamond" w:eastAsia="Times New Roman" w:hAnsi="Garamond" w:cs="Times New Roman"/>
                <w:sz w:val="24"/>
                <w:szCs w:val="24"/>
              </w:rPr>
              <w:t xml:space="preserve">:   </w:t>
            </w:r>
          </w:p>
          <w:p w14:paraId="67D4436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2 pikë</w:t>
            </w:r>
          </w:p>
          <w:p w14:paraId="552ACC9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4 pikë</w:t>
            </w:r>
          </w:p>
          <w:p w14:paraId="65F88916"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6 pikë               </w:t>
            </w:r>
          </w:p>
          <w:p w14:paraId="0AAFF9F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8 pikë</w:t>
            </w:r>
          </w:p>
          <w:p w14:paraId="1C1564EE"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sz w:val="24"/>
                <w:szCs w:val="24"/>
              </w:rPr>
              <w:t>Shumë e lartë         – 10 pikë</w:t>
            </w:r>
          </w:p>
        </w:tc>
      </w:tr>
      <w:tr w:rsidR="00F052F6" w:rsidRPr="003D5CE4" w14:paraId="158AC4B9" w14:textId="77777777" w:rsidTr="003464CC">
        <w:trPr>
          <w:trHeight w:val="399"/>
        </w:trPr>
        <w:tc>
          <w:tcPr>
            <w:tcW w:w="697" w:type="pct"/>
            <w:vMerge/>
            <w:tcBorders>
              <w:top w:val="nil"/>
              <w:left w:val="single" w:sz="8" w:space="0" w:color="auto"/>
              <w:bottom w:val="nil"/>
              <w:right w:val="single" w:sz="8" w:space="0" w:color="auto"/>
            </w:tcBorders>
            <w:vAlign w:val="center"/>
            <w:hideMark/>
          </w:tcPr>
          <w:p w14:paraId="1ED982B9"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single" w:sz="4" w:space="0" w:color="auto"/>
              <w:right w:val="single" w:sz="4" w:space="0" w:color="auto"/>
            </w:tcBorders>
            <w:shd w:val="clear" w:color="auto" w:fill="auto"/>
            <w:vAlign w:val="center"/>
            <w:hideMark/>
          </w:tcPr>
          <w:p w14:paraId="1978AA4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b. Struktura e qëndrueshme dhe e mirorganizuar e akteve</w:t>
            </w:r>
          </w:p>
        </w:tc>
        <w:tc>
          <w:tcPr>
            <w:tcW w:w="1257" w:type="pct"/>
            <w:tcBorders>
              <w:top w:val="nil"/>
              <w:left w:val="nil"/>
              <w:bottom w:val="single" w:sz="4" w:space="0" w:color="auto"/>
              <w:right w:val="single" w:sz="4" w:space="0" w:color="auto"/>
            </w:tcBorders>
            <w:shd w:val="clear" w:color="auto" w:fill="auto"/>
            <w:vAlign w:val="center"/>
            <w:hideMark/>
          </w:tcPr>
          <w:p w14:paraId="4529530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Dokumentet ligjore të dorëzuara nga prokurorit;                                                        </w:t>
            </w:r>
          </w:p>
          <w:p w14:paraId="5D637A07" w14:textId="43F97EB8"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 xml:space="preserve">imit të prokurorit; </w:t>
            </w:r>
          </w:p>
          <w:p w14:paraId="4C4D3EC0"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3. Aktet e dosjeve të përzgjedhura me short. </w:t>
            </w:r>
          </w:p>
        </w:tc>
        <w:tc>
          <w:tcPr>
            <w:tcW w:w="574" w:type="pct"/>
            <w:tcBorders>
              <w:top w:val="nil"/>
              <w:left w:val="nil"/>
              <w:bottom w:val="single" w:sz="4" w:space="0" w:color="auto"/>
              <w:right w:val="single" w:sz="4" w:space="0" w:color="auto"/>
            </w:tcBorders>
            <w:shd w:val="clear" w:color="auto" w:fill="auto"/>
            <w:vAlign w:val="center"/>
            <w:hideMark/>
          </w:tcPr>
          <w:p w14:paraId="4A6D2E4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305" w:type="pct"/>
            <w:tcBorders>
              <w:top w:val="nil"/>
              <w:left w:val="nil"/>
              <w:bottom w:val="single" w:sz="4" w:space="0" w:color="auto"/>
              <w:right w:val="single" w:sz="4" w:space="0" w:color="auto"/>
            </w:tcBorders>
            <w:shd w:val="clear" w:color="auto" w:fill="auto"/>
            <w:vAlign w:val="center"/>
            <w:hideMark/>
          </w:tcPr>
          <w:p w14:paraId="59955486"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1207" w:type="pct"/>
            <w:tcBorders>
              <w:top w:val="nil"/>
              <w:left w:val="nil"/>
              <w:bottom w:val="single" w:sz="4" w:space="0" w:color="auto"/>
              <w:right w:val="single" w:sz="4" w:space="0" w:color="auto"/>
            </w:tcBorders>
            <w:shd w:val="clear" w:color="auto" w:fill="auto"/>
            <w:vAlign w:val="center"/>
            <w:hideMark/>
          </w:tcPr>
          <w:p w14:paraId="50D886C0"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Shkalla e aftësisë së prokurorit</w:t>
            </w:r>
            <w:r w:rsidRPr="003D5CE4">
              <w:rPr>
                <w:rFonts w:ascii="Garamond" w:eastAsia="Times New Roman" w:hAnsi="Garamond" w:cs="Times New Roman"/>
                <w:sz w:val="24"/>
                <w:szCs w:val="24"/>
              </w:rPr>
              <w:t xml:space="preserve">:   </w:t>
            </w:r>
          </w:p>
          <w:p w14:paraId="1DB6471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2 pikë</w:t>
            </w:r>
          </w:p>
          <w:p w14:paraId="74D156C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4 pikë</w:t>
            </w:r>
          </w:p>
          <w:p w14:paraId="1DFAF6F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6 pikë               </w:t>
            </w:r>
          </w:p>
          <w:p w14:paraId="3FE0760F"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8 pikë</w:t>
            </w:r>
          </w:p>
          <w:p w14:paraId="211DF69E"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sz w:val="24"/>
                <w:szCs w:val="24"/>
              </w:rPr>
              <w:t>Shumë e lartë         – 10 pikë</w:t>
            </w:r>
          </w:p>
        </w:tc>
      </w:tr>
      <w:tr w:rsidR="00F052F6" w:rsidRPr="003D5CE4" w14:paraId="15BF747F" w14:textId="77777777" w:rsidTr="003464CC">
        <w:trPr>
          <w:trHeight w:val="1736"/>
        </w:trPr>
        <w:tc>
          <w:tcPr>
            <w:tcW w:w="697" w:type="pct"/>
            <w:vMerge/>
            <w:tcBorders>
              <w:top w:val="nil"/>
              <w:left w:val="single" w:sz="8" w:space="0" w:color="auto"/>
              <w:bottom w:val="nil"/>
              <w:right w:val="single" w:sz="8" w:space="0" w:color="auto"/>
            </w:tcBorders>
            <w:vAlign w:val="center"/>
            <w:hideMark/>
          </w:tcPr>
          <w:p w14:paraId="07A99EF7"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single" w:sz="4" w:space="0" w:color="auto"/>
              <w:right w:val="single" w:sz="4" w:space="0" w:color="auto"/>
            </w:tcBorders>
            <w:shd w:val="clear" w:color="auto" w:fill="auto"/>
            <w:vAlign w:val="center"/>
            <w:hideMark/>
          </w:tcPr>
          <w:p w14:paraId="11440E39"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c. Aftësia për të marrë në pyetje</w:t>
            </w:r>
          </w:p>
        </w:tc>
        <w:tc>
          <w:tcPr>
            <w:tcW w:w="1257" w:type="pct"/>
            <w:tcBorders>
              <w:top w:val="nil"/>
              <w:left w:val="nil"/>
              <w:bottom w:val="single" w:sz="4" w:space="0" w:color="auto"/>
              <w:right w:val="single" w:sz="4" w:space="0" w:color="auto"/>
            </w:tcBorders>
            <w:shd w:val="clear" w:color="auto" w:fill="auto"/>
            <w:vAlign w:val="center"/>
            <w:hideMark/>
          </w:tcPr>
          <w:p w14:paraId="7AE265C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Dokumentet ligjore të dorëzuara nga prokurori                                                         </w:t>
            </w:r>
          </w:p>
          <w:p w14:paraId="5A67E25A" w14:textId="0A5B25AD"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 xml:space="preserve">imit të prokurorit; </w:t>
            </w:r>
          </w:p>
          <w:p w14:paraId="5E638D2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3. Aktet e dosjeve të përzgjedhura me short (procesverbalet e pyetjes të  mbajtura gjatë hetimit ose   materialet  audio të seancave gjyqësore)</w:t>
            </w:r>
          </w:p>
        </w:tc>
        <w:tc>
          <w:tcPr>
            <w:tcW w:w="574" w:type="pct"/>
            <w:tcBorders>
              <w:top w:val="nil"/>
              <w:left w:val="nil"/>
              <w:bottom w:val="single" w:sz="4" w:space="0" w:color="auto"/>
              <w:right w:val="single" w:sz="4" w:space="0" w:color="auto"/>
            </w:tcBorders>
            <w:shd w:val="clear" w:color="auto" w:fill="auto"/>
            <w:vAlign w:val="center"/>
            <w:hideMark/>
          </w:tcPr>
          <w:p w14:paraId="2C2B180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305" w:type="pct"/>
            <w:tcBorders>
              <w:top w:val="nil"/>
              <w:left w:val="nil"/>
              <w:bottom w:val="single" w:sz="4" w:space="0" w:color="auto"/>
              <w:right w:val="single" w:sz="4" w:space="0" w:color="auto"/>
            </w:tcBorders>
            <w:shd w:val="clear" w:color="auto" w:fill="auto"/>
            <w:vAlign w:val="center"/>
            <w:hideMark/>
          </w:tcPr>
          <w:p w14:paraId="0C460FA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1207" w:type="pct"/>
            <w:tcBorders>
              <w:top w:val="nil"/>
              <w:left w:val="nil"/>
              <w:bottom w:val="single" w:sz="4" w:space="0" w:color="auto"/>
              <w:right w:val="single" w:sz="4" w:space="0" w:color="auto"/>
            </w:tcBorders>
            <w:shd w:val="clear" w:color="auto" w:fill="auto"/>
            <w:vAlign w:val="center"/>
            <w:hideMark/>
          </w:tcPr>
          <w:p w14:paraId="76D423BB"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Shkalla e aftësisë së prokurorit</w:t>
            </w:r>
            <w:r w:rsidRPr="003D5CE4">
              <w:rPr>
                <w:rFonts w:ascii="Garamond" w:eastAsia="Times New Roman" w:hAnsi="Garamond" w:cs="Times New Roman"/>
                <w:sz w:val="24"/>
                <w:szCs w:val="24"/>
              </w:rPr>
              <w:t xml:space="preserve">:   </w:t>
            </w:r>
          </w:p>
          <w:p w14:paraId="436BAC80"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2 pikë</w:t>
            </w:r>
          </w:p>
          <w:p w14:paraId="14C5962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4 pikë</w:t>
            </w:r>
          </w:p>
          <w:p w14:paraId="7B1EF07F"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6 pikë               </w:t>
            </w:r>
          </w:p>
          <w:p w14:paraId="6CFD222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8 pikë</w:t>
            </w:r>
          </w:p>
          <w:p w14:paraId="461459A2"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sz w:val="24"/>
                <w:szCs w:val="24"/>
              </w:rPr>
              <w:t>Shumë e lartë         – 10 pikë</w:t>
            </w:r>
          </w:p>
        </w:tc>
      </w:tr>
      <w:tr w:rsidR="00F052F6" w:rsidRPr="003D5CE4" w14:paraId="5D08C290" w14:textId="77777777" w:rsidTr="003464CC">
        <w:trPr>
          <w:trHeight w:val="1590"/>
        </w:trPr>
        <w:tc>
          <w:tcPr>
            <w:tcW w:w="697" w:type="pct"/>
            <w:vMerge/>
            <w:tcBorders>
              <w:top w:val="nil"/>
              <w:left w:val="single" w:sz="8" w:space="0" w:color="auto"/>
              <w:bottom w:val="nil"/>
              <w:right w:val="single" w:sz="8" w:space="0" w:color="auto"/>
            </w:tcBorders>
            <w:vAlign w:val="center"/>
            <w:hideMark/>
          </w:tcPr>
          <w:p w14:paraId="6CE4DB0A"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nil"/>
              <w:right w:val="single" w:sz="4" w:space="0" w:color="auto"/>
            </w:tcBorders>
            <w:shd w:val="clear" w:color="auto" w:fill="auto"/>
            <w:vAlign w:val="center"/>
            <w:hideMark/>
          </w:tcPr>
          <w:p w14:paraId="22B40399"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ç.  Cilësia e analizës dhe argumentimit  logjik</w:t>
            </w:r>
          </w:p>
        </w:tc>
        <w:tc>
          <w:tcPr>
            <w:tcW w:w="1257" w:type="pct"/>
            <w:tcBorders>
              <w:top w:val="nil"/>
              <w:left w:val="nil"/>
              <w:bottom w:val="nil"/>
              <w:right w:val="single" w:sz="4" w:space="0" w:color="auto"/>
            </w:tcBorders>
            <w:shd w:val="clear" w:color="auto" w:fill="auto"/>
            <w:vAlign w:val="center"/>
            <w:hideMark/>
          </w:tcPr>
          <w:p w14:paraId="6EFACCE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Dokumentet ligjore të dorëzuara nga prokurorit;                                                        </w:t>
            </w:r>
          </w:p>
          <w:p w14:paraId="2693052C" w14:textId="38A32744"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imit të prokurorit;</w:t>
            </w:r>
          </w:p>
          <w:p w14:paraId="713A2141"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3. Aktet e dosjeve të përzgjedhura me short. </w:t>
            </w:r>
          </w:p>
        </w:tc>
        <w:tc>
          <w:tcPr>
            <w:tcW w:w="574" w:type="pct"/>
            <w:tcBorders>
              <w:top w:val="nil"/>
              <w:left w:val="nil"/>
              <w:bottom w:val="nil"/>
              <w:right w:val="single" w:sz="4" w:space="0" w:color="auto"/>
            </w:tcBorders>
            <w:shd w:val="clear" w:color="auto" w:fill="auto"/>
            <w:vAlign w:val="center"/>
            <w:hideMark/>
          </w:tcPr>
          <w:p w14:paraId="5E1AA44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nil"/>
              <w:right w:val="single" w:sz="4" w:space="0" w:color="auto"/>
            </w:tcBorders>
            <w:shd w:val="clear" w:color="auto" w:fill="auto"/>
            <w:vAlign w:val="center"/>
            <w:hideMark/>
          </w:tcPr>
          <w:p w14:paraId="3F1C7CA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nil"/>
              <w:left w:val="nil"/>
              <w:bottom w:val="nil"/>
              <w:right w:val="single" w:sz="4" w:space="0" w:color="auto"/>
            </w:tcBorders>
            <w:shd w:val="clear" w:color="auto" w:fill="auto"/>
            <w:vAlign w:val="center"/>
            <w:hideMark/>
          </w:tcPr>
          <w:p w14:paraId="42E7C6A0"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Shkalla e aftësisë së prokurorit</w:t>
            </w:r>
            <w:r w:rsidRPr="003D5CE4">
              <w:rPr>
                <w:rFonts w:ascii="Garamond" w:eastAsia="Times New Roman" w:hAnsi="Garamond" w:cs="Times New Roman"/>
                <w:sz w:val="24"/>
                <w:szCs w:val="24"/>
              </w:rPr>
              <w:t xml:space="preserve">:   </w:t>
            </w:r>
          </w:p>
          <w:p w14:paraId="50BBB06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4 pikë</w:t>
            </w:r>
          </w:p>
          <w:p w14:paraId="4B6C50A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8 pikë</w:t>
            </w:r>
          </w:p>
          <w:p w14:paraId="155F686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12 pikë               </w:t>
            </w:r>
          </w:p>
          <w:p w14:paraId="0834ADFB"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16 pikë</w:t>
            </w:r>
          </w:p>
          <w:p w14:paraId="68032E01"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sz w:val="24"/>
                <w:szCs w:val="24"/>
              </w:rPr>
              <w:t>Shumë e lartë         – 20 pikë</w:t>
            </w:r>
          </w:p>
        </w:tc>
      </w:tr>
      <w:tr w:rsidR="00F052F6" w:rsidRPr="003D5CE4" w14:paraId="431AECCF" w14:textId="77777777" w:rsidTr="003464CC">
        <w:trPr>
          <w:trHeight w:val="40"/>
        </w:trPr>
        <w:tc>
          <w:tcPr>
            <w:tcW w:w="3488" w:type="pct"/>
            <w:gridSpan w:val="4"/>
            <w:tcBorders>
              <w:top w:val="single" w:sz="8" w:space="0" w:color="auto"/>
              <w:left w:val="single" w:sz="8" w:space="0" w:color="auto"/>
              <w:right w:val="nil"/>
            </w:tcBorders>
            <w:shd w:val="clear" w:color="000000" w:fill="BFBFBF"/>
            <w:vAlign w:val="center"/>
            <w:hideMark/>
          </w:tcPr>
          <w:p w14:paraId="341D053A" w14:textId="77777777" w:rsidR="00F052F6" w:rsidRPr="006F7B9C" w:rsidRDefault="00F052F6" w:rsidP="003464CC">
            <w:pPr>
              <w:spacing w:after="0" w:line="240" w:lineRule="auto"/>
              <w:rPr>
                <w:rFonts w:ascii="Garamond" w:eastAsia="Times New Roman" w:hAnsi="Garamond" w:cs="Times New Roman"/>
                <w:sz w:val="24"/>
                <w:szCs w:val="24"/>
              </w:rPr>
            </w:pPr>
            <w:r w:rsidRPr="006F7B9C">
              <w:rPr>
                <w:rFonts w:ascii="Garamond" w:eastAsia="Times New Roman" w:hAnsi="Garamond" w:cs="Times New Roman"/>
                <w:bCs/>
                <w:sz w:val="24"/>
                <w:szCs w:val="24"/>
              </w:rPr>
              <w:t>2. AFTËSITË ORGANIZATIVE TË PROKURORIT</w:t>
            </w:r>
          </w:p>
        </w:tc>
        <w:tc>
          <w:tcPr>
            <w:tcW w:w="305" w:type="pct"/>
            <w:tcBorders>
              <w:top w:val="single" w:sz="8" w:space="0" w:color="auto"/>
              <w:left w:val="single" w:sz="8" w:space="0" w:color="auto"/>
              <w:right w:val="nil"/>
            </w:tcBorders>
            <w:shd w:val="clear" w:color="000000" w:fill="D5DCE4"/>
            <w:vAlign w:val="center"/>
            <w:hideMark/>
          </w:tcPr>
          <w:p w14:paraId="585E3FA9"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Pikët total</w:t>
            </w:r>
          </w:p>
          <w:p w14:paraId="32BD1C13"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                 </w:t>
            </w:r>
          </w:p>
        </w:tc>
        <w:tc>
          <w:tcPr>
            <w:tcW w:w="1207" w:type="pct"/>
            <w:tcBorders>
              <w:top w:val="single" w:sz="8" w:space="0" w:color="auto"/>
              <w:left w:val="single" w:sz="8" w:space="0" w:color="auto"/>
              <w:right w:val="single" w:sz="8" w:space="0" w:color="auto"/>
            </w:tcBorders>
            <w:shd w:val="clear" w:color="000000" w:fill="D5DCE4"/>
            <w:vAlign w:val="center"/>
            <w:hideMark/>
          </w:tcPr>
          <w:p w14:paraId="1BEACB0A"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Niveli i vlerësimit</w:t>
            </w:r>
          </w:p>
          <w:p w14:paraId="197BF2B6"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w:t>
            </w:r>
          </w:p>
        </w:tc>
      </w:tr>
      <w:tr w:rsidR="00F052F6" w:rsidRPr="003D5CE4" w14:paraId="1354D4D5" w14:textId="77777777" w:rsidTr="003464CC">
        <w:trPr>
          <w:trHeight w:val="60"/>
        </w:trPr>
        <w:tc>
          <w:tcPr>
            <w:tcW w:w="1657" w:type="pct"/>
            <w:gridSpan w:val="2"/>
            <w:tcBorders>
              <w:top w:val="single" w:sz="8" w:space="0" w:color="000000"/>
              <w:left w:val="single" w:sz="8" w:space="0" w:color="auto"/>
              <w:bottom w:val="single" w:sz="8" w:space="0" w:color="auto"/>
              <w:right w:val="single" w:sz="8" w:space="0" w:color="000000"/>
            </w:tcBorders>
            <w:shd w:val="clear" w:color="000000" w:fill="BDD6EE"/>
            <w:vAlign w:val="center"/>
            <w:hideMark/>
          </w:tcPr>
          <w:p w14:paraId="7AFB9FFB"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Treguesit</w:t>
            </w:r>
          </w:p>
        </w:tc>
        <w:tc>
          <w:tcPr>
            <w:tcW w:w="1257" w:type="pct"/>
            <w:tcBorders>
              <w:top w:val="single" w:sz="4" w:space="0" w:color="auto"/>
              <w:left w:val="nil"/>
              <w:bottom w:val="single" w:sz="8" w:space="0" w:color="auto"/>
              <w:right w:val="single" w:sz="8" w:space="0" w:color="000000"/>
            </w:tcBorders>
            <w:shd w:val="clear" w:color="000000" w:fill="BDD6EE"/>
            <w:vAlign w:val="center"/>
            <w:hideMark/>
          </w:tcPr>
          <w:p w14:paraId="223557C5"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Burimet </w:t>
            </w:r>
          </w:p>
        </w:tc>
        <w:tc>
          <w:tcPr>
            <w:tcW w:w="574" w:type="pct"/>
            <w:tcBorders>
              <w:top w:val="single" w:sz="4" w:space="0" w:color="auto"/>
              <w:left w:val="nil"/>
              <w:bottom w:val="single" w:sz="8" w:space="0" w:color="auto"/>
              <w:right w:val="single" w:sz="8" w:space="0" w:color="000000"/>
            </w:tcBorders>
            <w:shd w:val="clear" w:color="000000" w:fill="BDD6EE"/>
            <w:vAlign w:val="center"/>
            <w:hideMark/>
          </w:tcPr>
          <w:p w14:paraId="7374F682"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Shkalla e aftësisë</w:t>
            </w:r>
          </w:p>
        </w:tc>
        <w:tc>
          <w:tcPr>
            <w:tcW w:w="305" w:type="pct"/>
            <w:tcBorders>
              <w:top w:val="single" w:sz="4" w:space="0" w:color="auto"/>
              <w:left w:val="nil"/>
              <w:bottom w:val="single" w:sz="8" w:space="0" w:color="auto"/>
              <w:right w:val="single" w:sz="8" w:space="0" w:color="000000"/>
            </w:tcBorders>
            <w:shd w:val="clear" w:color="000000" w:fill="BDD6EE"/>
            <w:vAlign w:val="center"/>
            <w:hideMark/>
          </w:tcPr>
          <w:p w14:paraId="6921C02D"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Pikët </w:t>
            </w:r>
          </w:p>
        </w:tc>
        <w:tc>
          <w:tcPr>
            <w:tcW w:w="1207" w:type="pct"/>
            <w:tcBorders>
              <w:top w:val="single" w:sz="4" w:space="0" w:color="auto"/>
              <w:left w:val="nil"/>
              <w:bottom w:val="single" w:sz="8" w:space="0" w:color="auto"/>
              <w:right w:val="single" w:sz="8" w:space="0" w:color="auto"/>
            </w:tcBorders>
            <w:shd w:val="clear" w:color="000000" w:fill="BDD6EE"/>
            <w:vAlign w:val="center"/>
            <w:hideMark/>
          </w:tcPr>
          <w:p w14:paraId="4ED66E5D"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Metodologjia </w:t>
            </w:r>
          </w:p>
        </w:tc>
      </w:tr>
      <w:tr w:rsidR="00F052F6" w:rsidRPr="003D5CE4" w14:paraId="66F9D462" w14:textId="77777777" w:rsidTr="003464CC">
        <w:trPr>
          <w:trHeight w:val="2850"/>
        </w:trPr>
        <w:tc>
          <w:tcPr>
            <w:tcW w:w="697" w:type="pct"/>
            <w:vMerge w:val="restart"/>
            <w:tcBorders>
              <w:top w:val="nil"/>
              <w:left w:val="single" w:sz="8" w:space="0" w:color="auto"/>
              <w:bottom w:val="nil"/>
              <w:right w:val="single" w:sz="8" w:space="0" w:color="auto"/>
            </w:tcBorders>
            <w:shd w:val="clear" w:color="000000" w:fill="F2F2F2"/>
            <w:vAlign w:val="center"/>
            <w:hideMark/>
          </w:tcPr>
          <w:p w14:paraId="3875AA33"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A. Aftësia për të përballuar ngarkesën e punës </w:t>
            </w:r>
          </w:p>
        </w:tc>
        <w:tc>
          <w:tcPr>
            <w:tcW w:w="960" w:type="pct"/>
            <w:tcBorders>
              <w:top w:val="nil"/>
              <w:left w:val="nil"/>
              <w:bottom w:val="single" w:sz="4" w:space="0" w:color="auto"/>
              <w:right w:val="single" w:sz="4" w:space="0" w:color="auto"/>
            </w:tcBorders>
            <w:shd w:val="clear" w:color="auto" w:fill="auto"/>
            <w:vAlign w:val="center"/>
            <w:hideMark/>
          </w:tcPr>
          <w:p w14:paraId="150F308F"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a. Respektimi i afateve ligjore  </w:t>
            </w:r>
          </w:p>
        </w:tc>
        <w:tc>
          <w:tcPr>
            <w:tcW w:w="1257" w:type="pct"/>
            <w:tcBorders>
              <w:top w:val="nil"/>
              <w:left w:val="nil"/>
              <w:bottom w:val="single" w:sz="4" w:space="0" w:color="auto"/>
              <w:right w:val="single" w:sz="4" w:space="0" w:color="auto"/>
            </w:tcBorders>
            <w:shd w:val="clear" w:color="auto" w:fill="auto"/>
            <w:vAlign w:val="center"/>
            <w:hideMark/>
          </w:tcPr>
          <w:p w14:paraId="02C6A31D" w14:textId="32474EBA"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1. Të dhënat statistikore;</w:t>
            </w:r>
          </w:p>
          <w:p w14:paraId="196C35C0" w14:textId="5590F993" w:rsidR="00F052F6" w:rsidRPr="003D5CE4" w:rsidRDefault="00F052F6" w:rsidP="007F7F4A">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2. Formulari i integruar i vlerësimit të prokurorit.</w:t>
            </w:r>
          </w:p>
        </w:tc>
        <w:tc>
          <w:tcPr>
            <w:tcW w:w="574" w:type="pct"/>
            <w:tcBorders>
              <w:top w:val="nil"/>
              <w:left w:val="nil"/>
              <w:bottom w:val="single" w:sz="4" w:space="0" w:color="auto"/>
              <w:right w:val="single" w:sz="4" w:space="0" w:color="auto"/>
            </w:tcBorders>
            <w:shd w:val="clear" w:color="auto" w:fill="auto"/>
            <w:vAlign w:val="center"/>
            <w:hideMark/>
          </w:tcPr>
          <w:p w14:paraId="6756D2A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305" w:type="pct"/>
            <w:tcBorders>
              <w:top w:val="nil"/>
              <w:left w:val="nil"/>
              <w:bottom w:val="single" w:sz="4" w:space="0" w:color="auto"/>
              <w:right w:val="single" w:sz="4" w:space="0" w:color="auto"/>
            </w:tcBorders>
            <w:shd w:val="clear" w:color="auto" w:fill="auto"/>
            <w:vAlign w:val="center"/>
            <w:hideMark/>
          </w:tcPr>
          <w:p w14:paraId="08DC419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1207" w:type="pct"/>
            <w:tcBorders>
              <w:top w:val="nil"/>
              <w:left w:val="nil"/>
              <w:bottom w:val="single" w:sz="4" w:space="0" w:color="auto"/>
              <w:right w:val="single" w:sz="4" w:space="0" w:color="auto"/>
            </w:tcBorders>
            <w:shd w:val="clear" w:color="auto" w:fill="auto"/>
            <w:vAlign w:val="center"/>
            <w:hideMark/>
          </w:tcPr>
          <w:p w14:paraId="04CCE71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Afati ligjor:</w:t>
            </w:r>
            <w:r w:rsidRPr="003D5CE4">
              <w:rPr>
                <w:rFonts w:ascii="Garamond" w:eastAsia="Times New Roman" w:hAnsi="Garamond" w:cs="Times New Roman"/>
                <w:sz w:val="24"/>
                <w:szCs w:val="24"/>
              </w:rPr>
              <w:t xml:space="preserve">                                         </w:t>
            </w:r>
          </w:p>
          <w:p w14:paraId="43C94D4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Mbi 40%, jashtë afatit ligjor - 4 pikë                                          </w:t>
            </w:r>
          </w:p>
          <w:p w14:paraId="1CA61E9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40%, gjatë ¼ së fundit të afatit ligjor - 8 pikë</w:t>
            </w:r>
          </w:p>
          <w:p w14:paraId="2BF06E7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40%, gjatë ¼ së tretë të afatit ligjor  - 12 pikë</w:t>
            </w:r>
          </w:p>
          <w:p w14:paraId="41CB468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40%, gjatë ¼ së dytë të afatit ligjor  - 16 pikë</w:t>
            </w:r>
          </w:p>
          <w:p w14:paraId="2E5DFE84"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Mbi 40%, gjatë ¼ së parë të afatit ligjor  - 20 pikë </w:t>
            </w:r>
          </w:p>
        </w:tc>
      </w:tr>
      <w:tr w:rsidR="00F052F6" w:rsidRPr="003D5CE4" w14:paraId="464CAC15" w14:textId="77777777" w:rsidTr="003464CC">
        <w:trPr>
          <w:trHeight w:val="2955"/>
        </w:trPr>
        <w:tc>
          <w:tcPr>
            <w:tcW w:w="697" w:type="pct"/>
            <w:vMerge/>
            <w:tcBorders>
              <w:top w:val="nil"/>
              <w:left w:val="single" w:sz="8" w:space="0" w:color="auto"/>
              <w:bottom w:val="nil"/>
              <w:right w:val="single" w:sz="8" w:space="0" w:color="auto"/>
            </w:tcBorders>
            <w:vAlign w:val="center"/>
            <w:hideMark/>
          </w:tcPr>
          <w:p w14:paraId="1955A9EB"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single" w:sz="4" w:space="0" w:color="auto"/>
              <w:right w:val="single" w:sz="4" w:space="0" w:color="auto"/>
            </w:tcBorders>
            <w:shd w:val="clear" w:color="auto" w:fill="auto"/>
            <w:vAlign w:val="center"/>
            <w:hideMark/>
          </w:tcPr>
          <w:p w14:paraId="0664489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b. Koha mesatare që i dedikohet çdo çështjeje deri në marrjen e vendimit, aktit përfundimtar</w:t>
            </w:r>
          </w:p>
        </w:tc>
        <w:tc>
          <w:tcPr>
            <w:tcW w:w="1257" w:type="pct"/>
            <w:tcBorders>
              <w:top w:val="nil"/>
              <w:left w:val="nil"/>
              <w:bottom w:val="single" w:sz="4" w:space="0" w:color="auto"/>
              <w:right w:val="single" w:sz="4" w:space="0" w:color="auto"/>
            </w:tcBorders>
            <w:shd w:val="clear" w:color="auto" w:fill="auto"/>
            <w:vAlign w:val="center"/>
            <w:hideMark/>
          </w:tcPr>
          <w:p w14:paraId="5041360C" w14:textId="70B99C83" w:rsidR="00F052F6" w:rsidRPr="003D5CE4" w:rsidRDefault="005C0383" w:rsidP="003464CC">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1. </w:t>
            </w:r>
            <w:r w:rsidR="00F052F6" w:rsidRPr="003D5CE4">
              <w:rPr>
                <w:rFonts w:ascii="Garamond" w:eastAsia="Times New Roman" w:hAnsi="Garamond" w:cs="Times New Roman"/>
                <w:sz w:val="24"/>
                <w:szCs w:val="24"/>
              </w:rPr>
              <w:t>Të dhënat statistikore;</w:t>
            </w:r>
          </w:p>
          <w:p w14:paraId="70C353DB" w14:textId="37162D12" w:rsidR="00F052F6" w:rsidRPr="003D5CE4" w:rsidRDefault="005C0383" w:rsidP="003464CC">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2. </w:t>
            </w:r>
            <w:r w:rsidR="00F052F6" w:rsidRPr="003D5CE4">
              <w:rPr>
                <w:rFonts w:ascii="Garamond" w:eastAsia="Times New Roman" w:hAnsi="Garamond" w:cs="Times New Roman"/>
                <w:sz w:val="24"/>
                <w:szCs w:val="24"/>
              </w:rPr>
              <w:t>Formulari i integruar i vlerësimit të prokurorit.</w:t>
            </w:r>
          </w:p>
        </w:tc>
        <w:tc>
          <w:tcPr>
            <w:tcW w:w="574" w:type="pct"/>
            <w:tcBorders>
              <w:top w:val="nil"/>
              <w:left w:val="nil"/>
              <w:bottom w:val="single" w:sz="4" w:space="0" w:color="auto"/>
              <w:right w:val="single" w:sz="4" w:space="0" w:color="auto"/>
            </w:tcBorders>
            <w:shd w:val="clear" w:color="auto" w:fill="auto"/>
            <w:vAlign w:val="center"/>
            <w:hideMark/>
          </w:tcPr>
          <w:p w14:paraId="1074EF2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4" w:space="0" w:color="auto"/>
              <w:right w:val="single" w:sz="4" w:space="0" w:color="auto"/>
            </w:tcBorders>
            <w:shd w:val="clear" w:color="auto" w:fill="auto"/>
            <w:vAlign w:val="center"/>
            <w:hideMark/>
          </w:tcPr>
          <w:p w14:paraId="7108332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1207" w:type="pct"/>
            <w:tcBorders>
              <w:top w:val="nil"/>
              <w:left w:val="nil"/>
              <w:bottom w:val="single" w:sz="4" w:space="0" w:color="auto"/>
              <w:right w:val="single" w:sz="4" w:space="0" w:color="auto"/>
            </w:tcBorders>
            <w:shd w:val="clear" w:color="auto" w:fill="auto"/>
            <w:vAlign w:val="center"/>
            <w:hideMark/>
          </w:tcPr>
          <w:p w14:paraId="629EC2D8"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Koha mesatare:</w:t>
            </w:r>
          </w:p>
          <w:p w14:paraId="7FA5BF7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Më e gjatë se mesatarja për të gjitha kategoritë e çështjeve  - 2 pikë</w:t>
            </w:r>
          </w:p>
          <w:p w14:paraId="14B03B9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Më e gjatë se mesatarja për shumicën e kategorive të çështjeve  - 4 pikë</w:t>
            </w:r>
          </w:p>
          <w:p w14:paraId="47EBACCF"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Më e gjatë se mesatarja për gjysmën e kategorive të çështjeve  - 6 pikë          </w:t>
            </w:r>
          </w:p>
          <w:p w14:paraId="3751529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Më e shkurtër se mesatarja për shumicën e kategorive të çështjeve  - 8 pikë</w:t>
            </w:r>
          </w:p>
          <w:p w14:paraId="45D98EEB"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Më e shkurtër ose e barabartë me mesataren për të gjitha kategoritë e çështjeve - 10 pikë </w:t>
            </w:r>
          </w:p>
        </w:tc>
      </w:tr>
      <w:tr w:rsidR="00F052F6" w:rsidRPr="003D5CE4" w14:paraId="10B5B7C5" w14:textId="77777777" w:rsidTr="003464CC">
        <w:trPr>
          <w:trHeight w:val="435"/>
        </w:trPr>
        <w:tc>
          <w:tcPr>
            <w:tcW w:w="697" w:type="pct"/>
            <w:vMerge/>
            <w:tcBorders>
              <w:top w:val="nil"/>
              <w:left w:val="single" w:sz="8" w:space="0" w:color="auto"/>
              <w:bottom w:val="nil"/>
              <w:right w:val="single" w:sz="8" w:space="0" w:color="auto"/>
            </w:tcBorders>
            <w:vAlign w:val="center"/>
            <w:hideMark/>
          </w:tcPr>
          <w:p w14:paraId="06726BE3"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single" w:sz="8" w:space="0" w:color="auto"/>
              <w:right w:val="single" w:sz="4" w:space="0" w:color="auto"/>
            </w:tcBorders>
            <w:shd w:val="clear" w:color="auto" w:fill="auto"/>
            <w:vAlign w:val="center"/>
            <w:hideMark/>
          </w:tcPr>
          <w:p w14:paraId="6EA1972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c. Rendimenti i përfundimit të çështjeve </w:t>
            </w:r>
          </w:p>
        </w:tc>
        <w:tc>
          <w:tcPr>
            <w:tcW w:w="1257" w:type="pct"/>
            <w:tcBorders>
              <w:top w:val="nil"/>
              <w:left w:val="nil"/>
              <w:bottom w:val="single" w:sz="8" w:space="0" w:color="auto"/>
              <w:right w:val="single" w:sz="4" w:space="0" w:color="auto"/>
            </w:tcBorders>
            <w:shd w:val="clear" w:color="auto" w:fill="auto"/>
            <w:vAlign w:val="center"/>
            <w:hideMark/>
          </w:tcPr>
          <w:p w14:paraId="48310CD6" w14:textId="6630BA98" w:rsidR="00F052F6" w:rsidRPr="003D5CE4" w:rsidRDefault="007F7F4A" w:rsidP="003464CC">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1. </w:t>
            </w:r>
            <w:r w:rsidR="00F052F6" w:rsidRPr="003D5CE4">
              <w:rPr>
                <w:rFonts w:ascii="Garamond" w:eastAsia="Times New Roman" w:hAnsi="Garamond" w:cs="Times New Roman"/>
                <w:sz w:val="24"/>
                <w:szCs w:val="24"/>
              </w:rPr>
              <w:t>Të dhënat statistikore;</w:t>
            </w:r>
          </w:p>
          <w:p w14:paraId="1CC63AD9" w14:textId="3D24307E" w:rsidR="00F052F6" w:rsidRPr="003D5CE4" w:rsidRDefault="007F7F4A" w:rsidP="003464CC">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2. </w:t>
            </w:r>
            <w:r w:rsidR="00F052F6" w:rsidRPr="003D5CE4">
              <w:rPr>
                <w:rFonts w:ascii="Garamond" w:eastAsia="Times New Roman" w:hAnsi="Garamond" w:cs="Times New Roman"/>
                <w:sz w:val="24"/>
                <w:szCs w:val="24"/>
              </w:rPr>
              <w:t>Formulari i integruar i vlerësimit të prokurorit.</w:t>
            </w:r>
          </w:p>
        </w:tc>
        <w:tc>
          <w:tcPr>
            <w:tcW w:w="574" w:type="pct"/>
            <w:tcBorders>
              <w:top w:val="nil"/>
              <w:left w:val="nil"/>
              <w:bottom w:val="single" w:sz="8" w:space="0" w:color="auto"/>
              <w:right w:val="single" w:sz="4" w:space="0" w:color="auto"/>
            </w:tcBorders>
            <w:shd w:val="clear" w:color="auto" w:fill="auto"/>
            <w:vAlign w:val="center"/>
            <w:hideMark/>
          </w:tcPr>
          <w:p w14:paraId="7BCC46C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8" w:space="0" w:color="auto"/>
              <w:right w:val="single" w:sz="4" w:space="0" w:color="auto"/>
            </w:tcBorders>
            <w:shd w:val="clear" w:color="auto" w:fill="auto"/>
            <w:vAlign w:val="center"/>
            <w:hideMark/>
          </w:tcPr>
          <w:p w14:paraId="66C4707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1207" w:type="pct"/>
            <w:tcBorders>
              <w:top w:val="nil"/>
              <w:left w:val="nil"/>
              <w:bottom w:val="single" w:sz="8" w:space="0" w:color="auto"/>
              <w:right w:val="single" w:sz="4" w:space="0" w:color="auto"/>
            </w:tcBorders>
            <w:shd w:val="clear" w:color="auto" w:fill="auto"/>
            <w:vAlign w:val="center"/>
            <w:hideMark/>
          </w:tcPr>
          <w:p w14:paraId="191AC71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Raporti çështje të caktuara/çështje të përfunduara</w:t>
            </w:r>
            <w:r w:rsidRPr="003D5CE4">
              <w:rPr>
                <w:rFonts w:ascii="Garamond" w:eastAsia="Times New Roman" w:hAnsi="Garamond" w:cs="Times New Roman"/>
                <w:sz w:val="24"/>
                <w:szCs w:val="24"/>
              </w:rPr>
              <w:t>:</w:t>
            </w:r>
          </w:p>
          <w:p w14:paraId="33558D7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Nën 81%  – 4 pikë                              </w:t>
            </w:r>
          </w:p>
          <w:p w14:paraId="7421A1B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81-87% – 8 pikë                                 </w:t>
            </w:r>
          </w:p>
          <w:p w14:paraId="4946CBB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87-93%  – 12 pikë                              </w:t>
            </w:r>
          </w:p>
          <w:p w14:paraId="3C030A1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93-99% – 16 pikë</w:t>
            </w:r>
          </w:p>
          <w:p w14:paraId="5BA62A6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+99% – 20 pikë</w:t>
            </w:r>
          </w:p>
        </w:tc>
      </w:tr>
      <w:tr w:rsidR="00F052F6" w:rsidRPr="003D5CE4" w14:paraId="37EA66D8" w14:textId="77777777" w:rsidTr="003464CC">
        <w:trPr>
          <w:trHeight w:val="40"/>
        </w:trPr>
        <w:tc>
          <w:tcPr>
            <w:tcW w:w="697" w:type="pct"/>
            <w:vMerge w:val="restart"/>
            <w:tcBorders>
              <w:top w:val="single" w:sz="8" w:space="0" w:color="000000"/>
              <w:left w:val="single" w:sz="8" w:space="0" w:color="auto"/>
              <w:bottom w:val="nil"/>
              <w:right w:val="single" w:sz="8" w:space="0" w:color="auto"/>
            </w:tcBorders>
            <w:shd w:val="clear" w:color="000000" w:fill="F2F2F2"/>
            <w:vAlign w:val="center"/>
            <w:hideMark/>
          </w:tcPr>
          <w:p w14:paraId="2657A7D5"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B. Aftësia për të kryer procedurat hetimore dhe      procedura të tjera të sistemit të prokurorisë</w:t>
            </w:r>
          </w:p>
        </w:tc>
        <w:tc>
          <w:tcPr>
            <w:tcW w:w="960" w:type="pct"/>
            <w:tcBorders>
              <w:top w:val="nil"/>
              <w:left w:val="nil"/>
              <w:bottom w:val="single" w:sz="4" w:space="0" w:color="auto"/>
              <w:right w:val="single" w:sz="4" w:space="0" w:color="auto"/>
            </w:tcBorders>
            <w:shd w:val="clear" w:color="auto" w:fill="auto"/>
            <w:vAlign w:val="center"/>
            <w:hideMark/>
          </w:tcPr>
          <w:p w14:paraId="0BCE50C0"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a. Aftësia e prokurorit për të kryer brenda një afati kohor të përcaktuar, veprimet e nevojshme hetimore dhe procedurale</w:t>
            </w:r>
          </w:p>
        </w:tc>
        <w:tc>
          <w:tcPr>
            <w:tcW w:w="1257" w:type="pct"/>
            <w:tcBorders>
              <w:top w:val="nil"/>
              <w:left w:val="nil"/>
              <w:bottom w:val="single" w:sz="4" w:space="0" w:color="auto"/>
              <w:right w:val="single" w:sz="4" w:space="0" w:color="auto"/>
            </w:tcBorders>
            <w:shd w:val="clear" w:color="auto" w:fill="auto"/>
            <w:vAlign w:val="center"/>
            <w:hideMark/>
          </w:tcPr>
          <w:p w14:paraId="04FC9C56"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Dokumentet ligjore të dorëzuara nga prokurorit;                                                        </w:t>
            </w:r>
          </w:p>
          <w:p w14:paraId="6A0646C3" w14:textId="648D33E5"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 xml:space="preserve">imit të prokurorit; </w:t>
            </w:r>
          </w:p>
          <w:p w14:paraId="0DD59789"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3. Aktet e dosjeve të përzgjedhura me short. </w:t>
            </w:r>
          </w:p>
        </w:tc>
        <w:tc>
          <w:tcPr>
            <w:tcW w:w="574" w:type="pct"/>
            <w:tcBorders>
              <w:top w:val="nil"/>
              <w:left w:val="nil"/>
              <w:bottom w:val="single" w:sz="4" w:space="0" w:color="auto"/>
              <w:right w:val="single" w:sz="4" w:space="0" w:color="auto"/>
            </w:tcBorders>
            <w:shd w:val="clear" w:color="auto" w:fill="auto"/>
            <w:vAlign w:val="center"/>
            <w:hideMark/>
          </w:tcPr>
          <w:p w14:paraId="56231D70" w14:textId="77777777" w:rsidR="00F052F6" w:rsidRPr="003D5CE4" w:rsidRDefault="00F052F6" w:rsidP="003464CC">
            <w:pPr>
              <w:spacing w:after="0" w:line="240" w:lineRule="auto"/>
              <w:ind w:firstLineChars="200" w:firstLine="480"/>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4" w:space="0" w:color="auto"/>
              <w:right w:val="single" w:sz="4" w:space="0" w:color="auto"/>
            </w:tcBorders>
            <w:shd w:val="clear" w:color="auto" w:fill="auto"/>
            <w:vAlign w:val="center"/>
            <w:hideMark/>
          </w:tcPr>
          <w:p w14:paraId="1C2D342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1207" w:type="pct"/>
            <w:tcBorders>
              <w:top w:val="nil"/>
              <w:left w:val="nil"/>
              <w:bottom w:val="single" w:sz="4" w:space="0" w:color="auto"/>
              <w:right w:val="single" w:sz="4" w:space="0" w:color="auto"/>
            </w:tcBorders>
            <w:shd w:val="clear" w:color="auto" w:fill="auto"/>
            <w:vAlign w:val="center"/>
            <w:hideMark/>
          </w:tcPr>
          <w:p w14:paraId="0D363CD9"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Shkalla e aftësisë së prokurorit</w:t>
            </w:r>
            <w:r w:rsidRPr="003D5CE4">
              <w:rPr>
                <w:rFonts w:ascii="Garamond" w:eastAsia="Times New Roman" w:hAnsi="Garamond" w:cs="Times New Roman"/>
                <w:sz w:val="24"/>
                <w:szCs w:val="24"/>
              </w:rPr>
              <w:t xml:space="preserve">: </w:t>
            </w:r>
          </w:p>
          <w:p w14:paraId="74C8F64B"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4 pikë</w:t>
            </w:r>
          </w:p>
          <w:p w14:paraId="5C9D948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8 pikë</w:t>
            </w:r>
          </w:p>
          <w:p w14:paraId="2458E86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12 pikë               </w:t>
            </w:r>
          </w:p>
          <w:p w14:paraId="01D9531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16 pikë</w:t>
            </w:r>
          </w:p>
          <w:p w14:paraId="0955B416"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sz w:val="24"/>
                <w:szCs w:val="24"/>
              </w:rPr>
              <w:t>Shumë e lartë         – 20 pikë</w:t>
            </w:r>
          </w:p>
        </w:tc>
      </w:tr>
      <w:tr w:rsidR="00F052F6" w:rsidRPr="003D5CE4" w14:paraId="3F386540" w14:textId="77777777" w:rsidTr="003464CC">
        <w:trPr>
          <w:trHeight w:val="245"/>
        </w:trPr>
        <w:tc>
          <w:tcPr>
            <w:tcW w:w="697" w:type="pct"/>
            <w:vMerge/>
            <w:tcBorders>
              <w:top w:val="single" w:sz="8" w:space="0" w:color="000000"/>
              <w:left w:val="single" w:sz="8" w:space="0" w:color="auto"/>
              <w:bottom w:val="nil"/>
              <w:right w:val="single" w:sz="8" w:space="0" w:color="auto"/>
            </w:tcBorders>
            <w:vAlign w:val="center"/>
            <w:hideMark/>
          </w:tcPr>
          <w:p w14:paraId="36783571"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single" w:sz="4" w:space="0" w:color="auto"/>
              <w:right w:val="single" w:sz="4" w:space="0" w:color="auto"/>
            </w:tcBorders>
            <w:shd w:val="clear" w:color="auto" w:fill="auto"/>
            <w:vAlign w:val="center"/>
            <w:hideMark/>
          </w:tcPr>
          <w:p w14:paraId="3CA6F77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b. Aftësia e prokurorit për të mbledhur provat e nevojshme</w:t>
            </w:r>
          </w:p>
        </w:tc>
        <w:tc>
          <w:tcPr>
            <w:tcW w:w="1257" w:type="pct"/>
            <w:tcBorders>
              <w:top w:val="nil"/>
              <w:left w:val="nil"/>
              <w:bottom w:val="single" w:sz="4" w:space="0" w:color="auto"/>
              <w:right w:val="single" w:sz="4" w:space="0" w:color="auto"/>
            </w:tcBorders>
            <w:shd w:val="clear" w:color="auto" w:fill="auto"/>
            <w:vAlign w:val="center"/>
            <w:hideMark/>
          </w:tcPr>
          <w:p w14:paraId="6C702150"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Dokumentet ligjore të dorëzuara nga prokurorit;                                                         </w:t>
            </w:r>
          </w:p>
          <w:p w14:paraId="24BAE3CA" w14:textId="3FBC8D8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 xml:space="preserve">imit të prokurorit; </w:t>
            </w:r>
          </w:p>
          <w:p w14:paraId="30C17B40"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3. Aktet e dosjeve të përzgjedhura me short. </w:t>
            </w:r>
          </w:p>
        </w:tc>
        <w:tc>
          <w:tcPr>
            <w:tcW w:w="574" w:type="pct"/>
            <w:tcBorders>
              <w:top w:val="nil"/>
              <w:left w:val="nil"/>
              <w:bottom w:val="single" w:sz="4" w:space="0" w:color="auto"/>
              <w:right w:val="single" w:sz="4" w:space="0" w:color="auto"/>
            </w:tcBorders>
            <w:shd w:val="clear" w:color="auto" w:fill="auto"/>
            <w:vAlign w:val="center"/>
            <w:hideMark/>
          </w:tcPr>
          <w:p w14:paraId="09A208F1"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4" w:space="0" w:color="auto"/>
              <w:right w:val="single" w:sz="4" w:space="0" w:color="auto"/>
            </w:tcBorders>
            <w:shd w:val="clear" w:color="auto" w:fill="auto"/>
            <w:vAlign w:val="center"/>
            <w:hideMark/>
          </w:tcPr>
          <w:p w14:paraId="283DABF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1207" w:type="pct"/>
            <w:tcBorders>
              <w:top w:val="nil"/>
              <w:left w:val="nil"/>
              <w:bottom w:val="single" w:sz="4" w:space="0" w:color="auto"/>
              <w:right w:val="single" w:sz="4" w:space="0" w:color="auto"/>
            </w:tcBorders>
            <w:shd w:val="clear" w:color="auto" w:fill="auto"/>
            <w:vAlign w:val="center"/>
            <w:hideMark/>
          </w:tcPr>
          <w:p w14:paraId="60FBE9B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Shkalla e aftësisë së prokurorit</w:t>
            </w:r>
            <w:r w:rsidRPr="003D5CE4">
              <w:rPr>
                <w:rFonts w:ascii="Garamond" w:eastAsia="Times New Roman" w:hAnsi="Garamond" w:cs="Times New Roman"/>
                <w:sz w:val="24"/>
                <w:szCs w:val="24"/>
              </w:rPr>
              <w:t xml:space="preserve">: </w:t>
            </w:r>
          </w:p>
          <w:p w14:paraId="3B42056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3 pikë</w:t>
            </w:r>
          </w:p>
          <w:p w14:paraId="6ED5CD74"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6 pikë</w:t>
            </w:r>
          </w:p>
          <w:p w14:paraId="1B37CC36"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9 pikë               </w:t>
            </w:r>
          </w:p>
          <w:p w14:paraId="46A1EAD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12 pikë</w:t>
            </w:r>
          </w:p>
          <w:p w14:paraId="4CBB0EED"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sz w:val="24"/>
                <w:szCs w:val="24"/>
              </w:rPr>
              <w:t>Shumë e lartë         – 15 pikë</w:t>
            </w:r>
          </w:p>
        </w:tc>
      </w:tr>
      <w:tr w:rsidR="00F052F6" w:rsidRPr="003D5CE4" w14:paraId="2A7C6137" w14:textId="77777777" w:rsidTr="003464CC">
        <w:trPr>
          <w:trHeight w:val="515"/>
        </w:trPr>
        <w:tc>
          <w:tcPr>
            <w:tcW w:w="697" w:type="pct"/>
            <w:vMerge/>
            <w:tcBorders>
              <w:top w:val="single" w:sz="8" w:space="0" w:color="000000"/>
              <w:left w:val="single" w:sz="8" w:space="0" w:color="auto"/>
              <w:bottom w:val="nil"/>
              <w:right w:val="single" w:sz="8" w:space="0" w:color="auto"/>
            </w:tcBorders>
            <w:vAlign w:val="center"/>
            <w:hideMark/>
          </w:tcPr>
          <w:p w14:paraId="71912934"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single" w:sz="8" w:space="0" w:color="auto"/>
              <w:right w:val="single" w:sz="4" w:space="0" w:color="auto"/>
            </w:tcBorders>
            <w:shd w:val="clear" w:color="auto" w:fill="auto"/>
            <w:vAlign w:val="center"/>
            <w:hideMark/>
          </w:tcPr>
          <w:p w14:paraId="68E6B1B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c. Aftësia e prokurorit për të mbikëqyrur dërgimin pa vonesë të akteve të nevojshme të njoftimit</w:t>
            </w:r>
          </w:p>
        </w:tc>
        <w:tc>
          <w:tcPr>
            <w:tcW w:w="1257" w:type="pct"/>
            <w:tcBorders>
              <w:top w:val="nil"/>
              <w:left w:val="nil"/>
              <w:bottom w:val="single" w:sz="8" w:space="0" w:color="auto"/>
              <w:right w:val="single" w:sz="4" w:space="0" w:color="auto"/>
            </w:tcBorders>
            <w:shd w:val="clear" w:color="auto" w:fill="auto"/>
            <w:vAlign w:val="center"/>
            <w:hideMark/>
          </w:tcPr>
          <w:p w14:paraId="753D979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Dokumentet ligjore të dorëzuara nga prokurori                                                        </w:t>
            </w:r>
          </w:p>
          <w:p w14:paraId="56EE812F" w14:textId="510C8BBF"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 xml:space="preserve">imit të prokurorit </w:t>
            </w:r>
          </w:p>
          <w:p w14:paraId="16DEBA6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3. Aktet e dosjeve të përzgjedhura me short </w:t>
            </w:r>
          </w:p>
        </w:tc>
        <w:tc>
          <w:tcPr>
            <w:tcW w:w="574" w:type="pct"/>
            <w:tcBorders>
              <w:top w:val="nil"/>
              <w:left w:val="nil"/>
              <w:bottom w:val="single" w:sz="8" w:space="0" w:color="auto"/>
              <w:right w:val="single" w:sz="4" w:space="0" w:color="auto"/>
            </w:tcBorders>
            <w:shd w:val="clear" w:color="auto" w:fill="auto"/>
            <w:vAlign w:val="center"/>
            <w:hideMark/>
          </w:tcPr>
          <w:p w14:paraId="79A28C9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8" w:space="0" w:color="auto"/>
              <w:right w:val="single" w:sz="4" w:space="0" w:color="auto"/>
            </w:tcBorders>
            <w:shd w:val="clear" w:color="auto" w:fill="auto"/>
            <w:vAlign w:val="center"/>
            <w:hideMark/>
          </w:tcPr>
          <w:p w14:paraId="6BF9328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nil"/>
              <w:left w:val="nil"/>
              <w:bottom w:val="single" w:sz="8" w:space="0" w:color="auto"/>
              <w:right w:val="single" w:sz="4" w:space="0" w:color="auto"/>
            </w:tcBorders>
            <w:shd w:val="clear" w:color="auto" w:fill="auto"/>
            <w:vAlign w:val="center"/>
            <w:hideMark/>
          </w:tcPr>
          <w:p w14:paraId="521480F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Shkalla e aftësisë së prokurorit</w:t>
            </w:r>
            <w:r w:rsidRPr="003D5CE4">
              <w:rPr>
                <w:rFonts w:ascii="Garamond" w:eastAsia="Times New Roman" w:hAnsi="Garamond" w:cs="Times New Roman"/>
                <w:sz w:val="24"/>
                <w:szCs w:val="24"/>
              </w:rPr>
              <w:t xml:space="preserve">: </w:t>
            </w:r>
          </w:p>
          <w:p w14:paraId="77A483C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1 pikë</w:t>
            </w:r>
          </w:p>
          <w:p w14:paraId="7D6079C0"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2 pikë</w:t>
            </w:r>
          </w:p>
          <w:p w14:paraId="792BC2B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3 pikë               </w:t>
            </w:r>
          </w:p>
          <w:p w14:paraId="1EDAE6F1"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4 pikë</w:t>
            </w:r>
          </w:p>
          <w:p w14:paraId="4EDA5F07"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sz w:val="24"/>
                <w:szCs w:val="24"/>
              </w:rPr>
              <w:t>Shumë e lartë         – 5 pikë</w:t>
            </w:r>
          </w:p>
        </w:tc>
      </w:tr>
      <w:tr w:rsidR="00F052F6" w:rsidRPr="003D5CE4" w14:paraId="2FE499D3" w14:textId="77777777" w:rsidTr="003464CC">
        <w:trPr>
          <w:trHeight w:val="749"/>
        </w:trPr>
        <w:tc>
          <w:tcPr>
            <w:tcW w:w="697" w:type="pct"/>
            <w:vMerge w:val="restart"/>
            <w:tcBorders>
              <w:top w:val="single" w:sz="8" w:space="0" w:color="000000"/>
              <w:left w:val="single" w:sz="8" w:space="0" w:color="auto"/>
              <w:bottom w:val="single" w:sz="8" w:space="0" w:color="000000"/>
              <w:right w:val="single" w:sz="8" w:space="0" w:color="auto"/>
            </w:tcBorders>
            <w:shd w:val="clear" w:color="000000" w:fill="F2F2F2"/>
            <w:vAlign w:val="center"/>
            <w:hideMark/>
          </w:tcPr>
          <w:p w14:paraId="00AA5460"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C. Aftësia për të administruar dosjen hetimore ose praktikën përkatëse</w:t>
            </w:r>
          </w:p>
        </w:tc>
        <w:tc>
          <w:tcPr>
            <w:tcW w:w="960" w:type="pct"/>
            <w:tcBorders>
              <w:top w:val="nil"/>
              <w:left w:val="nil"/>
              <w:bottom w:val="single" w:sz="4" w:space="0" w:color="auto"/>
              <w:right w:val="single" w:sz="4" w:space="0" w:color="auto"/>
            </w:tcBorders>
            <w:shd w:val="clear" w:color="auto" w:fill="auto"/>
            <w:vAlign w:val="center"/>
            <w:hideMark/>
          </w:tcPr>
          <w:p w14:paraId="21738EB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a. Rregullshmëria e dokumentacionit të dosjes ose praktikës</w:t>
            </w:r>
          </w:p>
        </w:tc>
        <w:tc>
          <w:tcPr>
            <w:tcW w:w="1257" w:type="pct"/>
            <w:tcBorders>
              <w:top w:val="nil"/>
              <w:left w:val="nil"/>
              <w:bottom w:val="single" w:sz="4" w:space="0" w:color="auto"/>
              <w:right w:val="single" w:sz="4" w:space="0" w:color="auto"/>
            </w:tcBorders>
            <w:shd w:val="clear" w:color="auto" w:fill="auto"/>
            <w:vAlign w:val="center"/>
            <w:hideMark/>
          </w:tcPr>
          <w:p w14:paraId="6937B469" w14:textId="77777777" w:rsidR="00F052F6" w:rsidRPr="003D5CE4" w:rsidRDefault="00F052F6" w:rsidP="003464CC">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 xml:space="preserve">1. Aktet e dosjeve të </w:t>
            </w:r>
            <w:r w:rsidRPr="003D5CE4">
              <w:rPr>
                <w:rFonts w:ascii="Garamond" w:eastAsia="Times New Roman" w:hAnsi="Garamond" w:cs="Times New Roman"/>
                <w:sz w:val="24"/>
                <w:szCs w:val="24"/>
              </w:rPr>
              <w:t xml:space="preserve">përzgjedhura me short;    </w:t>
            </w:r>
          </w:p>
          <w:p w14:paraId="19111DFD" w14:textId="3E88DE7B"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imit të prokurorit.</w:t>
            </w:r>
          </w:p>
        </w:tc>
        <w:tc>
          <w:tcPr>
            <w:tcW w:w="574" w:type="pct"/>
            <w:tcBorders>
              <w:top w:val="nil"/>
              <w:left w:val="nil"/>
              <w:bottom w:val="single" w:sz="4" w:space="0" w:color="auto"/>
              <w:right w:val="single" w:sz="4" w:space="0" w:color="auto"/>
            </w:tcBorders>
            <w:shd w:val="clear" w:color="auto" w:fill="auto"/>
            <w:vAlign w:val="center"/>
            <w:hideMark/>
          </w:tcPr>
          <w:p w14:paraId="40B83C0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305" w:type="pct"/>
            <w:tcBorders>
              <w:top w:val="nil"/>
              <w:left w:val="nil"/>
              <w:bottom w:val="single" w:sz="4" w:space="0" w:color="auto"/>
              <w:right w:val="single" w:sz="4" w:space="0" w:color="auto"/>
            </w:tcBorders>
            <w:shd w:val="clear" w:color="auto" w:fill="auto"/>
            <w:vAlign w:val="center"/>
            <w:hideMark/>
          </w:tcPr>
          <w:p w14:paraId="76E4304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1207" w:type="pct"/>
            <w:tcBorders>
              <w:top w:val="nil"/>
              <w:left w:val="nil"/>
              <w:bottom w:val="single" w:sz="4" w:space="0" w:color="auto"/>
              <w:right w:val="single" w:sz="4" w:space="0" w:color="auto"/>
            </w:tcBorders>
            <w:shd w:val="clear" w:color="auto" w:fill="auto"/>
            <w:vAlign w:val="center"/>
            <w:hideMark/>
          </w:tcPr>
          <w:p w14:paraId="2B1C520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 xml:space="preserve">Shkalla e aftësisë së prokurorit:          </w:t>
            </w:r>
            <w:r w:rsidRPr="003D5CE4">
              <w:rPr>
                <w:rFonts w:ascii="Garamond" w:eastAsia="Times New Roman" w:hAnsi="Garamond" w:cs="Times New Roman"/>
                <w:sz w:val="24"/>
                <w:szCs w:val="24"/>
              </w:rPr>
              <w:t>E dobët                  – 1 pikë</w:t>
            </w:r>
          </w:p>
          <w:p w14:paraId="7882DE4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2 pikë</w:t>
            </w:r>
          </w:p>
          <w:p w14:paraId="4F965BE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3 pikë               </w:t>
            </w:r>
          </w:p>
          <w:p w14:paraId="56508E8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4 pikë</w:t>
            </w:r>
          </w:p>
          <w:p w14:paraId="6B7984B2"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sz w:val="24"/>
                <w:szCs w:val="24"/>
              </w:rPr>
              <w:t>Shumë e lartë         – 5 pikë</w:t>
            </w:r>
          </w:p>
        </w:tc>
      </w:tr>
      <w:tr w:rsidR="00F052F6" w:rsidRPr="003D5CE4" w14:paraId="164A6051" w14:textId="77777777" w:rsidTr="003464CC">
        <w:trPr>
          <w:trHeight w:val="452"/>
        </w:trPr>
        <w:tc>
          <w:tcPr>
            <w:tcW w:w="697" w:type="pct"/>
            <w:vMerge/>
            <w:tcBorders>
              <w:top w:val="single" w:sz="8" w:space="0" w:color="000000"/>
              <w:left w:val="single" w:sz="8" w:space="0" w:color="auto"/>
              <w:bottom w:val="single" w:sz="8" w:space="0" w:color="000000"/>
              <w:right w:val="single" w:sz="8" w:space="0" w:color="auto"/>
            </w:tcBorders>
            <w:vAlign w:val="center"/>
            <w:hideMark/>
          </w:tcPr>
          <w:p w14:paraId="6FEE028D"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single" w:sz="8" w:space="0" w:color="auto"/>
              <w:right w:val="single" w:sz="4" w:space="0" w:color="auto"/>
            </w:tcBorders>
            <w:shd w:val="clear" w:color="auto" w:fill="auto"/>
            <w:vAlign w:val="center"/>
            <w:hideMark/>
          </w:tcPr>
          <w:p w14:paraId="18E4BF54"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b. Plotësia dhe saktësia e dokumentacionit të dosjes ose praktikës </w:t>
            </w:r>
          </w:p>
        </w:tc>
        <w:tc>
          <w:tcPr>
            <w:tcW w:w="1257" w:type="pct"/>
            <w:tcBorders>
              <w:top w:val="nil"/>
              <w:left w:val="nil"/>
              <w:bottom w:val="single" w:sz="8" w:space="0" w:color="auto"/>
              <w:right w:val="single" w:sz="4" w:space="0" w:color="auto"/>
            </w:tcBorders>
            <w:shd w:val="clear" w:color="auto" w:fill="auto"/>
            <w:vAlign w:val="center"/>
            <w:hideMark/>
          </w:tcPr>
          <w:p w14:paraId="1A8CC6C5" w14:textId="77777777" w:rsidR="00F052F6" w:rsidRPr="003D5CE4" w:rsidRDefault="00F052F6" w:rsidP="003464CC">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 xml:space="preserve">1. Aktet e dosjeve të </w:t>
            </w:r>
            <w:r w:rsidRPr="003D5CE4">
              <w:rPr>
                <w:rFonts w:ascii="Garamond" w:eastAsia="Times New Roman" w:hAnsi="Garamond" w:cs="Times New Roman"/>
                <w:sz w:val="24"/>
                <w:szCs w:val="24"/>
              </w:rPr>
              <w:t xml:space="preserve">përzgjedhura me short;    </w:t>
            </w:r>
          </w:p>
          <w:p w14:paraId="25B23176" w14:textId="61FD572D"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imit të prokurorit.</w:t>
            </w:r>
          </w:p>
        </w:tc>
        <w:tc>
          <w:tcPr>
            <w:tcW w:w="574" w:type="pct"/>
            <w:tcBorders>
              <w:top w:val="nil"/>
              <w:left w:val="nil"/>
              <w:bottom w:val="single" w:sz="8" w:space="0" w:color="auto"/>
              <w:right w:val="single" w:sz="4" w:space="0" w:color="auto"/>
            </w:tcBorders>
            <w:shd w:val="clear" w:color="auto" w:fill="auto"/>
            <w:vAlign w:val="center"/>
            <w:hideMark/>
          </w:tcPr>
          <w:p w14:paraId="402030B1"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305" w:type="pct"/>
            <w:tcBorders>
              <w:top w:val="nil"/>
              <w:left w:val="nil"/>
              <w:bottom w:val="single" w:sz="8" w:space="0" w:color="auto"/>
              <w:right w:val="single" w:sz="4" w:space="0" w:color="auto"/>
            </w:tcBorders>
            <w:shd w:val="clear" w:color="auto" w:fill="auto"/>
            <w:vAlign w:val="center"/>
            <w:hideMark/>
          </w:tcPr>
          <w:p w14:paraId="2DF8D250"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1207" w:type="pct"/>
            <w:tcBorders>
              <w:top w:val="nil"/>
              <w:left w:val="nil"/>
              <w:bottom w:val="single" w:sz="8" w:space="0" w:color="auto"/>
              <w:right w:val="single" w:sz="4" w:space="0" w:color="auto"/>
            </w:tcBorders>
            <w:shd w:val="clear" w:color="auto" w:fill="auto"/>
            <w:vAlign w:val="center"/>
            <w:hideMark/>
          </w:tcPr>
          <w:p w14:paraId="3DA92300"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 xml:space="preserve">Shkalla e aftësisë së prokurorit:          </w:t>
            </w:r>
            <w:r w:rsidRPr="003D5CE4">
              <w:rPr>
                <w:rFonts w:ascii="Garamond" w:eastAsia="Times New Roman" w:hAnsi="Garamond" w:cs="Times New Roman"/>
                <w:sz w:val="24"/>
                <w:szCs w:val="24"/>
              </w:rPr>
              <w:t>E dobët                  – 1 pikë</w:t>
            </w:r>
          </w:p>
          <w:p w14:paraId="1CB08BF9"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2 pikë</w:t>
            </w:r>
          </w:p>
          <w:p w14:paraId="3BF6822F"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3 pikë               </w:t>
            </w:r>
          </w:p>
          <w:p w14:paraId="7AED1DC9"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4 pikë</w:t>
            </w:r>
          </w:p>
          <w:p w14:paraId="759CAA9E"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sz w:val="24"/>
                <w:szCs w:val="24"/>
              </w:rPr>
              <w:t>Shumë e lartë         – 5 pikë</w:t>
            </w:r>
          </w:p>
        </w:tc>
      </w:tr>
      <w:tr w:rsidR="00F052F6" w:rsidRPr="003D5CE4" w14:paraId="3161125A" w14:textId="77777777" w:rsidTr="003464CC">
        <w:trPr>
          <w:trHeight w:val="630"/>
        </w:trPr>
        <w:tc>
          <w:tcPr>
            <w:tcW w:w="3488" w:type="pct"/>
            <w:gridSpan w:val="4"/>
            <w:vMerge w:val="restart"/>
            <w:tcBorders>
              <w:top w:val="nil"/>
              <w:left w:val="single" w:sz="8" w:space="0" w:color="000000"/>
              <w:bottom w:val="nil"/>
              <w:right w:val="single" w:sz="8" w:space="0" w:color="000000"/>
            </w:tcBorders>
            <w:shd w:val="clear" w:color="000000" w:fill="BFBFBF"/>
            <w:vAlign w:val="center"/>
            <w:hideMark/>
          </w:tcPr>
          <w:p w14:paraId="3E5DD313" w14:textId="77777777" w:rsidR="00F052F6" w:rsidRPr="006F7B9C" w:rsidRDefault="00F052F6" w:rsidP="003464CC">
            <w:pPr>
              <w:spacing w:after="0" w:line="240" w:lineRule="auto"/>
              <w:rPr>
                <w:rFonts w:ascii="Garamond" w:eastAsia="Times New Roman" w:hAnsi="Garamond" w:cs="Times New Roman"/>
                <w:bCs/>
                <w:sz w:val="24"/>
                <w:szCs w:val="24"/>
              </w:rPr>
            </w:pPr>
            <w:r w:rsidRPr="006F7B9C">
              <w:rPr>
                <w:rFonts w:ascii="Garamond" w:eastAsia="Times New Roman" w:hAnsi="Garamond" w:cs="Times New Roman"/>
                <w:bCs/>
                <w:sz w:val="24"/>
                <w:szCs w:val="24"/>
              </w:rPr>
              <w:t xml:space="preserve">3. ETIKA DHE ANGAZHIMI NDAJ VLERAVE PROFESIONALE </w:t>
            </w:r>
          </w:p>
        </w:tc>
        <w:tc>
          <w:tcPr>
            <w:tcW w:w="305" w:type="pct"/>
            <w:tcBorders>
              <w:top w:val="nil"/>
              <w:left w:val="nil"/>
              <w:bottom w:val="single" w:sz="8" w:space="0" w:color="auto"/>
              <w:right w:val="nil"/>
            </w:tcBorders>
            <w:shd w:val="clear" w:color="000000" w:fill="D5DCE4"/>
            <w:vAlign w:val="center"/>
            <w:hideMark/>
          </w:tcPr>
          <w:p w14:paraId="30775CF7"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Pikët total</w:t>
            </w:r>
          </w:p>
        </w:tc>
        <w:tc>
          <w:tcPr>
            <w:tcW w:w="1207" w:type="pct"/>
            <w:tcBorders>
              <w:top w:val="nil"/>
              <w:left w:val="single" w:sz="8" w:space="0" w:color="auto"/>
              <w:bottom w:val="single" w:sz="8" w:space="0" w:color="auto"/>
              <w:right w:val="single" w:sz="8" w:space="0" w:color="auto"/>
            </w:tcBorders>
            <w:shd w:val="clear" w:color="000000" w:fill="D5DCE4"/>
            <w:vAlign w:val="center"/>
            <w:hideMark/>
          </w:tcPr>
          <w:p w14:paraId="6E363A22"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Niveli i vlerësimit</w:t>
            </w:r>
          </w:p>
        </w:tc>
      </w:tr>
      <w:tr w:rsidR="00F052F6" w:rsidRPr="003D5CE4" w14:paraId="149D3230" w14:textId="77777777" w:rsidTr="003464CC">
        <w:trPr>
          <w:trHeight w:val="75"/>
        </w:trPr>
        <w:tc>
          <w:tcPr>
            <w:tcW w:w="3488" w:type="pct"/>
            <w:gridSpan w:val="4"/>
            <w:vMerge/>
            <w:tcBorders>
              <w:top w:val="nil"/>
              <w:left w:val="single" w:sz="8" w:space="0" w:color="000000"/>
              <w:bottom w:val="nil"/>
              <w:right w:val="single" w:sz="8" w:space="0" w:color="000000"/>
            </w:tcBorders>
            <w:vAlign w:val="center"/>
            <w:hideMark/>
          </w:tcPr>
          <w:p w14:paraId="7409E507"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305" w:type="pct"/>
            <w:tcBorders>
              <w:top w:val="nil"/>
              <w:left w:val="nil"/>
              <w:bottom w:val="nil"/>
              <w:right w:val="nil"/>
            </w:tcBorders>
            <w:shd w:val="clear" w:color="000000" w:fill="D6DCE4"/>
            <w:vAlign w:val="center"/>
            <w:hideMark/>
          </w:tcPr>
          <w:p w14:paraId="3AA431AF"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                 </w:t>
            </w:r>
          </w:p>
        </w:tc>
        <w:tc>
          <w:tcPr>
            <w:tcW w:w="1207" w:type="pct"/>
            <w:tcBorders>
              <w:top w:val="nil"/>
              <w:left w:val="single" w:sz="8" w:space="0" w:color="auto"/>
              <w:bottom w:val="nil"/>
              <w:right w:val="single" w:sz="8" w:space="0" w:color="auto"/>
            </w:tcBorders>
            <w:shd w:val="clear" w:color="000000" w:fill="D6DCE4"/>
            <w:vAlign w:val="center"/>
            <w:hideMark/>
          </w:tcPr>
          <w:p w14:paraId="4812CF08"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w:t>
            </w:r>
          </w:p>
        </w:tc>
      </w:tr>
      <w:tr w:rsidR="00F052F6" w:rsidRPr="003D5CE4" w14:paraId="2DCEFFD5" w14:textId="77777777" w:rsidTr="003464CC">
        <w:trPr>
          <w:trHeight w:val="85"/>
        </w:trPr>
        <w:tc>
          <w:tcPr>
            <w:tcW w:w="1657" w:type="pct"/>
            <w:gridSpan w:val="2"/>
            <w:tcBorders>
              <w:top w:val="single" w:sz="4" w:space="0" w:color="auto"/>
              <w:left w:val="single" w:sz="8" w:space="0" w:color="auto"/>
              <w:bottom w:val="single" w:sz="8" w:space="0" w:color="auto"/>
              <w:right w:val="nil"/>
            </w:tcBorders>
            <w:shd w:val="clear" w:color="000000" w:fill="BDD6EE"/>
            <w:vAlign w:val="center"/>
            <w:hideMark/>
          </w:tcPr>
          <w:p w14:paraId="6D9B0B77"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Treguesit </w:t>
            </w:r>
          </w:p>
        </w:tc>
        <w:tc>
          <w:tcPr>
            <w:tcW w:w="1257" w:type="pct"/>
            <w:tcBorders>
              <w:top w:val="single" w:sz="4" w:space="0" w:color="auto"/>
              <w:left w:val="single" w:sz="8" w:space="0" w:color="auto"/>
              <w:bottom w:val="single" w:sz="8" w:space="0" w:color="auto"/>
              <w:right w:val="single" w:sz="8" w:space="0" w:color="auto"/>
            </w:tcBorders>
            <w:shd w:val="clear" w:color="000000" w:fill="BDD6EE"/>
            <w:vAlign w:val="center"/>
            <w:hideMark/>
          </w:tcPr>
          <w:p w14:paraId="7013BEA0"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Burimi </w:t>
            </w:r>
          </w:p>
        </w:tc>
        <w:tc>
          <w:tcPr>
            <w:tcW w:w="574" w:type="pct"/>
            <w:tcBorders>
              <w:top w:val="single" w:sz="4" w:space="0" w:color="auto"/>
              <w:left w:val="nil"/>
              <w:bottom w:val="single" w:sz="8" w:space="0" w:color="auto"/>
              <w:right w:val="single" w:sz="8" w:space="0" w:color="000000"/>
            </w:tcBorders>
            <w:shd w:val="clear" w:color="000000" w:fill="BDD6EE"/>
            <w:vAlign w:val="center"/>
            <w:hideMark/>
          </w:tcPr>
          <w:p w14:paraId="4084FDA1"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Shkalla e aftësisë</w:t>
            </w:r>
          </w:p>
        </w:tc>
        <w:tc>
          <w:tcPr>
            <w:tcW w:w="305" w:type="pct"/>
            <w:tcBorders>
              <w:top w:val="single" w:sz="4" w:space="0" w:color="auto"/>
              <w:left w:val="nil"/>
              <w:bottom w:val="single" w:sz="8" w:space="0" w:color="auto"/>
              <w:right w:val="single" w:sz="8" w:space="0" w:color="000000"/>
            </w:tcBorders>
            <w:shd w:val="clear" w:color="000000" w:fill="BDD6EE"/>
            <w:vAlign w:val="center"/>
            <w:hideMark/>
          </w:tcPr>
          <w:p w14:paraId="4902ECEB"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Pikët </w:t>
            </w:r>
          </w:p>
        </w:tc>
        <w:tc>
          <w:tcPr>
            <w:tcW w:w="1207" w:type="pct"/>
            <w:tcBorders>
              <w:top w:val="single" w:sz="4" w:space="0" w:color="auto"/>
              <w:left w:val="nil"/>
              <w:bottom w:val="single" w:sz="8" w:space="0" w:color="auto"/>
              <w:right w:val="single" w:sz="8" w:space="0" w:color="auto"/>
            </w:tcBorders>
            <w:shd w:val="clear" w:color="000000" w:fill="BDD6EE"/>
            <w:vAlign w:val="center"/>
            <w:hideMark/>
          </w:tcPr>
          <w:p w14:paraId="1047CEA3"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Metodologjia </w:t>
            </w:r>
          </w:p>
        </w:tc>
      </w:tr>
      <w:tr w:rsidR="00F052F6" w:rsidRPr="003D5CE4" w14:paraId="454C0EA6" w14:textId="77777777" w:rsidTr="003464CC">
        <w:trPr>
          <w:trHeight w:val="119"/>
        </w:trPr>
        <w:tc>
          <w:tcPr>
            <w:tcW w:w="697" w:type="pct"/>
            <w:tcBorders>
              <w:top w:val="nil"/>
              <w:left w:val="single" w:sz="8" w:space="0" w:color="auto"/>
              <w:bottom w:val="nil"/>
              <w:right w:val="single" w:sz="8" w:space="0" w:color="auto"/>
            </w:tcBorders>
            <w:shd w:val="clear" w:color="000000" w:fill="F2F2F2"/>
            <w:vAlign w:val="center"/>
            <w:hideMark/>
          </w:tcPr>
          <w:p w14:paraId="79396631"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A. Etika në punë </w:t>
            </w:r>
          </w:p>
        </w:tc>
        <w:tc>
          <w:tcPr>
            <w:tcW w:w="960" w:type="pct"/>
            <w:tcBorders>
              <w:top w:val="nil"/>
              <w:left w:val="nil"/>
              <w:bottom w:val="single" w:sz="8" w:space="0" w:color="auto"/>
              <w:right w:val="single" w:sz="4" w:space="0" w:color="auto"/>
            </w:tcBorders>
            <w:shd w:val="clear" w:color="auto" w:fill="auto"/>
            <w:vAlign w:val="center"/>
            <w:hideMark/>
          </w:tcPr>
          <w:p w14:paraId="2A12618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a. Angazhimi dhe përgjegjshmëria në funksion</w:t>
            </w:r>
          </w:p>
        </w:tc>
        <w:tc>
          <w:tcPr>
            <w:tcW w:w="1257" w:type="pct"/>
            <w:tcBorders>
              <w:top w:val="nil"/>
              <w:left w:val="nil"/>
              <w:bottom w:val="single" w:sz="8" w:space="0" w:color="auto"/>
              <w:right w:val="single" w:sz="4" w:space="0" w:color="auto"/>
            </w:tcBorders>
            <w:shd w:val="clear" w:color="auto" w:fill="auto"/>
            <w:vAlign w:val="center"/>
            <w:hideMark/>
          </w:tcPr>
          <w:p w14:paraId="1E338DDF"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1.</w:t>
            </w:r>
            <w:r>
              <w:rPr>
                <w:rFonts w:ascii="Garamond" w:eastAsia="Times New Roman" w:hAnsi="Garamond" w:cs="Times New Roman"/>
                <w:sz w:val="24"/>
                <w:szCs w:val="24"/>
              </w:rPr>
              <w:t xml:space="preserve"> </w:t>
            </w:r>
            <w:r w:rsidRPr="003D5CE4">
              <w:rPr>
                <w:rFonts w:ascii="Garamond" w:eastAsia="Times New Roman" w:hAnsi="Garamond" w:cs="Times New Roman"/>
                <w:sz w:val="24"/>
                <w:szCs w:val="24"/>
              </w:rPr>
              <w:t>Informacioni i marrë nga ILD;               2.</w:t>
            </w:r>
            <w:r>
              <w:rPr>
                <w:rFonts w:ascii="Garamond" w:eastAsia="Times New Roman" w:hAnsi="Garamond" w:cs="Times New Roman"/>
                <w:sz w:val="24"/>
                <w:szCs w:val="24"/>
              </w:rPr>
              <w:t xml:space="preserve"> </w:t>
            </w:r>
            <w:r w:rsidRPr="003D5CE4">
              <w:rPr>
                <w:rFonts w:ascii="Garamond" w:eastAsia="Times New Roman" w:hAnsi="Garamond" w:cs="Times New Roman"/>
                <w:sz w:val="24"/>
                <w:szCs w:val="24"/>
              </w:rPr>
              <w:t>Dosja personale e prokurorit;        3.</w:t>
            </w:r>
            <w:r>
              <w:rPr>
                <w:rFonts w:ascii="Garamond" w:eastAsia="Times New Roman" w:hAnsi="Garamond" w:cs="Times New Roman"/>
                <w:sz w:val="24"/>
                <w:szCs w:val="24"/>
              </w:rPr>
              <w:t xml:space="preserve"> </w:t>
            </w:r>
            <w:r w:rsidRPr="003D5CE4">
              <w:rPr>
                <w:rFonts w:ascii="Garamond" w:eastAsia="Times New Roman" w:hAnsi="Garamond" w:cs="Times New Roman"/>
                <w:sz w:val="24"/>
                <w:szCs w:val="24"/>
              </w:rPr>
              <w:t xml:space="preserve">Formularin e integruar të vlerësimit të prokurorit;                                                          </w:t>
            </w:r>
          </w:p>
        </w:tc>
        <w:tc>
          <w:tcPr>
            <w:tcW w:w="574" w:type="pct"/>
            <w:tcBorders>
              <w:top w:val="nil"/>
              <w:left w:val="nil"/>
              <w:bottom w:val="single" w:sz="8" w:space="0" w:color="auto"/>
              <w:right w:val="single" w:sz="4" w:space="0" w:color="auto"/>
            </w:tcBorders>
            <w:shd w:val="clear" w:color="auto" w:fill="auto"/>
            <w:vAlign w:val="center"/>
            <w:hideMark/>
          </w:tcPr>
          <w:p w14:paraId="3AD66F1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305" w:type="pct"/>
            <w:tcBorders>
              <w:top w:val="nil"/>
              <w:left w:val="nil"/>
              <w:bottom w:val="single" w:sz="8" w:space="0" w:color="auto"/>
              <w:right w:val="single" w:sz="4" w:space="0" w:color="auto"/>
            </w:tcBorders>
            <w:shd w:val="clear" w:color="auto" w:fill="auto"/>
            <w:vAlign w:val="center"/>
            <w:hideMark/>
          </w:tcPr>
          <w:p w14:paraId="4F709F5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w:t>
            </w:r>
          </w:p>
        </w:tc>
        <w:tc>
          <w:tcPr>
            <w:tcW w:w="1207" w:type="pct"/>
            <w:tcBorders>
              <w:top w:val="nil"/>
              <w:left w:val="nil"/>
              <w:bottom w:val="single" w:sz="8" w:space="0" w:color="auto"/>
              <w:right w:val="single" w:sz="4" w:space="0" w:color="auto"/>
            </w:tcBorders>
            <w:shd w:val="clear" w:color="auto" w:fill="auto"/>
            <w:vAlign w:val="center"/>
            <w:hideMark/>
          </w:tcPr>
          <w:p w14:paraId="2E9DD294"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Shkalla e etikës në punë e prokurorit:                                          </w:t>
            </w:r>
          </w:p>
          <w:p w14:paraId="77A448E9"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7 pikë</w:t>
            </w:r>
          </w:p>
          <w:p w14:paraId="748E07FB"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14 pikë</w:t>
            </w:r>
          </w:p>
          <w:p w14:paraId="07D51369"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21 pikë               </w:t>
            </w:r>
          </w:p>
          <w:p w14:paraId="145653E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28 pikë</w:t>
            </w:r>
          </w:p>
          <w:p w14:paraId="4EDE6817"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sz w:val="24"/>
                <w:szCs w:val="24"/>
              </w:rPr>
              <w:t>Shumë e lartë         – 35 pikë</w:t>
            </w:r>
          </w:p>
        </w:tc>
      </w:tr>
      <w:tr w:rsidR="00F052F6" w:rsidRPr="003D5CE4" w14:paraId="3C753AD5" w14:textId="77777777" w:rsidTr="003464CC">
        <w:trPr>
          <w:trHeight w:val="75"/>
        </w:trPr>
        <w:tc>
          <w:tcPr>
            <w:tcW w:w="697" w:type="pct"/>
            <w:tcBorders>
              <w:top w:val="single" w:sz="8" w:space="0" w:color="000000"/>
              <w:left w:val="single" w:sz="8" w:space="0" w:color="auto"/>
              <w:bottom w:val="nil"/>
              <w:right w:val="single" w:sz="8" w:space="0" w:color="auto"/>
            </w:tcBorders>
            <w:shd w:val="clear" w:color="000000" w:fill="F2F2F2"/>
            <w:vAlign w:val="center"/>
            <w:hideMark/>
          </w:tcPr>
          <w:p w14:paraId="11DADD69"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B. Integriteti </w:t>
            </w:r>
          </w:p>
        </w:tc>
        <w:tc>
          <w:tcPr>
            <w:tcW w:w="960" w:type="pct"/>
            <w:tcBorders>
              <w:top w:val="nil"/>
              <w:left w:val="nil"/>
              <w:bottom w:val="single" w:sz="8" w:space="0" w:color="auto"/>
              <w:right w:val="single" w:sz="4" w:space="0" w:color="auto"/>
            </w:tcBorders>
            <w:shd w:val="clear" w:color="auto" w:fill="auto"/>
            <w:vAlign w:val="center"/>
            <w:hideMark/>
          </w:tcPr>
          <w:p w14:paraId="146CB63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a. Imuniteti nga çdo ndikim apo presion i jashtëm, nderi dhe dinjiteti  </w:t>
            </w:r>
          </w:p>
        </w:tc>
        <w:tc>
          <w:tcPr>
            <w:tcW w:w="1257" w:type="pct"/>
            <w:tcBorders>
              <w:top w:val="nil"/>
              <w:left w:val="nil"/>
              <w:bottom w:val="single" w:sz="8" w:space="0" w:color="auto"/>
              <w:right w:val="nil"/>
            </w:tcBorders>
            <w:shd w:val="clear" w:color="auto" w:fill="auto"/>
            <w:vAlign w:val="center"/>
            <w:hideMark/>
          </w:tcPr>
          <w:p w14:paraId="2997819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1.</w:t>
            </w:r>
            <w:r>
              <w:rPr>
                <w:rFonts w:ascii="Garamond" w:eastAsia="Times New Roman" w:hAnsi="Garamond" w:cs="Times New Roman"/>
                <w:sz w:val="24"/>
                <w:szCs w:val="24"/>
              </w:rPr>
              <w:t xml:space="preserve"> </w:t>
            </w:r>
            <w:r w:rsidRPr="003D5CE4">
              <w:rPr>
                <w:rFonts w:ascii="Garamond" w:eastAsia="Times New Roman" w:hAnsi="Garamond" w:cs="Times New Roman"/>
                <w:sz w:val="24"/>
                <w:szCs w:val="24"/>
              </w:rPr>
              <w:t>Informacioni i marrë nga ILD;               2.</w:t>
            </w:r>
            <w:r>
              <w:rPr>
                <w:rFonts w:ascii="Garamond" w:eastAsia="Times New Roman" w:hAnsi="Garamond" w:cs="Times New Roman"/>
                <w:sz w:val="24"/>
                <w:szCs w:val="24"/>
              </w:rPr>
              <w:t xml:space="preserve"> </w:t>
            </w:r>
            <w:r w:rsidRPr="003D5CE4">
              <w:rPr>
                <w:rFonts w:ascii="Garamond" w:eastAsia="Times New Roman" w:hAnsi="Garamond" w:cs="Times New Roman"/>
                <w:sz w:val="24"/>
                <w:szCs w:val="24"/>
              </w:rPr>
              <w:t>Dosja personale e prokurorit;        3.</w:t>
            </w:r>
            <w:r>
              <w:rPr>
                <w:rFonts w:ascii="Garamond" w:eastAsia="Times New Roman" w:hAnsi="Garamond" w:cs="Times New Roman"/>
                <w:sz w:val="24"/>
                <w:szCs w:val="24"/>
              </w:rPr>
              <w:t xml:space="preserve"> </w:t>
            </w:r>
            <w:r w:rsidRPr="003D5CE4">
              <w:rPr>
                <w:rFonts w:ascii="Garamond" w:eastAsia="Times New Roman" w:hAnsi="Garamond" w:cs="Times New Roman"/>
                <w:sz w:val="24"/>
                <w:szCs w:val="24"/>
              </w:rPr>
              <w:t xml:space="preserve">Formularin e integruar të vlerësimit të prokurorit;                                                          </w:t>
            </w:r>
          </w:p>
        </w:tc>
        <w:tc>
          <w:tcPr>
            <w:tcW w:w="574" w:type="pct"/>
            <w:tcBorders>
              <w:top w:val="nil"/>
              <w:left w:val="single" w:sz="4" w:space="0" w:color="auto"/>
              <w:bottom w:val="single" w:sz="8" w:space="0" w:color="auto"/>
              <w:right w:val="single" w:sz="4" w:space="0" w:color="auto"/>
            </w:tcBorders>
            <w:shd w:val="clear" w:color="auto" w:fill="auto"/>
            <w:vAlign w:val="center"/>
            <w:hideMark/>
          </w:tcPr>
          <w:p w14:paraId="3452A83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8" w:space="0" w:color="auto"/>
              <w:right w:val="single" w:sz="4" w:space="0" w:color="auto"/>
            </w:tcBorders>
            <w:shd w:val="clear" w:color="auto" w:fill="auto"/>
            <w:vAlign w:val="center"/>
            <w:hideMark/>
          </w:tcPr>
          <w:p w14:paraId="620C083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nil"/>
              <w:left w:val="nil"/>
              <w:bottom w:val="single" w:sz="8" w:space="0" w:color="auto"/>
              <w:right w:val="single" w:sz="4" w:space="0" w:color="auto"/>
            </w:tcBorders>
            <w:shd w:val="clear" w:color="auto" w:fill="auto"/>
            <w:vAlign w:val="center"/>
            <w:hideMark/>
          </w:tcPr>
          <w:p w14:paraId="02A415B4"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 xml:space="preserve">Shkalla e integritetit të prokurorit:   </w:t>
            </w:r>
            <w:r w:rsidRPr="003D5CE4">
              <w:rPr>
                <w:rFonts w:ascii="Garamond" w:eastAsia="Times New Roman" w:hAnsi="Garamond" w:cs="Times New Roman"/>
                <w:sz w:val="24"/>
                <w:szCs w:val="24"/>
              </w:rPr>
              <w:t xml:space="preserve">         </w:t>
            </w:r>
          </w:p>
          <w:p w14:paraId="6BE1473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- 0 pikë                            Shumë e lartë       - 40 pikë</w:t>
            </w:r>
          </w:p>
        </w:tc>
      </w:tr>
      <w:tr w:rsidR="00F052F6" w:rsidRPr="003D5CE4" w14:paraId="03764732" w14:textId="77777777" w:rsidTr="003464CC">
        <w:trPr>
          <w:trHeight w:val="1298"/>
        </w:trPr>
        <w:tc>
          <w:tcPr>
            <w:tcW w:w="697" w:type="pct"/>
            <w:vMerge w:val="restart"/>
            <w:tcBorders>
              <w:top w:val="single" w:sz="8" w:space="0" w:color="000000"/>
              <w:left w:val="single" w:sz="8" w:space="0" w:color="auto"/>
              <w:bottom w:val="single" w:sz="8" w:space="0" w:color="000000"/>
              <w:right w:val="single" w:sz="8" w:space="0" w:color="auto"/>
            </w:tcBorders>
            <w:shd w:val="clear" w:color="000000" w:fill="F2F2F2"/>
            <w:vAlign w:val="center"/>
            <w:hideMark/>
          </w:tcPr>
          <w:p w14:paraId="785EDCE9"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C. Paanësia</w:t>
            </w:r>
          </w:p>
        </w:tc>
        <w:tc>
          <w:tcPr>
            <w:tcW w:w="960" w:type="pct"/>
            <w:tcBorders>
              <w:top w:val="nil"/>
              <w:left w:val="nil"/>
              <w:bottom w:val="single" w:sz="4" w:space="0" w:color="auto"/>
              <w:right w:val="single" w:sz="4" w:space="0" w:color="auto"/>
            </w:tcBorders>
            <w:shd w:val="clear" w:color="auto" w:fill="auto"/>
            <w:vAlign w:val="center"/>
            <w:hideMark/>
          </w:tcPr>
          <w:p w14:paraId="6A4DC72F"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a. Përdorimi ose jo i gjuhës diskriminuese </w:t>
            </w:r>
          </w:p>
        </w:tc>
        <w:tc>
          <w:tcPr>
            <w:tcW w:w="1257" w:type="pct"/>
            <w:tcBorders>
              <w:top w:val="nil"/>
              <w:left w:val="nil"/>
              <w:bottom w:val="single" w:sz="4" w:space="0" w:color="auto"/>
              <w:right w:val="single" w:sz="4" w:space="0" w:color="auto"/>
            </w:tcBorders>
            <w:shd w:val="clear" w:color="auto" w:fill="auto"/>
            <w:vAlign w:val="center"/>
            <w:hideMark/>
          </w:tcPr>
          <w:p w14:paraId="44DF4FAF" w14:textId="3DD7C276" w:rsidR="00F052F6" w:rsidRPr="003D5CE4" w:rsidRDefault="00F052F6" w:rsidP="00C202F3">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1. Dokumentet ligjore të dorëzuara nga prokurori;                                        2. Formulari i integruar i vlerësimit të prokurorit</w:t>
            </w:r>
          </w:p>
        </w:tc>
        <w:tc>
          <w:tcPr>
            <w:tcW w:w="574" w:type="pct"/>
            <w:tcBorders>
              <w:top w:val="nil"/>
              <w:left w:val="nil"/>
              <w:bottom w:val="single" w:sz="4" w:space="0" w:color="auto"/>
              <w:right w:val="single" w:sz="4" w:space="0" w:color="auto"/>
            </w:tcBorders>
            <w:shd w:val="clear" w:color="auto" w:fill="auto"/>
            <w:vAlign w:val="center"/>
            <w:hideMark/>
          </w:tcPr>
          <w:p w14:paraId="4600BED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4" w:space="0" w:color="auto"/>
              <w:right w:val="single" w:sz="4" w:space="0" w:color="auto"/>
            </w:tcBorders>
            <w:shd w:val="clear" w:color="auto" w:fill="auto"/>
            <w:vAlign w:val="center"/>
            <w:hideMark/>
          </w:tcPr>
          <w:p w14:paraId="25A64F3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nil"/>
              <w:left w:val="nil"/>
              <w:bottom w:val="single" w:sz="4" w:space="0" w:color="auto"/>
              <w:right w:val="single" w:sz="4" w:space="0" w:color="auto"/>
            </w:tcBorders>
            <w:shd w:val="clear" w:color="auto" w:fill="auto"/>
            <w:vAlign w:val="bottom"/>
            <w:hideMark/>
          </w:tcPr>
          <w:p w14:paraId="783AD124"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Aftësia për të shmangur përdorimin e gjuhës diskriminuese:</w:t>
            </w:r>
            <w:r w:rsidRPr="003D5CE4">
              <w:rPr>
                <w:rFonts w:ascii="Garamond" w:eastAsia="Times New Roman" w:hAnsi="Garamond" w:cs="Times New Roman"/>
                <w:sz w:val="24"/>
                <w:szCs w:val="24"/>
              </w:rPr>
              <w:t xml:space="preserve">                                     E dobët                   – 5 pikë                                                       Nën mesataren       – 10 pikë                             Mesatare                – 15 pikë                                                   Mbi mesataren      – 20 pikë                               Shumë e lartë        – 25 pikë</w:t>
            </w:r>
          </w:p>
        </w:tc>
      </w:tr>
      <w:tr w:rsidR="00F052F6" w:rsidRPr="003D5CE4" w14:paraId="10B173BC" w14:textId="77777777" w:rsidTr="003464CC">
        <w:trPr>
          <w:trHeight w:val="75"/>
        </w:trPr>
        <w:tc>
          <w:tcPr>
            <w:tcW w:w="697" w:type="pct"/>
            <w:vMerge/>
            <w:tcBorders>
              <w:top w:val="single" w:sz="8" w:space="0" w:color="000000"/>
              <w:left w:val="single" w:sz="8" w:space="0" w:color="auto"/>
              <w:bottom w:val="single" w:sz="8" w:space="0" w:color="000000"/>
              <w:right w:val="single" w:sz="8" w:space="0" w:color="auto"/>
            </w:tcBorders>
            <w:vAlign w:val="center"/>
            <w:hideMark/>
          </w:tcPr>
          <w:p w14:paraId="6B95F90A"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nil"/>
              <w:right w:val="single" w:sz="4" w:space="0" w:color="auto"/>
            </w:tcBorders>
            <w:shd w:val="clear" w:color="auto" w:fill="auto"/>
            <w:vAlign w:val="center"/>
            <w:hideMark/>
          </w:tcPr>
          <w:p w14:paraId="737FF774"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b. Numri tejet i lartë i kërkesave të pranuara të palëve për përjashtimin e prokurorit </w:t>
            </w:r>
          </w:p>
        </w:tc>
        <w:tc>
          <w:tcPr>
            <w:tcW w:w="1257" w:type="pct"/>
            <w:tcBorders>
              <w:top w:val="nil"/>
              <w:left w:val="nil"/>
              <w:bottom w:val="single" w:sz="8" w:space="0" w:color="auto"/>
              <w:right w:val="single" w:sz="4" w:space="0" w:color="auto"/>
            </w:tcBorders>
            <w:shd w:val="clear" w:color="auto" w:fill="auto"/>
            <w:vAlign w:val="center"/>
            <w:hideMark/>
          </w:tcPr>
          <w:p w14:paraId="0F45230A" w14:textId="266A4710" w:rsidR="00F052F6" w:rsidRPr="003D5CE4" w:rsidRDefault="00F052F6" w:rsidP="00C202F3">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1.  Të dhënat statistikore                               2. Formulari i integruar i vlerësimit të prokurorit</w:t>
            </w:r>
          </w:p>
        </w:tc>
        <w:tc>
          <w:tcPr>
            <w:tcW w:w="574" w:type="pct"/>
            <w:tcBorders>
              <w:top w:val="nil"/>
              <w:left w:val="nil"/>
              <w:bottom w:val="nil"/>
              <w:right w:val="single" w:sz="4" w:space="0" w:color="auto"/>
            </w:tcBorders>
            <w:shd w:val="clear" w:color="auto" w:fill="auto"/>
            <w:vAlign w:val="center"/>
            <w:hideMark/>
          </w:tcPr>
          <w:p w14:paraId="6A5E00E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nil"/>
              <w:right w:val="single" w:sz="4" w:space="0" w:color="auto"/>
            </w:tcBorders>
            <w:shd w:val="clear" w:color="auto" w:fill="auto"/>
            <w:vAlign w:val="center"/>
            <w:hideMark/>
          </w:tcPr>
          <w:p w14:paraId="3354DE8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nil"/>
              <w:left w:val="nil"/>
              <w:bottom w:val="single" w:sz="8" w:space="0" w:color="auto"/>
              <w:right w:val="single" w:sz="4" w:space="0" w:color="auto"/>
            </w:tcBorders>
            <w:shd w:val="clear" w:color="auto" w:fill="auto"/>
            <w:vAlign w:val="center"/>
            <w:hideMark/>
          </w:tcPr>
          <w:p w14:paraId="59E9C79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 xml:space="preserve">Numri i kërkesave të pranuara të palëve për përjashtimin e prokurorit:    </w:t>
            </w:r>
            <w:r w:rsidRPr="003D5CE4">
              <w:rPr>
                <w:rFonts w:ascii="Garamond" w:eastAsia="Times New Roman" w:hAnsi="Garamond" w:cs="Times New Roman"/>
                <w:sz w:val="24"/>
                <w:szCs w:val="24"/>
              </w:rPr>
              <w:t xml:space="preserve">            </w:t>
            </w:r>
          </w:p>
          <w:p w14:paraId="789BEBC9"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Tejet i lartë                     – 3 pikë                                           I p konsiderueshëm       – 15 pikë</w:t>
            </w:r>
          </w:p>
        </w:tc>
      </w:tr>
      <w:tr w:rsidR="00F052F6" w:rsidRPr="003D5CE4" w14:paraId="49FBE9C7" w14:textId="77777777" w:rsidTr="003464CC">
        <w:trPr>
          <w:trHeight w:val="660"/>
        </w:trPr>
        <w:tc>
          <w:tcPr>
            <w:tcW w:w="3488" w:type="pct"/>
            <w:gridSpan w:val="4"/>
            <w:tcBorders>
              <w:top w:val="single" w:sz="8" w:space="0" w:color="auto"/>
              <w:left w:val="nil"/>
              <w:bottom w:val="single" w:sz="8" w:space="0" w:color="000000"/>
              <w:right w:val="nil"/>
            </w:tcBorders>
            <w:shd w:val="clear" w:color="000000" w:fill="A6A6A6"/>
            <w:vAlign w:val="center"/>
            <w:hideMark/>
          </w:tcPr>
          <w:p w14:paraId="02B1B490" w14:textId="77777777" w:rsidR="00F052F6" w:rsidRPr="006F7B9C" w:rsidRDefault="00F052F6" w:rsidP="003464CC">
            <w:pPr>
              <w:spacing w:after="0" w:line="240" w:lineRule="auto"/>
              <w:rPr>
                <w:rFonts w:ascii="Garamond" w:eastAsia="Times New Roman" w:hAnsi="Garamond" w:cs="Times New Roman"/>
                <w:bCs/>
                <w:sz w:val="24"/>
                <w:szCs w:val="24"/>
              </w:rPr>
            </w:pPr>
            <w:r w:rsidRPr="006F7B9C">
              <w:rPr>
                <w:rFonts w:ascii="Garamond" w:eastAsia="Times New Roman" w:hAnsi="Garamond" w:cs="Times New Roman"/>
                <w:bCs/>
                <w:sz w:val="24"/>
                <w:szCs w:val="24"/>
              </w:rPr>
              <w:t xml:space="preserve">4. AFTËSIA PERSONALE DHE ANGAZHIMI PROFESIONAL </w:t>
            </w:r>
          </w:p>
        </w:tc>
        <w:tc>
          <w:tcPr>
            <w:tcW w:w="305" w:type="pct"/>
            <w:tcBorders>
              <w:top w:val="single" w:sz="8" w:space="0" w:color="auto"/>
              <w:left w:val="single" w:sz="8" w:space="0" w:color="auto"/>
              <w:bottom w:val="single" w:sz="8" w:space="0" w:color="auto"/>
              <w:right w:val="nil"/>
            </w:tcBorders>
            <w:shd w:val="clear" w:color="000000" w:fill="D5DCE4"/>
            <w:vAlign w:val="center"/>
            <w:hideMark/>
          </w:tcPr>
          <w:p w14:paraId="7668B3CD"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Pikët total</w:t>
            </w:r>
          </w:p>
        </w:tc>
        <w:tc>
          <w:tcPr>
            <w:tcW w:w="1207" w:type="pct"/>
            <w:tcBorders>
              <w:top w:val="nil"/>
              <w:left w:val="single" w:sz="8" w:space="0" w:color="auto"/>
              <w:bottom w:val="single" w:sz="8" w:space="0" w:color="auto"/>
              <w:right w:val="single" w:sz="8" w:space="0" w:color="auto"/>
            </w:tcBorders>
            <w:shd w:val="clear" w:color="000000" w:fill="D5DCE4"/>
            <w:vAlign w:val="center"/>
            <w:hideMark/>
          </w:tcPr>
          <w:p w14:paraId="29C6C839"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Niveli i vlerësimit</w:t>
            </w:r>
          </w:p>
        </w:tc>
      </w:tr>
      <w:tr w:rsidR="00F052F6" w:rsidRPr="003D5CE4" w14:paraId="2EC1BA40" w14:textId="77777777" w:rsidTr="003464CC">
        <w:trPr>
          <w:trHeight w:val="75"/>
        </w:trPr>
        <w:tc>
          <w:tcPr>
            <w:tcW w:w="1657" w:type="pct"/>
            <w:gridSpan w:val="2"/>
            <w:tcBorders>
              <w:top w:val="single" w:sz="8" w:space="0" w:color="auto"/>
              <w:left w:val="single" w:sz="8" w:space="0" w:color="000000"/>
              <w:bottom w:val="single" w:sz="8" w:space="0" w:color="auto"/>
              <w:right w:val="single" w:sz="8" w:space="0" w:color="000000"/>
            </w:tcBorders>
            <w:shd w:val="clear" w:color="000000" w:fill="BDD6EE"/>
            <w:vAlign w:val="center"/>
            <w:hideMark/>
          </w:tcPr>
          <w:p w14:paraId="60446489"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Tregues </w:t>
            </w:r>
          </w:p>
        </w:tc>
        <w:tc>
          <w:tcPr>
            <w:tcW w:w="1257" w:type="pct"/>
            <w:tcBorders>
              <w:top w:val="nil"/>
              <w:left w:val="nil"/>
              <w:bottom w:val="single" w:sz="8" w:space="0" w:color="auto"/>
              <w:right w:val="single" w:sz="8" w:space="0" w:color="auto"/>
            </w:tcBorders>
            <w:shd w:val="clear" w:color="000000" w:fill="BDD6EE"/>
            <w:vAlign w:val="center"/>
            <w:hideMark/>
          </w:tcPr>
          <w:p w14:paraId="3AD1D587"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Burimi </w:t>
            </w:r>
          </w:p>
        </w:tc>
        <w:tc>
          <w:tcPr>
            <w:tcW w:w="574" w:type="pct"/>
            <w:tcBorders>
              <w:top w:val="nil"/>
              <w:left w:val="nil"/>
              <w:bottom w:val="single" w:sz="8" w:space="0" w:color="auto"/>
              <w:right w:val="single" w:sz="8" w:space="0" w:color="000000"/>
            </w:tcBorders>
            <w:shd w:val="clear" w:color="000000" w:fill="BDD6EE"/>
            <w:vAlign w:val="center"/>
            <w:hideMark/>
          </w:tcPr>
          <w:p w14:paraId="1EF97C41"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Shkalla e aftësisë</w:t>
            </w:r>
          </w:p>
        </w:tc>
        <w:tc>
          <w:tcPr>
            <w:tcW w:w="305" w:type="pct"/>
            <w:tcBorders>
              <w:top w:val="nil"/>
              <w:left w:val="nil"/>
              <w:bottom w:val="single" w:sz="8" w:space="0" w:color="auto"/>
              <w:right w:val="single" w:sz="8" w:space="0" w:color="000000"/>
            </w:tcBorders>
            <w:shd w:val="clear" w:color="000000" w:fill="BDD6EE"/>
            <w:vAlign w:val="center"/>
            <w:hideMark/>
          </w:tcPr>
          <w:p w14:paraId="642085C7"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Pikët </w:t>
            </w:r>
          </w:p>
        </w:tc>
        <w:tc>
          <w:tcPr>
            <w:tcW w:w="1207" w:type="pct"/>
            <w:tcBorders>
              <w:top w:val="nil"/>
              <w:left w:val="nil"/>
              <w:bottom w:val="single" w:sz="8" w:space="0" w:color="auto"/>
              <w:right w:val="single" w:sz="8" w:space="0" w:color="auto"/>
            </w:tcBorders>
            <w:shd w:val="clear" w:color="000000" w:fill="BDD6EE"/>
            <w:vAlign w:val="center"/>
            <w:hideMark/>
          </w:tcPr>
          <w:p w14:paraId="4EB91E06"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Metodologjia </w:t>
            </w:r>
          </w:p>
        </w:tc>
      </w:tr>
      <w:tr w:rsidR="00F052F6" w:rsidRPr="003D5CE4" w14:paraId="393E1BED" w14:textId="77777777" w:rsidTr="003464CC">
        <w:trPr>
          <w:trHeight w:val="75"/>
        </w:trPr>
        <w:tc>
          <w:tcPr>
            <w:tcW w:w="697" w:type="pct"/>
            <w:vMerge w:val="restart"/>
            <w:tcBorders>
              <w:top w:val="nil"/>
              <w:left w:val="single" w:sz="8" w:space="0" w:color="auto"/>
              <w:bottom w:val="nil"/>
              <w:right w:val="single" w:sz="8" w:space="0" w:color="auto"/>
            </w:tcBorders>
            <w:shd w:val="clear" w:color="000000" w:fill="F2F2F2"/>
            <w:vAlign w:val="center"/>
            <w:hideMark/>
          </w:tcPr>
          <w:p w14:paraId="5912FC92"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A. Aftësia e komunikimit </w:t>
            </w:r>
          </w:p>
        </w:tc>
        <w:tc>
          <w:tcPr>
            <w:tcW w:w="960" w:type="pct"/>
            <w:tcBorders>
              <w:top w:val="nil"/>
              <w:left w:val="nil"/>
              <w:bottom w:val="single" w:sz="4" w:space="0" w:color="auto"/>
              <w:right w:val="single" w:sz="4" w:space="0" w:color="auto"/>
            </w:tcBorders>
            <w:shd w:val="clear" w:color="auto" w:fill="auto"/>
            <w:vAlign w:val="center"/>
            <w:hideMark/>
          </w:tcPr>
          <w:p w14:paraId="4870464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a. Komunikimi i qartë dhe transparent me palët në proces, publikun, subjektet e tjera, të tretët </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14:paraId="1644F87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Dokumentet ligjore të dorëzuara nga prokurori;                                                        </w:t>
            </w:r>
          </w:p>
          <w:p w14:paraId="6EFC0168" w14:textId="3FE01C54"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 xml:space="preserve">imit të prokurorit; </w:t>
            </w:r>
          </w:p>
          <w:p w14:paraId="54CEE45F"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3. Aktet e dosjeve të përzgjedhura me short. </w:t>
            </w:r>
          </w:p>
        </w:tc>
        <w:tc>
          <w:tcPr>
            <w:tcW w:w="574" w:type="pct"/>
            <w:tcBorders>
              <w:top w:val="nil"/>
              <w:left w:val="nil"/>
              <w:bottom w:val="single" w:sz="4" w:space="0" w:color="auto"/>
              <w:right w:val="single" w:sz="4" w:space="0" w:color="auto"/>
            </w:tcBorders>
            <w:shd w:val="clear" w:color="auto" w:fill="auto"/>
            <w:vAlign w:val="center"/>
            <w:hideMark/>
          </w:tcPr>
          <w:p w14:paraId="201BF871"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4" w:space="0" w:color="auto"/>
              <w:right w:val="single" w:sz="4" w:space="0" w:color="auto"/>
            </w:tcBorders>
            <w:shd w:val="clear" w:color="auto" w:fill="auto"/>
            <w:vAlign w:val="center"/>
            <w:hideMark/>
          </w:tcPr>
          <w:p w14:paraId="6C16B80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single" w:sz="4" w:space="0" w:color="auto"/>
              <w:left w:val="nil"/>
              <w:bottom w:val="single" w:sz="4" w:space="0" w:color="auto"/>
              <w:right w:val="single" w:sz="4" w:space="0" w:color="auto"/>
            </w:tcBorders>
            <w:shd w:val="clear" w:color="auto" w:fill="auto"/>
            <w:vAlign w:val="center"/>
            <w:hideMark/>
          </w:tcPr>
          <w:p w14:paraId="3E9FC2F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Qartësia dhe transparenca e komunikimit:</w:t>
            </w:r>
            <w:r w:rsidRPr="003D5CE4">
              <w:rPr>
                <w:rFonts w:ascii="Garamond" w:eastAsia="Times New Roman" w:hAnsi="Garamond" w:cs="Times New Roman"/>
                <w:sz w:val="24"/>
                <w:szCs w:val="24"/>
              </w:rPr>
              <w:t xml:space="preserve">                                      </w:t>
            </w:r>
          </w:p>
          <w:p w14:paraId="1208058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E dobët                 – 5 pikë</w:t>
            </w:r>
          </w:p>
          <w:p w14:paraId="58C9E16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10 pikë</w:t>
            </w:r>
          </w:p>
          <w:p w14:paraId="53D98EA0"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15 pikë               </w:t>
            </w:r>
          </w:p>
          <w:p w14:paraId="5C417846"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20 pikë</w:t>
            </w:r>
          </w:p>
          <w:p w14:paraId="56B001B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Shumë e lartë         – 25 pikë</w:t>
            </w:r>
          </w:p>
        </w:tc>
      </w:tr>
      <w:tr w:rsidR="00F052F6" w:rsidRPr="003D5CE4" w14:paraId="5518BAB6" w14:textId="77777777" w:rsidTr="003464CC">
        <w:trPr>
          <w:trHeight w:val="1689"/>
        </w:trPr>
        <w:tc>
          <w:tcPr>
            <w:tcW w:w="697" w:type="pct"/>
            <w:vMerge/>
            <w:tcBorders>
              <w:top w:val="nil"/>
              <w:left w:val="single" w:sz="8" w:space="0" w:color="auto"/>
              <w:bottom w:val="nil"/>
              <w:right w:val="single" w:sz="8" w:space="0" w:color="auto"/>
            </w:tcBorders>
            <w:vAlign w:val="center"/>
            <w:hideMark/>
          </w:tcPr>
          <w:p w14:paraId="1EC21C28"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single" w:sz="8" w:space="0" w:color="auto"/>
              <w:right w:val="single" w:sz="4" w:space="0" w:color="auto"/>
            </w:tcBorders>
            <w:shd w:val="clear" w:color="auto" w:fill="auto"/>
            <w:vAlign w:val="center"/>
            <w:hideMark/>
          </w:tcPr>
          <w:p w14:paraId="17BEE1D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b. Respektimi i konfidencialitetit dhe mbrojtjes së të dhënave personale</w:t>
            </w:r>
          </w:p>
        </w:tc>
        <w:tc>
          <w:tcPr>
            <w:tcW w:w="1257" w:type="pct"/>
            <w:tcBorders>
              <w:top w:val="nil"/>
              <w:left w:val="nil"/>
              <w:bottom w:val="single" w:sz="8" w:space="0" w:color="auto"/>
              <w:right w:val="single" w:sz="4" w:space="0" w:color="auto"/>
            </w:tcBorders>
            <w:shd w:val="clear" w:color="auto" w:fill="auto"/>
            <w:vAlign w:val="center"/>
            <w:hideMark/>
          </w:tcPr>
          <w:p w14:paraId="10EA5DCE"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Dokumentet ligjore të dorëzuara nga prokurori;                                                         </w:t>
            </w:r>
          </w:p>
          <w:p w14:paraId="0A1D6EDF" w14:textId="3960A351"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 xml:space="preserve">imit të prokurorit; </w:t>
            </w:r>
          </w:p>
          <w:p w14:paraId="26331BFB"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3. Aktet e dosjeve të përzgjedhura me short. </w:t>
            </w:r>
          </w:p>
        </w:tc>
        <w:tc>
          <w:tcPr>
            <w:tcW w:w="574" w:type="pct"/>
            <w:tcBorders>
              <w:top w:val="nil"/>
              <w:left w:val="nil"/>
              <w:bottom w:val="single" w:sz="8" w:space="0" w:color="auto"/>
              <w:right w:val="single" w:sz="4" w:space="0" w:color="auto"/>
            </w:tcBorders>
            <w:shd w:val="clear" w:color="auto" w:fill="auto"/>
            <w:vAlign w:val="center"/>
            <w:hideMark/>
          </w:tcPr>
          <w:p w14:paraId="11C5442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8" w:space="0" w:color="auto"/>
              <w:right w:val="single" w:sz="4" w:space="0" w:color="auto"/>
            </w:tcBorders>
            <w:shd w:val="clear" w:color="auto" w:fill="auto"/>
            <w:vAlign w:val="center"/>
            <w:hideMark/>
          </w:tcPr>
          <w:p w14:paraId="57D4491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nil"/>
              <w:left w:val="nil"/>
              <w:bottom w:val="single" w:sz="8" w:space="0" w:color="auto"/>
              <w:right w:val="single" w:sz="4" w:space="0" w:color="auto"/>
            </w:tcBorders>
            <w:shd w:val="clear" w:color="auto" w:fill="auto"/>
            <w:vAlign w:val="center"/>
            <w:hideMark/>
          </w:tcPr>
          <w:p w14:paraId="06049E52"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Respektimi i konfidencialitetit:</w:t>
            </w:r>
          </w:p>
          <w:p w14:paraId="7A3A74A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3 pikë</w:t>
            </w:r>
          </w:p>
          <w:p w14:paraId="2F99DB5F"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9 pikë               </w:t>
            </w:r>
          </w:p>
          <w:p w14:paraId="3C81A80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Shumë i lartë         – 15 pikë</w:t>
            </w:r>
          </w:p>
        </w:tc>
      </w:tr>
      <w:tr w:rsidR="00F052F6" w:rsidRPr="003D5CE4" w14:paraId="62EDCEE9" w14:textId="77777777" w:rsidTr="003464CC">
        <w:trPr>
          <w:trHeight w:val="1547"/>
        </w:trPr>
        <w:tc>
          <w:tcPr>
            <w:tcW w:w="697" w:type="pct"/>
            <w:vMerge w:val="restart"/>
            <w:tcBorders>
              <w:top w:val="single" w:sz="8" w:space="0" w:color="000000"/>
              <w:left w:val="single" w:sz="8" w:space="0" w:color="auto"/>
              <w:bottom w:val="nil"/>
              <w:right w:val="single" w:sz="8" w:space="0" w:color="auto"/>
            </w:tcBorders>
            <w:shd w:val="clear" w:color="000000" w:fill="F2F2F2"/>
            <w:vAlign w:val="center"/>
            <w:hideMark/>
          </w:tcPr>
          <w:p w14:paraId="30BFB69A"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B. Aftësia për të bashkëpunuar me kolegët </w:t>
            </w:r>
          </w:p>
        </w:tc>
        <w:tc>
          <w:tcPr>
            <w:tcW w:w="960" w:type="pct"/>
            <w:tcBorders>
              <w:top w:val="nil"/>
              <w:left w:val="nil"/>
              <w:bottom w:val="single" w:sz="4" w:space="0" w:color="auto"/>
              <w:right w:val="single" w:sz="4" w:space="0" w:color="auto"/>
            </w:tcBorders>
            <w:shd w:val="clear" w:color="auto" w:fill="auto"/>
            <w:vAlign w:val="center"/>
            <w:hideMark/>
          </w:tcPr>
          <w:p w14:paraId="45CD0DA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a. Shkalla e komunikimit dhe bashkëpunimit me kolegët, duke përfshirë shkëmbimin e njohurive dhe përvojës profesionale me ta.</w:t>
            </w:r>
          </w:p>
        </w:tc>
        <w:tc>
          <w:tcPr>
            <w:tcW w:w="1257" w:type="pct"/>
            <w:tcBorders>
              <w:top w:val="nil"/>
              <w:left w:val="nil"/>
              <w:bottom w:val="single" w:sz="4" w:space="0" w:color="auto"/>
              <w:right w:val="single" w:sz="4" w:space="0" w:color="auto"/>
            </w:tcBorders>
            <w:shd w:val="clear" w:color="auto" w:fill="auto"/>
            <w:vAlign w:val="center"/>
            <w:hideMark/>
          </w:tcPr>
          <w:p w14:paraId="6691CC7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Dokumentet ligjore të dorëzuara nga prokurori;                                                       </w:t>
            </w:r>
          </w:p>
          <w:p w14:paraId="025D89F6" w14:textId="2BB91D53"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 xml:space="preserve">imit të prokurorit; </w:t>
            </w:r>
          </w:p>
          <w:p w14:paraId="59825398"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3. Të dhënat për verifikimin e ankesave. </w:t>
            </w:r>
          </w:p>
        </w:tc>
        <w:tc>
          <w:tcPr>
            <w:tcW w:w="574" w:type="pct"/>
            <w:tcBorders>
              <w:top w:val="nil"/>
              <w:left w:val="nil"/>
              <w:bottom w:val="single" w:sz="4" w:space="0" w:color="auto"/>
              <w:right w:val="single" w:sz="4" w:space="0" w:color="auto"/>
            </w:tcBorders>
            <w:shd w:val="clear" w:color="auto" w:fill="auto"/>
            <w:vAlign w:val="center"/>
            <w:hideMark/>
          </w:tcPr>
          <w:p w14:paraId="77CDD50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4" w:space="0" w:color="auto"/>
              <w:right w:val="single" w:sz="4" w:space="0" w:color="auto"/>
            </w:tcBorders>
            <w:shd w:val="clear" w:color="auto" w:fill="auto"/>
            <w:vAlign w:val="center"/>
            <w:hideMark/>
          </w:tcPr>
          <w:p w14:paraId="2E7219C1"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nil"/>
              <w:left w:val="nil"/>
              <w:bottom w:val="single" w:sz="4" w:space="0" w:color="auto"/>
              <w:right w:val="single" w:sz="4" w:space="0" w:color="auto"/>
            </w:tcBorders>
            <w:shd w:val="clear" w:color="auto" w:fill="auto"/>
            <w:vAlign w:val="center"/>
            <w:hideMark/>
          </w:tcPr>
          <w:p w14:paraId="6A52BB2E"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Shkalla e komunikimit:</w:t>
            </w:r>
          </w:p>
          <w:p w14:paraId="02E3CB2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3 pikë</w:t>
            </w:r>
          </w:p>
          <w:p w14:paraId="77F538CF"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6 pikë</w:t>
            </w:r>
          </w:p>
          <w:p w14:paraId="15914C66"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9 pikë               </w:t>
            </w:r>
          </w:p>
          <w:p w14:paraId="022C9E8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12 pikë</w:t>
            </w:r>
          </w:p>
          <w:p w14:paraId="04CA60B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Shumë e lartë         – 15 pikë</w:t>
            </w:r>
          </w:p>
        </w:tc>
      </w:tr>
      <w:tr w:rsidR="00F052F6" w:rsidRPr="003D5CE4" w14:paraId="5F6681A6" w14:textId="77777777" w:rsidTr="003464CC">
        <w:trPr>
          <w:trHeight w:val="1571"/>
        </w:trPr>
        <w:tc>
          <w:tcPr>
            <w:tcW w:w="697" w:type="pct"/>
            <w:vMerge/>
            <w:tcBorders>
              <w:top w:val="single" w:sz="8" w:space="0" w:color="000000"/>
              <w:left w:val="single" w:sz="8" w:space="0" w:color="auto"/>
              <w:bottom w:val="nil"/>
              <w:right w:val="single" w:sz="8" w:space="0" w:color="auto"/>
            </w:tcBorders>
            <w:vAlign w:val="center"/>
            <w:hideMark/>
          </w:tcPr>
          <w:p w14:paraId="58279D78"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single" w:sz="8" w:space="0" w:color="auto"/>
              <w:right w:val="single" w:sz="4" w:space="0" w:color="auto"/>
            </w:tcBorders>
            <w:shd w:val="clear" w:color="auto" w:fill="auto"/>
            <w:vAlign w:val="center"/>
            <w:hideMark/>
          </w:tcPr>
          <w:p w14:paraId="02D0F78A"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b. Shkalla e komunikimit dhe e bashkëpunimit me administratën</w:t>
            </w:r>
          </w:p>
        </w:tc>
        <w:tc>
          <w:tcPr>
            <w:tcW w:w="1257" w:type="pct"/>
            <w:tcBorders>
              <w:top w:val="nil"/>
              <w:left w:val="nil"/>
              <w:bottom w:val="single" w:sz="8" w:space="0" w:color="auto"/>
              <w:right w:val="single" w:sz="4" w:space="0" w:color="auto"/>
            </w:tcBorders>
            <w:shd w:val="clear" w:color="auto" w:fill="auto"/>
            <w:vAlign w:val="center"/>
            <w:hideMark/>
          </w:tcPr>
          <w:p w14:paraId="25B50EA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Dokumentet ligjore të dorëzuara nga prokurori;                                                       </w:t>
            </w:r>
          </w:p>
          <w:p w14:paraId="2E00B667" w14:textId="52EB4F1F"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2. Formulari i integruar </w:t>
            </w:r>
            <w:r w:rsidR="00C202F3">
              <w:rPr>
                <w:rFonts w:ascii="Garamond" w:eastAsia="Times New Roman" w:hAnsi="Garamond" w:cs="Times New Roman"/>
                <w:sz w:val="24"/>
                <w:szCs w:val="24"/>
              </w:rPr>
              <w:t>i vlerës</w:t>
            </w:r>
            <w:r w:rsidRPr="003D5CE4">
              <w:rPr>
                <w:rFonts w:ascii="Garamond" w:eastAsia="Times New Roman" w:hAnsi="Garamond" w:cs="Times New Roman"/>
                <w:sz w:val="24"/>
                <w:szCs w:val="24"/>
              </w:rPr>
              <w:t xml:space="preserve">imit të prokurorit; </w:t>
            </w:r>
          </w:p>
          <w:p w14:paraId="6C6256B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3. Të dhënat për verifikimin e ankesave. </w:t>
            </w:r>
          </w:p>
        </w:tc>
        <w:tc>
          <w:tcPr>
            <w:tcW w:w="574" w:type="pct"/>
            <w:tcBorders>
              <w:top w:val="nil"/>
              <w:left w:val="nil"/>
              <w:bottom w:val="single" w:sz="8" w:space="0" w:color="auto"/>
              <w:right w:val="single" w:sz="4" w:space="0" w:color="auto"/>
            </w:tcBorders>
            <w:shd w:val="clear" w:color="auto" w:fill="auto"/>
            <w:vAlign w:val="center"/>
            <w:hideMark/>
          </w:tcPr>
          <w:p w14:paraId="13A4DD3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8" w:space="0" w:color="auto"/>
              <w:right w:val="single" w:sz="4" w:space="0" w:color="auto"/>
            </w:tcBorders>
            <w:shd w:val="clear" w:color="auto" w:fill="auto"/>
            <w:vAlign w:val="center"/>
            <w:hideMark/>
          </w:tcPr>
          <w:p w14:paraId="36C7EFEF"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nil"/>
              <w:left w:val="nil"/>
              <w:bottom w:val="single" w:sz="8" w:space="0" w:color="auto"/>
              <w:right w:val="single" w:sz="4" w:space="0" w:color="auto"/>
            </w:tcBorders>
            <w:shd w:val="clear" w:color="auto" w:fill="auto"/>
            <w:vAlign w:val="center"/>
            <w:hideMark/>
          </w:tcPr>
          <w:p w14:paraId="2F4C72F3"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Shkalla e komunikimit:</w:t>
            </w:r>
          </w:p>
          <w:p w14:paraId="22E2A6E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E dobët                  – 2 pikë</w:t>
            </w:r>
          </w:p>
          <w:p w14:paraId="6C2A92F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Nën mesataren       – 4 pikë</w:t>
            </w:r>
          </w:p>
          <w:p w14:paraId="3855B2E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Mesatare                – 6 pikë               </w:t>
            </w:r>
          </w:p>
          <w:p w14:paraId="4ABDFEC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Mbi mesataren        – 8 pikë</w:t>
            </w:r>
          </w:p>
          <w:p w14:paraId="75E4A3A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Shumë e lartë         – 10 pikë</w:t>
            </w:r>
          </w:p>
        </w:tc>
      </w:tr>
      <w:tr w:rsidR="00F052F6" w:rsidRPr="003D5CE4" w14:paraId="3D774A24" w14:textId="77777777" w:rsidTr="003464CC">
        <w:trPr>
          <w:trHeight w:val="75"/>
        </w:trPr>
        <w:tc>
          <w:tcPr>
            <w:tcW w:w="697" w:type="pct"/>
            <w:vMerge w:val="restart"/>
            <w:tcBorders>
              <w:top w:val="single" w:sz="8" w:space="0" w:color="000000"/>
              <w:left w:val="single" w:sz="8" w:space="0" w:color="auto"/>
              <w:bottom w:val="single" w:sz="8" w:space="0" w:color="000000"/>
              <w:right w:val="single" w:sz="8" w:space="0" w:color="auto"/>
            </w:tcBorders>
            <w:shd w:val="clear" w:color="000000" w:fill="F2F2F2"/>
            <w:vAlign w:val="center"/>
            <w:hideMark/>
          </w:tcPr>
          <w:p w14:paraId="7A88AA9F" w14:textId="77777777" w:rsidR="00F052F6" w:rsidRPr="003D5CE4" w:rsidRDefault="00F052F6" w:rsidP="003464CC">
            <w:pPr>
              <w:spacing w:after="0" w:line="240" w:lineRule="auto"/>
              <w:rPr>
                <w:rFonts w:ascii="Garamond" w:eastAsia="Times New Roman" w:hAnsi="Garamond" w:cs="Times New Roman"/>
                <w:b/>
                <w:bCs/>
                <w:sz w:val="24"/>
                <w:szCs w:val="24"/>
              </w:rPr>
            </w:pPr>
            <w:r w:rsidRPr="003D5CE4">
              <w:rPr>
                <w:rFonts w:ascii="Garamond" w:eastAsia="Times New Roman" w:hAnsi="Garamond" w:cs="Times New Roman"/>
                <w:b/>
                <w:bCs/>
                <w:sz w:val="24"/>
                <w:szCs w:val="24"/>
              </w:rPr>
              <w:t xml:space="preserve">C. Gatishmëria e prokurorit për t’u angazhuar në veprimtari të tjera </w:t>
            </w:r>
          </w:p>
        </w:tc>
        <w:tc>
          <w:tcPr>
            <w:tcW w:w="960" w:type="pct"/>
            <w:tcBorders>
              <w:top w:val="nil"/>
              <w:left w:val="nil"/>
              <w:bottom w:val="nil"/>
              <w:right w:val="nil"/>
            </w:tcBorders>
            <w:shd w:val="clear" w:color="auto" w:fill="auto"/>
            <w:vAlign w:val="center"/>
            <w:hideMark/>
          </w:tcPr>
          <w:p w14:paraId="6806967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a. Pjesëmarrja e prokurorit në programet e formimit vazhdues të Shkollës së Magjistraturës dhe në trajnime të tjera profesionale.</w:t>
            </w:r>
          </w:p>
        </w:tc>
        <w:tc>
          <w:tcPr>
            <w:tcW w:w="1257" w:type="pct"/>
            <w:tcBorders>
              <w:top w:val="nil"/>
              <w:left w:val="single" w:sz="4" w:space="0" w:color="auto"/>
              <w:bottom w:val="single" w:sz="4" w:space="0" w:color="auto"/>
              <w:right w:val="single" w:sz="4" w:space="0" w:color="auto"/>
            </w:tcBorders>
            <w:shd w:val="clear" w:color="auto" w:fill="auto"/>
            <w:vAlign w:val="center"/>
            <w:hideMark/>
          </w:tcPr>
          <w:p w14:paraId="5FC815A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1. Informacioni i marrë nga Shkolla e Magjistraturës;                                                         2. Dosja personale e prokurorit;                        3. Dokument</w:t>
            </w:r>
            <w:r>
              <w:rPr>
                <w:rFonts w:ascii="Garamond" w:eastAsia="Times New Roman" w:hAnsi="Garamond" w:cs="Times New Roman"/>
                <w:sz w:val="24"/>
                <w:szCs w:val="24"/>
              </w:rPr>
              <w:t>e</w:t>
            </w:r>
            <w:r w:rsidRPr="003D5CE4">
              <w:rPr>
                <w:rFonts w:ascii="Garamond" w:eastAsia="Times New Roman" w:hAnsi="Garamond" w:cs="Times New Roman"/>
                <w:sz w:val="24"/>
                <w:szCs w:val="24"/>
              </w:rPr>
              <w:t xml:space="preserve">t e dorëzuara nga prokurori. </w:t>
            </w:r>
          </w:p>
        </w:tc>
        <w:tc>
          <w:tcPr>
            <w:tcW w:w="574" w:type="pct"/>
            <w:tcBorders>
              <w:top w:val="nil"/>
              <w:left w:val="nil"/>
              <w:bottom w:val="single" w:sz="4" w:space="0" w:color="auto"/>
              <w:right w:val="single" w:sz="4" w:space="0" w:color="auto"/>
            </w:tcBorders>
            <w:shd w:val="clear" w:color="auto" w:fill="auto"/>
            <w:vAlign w:val="center"/>
            <w:hideMark/>
          </w:tcPr>
          <w:p w14:paraId="19F34BC9"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4" w:space="0" w:color="auto"/>
              <w:right w:val="single" w:sz="4" w:space="0" w:color="auto"/>
            </w:tcBorders>
            <w:shd w:val="clear" w:color="auto" w:fill="auto"/>
            <w:vAlign w:val="center"/>
            <w:hideMark/>
          </w:tcPr>
          <w:p w14:paraId="25AF26A1"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nil"/>
              <w:left w:val="nil"/>
              <w:bottom w:val="single" w:sz="4" w:space="0" w:color="auto"/>
              <w:right w:val="single" w:sz="4" w:space="0" w:color="auto"/>
            </w:tcBorders>
            <w:shd w:val="clear" w:color="auto" w:fill="auto"/>
            <w:vAlign w:val="center"/>
            <w:hideMark/>
          </w:tcPr>
          <w:p w14:paraId="4B69A257" w14:textId="283535CB"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b/>
                <w:bCs/>
                <w:sz w:val="24"/>
                <w:szCs w:val="24"/>
              </w:rPr>
              <w:t xml:space="preserve">Pjesëmarrja e prokurorit:   </w:t>
            </w:r>
            <w:r w:rsidR="00D275CF">
              <w:rPr>
                <w:rFonts w:ascii="Garamond" w:eastAsia="Times New Roman" w:hAnsi="Garamond" w:cs="Times New Roman"/>
                <w:sz w:val="24"/>
                <w:szCs w:val="24"/>
              </w:rPr>
              <w:t xml:space="preserve">         (periudha 3-</w:t>
            </w:r>
            <w:r w:rsidRPr="003D5CE4">
              <w:rPr>
                <w:rFonts w:ascii="Garamond" w:eastAsia="Times New Roman" w:hAnsi="Garamond" w:cs="Times New Roman"/>
                <w:sz w:val="24"/>
                <w:szCs w:val="24"/>
              </w:rPr>
              <w:t xml:space="preserve">vjeçare)                           </w:t>
            </w:r>
          </w:p>
          <w:p w14:paraId="2E85B1C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15-120 ditë                - 20 pikë                          </w:t>
            </w:r>
          </w:p>
          <w:p w14:paraId="5A01244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&lt;15 ose &gt; 120 ditë:     - 4 pikë</w:t>
            </w:r>
          </w:p>
          <w:p w14:paraId="78D8EE6F" w14:textId="4930FEE6"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(periud</w:t>
            </w:r>
            <w:r w:rsidR="00D275CF">
              <w:rPr>
                <w:rFonts w:ascii="Garamond" w:eastAsia="Times New Roman" w:hAnsi="Garamond" w:cs="Times New Roman"/>
                <w:sz w:val="24"/>
                <w:szCs w:val="24"/>
              </w:rPr>
              <w:t>ha 5-</w:t>
            </w:r>
            <w:r w:rsidRPr="003D5CE4">
              <w:rPr>
                <w:rFonts w:ascii="Garamond" w:eastAsia="Times New Roman" w:hAnsi="Garamond" w:cs="Times New Roman"/>
                <w:sz w:val="24"/>
                <w:szCs w:val="24"/>
              </w:rPr>
              <w:t>vjeçare)</w:t>
            </w:r>
          </w:p>
          <w:p w14:paraId="35401F3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30-200 ditë                - 20 pikë</w:t>
            </w:r>
          </w:p>
          <w:p w14:paraId="77F99934"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&lt;30 ose &gt; 200 ditë:   - 4 pikë</w:t>
            </w:r>
          </w:p>
        </w:tc>
      </w:tr>
      <w:tr w:rsidR="00F052F6" w:rsidRPr="003D5CE4" w14:paraId="5356CA99" w14:textId="77777777" w:rsidTr="003464CC">
        <w:trPr>
          <w:trHeight w:val="75"/>
        </w:trPr>
        <w:tc>
          <w:tcPr>
            <w:tcW w:w="697" w:type="pct"/>
            <w:vMerge/>
            <w:tcBorders>
              <w:top w:val="single" w:sz="8" w:space="0" w:color="000000"/>
              <w:left w:val="single" w:sz="8" w:space="0" w:color="auto"/>
              <w:bottom w:val="single" w:sz="8" w:space="0" w:color="000000"/>
              <w:right w:val="single" w:sz="8" w:space="0" w:color="auto"/>
            </w:tcBorders>
            <w:vAlign w:val="center"/>
            <w:hideMark/>
          </w:tcPr>
          <w:p w14:paraId="2464106F"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single" w:sz="4" w:space="0" w:color="auto"/>
              <w:left w:val="nil"/>
              <w:bottom w:val="single" w:sz="4" w:space="0" w:color="auto"/>
              <w:right w:val="single" w:sz="4" w:space="0" w:color="auto"/>
            </w:tcBorders>
            <w:shd w:val="clear" w:color="auto" w:fill="auto"/>
            <w:vAlign w:val="center"/>
            <w:hideMark/>
          </w:tcPr>
          <w:p w14:paraId="2DD7457F"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b. Disponueshmëria e prokurorit për të udhëhequr kandidatët për prokurorë gjatë stazhit profesional dhe/ose për trajnimin e prokurorëve.</w:t>
            </w:r>
          </w:p>
        </w:tc>
        <w:tc>
          <w:tcPr>
            <w:tcW w:w="1257" w:type="pct"/>
            <w:tcBorders>
              <w:top w:val="nil"/>
              <w:left w:val="nil"/>
              <w:bottom w:val="single" w:sz="4" w:space="0" w:color="auto"/>
              <w:right w:val="single" w:sz="4" w:space="0" w:color="auto"/>
            </w:tcBorders>
            <w:shd w:val="clear" w:color="auto" w:fill="auto"/>
            <w:vAlign w:val="center"/>
            <w:hideMark/>
          </w:tcPr>
          <w:p w14:paraId="3691E471"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Informacioni i marrë nga Shkolla e Magjistraturës ose institucione të tjera;                                                         2. Dosja personale e prokurorit;                        </w:t>
            </w:r>
          </w:p>
        </w:tc>
        <w:tc>
          <w:tcPr>
            <w:tcW w:w="574" w:type="pct"/>
            <w:tcBorders>
              <w:top w:val="nil"/>
              <w:left w:val="nil"/>
              <w:bottom w:val="single" w:sz="4" w:space="0" w:color="auto"/>
              <w:right w:val="single" w:sz="4" w:space="0" w:color="auto"/>
            </w:tcBorders>
            <w:shd w:val="clear" w:color="auto" w:fill="auto"/>
            <w:vAlign w:val="center"/>
            <w:hideMark/>
          </w:tcPr>
          <w:p w14:paraId="15F58B96"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4" w:space="0" w:color="auto"/>
              <w:right w:val="single" w:sz="4" w:space="0" w:color="auto"/>
            </w:tcBorders>
            <w:shd w:val="clear" w:color="auto" w:fill="auto"/>
            <w:vAlign w:val="center"/>
            <w:hideMark/>
          </w:tcPr>
          <w:p w14:paraId="07F8A661"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nil"/>
              <w:left w:val="nil"/>
              <w:bottom w:val="single" w:sz="4" w:space="0" w:color="auto"/>
              <w:right w:val="single" w:sz="4" w:space="0" w:color="auto"/>
            </w:tcBorders>
            <w:shd w:val="clear" w:color="auto" w:fill="auto"/>
            <w:vAlign w:val="center"/>
            <w:hideMark/>
          </w:tcPr>
          <w:p w14:paraId="6913832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Nuk ka të dhëna         - 3 pikë;                   </w:t>
            </w:r>
          </w:p>
          <w:p w14:paraId="2C9B0D3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Ka të dhëna               - 5 pikë.</w:t>
            </w:r>
          </w:p>
        </w:tc>
      </w:tr>
      <w:tr w:rsidR="00F052F6" w:rsidRPr="003D5CE4" w14:paraId="2D3CF587" w14:textId="77777777" w:rsidTr="003464CC">
        <w:trPr>
          <w:trHeight w:val="335"/>
        </w:trPr>
        <w:tc>
          <w:tcPr>
            <w:tcW w:w="697" w:type="pct"/>
            <w:vMerge/>
            <w:tcBorders>
              <w:top w:val="single" w:sz="8" w:space="0" w:color="000000"/>
              <w:left w:val="single" w:sz="8" w:space="0" w:color="auto"/>
              <w:bottom w:val="single" w:sz="8" w:space="0" w:color="000000"/>
              <w:right w:val="single" w:sz="8" w:space="0" w:color="auto"/>
            </w:tcBorders>
            <w:vAlign w:val="center"/>
            <w:hideMark/>
          </w:tcPr>
          <w:p w14:paraId="43A744B2"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single" w:sz="4" w:space="0" w:color="auto"/>
              <w:right w:val="single" w:sz="4" w:space="0" w:color="auto"/>
            </w:tcBorders>
            <w:shd w:val="clear" w:color="auto" w:fill="auto"/>
            <w:vAlign w:val="center"/>
            <w:hideMark/>
          </w:tcPr>
          <w:p w14:paraId="030336D6"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c. Pjesëmarrja e prokurorit në veprimtari ndërinstitucionale për përmirësimin e sistemit të drejtësisë dhe në veprimtaritë për marrëdhëniet me publikun.</w:t>
            </w:r>
          </w:p>
        </w:tc>
        <w:tc>
          <w:tcPr>
            <w:tcW w:w="1257" w:type="pct"/>
            <w:tcBorders>
              <w:top w:val="nil"/>
              <w:left w:val="nil"/>
              <w:bottom w:val="single" w:sz="4" w:space="0" w:color="auto"/>
              <w:right w:val="single" w:sz="4" w:space="0" w:color="auto"/>
            </w:tcBorders>
            <w:shd w:val="clear" w:color="auto" w:fill="auto"/>
            <w:vAlign w:val="center"/>
            <w:hideMark/>
          </w:tcPr>
          <w:p w14:paraId="2D5B5EE0"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Formulari i integruar i vlerësimit;                                                         2. Dosja personale e prokurorit;                        3. Çdo e dhënë tjetër që tregon ngritje profesionale të prokurorit. </w:t>
            </w:r>
          </w:p>
        </w:tc>
        <w:tc>
          <w:tcPr>
            <w:tcW w:w="574" w:type="pct"/>
            <w:tcBorders>
              <w:top w:val="nil"/>
              <w:left w:val="nil"/>
              <w:bottom w:val="single" w:sz="4" w:space="0" w:color="auto"/>
              <w:right w:val="single" w:sz="4" w:space="0" w:color="auto"/>
            </w:tcBorders>
            <w:shd w:val="clear" w:color="auto" w:fill="auto"/>
            <w:vAlign w:val="center"/>
            <w:hideMark/>
          </w:tcPr>
          <w:p w14:paraId="25537485"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4" w:space="0" w:color="auto"/>
              <w:right w:val="single" w:sz="4" w:space="0" w:color="auto"/>
            </w:tcBorders>
            <w:shd w:val="clear" w:color="auto" w:fill="auto"/>
            <w:vAlign w:val="center"/>
            <w:hideMark/>
          </w:tcPr>
          <w:p w14:paraId="0DA9E531"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nil"/>
              <w:left w:val="nil"/>
              <w:bottom w:val="single" w:sz="4" w:space="0" w:color="auto"/>
              <w:right w:val="single" w:sz="4" w:space="0" w:color="auto"/>
            </w:tcBorders>
            <w:shd w:val="clear" w:color="auto" w:fill="auto"/>
            <w:vAlign w:val="center"/>
            <w:hideMark/>
          </w:tcPr>
          <w:p w14:paraId="49CA383B"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Nuk ka të dhëna      - 3 pikë;                  </w:t>
            </w:r>
          </w:p>
          <w:p w14:paraId="6DDC0872"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 Ka të dhëna            - 5 pikë.</w:t>
            </w:r>
          </w:p>
        </w:tc>
      </w:tr>
      <w:tr w:rsidR="00F052F6" w:rsidRPr="003D5CE4" w14:paraId="29304F8D" w14:textId="77777777" w:rsidTr="003464CC">
        <w:trPr>
          <w:trHeight w:val="75"/>
        </w:trPr>
        <w:tc>
          <w:tcPr>
            <w:tcW w:w="697" w:type="pct"/>
            <w:vMerge/>
            <w:tcBorders>
              <w:top w:val="single" w:sz="8" w:space="0" w:color="000000"/>
              <w:left w:val="single" w:sz="8" w:space="0" w:color="auto"/>
              <w:bottom w:val="single" w:sz="8" w:space="0" w:color="000000"/>
              <w:right w:val="single" w:sz="8" w:space="0" w:color="auto"/>
            </w:tcBorders>
            <w:vAlign w:val="center"/>
            <w:hideMark/>
          </w:tcPr>
          <w:p w14:paraId="16A3F61E" w14:textId="77777777" w:rsidR="00F052F6" w:rsidRPr="003D5CE4" w:rsidRDefault="00F052F6" w:rsidP="003464CC">
            <w:pPr>
              <w:spacing w:after="0" w:line="240" w:lineRule="auto"/>
              <w:rPr>
                <w:rFonts w:ascii="Garamond" w:eastAsia="Times New Roman" w:hAnsi="Garamond" w:cs="Times New Roman"/>
                <w:b/>
                <w:bCs/>
                <w:sz w:val="24"/>
                <w:szCs w:val="24"/>
              </w:rPr>
            </w:pPr>
          </w:p>
        </w:tc>
        <w:tc>
          <w:tcPr>
            <w:tcW w:w="960" w:type="pct"/>
            <w:tcBorders>
              <w:top w:val="nil"/>
              <w:left w:val="nil"/>
              <w:bottom w:val="single" w:sz="8" w:space="0" w:color="000000"/>
              <w:right w:val="single" w:sz="4" w:space="0" w:color="auto"/>
            </w:tcBorders>
            <w:shd w:val="clear" w:color="auto" w:fill="auto"/>
            <w:vAlign w:val="center"/>
            <w:hideMark/>
          </w:tcPr>
          <w:p w14:paraId="2B25879C"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ç. Publikimet ligjore akademike </w:t>
            </w:r>
          </w:p>
        </w:tc>
        <w:tc>
          <w:tcPr>
            <w:tcW w:w="1257" w:type="pct"/>
            <w:tcBorders>
              <w:top w:val="nil"/>
              <w:left w:val="nil"/>
              <w:bottom w:val="single" w:sz="8" w:space="0" w:color="000000"/>
              <w:right w:val="single" w:sz="4" w:space="0" w:color="auto"/>
            </w:tcBorders>
            <w:shd w:val="clear" w:color="auto" w:fill="auto"/>
            <w:vAlign w:val="center"/>
            <w:hideMark/>
          </w:tcPr>
          <w:p w14:paraId="59D033AD"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1. Dosja personale e prokurorit;                        2. Çdo e dhënë tjetër që tregon ngritje profesionale të prokurorit. </w:t>
            </w:r>
          </w:p>
        </w:tc>
        <w:tc>
          <w:tcPr>
            <w:tcW w:w="574" w:type="pct"/>
            <w:tcBorders>
              <w:top w:val="nil"/>
              <w:left w:val="nil"/>
              <w:bottom w:val="single" w:sz="8" w:space="0" w:color="000000"/>
              <w:right w:val="single" w:sz="4" w:space="0" w:color="auto"/>
            </w:tcBorders>
            <w:shd w:val="clear" w:color="auto" w:fill="auto"/>
            <w:vAlign w:val="center"/>
            <w:hideMark/>
          </w:tcPr>
          <w:p w14:paraId="235B630B"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305" w:type="pct"/>
            <w:tcBorders>
              <w:top w:val="nil"/>
              <w:left w:val="nil"/>
              <w:bottom w:val="single" w:sz="8" w:space="0" w:color="000000"/>
              <w:right w:val="single" w:sz="4" w:space="0" w:color="auto"/>
            </w:tcBorders>
            <w:shd w:val="clear" w:color="auto" w:fill="auto"/>
            <w:vAlign w:val="center"/>
            <w:hideMark/>
          </w:tcPr>
          <w:p w14:paraId="03F365C1"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w:t>
            </w:r>
          </w:p>
        </w:tc>
        <w:tc>
          <w:tcPr>
            <w:tcW w:w="1207" w:type="pct"/>
            <w:tcBorders>
              <w:top w:val="nil"/>
              <w:left w:val="nil"/>
              <w:bottom w:val="single" w:sz="8" w:space="0" w:color="000000"/>
              <w:right w:val="single" w:sz="4" w:space="0" w:color="auto"/>
            </w:tcBorders>
            <w:shd w:val="clear" w:color="auto" w:fill="auto"/>
            <w:vAlign w:val="center"/>
            <w:hideMark/>
          </w:tcPr>
          <w:p w14:paraId="2B935EE7"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 xml:space="preserve">Nuk ka të dhëna      - 0 pikë;                   </w:t>
            </w:r>
          </w:p>
          <w:p w14:paraId="4FAC89D3" w14:textId="77777777" w:rsidR="00F052F6" w:rsidRPr="003D5CE4" w:rsidRDefault="00F052F6" w:rsidP="003464CC">
            <w:pPr>
              <w:spacing w:after="0" w:line="240" w:lineRule="auto"/>
              <w:rPr>
                <w:rFonts w:ascii="Garamond" w:eastAsia="Times New Roman" w:hAnsi="Garamond" w:cs="Times New Roman"/>
                <w:sz w:val="24"/>
                <w:szCs w:val="24"/>
              </w:rPr>
            </w:pPr>
            <w:r w:rsidRPr="003D5CE4">
              <w:rPr>
                <w:rFonts w:ascii="Garamond" w:eastAsia="Times New Roman" w:hAnsi="Garamond" w:cs="Times New Roman"/>
                <w:sz w:val="24"/>
                <w:szCs w:val="24"/>
              </w:rPr>
              <w:t>Ka të dhëna             1-5 pikë.</w:t>
            </w:r>
          </w:p>
        </w:tc>
      </w:tr>
      <w:tr w:rsidR="00F052F6" w:rsidRPr="006F7B9C" w14:paraId="05DA5FEF" w14:textId="77777777" w:rsidTr="003464CC">
        <w:trPr>
          <w:trHeight w:val="75"/>
        </w:trPr>
        <w:tc>
          <w:tcPr>
            <w:tcW w:w="3488" w:type="pct"/>
            <w:gridSpan w:val="4"/>
            <w:tcBorders>
              <w:top w:val="single" w:sz="8" w:space="0" w:color="000000"/>
              <w:left w:val="single" w:sz="8" w:space="0" w:color="000000"/>
              <w:bottom w:val="single" w:sz="8" w:space="0" w:color="000000"/>
              <w:right w:val="single" w:sz="8" w:space="0" w:color="000000"/>
            </w:tcBorders>
            <w:shd w:val="clear" w:color="000000" w:fill="BDD6EE"/>
            <w:vAlign w:val="center"/>
            <w:hideMark/>
          </w:tcPr>
          <w:p w14:paraId="3D689D47" w14:textId="77777777" w:rsidR="00F052F6" w:rsidRPr="006F7B9C" w:rsidRDefault="00F052F6" w:rsidP="003464CC">
            <w:pPr>
              <w:spacing w:after="0" w:line="240" w:lineRule="auto"/>
              <w:jc w:val="center"/>
              <w:rPr>
                <w:rFonts w:ascii="Garamond" w:eastAsia="Times New Roman" w:hAnsi="Garamond" w:cs="Times New Roman"/>
                <w:bCs/>
                <w:sz w:val="24"/>
                <w:szCs w:val="24"/>
              </w:rPr>
            </w:pPr>
            <w:r w:rsidRPr="006F7B9C">
              <w:rPr>
                <w:rFonts w:ascii="Garamond" w:eastAsia="Times New Roman" w:hAnsi="Garamond" w:cs="Times New Roman"/>
                <w:bCs/>
                <w:sz w:val="24"/>
                <w:szCs w:val="24"/>
              </w:rPr>
              <w:t xml:space="preserve"> PIKËZIMI PËR KATËR KRITERET E VLERËSIMIT </w:t>
            </w:r>
          </w:p>
        </w:tc>
        <w:tc>
          <w:tcPr>
            <w:tcW w:w="1512" w:type="pct"/>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1668A73" w14:textId="77777777" w:rsidR="00F052F6" w:rsidRPr="006F7B9C" w:rsidRDefault="00F052F6" w:rsidP="003464CC">
            <w:pPr>
              <w:spacing w:after="0" w:line="240" w:lineRule="auto"/>
              <w:jc w:val="center"/>
              <w:rPr>
                <w:rFonts w:ascii="Garamond" w:eastAsia="Times New Roman" w:hAnsi="Garamond" w:cs="Times New Roman"/>
                <w:bCs/>
                <w:sz w:val="24"/>
                <w:szCs w:val="24"/>
              </w:rPr>
            </w:pPr>
            <w:r w:rsidRPr="006F7B9C">
              <w:rPr>
                <w:rFonts w:ascii="Garamond" w:eastAsia="Times New Roman" w:hAnsi="Garamond" w:cs="Times New Roman"/>
                <w:bCs/>
                <w:sz w:val="24"/>
                <w:szCs w:val="24"/>
              </w:rPr>
              <w:t xml:space="preserve"> </w:t>
            </w:r>
          </w:p>
        </w:tc>
      </w:tr>
      <w:tr w:rsidR="00F052F6" w:rsidRPr="006F7B9C" w14:paraId="0AC4B8AB" w14:textId="77777777" w:rsidTr="003464CC">
        <w:trPr>
          <w:trHeight w:val="75"/>
        </w:trPr>
        <w:tc>
          <w:tcPr>
            <w:tcW w:w="3488" w:type="pct"/>
            <w:gridSpan w:val="4"/>
            <w:tcBorders>
              <w:top w:val="single" w:sz="8" w:space="0" w:color="000000"/>
              <w:left w:val="single" w:sz="8" w:space="0" w:color="000000"/>
              <w:bottom w:val="single" w:sz="8" w:space="0" w:color="000000"/>
              <w:right w:val="single" w:sz="8" w:space="0" w:color="000000"/>
            </w:tcBorders>
            <w:shd w:val="clear" w:color="000000" w:fill="BDD6EE"/>
            <w:vAlign w:val="center"/>
            <w:hideMark/>
          </w:tcPr>
          <w:p w14:paraId="259EF492" w14:textId="77777777" w:rsidR="00F052F6" w:rsidRPr="006F7B9C" w:rsidRDefault="00F052F6" w:rsidP="003464CC">
            <w:pPr>
              <w:spacing w:after="0" w:line="240" w:lineRule="auto"/>
              <w:jc w:val="center"/>
              <w:rPr>
                <w:rFonts w:ascii="Garamond" w:eastAsia="Times New Roman" w:hAnsi="Garamond" w:cs="Times New Roman"/>
                <w:bCs/>
                <w:sz w:val="24"/>
                <w:szCs w:val="24"/>
              </w:rPr>
            </w:pPr>
            <w:r w:rsidRPr="006F7B9C">
              <w:rPr>
                <w:rFonts w:ascii="Garamond" w:eastAsia="Times New Roman" w:hAnsi="Garamond" w:cs="Times New Roman"/>
                <w:bCs/>
                <w:sz w:val="24"/>
                <w:szCs w:val="24"/>
              </w:rPr>
              <w:t xml:space="preserve"> NIVELI PËRFUNDIMTAR I VLERËSIMIT TË PROKURORIT </w:t>
            </w:r>
          </w:p>
        </w:tc>
        <w:tc>
          <w:tcPr>
            <w:tcW w:w="1512" w:type="pct"/>
            <w:gridSpan w:val="2"/>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1946F9" w14:textId="77777777" w:rsidR="00F052F6" w:rsidRPr="006F7B9C" w:rsidRDefault="00F052F6" w:rsidP="003464CC">
            <w:pPr>
              <w:spacing w:after="0" w:line="240" w:lineRule="auto"/>
              <w:jc w:val="center"/>
              <w:rPr>
                <w:rFonts w:ascii="Garamond" w:eastAsia="Times New Roman" w:hAnsi="Garamond" w:cs="Times New Roman"/>
                <w:bCs/>
                <w:sz w:val="24"/>
                <w:szCs w:val="24"/>
              </w:rPr>
            </w:pPr>
            <w:r w:rsidRPr="006F7B9C">
              <w:rPr>
                <w:rFonts w:ascii="Garamond" w:eastAsia="Times New Roman" w:hAnsi="Garamond" w:cs="Times New Roman"/>
                <w:bCs/>
                <w:sz w:val="24"/>
                <w:szCs w:val="24"/>
              </w:rPr>
              <w:t xml:space="preserve"> </w:t>
            </w:r>
          </w:p>
        </w:tc>
      </w:tr>
    </w:tbl>
    <w:p w14:paraId="37ED356A" w14:textId="77777777" w:rsidR="00F052F6" w:rsidRPr="006F7B9C" w:rsidRDefault="00F052F6" w:rsidP="00F052F6">
      <w:pPr>
        <w:spacing w:after="0" w:line="240" w:lineRule="auto"/>
        <w:rPr>
          <w:rFonts w:ascii="Times New Roman" w:eastAsia="Times New Roman" w:hAnsi="Times New Roman" w:cs="Times New Roman"/>
          <w:bCs/>
          <w:sz w:val="24"/>
          <w:szCs w:val="24"/>
        </w:rPr>
      </w:pPr>
    </w:p>
    <w:p w14:paraId="2226ED50" w14:textId="77777777" w:rsidR="00F052F6" w:rsidRPr="006F7B9C" w:rsidRDefault="00F052F6" w:rsidP="00F052F6">
      <w:pPr>
        <w:spacing w:after="0" w:line="240" w:lineRule="auto"/>
        <w:jc w:val="center"/>
        <w:rPr>
          <w:rFonts w:ascii="Times New Roman" w:eastAsia="Times New Roman" w:hAnsi="Times New Roman" w:cs="Times New Roman"/>
          <w:bCs/>
          <w:sz w:val="24"/>
          <w:szCs w:val="24"/>
        </w:rPr>
      </w:pPr>
      <w:r w:rsidRPr="006F7B9C">
        <w:rPr>
          <w:rFonts w:ascii="Times New Roman" w:eastAsia="Times New Roman" w:hAnsi="Times New Roman" w:cs="Times New Roman"/>
          <w:bCs/>
          <w:sz w:val="24"/>
          <w:szCs w:val="24"/>
        </w:rPr>
        <w:t>RELATOR</w:t>
      </w:r>
    </w:p>
    <w:p w14:paraId="4A6AECAE" w14:textId="77777777" w:rsidR="00F052F6" w:rsidRPr="006F7B9C" w:rsidRDefault="00F052F6" w:rsidP="00F052F6">
      <w:pPr>
        <w:spacing w:after="0" w:line="240" w:lineRule="auto"/>
        <w:jc w:val="center"/>
        <w:rPr>
          <w:rFonts w:ascii="Garamond" w:hAnsi="Garamond"/>
          <w:sz w:val="24"/>
          <w:szCs w:val="24"/>
        </w:rPr>
      </w:pPr>
      <w:r w:rsidRPr="006F7B9C">
        <w:rPr>
          <w:rFonts w:ascii="Times New Roman" w:eastAsia="Times New Roman" w:hAnsi="Times New Roman" w:cs="Times New Roman"/>
          <w:bCs/>
          <w:i/>
          <w:iCs/>
          <w:color w:val="2E74B5"/>
          <w:sz w:val="24"/>
          <w:szCs w:val="24"/>
        </w:rPr>
        <w:t>(EMRI, MBIEMRI DHE NËNSHKRIMI)</w:t>
      </w:r>
    </w:p>
    <w:p w14:paraId="0306A828" w14:textId="77777777" w:rsidR="00F052F6" w:rsidRPr="00DB634E" w:rsidRDefault="00F052F6" w:rsidP="00F052F6"/>
    <w:p w14:paraId="74D2D831" w14:textId="69E91B1D" w:rsidR="00DC3455" w:rsidRPr="00F052F6" w:rsidRDefault="00DC3455" w:rsidP="00F052F6"/>
    <w:sectPr w:rsidR="00DC3455" w:rsidRPr="00F052F6" w:rsidSect="00DC3455">
      <w:pgSz w:w="16840" w:h="11907" w:orient="landscape" w:code="9"/>
      <w:pgMar w:top="1418" w:right="1418" w:bottom="1418" w:left="1418" w:header="1304" w:footer="1134"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E6C00F" w14:textId="77777777" w:rsidR="003464CC" w:rsidRDefault="003464CC" w:rsidP="00DC3455">
      <w:pPr>
        <w:spacing w:after="0" w:line="240" w:lineRule="auto"/>
      </w:pPr>
      <w:r>
        <w:separator/>
      </w:r>
    </w:p>
  </w:endnote>
  <w:endnote w:type="continuationSeparator" w:id="0">
    <w:p w14:paraId="30CFC4BE" w14:textId="77777777" w:rsidR="003464CC" w:rsidRDefault="003464CC" w:rsidP="00DC3455">
      <w:pPr>
        <w:spacing w:after="0" w:line="240" w:lineRule="auto"/>
      </w:pPr>
      <w:r>
        <w:continuationSeparator/>
      </w:r>
    </w:p>
  </w:endnote>
  <w:endnote w:type="continuationNotice" w:id="1">
    <w:p w14:paraId="0B885C9C" w14:textId="77777777" w:rsidR="003464CC" w:rsidRDefault="003464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AAFDD" w14:textId="77777777" w:rsidR="003464CC" w:rsidRDefault="003464CC" w:rsidP="00DC3455">
      <w:pPr>
        <w:spacing w:after="0" w:line="240" w:lineRule="auto"/>
      </w:pPr>
      <w:r>
        <w:separator/>
      </w:r>
    </w:p>
  </w:footnote>
  <w:footnote w:type="continuationSeparator" w:id="0">
    <w:p w14:paraId="24BE0AE6" w14:textId="77777777" w:rsidR="003464CC" w:rsidRDefault="003464CC" w:rsidP="00DC3455">
      <w:pPr>
        <w:spacing w:after="0" w:line="240" w:lineRule="auto"/>
      </w:pPr>
      <w:r>
        <w:continuationSeparator/>
      </w:r>
    </w:p>
  </w:footnote>
  <w:footnote w:type="continuationNotice" w:id="1">
    <w:p w14:paraId="1B01BCDC" w14:textId="77777777" w:rsidR="003464CC" w:rsidRDefault="003464CC">
      <w:pPr>
        <w:spacing w:after="0" w:line="240" w:lineRule="auto"/>
      </w:pPr>
    </w:p>
  </w:footnote>
  <w:footnote w:id="2">
    <w:p w14:paraId="316DAAF3" w14:textId="77777777" w:rsidR="003464CC" w:rsidRPr="00C13DA6" w:rsidRDefault="003464CC" w:rsidP="00F052F6">
      <w:pPr>
        <w:pStyle w:val="FootnoteText"/>
        <w:jc w:val="both"/>
        <w:rPr>
          <w:rFonts w:ascii="Garamond" w:hAnsi="Garamond"/>
        </w:rPr>
      </w:pPr>
      <w:r w:rsidRPr="003A3AF5">
        <w:rPr>
          <w:rStyle w:val="FootnoteReference"/>
          <w:rFonts w:ascii="Garamond" w:hAnsi="Garamond"/>
        </w:rPr>
        <w:footnoteRef/>
      </w:r>
      <w:r w:rsidRPr="003A3AF5">
        <w:rPr>
          <w:rFonts w:ascii="Garamond" w:hAnsi="Garamond"/>
        </w:rPr>
        <w:t xml:space="preserve"> </w:t>
      </w:r>
      <w:r w:rsidRPr="00C13DA6">
        <w:rPr>
          <w:rFonts w:ascii="Garamond" w:hAnsi="Garamond"/>
        </w:rPr>
        <w:t>Për të përcaktuar se, çfarë do të konsiderojmë standarde minimale kohore për përfundimin e procedurave hetimore apo procedurave të tjera të sistemit të prokurorisë, lind e nevojshme të bëhet një studim gjithëpërfshirës dhe i shtrirë në kohë për të arritur në përfundimin se, cilat kanë qenë ndër vite afatet minimale kohore që kanë qenë të nevojshme për t’i dhënë zgjidhje çështjeve me natyrë të njëjtë, referuar veprimtarisë së prokurorive të ndryshme. Aktualisht, në mungesë të një studimi të tillë, treguesi i standardeve minimale kohore mbetet i pavlerësueshëm</w:t>
      </w:r>
      <w:r>
        <w:rPr>
          <w:rFonts w:ascii="Garamond" w:hAnsi="Garamond"/>
        </w:rPr>
        <w:t>.</w:t>
      </w:r>
    </w:p>
  </w:footnote>
  <w:footnote w:id="3">
    <w:p w14:paraId="5743EA65" w14:textId="77777777" w:rsidR="003464CC" w:rsidRPr="00C13DA6" w:rsidRDefault="003464CC" w:rsidP="00F052F6">
      <w:pPr>
        <w:pStyle w:val="FootnoteText"/>
        <w:jc w:val="both"/>
        <w:rPr>
          <w:rFonts w:ascii="Garamond" w:hAnsi="Garamond"/>
        </w:rPr>
      </w:pPr>
      <w:r w:rsidRPr="00C13DA6">
        <w:rPr>
          <w:rStyle w:val="FootnoteReference"/>
          <w:rFonts w:ascii="Garamond" w:hAnsi="Garamond"/>
        </w:rPr>
        <w:footnoteRef/>
      </w:r>
      <w:r w:rsidRPr="00C13DA6">
        <w:rPr>
          <w:rFonts w:ascii="Garamond" w:hAnsi="Garamond"/>
        </w:rPr>
        <w:t xml:space="preserve"> Afati ligjor në total prej 2 vitesh për përfundimin e hetimeve në rastet e procedimeve penale me autor, do të vlejë si afat ligjor për efekt të këtij treguesi. I njëjti afat, për efekt të vlerësimit, do të jetë i vlefshëm edhe për procedimet penale pa autor. </w:t>
      </w:r>
    </w:p>
  </w:footnote>
  <w:footnote w:id="4">
    <w:p w14:paraId="6384056C" w14:textId="77777777" w:rsidR="003464CC" w:rsidRPr="00C13DA6" w:rsidRDefault="003464CC" w:rsidP="00F052F6">
      <w:pPr>
        <w:pStyle w:val="footnotedescription"/>
        <w:spacing w:line="240" w:lineRule="auto"/>
        <w:ind w:left="0"/>
        <w:jc w:val="both"/>
        <w:rPr>
          <w:rFonts w:ascii="Garamond" w:hAnsi="Garamond"/>
          <w:color w:val="auto"/>
          <w:sz w:val="20"/>
          <w:szCs w:val="20"/>
        </w:rPr>
      </w:pPr>
      <w:r w:rsidRPr="00C13DA6">
        <w:rPr>
          <w:rStyle w:val="footnotemark"/>
          <w:rFonts w:ascii="Garamond" w:hAnsi="Garamond"/>
          <w:sz w:val="20"/>
          <w:szCs w:val="20"/>
        </w:rPr>
        <w:footnoteRef/>
      </w:r>
      <w:r w:rsidRPr="00C13DA6">
        <w:rPr>
          <w:rFonts w:ascii="Garamond" w:hAnsi="Garamond"/>
          <w:sz w:val="20"/>
          <w:szCs w:val="20"/>
        </w:rPr>
        <w:t xml:space="preserve"> </w:t>
      </w:r>
      <w:r w:rsidRPr="00C13DA6">
        <w:rPr>
          <w:rFonts w:ascii="Garamond" w:hAnsi="Garamond"/>
          <w:color w:val="auto"/>
          <w:sz w:val="20"/>
          <w:szCs w:val="20"/>
        </w:rPr>
        <w:t>Të cilat interpretohen, për aq sa është e mundur, në përputhje me:</w:t>
      </w:r>
    </w:p>
    <w:p w14:paraId="5AD0ED2E" w14:textId="77777777" w:rsidR="003464CC" w:rsidRPr="00C13DA6" w:rsidRDefault="003464CC" w:rsidP="00F052F6">
      <w:pPr>
        <w:pStyle w:val="footnotedescription"/>
        <w:numPr>
          <w:ilvl w:val="0"/>
          <w:numId w:val="2"/>
        </w:numPr>
        <w:tabs>
          <w:tab w:val="left" w:pos="270"/>
        </w:tabs>
        <w:spacing w:line="240" w:lineRule="auto"/>
        <w:ind w:left="0" w:firstLine="0"/>
        <w:jc w:val="both"/>
        <w:rPr>
          <w:rFonts w:ascii="Garamond" w:hAnsi="Garamond"/>
          <w:color w:val="auto"/>
          <w:sz w:val="20"/>
          <w:szCs w:val="20"/>
        </w:rPr>
      </w:pPr>
      <w:r w:rsidRPr="00C13DA6">
        <w:rPr>
          <w:rFonts w:ascii="Garamond" w:hAnsi="Garamond"/>
          <w:color w:val="auto"/>
          <w:sz w:val="20"/>
          <w:szCs w:val="20"/>
        </w:rPr>
        <w:t xml:space="preserve">Parimet e Bangalorit për sjelljen gjyqësore dhe komentari përkatës, </w:t>
      </w:r>
    </w:p>
    <w:p w14:paraId="1C27DB99" w14:textId="77777777" w:rsidR="003464CC" w:rsidRPr="00C13DA6" w:rsidRDefault="003464CC" w:rsidP="00F052F6">
      <w:pPr>
        <w:pStyle w:val="footnotedescription"/>
        <w:tabs>
          <w:tab w:val="left" w:pos="270"/>
        </w:tabs>
        <w:spacing w:line="240" w:lineRule="auto"/>
        <w:ind w:left="0"/>
        <w:jc w:val="both"/>
        <w:rPr>
          <w:rFonts w:ascii="Garamond" w:hAnsi="Garamond"/>
          <w:color w:val="auto"/>
          <w:sz w:val="20"/>
          <w:szCs w:val="20"/>
        </w:rPr>
      </w:pPr>
      <w:hyperlink r:id="rId1" w:history="1">
        <w:r w:rsidRPr="00C13DA6">
          <w:rPr>
            <w:rStyle w:val="Hyperlink"/>
            <w:rFonts w:ascii="Garamond" w:hAnsi="Garamond"/>
            <w:sz w:val="20"/>
            <w:szCs w:val="20"/>
            <w:u w:color="0563C1"/>
          </w:rPr>
          <w:t>https://www.unodc.org/documents/corruption/publications_unodc_commentary</w:t>
        </w:r>
      </w:hyperlink>
      <w:hyperlink r:id="rId2">
        <w:r w:rsidRPr="00C13DA6">
          <w:rPr>
            <w:rFonts w:ascii="Garamond" w:hAnsi="Garamond"/>
            <w:color w:val="auto"/>
            <w:sz w:val="20"/>
            <w:szCs w:val="20"/>
            <w:u w:val="single" w:color="0563C1"/>
          </w:rPr>
          <w:t>-</w:t>
        </w:r>
      </w:hyperlink>
      <w:hyperlink r:id="rId3">
        <w:r w:rsidRPr="00C13DA6">
          <w:rPr>
            <w:rFonts w:ascii="Garamond" w:hAnsi="Garamond"/>
            <w:color w:val="auto"/>
            <w:sz w:val="20"/>
            <w:szCs w:val="20"/>
            <w:u w:val="single" w:color="0563C1"/>
          </w:rPr>
          <w:t>e.pdf</w:t>
        </w:r>
      </w:hyperlink>
      <w:hyperlink r:id="rId4">
        <w:r w:rsidRPr="00C13DA6">
          <w:rPr>
            <w:rFonts w:ascii="Garamond" w:hAnsi="Garamond"/>
            <w:color w:val="auto"/>
            <w:sz w:val="20"/>
            <w:szCs w:val="20"/>
          </w:rPr>
          <w:t xml:space="preserve"> </w:t>
        </w:r>
      </w:hyperlink>
      <w:r w:rsidRPr="00C13DA6">
        <w:rPr>
          <w:rFonts w:ascii="Garamond" w:hAnsi="Garamond"/>
          <w:color w:val="auto"/>
          <w:sz w:val="20"/>
          <w:szCs w:val="20"/>
        </w:rPr>
        <w:t>;</w:t>
      </w:r>
    </w:p>
    <w:p w14:paraId="402046E9" w14:textId="77777777" w:rsidR="003464CC" w:rsidRPr="00C13DA6" w:rsidRDefault="003464CC" w:rsidP="00F052F6">
      <w:pPr>
        <w:pStyle w:val="footnotedescription"/>
        <w:numPr>
          <w:ilvl w:val="0"/>
          <w:numId w:val="2"/>
        </w:numPr>
        <w:tabs>
          <w:tab w:val="left" w:pos="270"/>
        </w:tabs>
        <w:spacing w:line="240" w:lineRule="auto"/>
        <w:ind w:left="0" w:firstLine="0"/>
        <w:jc w:val="both"/>
        <w:rPr>
          <w:rFonts w:ascii="Garamond" w:hAnsi="Garamond"/>
          <w:color w:val="auto"/>
          <w:sz w:val="20"/>
          <w:szCs w:val="20"/>
        </w:rPr>
      </w:pPr>
      <w:r w:rsidRPr="00C13DA6">
        <w:rPr>
          <w:rFonts w:ascii="Garamond" w:hAnsi="Garamond"/>
          <w:color w:val="auto"/>
          <w:sz w:val="20"/>
          <w:szCs w:val="20"/>
        </w:rPr>
        <w:t xml:space="preserve">Opinionin nr.9 (2014) datë 17 dhjetor 2014 të CCPE(Këshillit Konsultativ të Prokurorëve Evropianë, për Këshillin e Evropës) “Mbi normat dhe parimet evropiane në lidhje me prokurorët”; </w:t>
      </w:r>
    </w:p>
    <w:p w14:paraId="314D39AE" w14:textId="77777777" w:rsidR="003464CC" w:rsidRPr="00C13DA6" w:rsidRDefault="003464CC" w:rsidP="00F052F6">
      <w:pPr>
        <w:pStyle w:val="footnotedescription"/>
        <w:numPr>
          <w:ilvl w:val="0"/>
          <w:numId w:val="2"/>
        </w:numPr>
        <w:tabs>
          <w:tab w:val="left" w:pos="270"/>
        </w:tabs>
        <w:spacing w:line="240" w:lineRule="auto"/>
        <w:ind w:left="0" w:firstLine="0"/>
        <w:jc w:val="both"/>
        <w:rPr>
          <w:rFonts w:ascii="Garamond" w:hAnsi="Garamond"/>
          <w:color w:val="auto"/>
          <w:sz w:val="20"/>
          <w:szCs w:val="20"/>
        </w:rPr>
      </w:pPr>
      <w:r w:rsidRPr="00C13DA6">
        <w:rPr>
          <w:rFonts w:ascii="Garamond" w:hAnsi="Garamond"/>
          <w:color w:val="auto"/>
          <w:sz w:val="20"/>
          <w:szCs w:val="20"/>
        </w:rPr>
        <w:t>Opinionin nr.13 (2018) i CCPE</w:t>
      </w:r>
      <w:r>
        <w:rPr>
          <w:rFonts w:ascii="Garamond" w:hAnsi="Garamond"/>
          <w:color w:val="auto"/>
          <w:sz w:val="20"/>
          <w:szCs w:val="20"/>
        </w:rPr>
        <w:t xml:space="preserve">, “Për </w:t>
      </w:r>
      <w:r w:rsidRPr="00C13DA6">
        <w:rPr>
          <w:rFonts w:ascii="Garamond" w:hAnsi="Garamond"/>
          <w:color w:val="auto"/>
          <w:sz w:val="20"/>
          <w:szCs w:val="20"/>
        </w:rPr>
        <w:t xml:space="preserve">pavarësinë, përgjegjshmërinë dhe etikën e prokurorëve”; </w:t>
      </w:r>
    </w:p>
    <w:p w14:paraId="7AAA844D" w14:textId="77777777" w:rsidR="003464CC" w:rsidRPr="00C13DA6" w:rsidRDefault="003464CC" w:rsidP="00F052F6">
      <w:pPr>
        <w:pStyle w:val="footnotedescription"/>
        <w:numPr>
          <w:ilvl w:val="0"/>
          <w:numId w:val="2"/>
        </w:numPr>
        <w:tabs>
          <w:tab w:val="left" w:pos="270"/>
        </w:tabs>
        <w:spacing w:line="240" w:lineRule="auto"/>
        <w:ind w:left="0" w:firstLine="0"/>
        <w:jc w:val="both"/>
        <w:rPr>
          <w:rFonts w:ascii="Garamond" w:hAnsi="Garamond"/>
          <w:color w:val="auto"/>
          <w:sz w:val="20"/>
          <w:szCs w:val="20"/>
        </w:rPr>
      </w:pPr>
      <w:r w:rsidRPr="00C13DA6">
        <w:rPr>
          <w:rFonts w:ascii="Garamond" w:hAnsi="Garamond"/>
          <w:color w:val="auto"/>
          <w:sz w:val="20"/>
          <w:szCs w:val="20"/>
        </w:rPr>
        <w:t xml:space="preserve">Udhëzimin e OKB-së i vitit 1990, “Mbi Rolin e prokurorëve”; </w:t>
      </w:r>
    </w:p>
    <w:p w14:paraId="7AA271BC" w14:textId="77777777" w:rsidR="003464CC" w:rsidRPr="00C13DA6" w:rsidRDefault="003464CC" w:rsidP="00F052F6">
      <w:pPr>
        <w:pStyle w:val="footnotedescription"/>
        <w:numPr>
          <w:ilvl w:val="0"/>
          <w:numId w:val="2"/>
        </w:numPr>
        <w:tabs>
          <w:tab w:val="left" w:pos="270"/>
        </w:tabs>
        <w:spacing w:line="240" w:lineRule="auto"/>
        <w:ind w:left="0" w:firstLine="0"/>
        <w:jc w:val="both"/>
        <w:rPr>
          <w:rFonts w:ascii="Garamond" w:hAnsi="Garamond"/>
          <w:color w:val="auto"/>
          <w:sz w:val="20"/>
          <w:szCs w:val="20"/>
        </w:rPr>
      </w:pPr>
      <w:r w:rsidRPr="00C13DA6">
        <w:rPr>
          <w:rFonts w:ascii="Garamond" w:hAnsi="Garamond"/>
          <w:color w:val="auto"/>
          <w:sz w:val="20"/>
          <w:szCs w:val="20"/>
        </w:rPr>
        <w:t>Standardet për përgjegjësinë profesionale dhe deklarata e detyrave dhe të drejtave themelore të prokurorëve, përcaktuara në vitin 1999 nga IAP (Shoqata Ndërkombëtare e Prokurorëve); Udhëzimin e Budapestit, “Mbi etikën dhe sjelljen e prokurorëve publikë”, 2005; Deklarata e Bordosë mbi “Gjyqtarët dhe prokurorët në shoqërinë demokratike”, e vitit 2009</w:t>
      </w:r>
    </w:p>
  </w:footnote>
  <w:footnote w:id="5">
    <w:p w14:paraId="44F22B90" w14:textId="77777777" w:rsidR="003464CC" w:rsidRPr="00FC1945" w:rsidRDefault="003464CC" w:rsidP="00F052F6">
      <w:pPr>
        <w:pStyle w:val="FootnoteText"/>
        <w:rPr>
          <w:rFonts w:ascii="Garamond" w:hAnsi="Garamond" w:cs="Times New Roman"/>
        </w:rPr>
      </w:pPr>
      <w:r w:rsidRPr="00CE654F">
        <w:rPr>
          <w:rStyle w:val="FootnoteReference"/>
          <w:rFonts w:ascii="Garamond" w:hAnsi="Garamond" w:cs="Times New Roman"/>
        </w:rPr>
        <w:footnoteRef/>
      </w:r>
      <w:r w:rsidRPr="00CE654F">
        <w:rPr>
          <w:rFonts w:ascii="Garamond" w:hAnsi="Garamond" w:cs="Times New Roman"/>
        </w:rPr>
        <w:t xml:space="preserve"> Kategoria e çështjes në këtë procesverbal është për efekt ilustrues.</w:t>
      </w:r>
    </w:p>
  </w:footnote>
  <w:footnote w:id="6">
    <w:p w14:paraId="197E0D4E" w14:textId="77777777" w:rsidR="003464CC" w:rsidRPr="00F02A2A" w:rsidRDefault="003464CC" w:rsidP="00F052F6">
      <w:pPr>
        <w:autoSpaceDE w:val="0"/>
        <w:autoSpaceDN w:val="0"/>
        <w:adjustRightInd w:val="0"/>
        <w:spacing w:line="258" w:lineRule="atLeast"/>
        <w:jc w:val="both"/>
        <w:rPr>
          <w:rFonts w:ascii="Garamond" w:hAnsi="Garamond"/>
          <w:sz w:val="20"/>
          <w:szCs w:val="20"/>
          <w:lang w:val="en-US"/>
        </w:rPr>
      </w:pPr>
      <w:r w:rsidRPr="00F02A2A">
        <w:rPr>
          <w:rStyle w:val="FootnoteReference"/>
          <w:rFonts w:ascii="Garamond" w:hAnsi="Garamond"/>
          <w:sz w:val="20"/>
          <w:szCs w:val="20"/>
        </w:rPr>
        <w:footnoteRef/>
      </w:r>
      <w:r w:rsidRPr="00F02A2A">
        <w:rPr>
          <w:rFonts w:ascii="Garamond" w:hAnsi="Garamond"/>
          <w:sz w:val="20"/>
          <w:szCs w:val="20"/>
        </w:rPr>
        <w:t xml:space="preserve">. </w:t>
      </w:r>
      <w:r w:rsidRPr="00F02A2A">
        <w:rPr>
          <w:rFonts w:ascii="Garamond" w:hAnsi="Garamond" w:cs="Times New Roman"/>
          <w:color w:val="000000"/>
          <w:sz w:val="20"/>
          <w:szCs w:val="20"/>
          <w:lang w:eastAsia="sq-AL"/>
        </w:rPr>
        <w:t>Ndarjet dhe emërtimet e tyre me germa pasqyrohen në këtë raport model për të orientuar pjesët e veçanta të aktit</w:t>
      </w:r>
    </w:p>
  </w:footnote>
  <w:footnote w:id="7">
    <w:p w14:paraId="13D12296" w14:textId="77777777" w:rsidR="003464CC" w:rsidRPr="00984DAB" w:rsidRDefault="003464CC" w:rsidP="00F052F6">
      <w:pPr>
        <w:autoSpaceDE w:val="0"/>
        <w:autoSpaceDN w:val="0"/>
        <w:adjustRightInd w:val="0"/>
        <w:spacing w:after="0" w:line="240" w:lineRule="auto"/>
        <w:jc w:val="both"/>
        <w:rPr>
          <w:rFonts w:ascii="Garamond" w:hAnsi="Garamond"/>
          <w:sz w:val="20"/>
          <w:szCs w:val="20"/>
        </w:rPr>
      </w:pPr>
      <w:r w:rsidRPr="00984DAB">
        <w:rPr>
          <w:rStyle w:val="FootnoteReference"/>
          <w:rFonts w:ascii="Garamond" w:hAnsi="Garamond"/>
        </w:rPr>
        <w:footnoteRef/>
      </w:r>
      <w:r w:rsidRPr="00984DAB">
        <w:rPr>
          <w:rFonts w:ascii="Garamond" w:hAnsi="Garamond"/>
          <w:sz w:val="20"/>
          <w:szCs w:val="20"/>
        </w:rPr>
        <w:t xml:space="preserve"> </w:t>
      </w:r>
      <w:r w:rsidRPr="00984DAB">
        <w:rPr>
          <w:rFonts w:ascii="Garamond" w:hAnsi="Garamond" w:cs="Times New Roman"/>
          <w:sz w:val="20"/>
          <w:szCs w:val="20"/>
        </w:rPr>
        <w:t xml:space="preserve">Ndarjet dhe emërtimet e tyre me germa pasqyrohen në këtë projekt raport model për të orientuar pjesët e veçanta të aktit.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E43DF7"/>
    <w:multiLevelType w:val="hybridMultilevel"/>
    <w:tmpl w:val="42D66BE0"/>
    <w:lvl w:ilvl="0" w:tplc="31B8EE52">
      <w:start w:val="1"/>
      <w:numFmt w:val="upperLetter"/>
      <w:lvlText w:val="%1."/>
      <w:lvlJc w:val="left"/>
      <w:pPr>
        <w:ind w:left="525" w:hanging="360"/>
      </w:pPr>
      <w:rPr>
        <w:rFonts w:hint="default"/>
      </w:rPr>
    </w:lvl>
    <w:lvl w:ilvl="1" w:tplc="041C0019" w:tentative="1">
      <w:start w:val="1"/>
      <w:numFmt w:val="lowerLetter"/>
      <w:lvlText w:val="%2."/>
      <w:lvlJc w:val="left"/>
      <w:pPr>
        <w:ind w:left="1245" w:hanging="360"/>
      </w:pPr>
    </w:lvl>
    <w:lvl w:ilvl="2" w:tplc="041C001B" w:tentative="1">
      <w:start w:val="1"/>
      <w:numFmt w:val="lowerRoman"/>
      <w:lvlText w:val="%3."/>
      <w:lvlJc w:val="right"/>
      <w:pPr>
        <w:ind w:left="1965" w:hanging="180"/>
      </w:pPr>
    </w:lvl>
    <w:lvl w:ilvl="3" w:tplc="041C000F" w:tentative="1">
      <w:start w:val="1"/>
      <w:numFmt w:val="decimal"/>
      <w:lvlText w:val="%4."/>
      <w:lvlJc w:val="left"/>
      <w:pPr>
        <w:ind w:left="2685" w:hanging="360"/>
      </w:pPr>
    </w:lvl>
    <w:lvl w:ilvl="4" w:tplc="041C0019" w:tentative="1">
      <w:start w:val="1"/>
      <w:numFmt w:val="lowerLetter"/>
      <w:lvlText w:val="%5."/>
      <w:lvlJc w:val="left"/>
      <w:pPr>
        <w:ind w:left="3405" w:hanging="360"/>
      </w:pPr>
    </w:lvl>
    <w:lvl w:ilvl="5" w:tplc="041C001B" w:tentative="1">
      <w:start w:val="1"/>
      <w:numFmt w:val="lowerRoman"/>
      <w:lvlText w:val="%6."/>
      <w:lvlJc w:val="right"/>
      <w:pPr>
        <w:ind w:left="4125" w:hanging="180"/>
      </w:pPr>
    </w:lvl>
    <w:lvl w:ilvl="6" w:tplc="041C000F" w:tentative="1">
      <w:start w:val="1"/>
      <w:numFmt w:val="decimal"/>
      <w:lvlText w:val="%7."/>
      <w:lvlJc w:val="left"/>
      <w:pPr>
        <w:ind w:left="4845" w:hanging="360"/>
      </w:pPr>
    </w:lvl>
    <w:lvl w:ilvl="7" w:tplc="041C0019" w:tentative="1">
      <w:start w:val="1"/>
      <w:numFmt w:val="lowerLetter"/>
      <w:lvlText w:val="%8."/>
      <w:lvlJc w:val="left"/>
      <w:pPr>
        <w:ind w:left="5565" w:hanging="360"/>
      </w:pPr>
    </w:lvl>
    <w:lvl w:ilvl="8" w:tplc="041C001B" w:tentative="1">
      <w:start w:val="1"/>
      <w:numFmt w:val="lowerRoman"/>
      <w:lvlText w:val="%9."/>
      <w:lvlJc w:val="right"/>
      <w:pPr>
        <w:ind w:left="6285" w:hanging="180"/>
      </w:pPr>
    </w:lvl>
  </w:abstractNum>
  <w:abstractNum w:abstractNumId="1">
    <w:nsid w:val="32773972"/>
    <w:multiLevelType w:val="hybridMultilevel"/>
    <w:tmpl w:val="3040879A"/>
    <w:lvl w:ilvl="0" w:tplc="041C000F">
      <w:start w:val="1"/>
      <w:numFmt w:val="decimal"/>
      <w:lvlText w:val="%1."/>
      <w:lvlJc w:val="left"/>
      <w:pPr>
        <w:ind w:left="900" w:hanging="360"/>
      </w:pPr>
    </w:lvl>
    <w:lvl w:ilvl="1" w:tplc="041C0019" w:tentative="1">
      <w:start w:val="1"/>
      <w:numFmt w:val="lowerLetter"/>
      <w:lvlText w:val="%2."/>
      <w:lvlJc w:val="left"/>
      <w:pPr>
        <w:ind w:left="1620" w:hanging="360"/>
      </w:pPr>
    </w:lvl>
    <w:lvl w:ilvl="2" w:tplc="041C001B" w:tentative="1">
      <w:start w:val="1"/>
      <w:numFmt w:val="lowerRoman"/>
      <w:lvlText w:val="%3."/>
      <w:lvlJc w:val="right"/>
      <w:pPr>
        <w:ind w:left="2340" w:hanging="180"/>
      </w:pPr>
    </w:lvl>
    <w:lvl w:ilvl="3" w:tplc="041C000F" w:tentative="1">
      <w:start w:val="1"/>
      <w:numFmt w:val="decimal"/>
      <w:lvlText w:val="%4."/>
      <w:lvlJc w:val="left"/>
      <w:pPr>
        <w:ind w:left="3060" w:hanging="360"/>
      </w:pPr>
    </w:lvl>
    <w:lvl w:ilvl="4" w:tplc="041C0019" w:tentative="1">
      <w:start w:val="1"/>
      <w:numFmt w:val="lowerLetter"/>
      <w:lvlText w:val="%5."/>
      <w:lvlJc w:val="left"/>
      <w:pPr>
        <w:ind w:left="3780" w:hanging="360"/>
      </w:pPr>
    </w:lvl>
    <w:lvl w:ilvl="5" w:tplc="041C001B" w:tentative="1">
      <w:start w:val="1"/>
      <w:numFmt w:val="lowerRoman"/>
      <w:lvlText w:val="%6."/>
      <w:lvlJc w:val="right"/>
      <w:pPr>
        <w:ind w:left="4500" w:hanging="180"/>
      </w:pPr>
    </w:lvl>
    <w:lvl w:ilvl="6" w:tplc="041C000F" w:tentative="1">
      <w:start w:val="1"/>
      <w:numFmt w:val="decimal"/>
      <w:lvlText w:val="%7."/>
      <w:lvlJc w:val="left"/>
      <w:pPr>
        <w:ind w:left="5220" w:hanging="360"/>
      </w:pPr>
    </w:lvl>
    <w:lvl w:ilvl="7" w:tplc="041C0019" w:tentative="1">
      <w:start w:val="1"/>
      <w:numFmt w:val="lowerLetter"/>
      <w:lvlText w:val="%8."/>
      <w:lvlJc w:val="left"/>
      <w:pPr>
        <w:ind w:left="5940" w:hanging="360"/>
      </w:pPr>
    </w:lvl>
    <w:lvl w:ilvl="8" w:tplc="041C001B" w:tentative="1">
      <w:start w:val="1"/>
      <w:numFmt w:val="lowerRoman"/>
      <w:lvlText w:val="%9."/>
      <w:lvlJc w:val="right"/>
      <w:pPr>
        <w:ind w:left="6660" w:hanging="180"/>
      </w:pPr>
    </w:lvl>
  </w:abstractNum>
  <w:abstractNum w:abstractNumId="2">
    <w:nsid w:val="791F6627"/>
    <w:multiLevelType w:val="hybridMultilevel"/>
    <w:tmpl w:val="E266F9F2"/>
    <w:lvl w:ilvl="0" w:tplc="2E2CAFC6">
      <w:start w:val="2"/>
      <w:numFmt w:val="upperLetter"/>
      <w:lvlText w:val="%1."/>
      <w:lvlJc w:val="left"/>
      <w:pPr>
        <w:ind w:left="525" w:hanging="360"/>
      </w:pPr>
      <w:rPr>
        <w:rFonts w:hint="default"/>
      </w:rPr>
    </w:lvl>
    <w:lvl w:ilvl="1" w:tplc="041C0019" w:tentative="1">
      <w:start w:val="1"/>
      <w:numFmt w:val="lowerLetter"/>
      <w:lvlText w:val="%2."/>
      <w:lvlJc w:val="left"/>
      <w:pPr>
        <w:ind w:left="1245" w:hanging="360"/>
      </w:pPr>
    </w:lvl>
    <w:lvl w:ilvl="2" w:tplc="041C001B" w:tentative="1">
      <w:start w:val="1"/>
      <w:numFmt w:val="lowerRoman"/>
      <w:lvlText w:val="%3."/>
      <w:lvlJc w:val="right"/>
      <w:pPr>
        <w:ind w:left="1965" w:hanging="180"/>
      </w:pPr>
    </w:lvl>
    <w:lvl w:ilvl="3" w:tplc="041C000F" w:tentative="1">
      <w:start w:val="1"/>
      <w:numFmt w:val="decimal"/>
      <w:lvlText w:val="%4."/>
      <w:lvlJc w:val="left"/>
      <w:pPr>
        <w:ind w:left="2685" w:hanging="360"/>
      </w:pPr>
    </w:lvl>
    <w:lvl w:ilvl="4" w:tplc="041C0019" w:tentative="1">
      <w:start w:val="1"/>
      <w:numFmt w:val="lowerLetter"/>
      <w:lvlText w:val="%5."/>
      <w:lvlJc w:val="left"/>
      <w:pPr>
        <w:ind w:left="3405" w:hanging="360"/>
      </w:pPr>
    </w:lvl>
    <w:lvl w:ilvl="5" w:tplc="041C001B" w:tentative="1">
      <w:start w:val="1"/>
      <w:numFmt w:val="lowerRoman"/>
      <w:lvlText w:val="%6."/>
      <w:lvlJc w:val="right"/>
      <w:pPr>
        <w:ind w:left="4125" w:hanging="180"/>
      </w:pPr>
    </w:lvl>
    <w:lvl w:ilvl="6" w:tplc="041C000F" w:tentative="1">
      <w:start w:val="1"/>
      <w:numFmt w:val="decimal"/>
      <w:lvlText w:val="%7."/>
      <w:lvlJc w:val="left"/>
      <w:pPr>
        <w:ind w:left="4845" w:hanging="360"/>
      </w:pPr>
    </w:lvl>
    <w:lvl w:ilvl="7" w:tplc="041C0019" w:tentative="1">
      <w:start w:val="1"/>
      <w:numFmt w:val="lowerLetter"/>
      <w:lvlText w:val="%8."/>
      <w:lvlJc w:val="left"/>
      <w:pPr>
        <w:ind w:left="5565" w:hanging="360"/>
      </w:pPr>
    </w:lvl>
    <w:lvl w:ilvl="8" w:tplc="041C001B" w:tentative="1">
      <w:start w:val="1"/>
      <w:numFmt w:val="lowerRoman"/>
      <w:lvlText w:val="%9."/>
      <w:lvlJc w:val="right"/>
      <w:pPr>
        <w:ind w:left="6285" w:hanging="180"/>
      </w:p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791"/>
    <w:rsid w:val="00003C2D"/>
    <w:rsid w:val="000129D0"/>
    <w:rsid w:val="00017297"/>
    <w:rsid w:val="00024A33"/>
    <w:rsid w:val="00025728"/>
    <w:rsid w:val="00032D9E"/>
    <w:rsid w:val="0003423E"/>
    <w:rsid w:val="00052274"/>
    <w:rsid w:val="0005397A"/>
    <w:rsid w:val="00053A75"/>
    <w:rsid w:val="000802DF"/>
    <w:rsid w:val="00092303"/>
    <w:rsid w:val="000A18D6"/>
    <w:rsid w:val="000A3044"/>
    <w:rsid w:val="000A71B8"/>
    <w:rsid w:val="000B318B"/>
    <w:rsid w:val="000C553E"/>
    <w:rsid w:val="000C66B0"/>
    <w:rsid w:val="000D6488"/>
    <w:rsid w:val="000E31DF"/>
    <w:rsid w:val="001004A8"/>
    <w:rsid w:val="001108F2"/>
    <w:rsid w:val="00125FE2"/>
    <w:rsid w:val="00145DFF"/>
    <w:rsid w:val="00146BDF"/>
    <w:rsid w:val="00154D16"/>
    <w:rsid w:val="00176287"/>
    <w:rsid w:val="00181677"/>
    <w:rsid w:val="00185E3B"/>
    <w:rsid w:val="001A2AC0"/>
    <w:rsid w:val="001D6A75"/>
    <w:rsid w:val="001E57EA"/>
    <w:rsid w:val="001E7F17"/>
    <w:rsid w:val="001F50E8"/>
    <w:rsid w:val="00200921"/>
    <w:rsid w:val="002149B8"/>
    <w:rsid w:val="0021704A"/>
    <w:rsid w:val="002431E1"/>
    <w:rsid w:val="00253677"/>
    <w:rsid w:val="00260E7B"/>
    <w:rsid w:val="002646DE"/>
    <w:rsid w:val="002C3E31"/>
    <w:rsid w:val="002E1092"/>
    <w:rsid w:val="002E4866"/>
    <w:rsid w:val="002F5D3C"/>
    <w:rsid w:val="00300487"/>
    <w:rsid w:val="00311568"/>
    <w:rsid w:val="00313B82"/>
    <w:rsid w:val="00313D4B"/>
    <w:rsid w:val="00323CFA"/>
    <w:rsid w:val="00325956"/>
    <w:rsid w:val="0034464F"/>
    <w:rsid w:val="003464CC"/>
    <w:rsid w:val="00381715"/>
    <w:rsid w:val="003A1F1E"/>
    <w:rsid w:val="003A3AF5"/>
    <w:rsid w:val="003B615F"/>
    <w:rsid w:val="003B7F73"/>
    <w:rsid w:val="003D1258"/>
    <w:rsid w:val="003D401C"/>
    <w:rsid w:val="003D5CE4"/>
    <w:rsid w:val="003E43EA"/>
    <w:rsid w:val="00402B4B"/>
    <w:rsid w:val="004A43CA"/>
    <w:rsid w:val="004D14A0"/>
    <w:rsid w:val="004D3589"/>
    <w:rsid w:val="0050636C"/>
    <w:rsid w:val="00514D81"/>
    <w:rsid w:val="00551F78"/>
    <w:rsid w:val="00552D9A"/>
    <w:rsid w:val="005A1BA4"/>
    <w:rsid w:val="005C0383"/>
    <w:rsid w:val="005C5528"/>
    <w:rsid w:val="005D75FB"/>
    <w:rsid w:val="005D7DF8"/>
    <w:rsid w:val="005E7573"/>
    <w:rsid w:val="005F494D"/>
    <w:rsid w:val="00615F1A"/>
    <w:rsid w:val="00616204"/>
    <w:rsid w:val="0062042C"/>
    <w:rsid w:val="00623C42"/>
    <w:rsid w:val="00655C9C"/>
    <w:rsid w:val="00682BCE"/>
    <w:rsid w:val="006A013F"/>
    <w:rsid w:val="006B3D0D"/>
    <w:rsid w:val="006D206B"/>
    <w:rsid w:val="006D7A21"/>
    <w:rsid w:val="006E57D5"/>
    <w:rsid w:val="006F0437"/>
    <w:rsid w:val="006F7B9C"/>
    <w:rsid w:val="007125F0"/>
    <w:rsid w:val="007248F9"/>
    <w:rsid w:val="0072648E"/>
    <w:rsid w:val="0072746C"/>
    <w:rsid w:val="0073052C"/>
    <w:rsid w:val="00744448"/>
    <w:rsid w:val="00751025"/>
    <w:rsid w:val="0075666A"/>
    <w:rsid w:val="007571A5"/>
    <w:rsid w:val="00761426"/>
    <w:rsid w:val="00762678"/>
    <w:rsid w:val="00774290"/>
    <w:rsid w:val="0077692E"/>
    <w:rsid w:val="00784A01"/>
    <w:rsid w:val="00794E62"/>
    <w:rsid w:val="007F7F4A"/>
    <w:rsid w:val="00805A14"/>
    <w:rsid w:val="00815E99"/>
    <w:rsid w:val="00821E63"/>
    <w:rsid w:val="0084633F"/>
    <w:rsid w:val="00846644"/>
    <w:rsid w:val="0084704D"/>
    <w:rsid w:val="0085769B"/>
    <w:rsid w:val="00864C64"/>
    <w:rsid w:val="008C2714"/>
    <w:rsid w:val="008C44B1"/>
    <w:rsid w:val="008C471D"/>
    <w:rsid w:val="008D047F"/>
    <w:rsid w:val="008E362F"/>
    <w:rsid w:val="008E4FDB"/>
    <w:rsid w:val="008F5397"/>
    <w:rsid w:val="009029EE"/>
    <w:rsid w:val="009070B2"/>
    <w:rsid w:val="009376E7"/>
    <w:rsid w:val="009438A0"/>
    <w:rsid w:val="00954CF9"/>
    <w:rsid w:val="00970A2C"/>
    <w:rsid w:val="009B1BDE"/>
    <w:rsid w:val="009C0CF8"/>
    <w:rsid w:val="009D447F"/>
    <w:rsid w:val="009D56EE"/>
    <w:rsid w:val="009D62D6"/>
    <w:rsid w:val="009E7BB4"/>
    <w:rsid w:val="009F79E6"/>
    <w:rsid w:val="00A013A6"/>
    <w:rsid w:val="00A26395"/>
    <w:rsid w:val="00A405B7"/>
    <w:rsid w:val="00A43D8D"/>
    <w:rsid w:val="00A56469"/>
    <w:rsid w:val="00A62144"/>
    <w:rsid w:val="00A652B4"/>
    <w:rsid w:val="00A90827"/>
    <w:rsid w:val="00AB2990"/>
    <w:rsid w:val="00AB30DD"/>
    <w:rsid w:val="00AB3791"/>
    <w:rsid w:val="00AB5465"/>
    <w:rsid w:val="00AC47C0"/>
    <w:rsid w:val="00AC49CB"/>
    <w:rsid w:val="00AC57EE"/>
    <w:rsid w:val="00AE4736"/>
    <w:rsid w:val="00AF7A1B"/>
    <w:rsid w:val="00B006D4"/>
    <w:rsid w:val="00B13C55"/>
    <w:rsid w:val="00B247A4"/>
    <w:rsid w:val="00B348E8"/>
    <w:rsid w:val="00B3509C"/>
    <w:rsid w:val="00B41963"/>
    <w:rsid w:val="00B573AD"/>
    <w:rsid w:val="00B626DA"/>
    <w:rsid w:val="00B70D38"/>
    <w:rsid w:val="00B71D69"/>
    <w:rsid w:val="00B8503C"/>
    <w:rsid w:val="00B91DD0"/>
    <w:rsid w:val="00B92569"/>
    <w:rsid w:val="00BA33EB"/>
    <w:rsid w:val="00BD08CD"/>
    <w:rsid w:val="00BD1567"/>
    <w:rsid w:val="00BD28BA"/>
    <w:rsid w:val="00BE1648"/>
    <w:rsid w:val="00C00BFF"/>
    <w:rsid w:val="00C0643D"/>
    <w:rsid w:val="00C11F4E"/>
    <w:rsid w:val="00C202F3"/>
    <w:rsid w:val="00C306E7"/>
    <w:rsid w:val="00C7387D"/>
    <w:rsid w:val="00C82D09"/>
    <w:rsid w:val="00C913BF"/>
    <w:rsid w:val="00CA5200"/>
    <w:rsid w:val="00CB7DFD"/>
    <w:rsid w:val="00CD4CF9"/>
    <w:rsid w:val="00CE504E"/>
    <w:rsid w:val="00CE654F"/>
    <w:rsid w:val="00CF3830"/>
    <w:rsid w:val="00D05806"/>
    <w:rsid w:val="00D275CF"/>
    <w:rsid w:val="00D339C3"/>
    <w:rsid w:val="00D353E3"/>
    <w:rsid w:val="00D3634B"/>
    <w:rsid w:val="00D45130"/>
    <w:rsid w:val="00D67C78"/>
    <w:rsid w:val="00D72FD2"/>
    <w:rsid w:val="00D87F88"/>
    <w:rsid w:val="00D903F7"/>
    <w:rsid w:val="00DC13E1"/>
    <w:rsid w:val="00DC3455"/>
    <w:rsid w:val="00DC410F"/>
    <w:rsid w:val="00DD7705"/>
    <w:rsid w:val="00E01CE7"/>
    <w:rsid w:val="00E17855"/>
    <w:rsid w:val="00E2743F"/>
    <w:rsid w:val="00E52A33"/>
    <w:rsid w:val="00E55CD0"/>
    <w:rsid w:val="00E66F90"/>
    <w:rsid w:val="00E75D3E"/>
    <w:rsid w:val="00E818D9"/>
    <w:rsid w:val="00E8633A"/>
    <w:rsid w:val="00E94D83"/>
    <w:rsid w:val="00EA279B"/>
    <w:rsid w:val="00EB5650"/>
    <w:rsid w:val="00EB57BA"/>
    <w:rsid w:val="00EC0715"/>
    <w:rsid w:val="00ED6686"/>
    <w:rsid w:val="00F046F5"/>
    <w:rsid w:val="00F052F6"/>
    <w:rsid w:val="00F23A3C"/>
    <w:rsid w:val="00F4772B"/>
    <w:rsid w:val="00F84D41"/>
    <w:rsid w:val="00FA3708"/>
    <w:rsid w:val="00FD2F93"/>
    <w:rsid w:val="00FD428F"/>
    <w:rsid w:val="00FD48D9"/>
    <w:rsid w:val="00FD58A9"/>
    <w:rsid w:val="00FE6D8A"/>
    <w:rsid w:val="00FF75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98FA8"/>
  <w15:docId w15:val="{9AEA2B74-72C5-43AF-B31A-6B75662E5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52F6"/>
    <w:rPr>
      <w:rFonts w:ascii="Calibri" w:eastAsia="Calibri" w:hAnsi="Calibri" w:cs="Arial"/>
      <w:lang w:val="sq-AL"/>
    </w:rPr>
  </w:style>
  <w:style w:type="paragraph" w:styleId="Heading1">
    <w:name w:val="heading 1"/>
    <w:next w:val="Normal"/>
    <w:link w:val="Heading1Char"/>
    <w:uiPriority w:val="9"/>
    <w:unhideWhenUsed/>
    <w:qFormat/>
    <w:rsid w:val="00AB3791"/>
    <w:pPr>
      <w:keepNext/>
      <w:keepLines/>
      <w:spacing w:after="16"/>
      <w:ind w:left="10" w:right="10" w:hanging="10"/>
      <w:jc w:val="center"/>
      <w:outlineLvl w:val="0"/>
    </w:pPr>
    <w:rPr>
      <w:rFonts w:ascii="Times New Roman" w:eastAsia="Times New Roman" w:hAnsi="Times New Roman" w:cs="Times New Roman"/>
      <w:b/>
      <w:color w:val="000000"/>
      <w:sz w:val="24"/>
      <w:lang w:val="sq-AL" w:eastAsia="sq-AL"/>
    </w:rPr>
  </w:style>
  <w:style w:type="paragraph" w:styleId="Heading2">
    <w:name w:val="heading 2"/>
    <w:next w:val="Normal"/>
    <w:link w:val="Heading2Char"/>
    <w:uiPriority w:val="9"/>
    <w:unhideWhenUsed/>
    <w:qFormat/>
    <w:rsid w:val="00AB3791"/>
    <w:pPr>
      <w:keepNext/>
      <w:keepLines/>
      <w:pBdr>
        <w:top w:val="single" w:sz="4" w:space="0" w:color="000000"/>
        <w:left w:val="single" w:sz="4" w:space="0" w:color="000000"/>
        <w:bottom w:val="single" w:sz="4" w:space="0" w:color="000000"/>
        <w:right w:val="single" w:sz="4" w:space="0" w:color="000000"/>
      </w:pBdr>
      <w:shd w:val="clear" w:color="auto" w:fill="D9E2F3"/>
      <w:spacing w:after="136"/>
      <w:ind w:left="123" w:hanging="10"/>
      <w:outlineLvl w:val="1"/>
    </w:pPr>
    <w:rPr>
      <w:rFonts w:ascii="Times New Roman" w:eastAsia="Times New Roman" w:hAnsi="Times New Roman" w:cs="Times New Roman"/>
      <w:b/>
      <w:color w:val="000000"/>
      <w:sz w:val="24"/>
      <w:lang w:val="sq-AL" w:eastAsia="sq-AL"/>
    </w:rPr>
  </w:style>
  <w:style w:type="paragraph" w:styleId="Heading3">
    <w:name w:val="heading 3"/>
    <w:basedOn w:val="Normal"/>
    <w:next w:val="Normal"/>
    <w:link w:val="Heading3Char"/>
    <w:uiPriority w:val="9"/>
    <w:unhideWhenUsed/>
    <w:qFormat/>
    <w:rsid w:val="00AB3791"/>
    <w:pPr>
      <w:keepNext/>
      <w:keepLines/>
      <w:spacing w:before="40" w:after="0"/>
      <w:outlineLvl w:val="2"/>
    </w:pPr>
    <w:rPr>
      <w:rFonts w:asciiTheme="majorHAnsi" w:eastAsiaTheme="majorEastAsia" w:hAnsiTheme="majorHAnsi" w:cstheme="majorBidi"/>
      <w:color w:val="1F3763" w:themeColor="accent1" w:themeShade="7F"/>
      <w:sz w:val="24"/>
      <w:szCs w:val="24"/>
      <w:lang w:eastAsia="sq-AL"/>
    </w:rPr>
  </w:style>
  <w:style w:type="paragraph" w:styleId="Heading4">
    <w:name w:val="heading 4"/>
    <w:next w:val="Normal"/>
    <w:link w:val="Heading4Char"/>
    <w:uiPriority w:val="9"/>
    <w:unhideWhenUsed/>
    <w:qFormat/>
    <w:rsid w:val="00DC3455"/>
    <w:pPr>
      <w:keepNext/>
      <w:keepLines/>
      <w:spacing w:after="115" w:line="258" w:lineRule="auto"/>
      <w:ind w:left="190" w:hanging="10"/>
      <w:outlineLvl w:val="3"/>
    </w:pPr>
    <w:rPr>
      <w:rFonts w:ascii="Times New Roman" w:eastAsia="Times New Roman" w:hAnsi="Times New Roman" w:cs="Times New Roman"/>
      <w:b/>
      <w:color w:val="000000"/>
      <w:sz w:val="24"/>
      <w:u w:val="single" w:color="000000"/>
      <w:lang w:val="sq-AL"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791"/>
    <w:rPr>
      <w:rFonts w:ascii="Times New Roman" w:eastAsia="Times New Roman" w:hAnsi="Times New Roman" w:cs="Times New Roman"/>
      <w:b/>
      <w:color w:val="000000"/>
      <w:sz w:val="24"/>
      <w:lang w:val="sq-AL" w:eastAsia="sq-AL"/>
    </w:rPr>
  </w:style>
  <w:style w:type="character" w:customStyle="1" w:styleId="Heading2Char">
    <w:name w:val="Heading 2 Char"/>
    <w:basedOn w:val="DefaultParagraphFont"/>
    <w:link w:val="Heading2"/>
    <w:uiPriority w:val="9"/>
    <w:rsid w:val="00AB3791"/>
    <w:rPr>
      <w:rFonts w:ascii="Times New Roman" w:eastAsia="Times New Roman" w:hAnsi="Times New Roman" w:cs="Times New Roman"/>
      <w:b/>
      <w:color w:val="000000"/>
      <w:sz w:val="24"/>
      <w:shd w:val="clear" w:color="auto" w:fill="D9E2F3"/>
      <w:lang w:val="sq-AL" w:eastAsia="sq-AL"/>
    </w:rPr>
  </w:style>
  <w:style w:type="character" w:customStyle="1" w:styleId="Heading3Char">
    <w:name w:val="Heading 3 Char"/>
    <w:basedOn w:val="DefaultParagraphFont"/>
    <w:link w:val="Heading3"/>
    <w:uiPriority w:val="9"/>
    <w:rsid w:val="00AB3791"/>
    <w:rPr>
      <w:rFonts w:asciiTheme="majorHAnsi" w:eastAsiaTheme="majorEastAsia" w:hAnsiTheme="majorHAnsi" w:cstheme="majorBidi"/>
      <w:color w:val="1F3763" w:themeColor="accent1" w:themeShade="7F"/>
      <w:sz w:val="24"/>
      <w:szCs w:val="24"/>
      <w:lang w:val="sq-AL" w:eastAsia="sq-AL"/>
    </w:rPr>
  </w:style>
  <w:style w:type="character" w:customStyle="1" w:styleId="Heading4Char">
    <w:name w:val="Heading 4 Char"/>
    <w:basedOn w:val="DefaultParagraphFont"/>
    <w:link w:val="Heading4"/>
    <w:uiPriority w:val="9"/>
    <w:rsid w:val="00DC3455"/>
    <w:rPr>
      <w:rFonts w:ascii="Times New Roman" w:eastAsia="Times New Roman" w:hAnsi="Times New Roman" w:cs="Times New Roman"/>
      <w:b/>
      <w:color w:val="000000"/>
      <w:sz w:val="24"/>
      <w:u w:val="single" w:color="000000"/>
      <w:lang w:val="sq-AL" w:eastAsia="sq-AL"/>
    </w:rPr>
  </w:style>
  <w:style w:type="paragraph" w:styleId="ListParagraph">
    <w:name w:val="List Paragraph"/>
    <w:basedOn w:val="Normal"/>
    <w:link w:val="ListParagraphChar"/>
    <w:uiPriority w:val="34"/>
    <w:qFormat/>
    <w:rsid w:val="00AB3791"/>
    <w:pPr>
      <w:ind w:left="720"/>
      <w:contextualSpacing/>
    </w:pPr>
  </w:style>
  <w:style w:type="character" w:customStyle="1" w:styleId="ListParagraphChar">
    <w:name w:val="List Paragraph Char"/>
    <w:link w:val="ListParagraph"/>
    <w:uiPriority w:val="34"/>
    <w:locked/>
    <w:rsid w:val="00AB3791"/>
    <w:rPr>
      <w:lang w:val="sq-AL"/>
    </w:rPr>
  </w:style>
  <w:style w:type="paragraph" w:styleId="FootnoteText">
    <w:name w:val="footnote text"/>
    <w:basedOn w:val="Normal"/>
    <w:link w:val="FootnoteTextChar"/>
    <w:uiPriority w:val="99"/>
    <w:semiHidden/>
    <w:unhideWhenUsed/>
    <w:rsid w:val="00AB37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3791"/>
    <w:rPr>
      <w:sz w:val="20"/>
      <w:szCs w:val="20"/>
      <w:lang w:val="sq-AL"/>
    </w:rPr>
  </w:style>
  <w:style w:type="character" w:styleId="FootnoteReference">
    <w:name w:val="footnote reference"/>
    <w:basedOn w:val="DefaultParagraphFont"/>
    <w:uiPriority w:val="99"/>
    <w:semiHidden/>
    <w:unhideWhenUsed/>
    <w:rsid w:val="00AB3791"/>
    <w:rPr>
      <w:vertAlign w:val="superscript"/>
    </w:rPr>
  </w:style>
  <w:style w:type="table" w:customStyle="1" w:styleId="TableGrid">
    <w:name w:val="TableGrid"/>
    <w:rsid w:val="00AB3791"/>
    <w:pPr>
      <w:spacing w:after="0" w:line="240" w:lineRule="auto"/>
    </w:pPr>
    <w:rPr>
      <w:rFonts w:eastAsiaTheme="minorEastAsia"/>
      <w:lang w:val="sq-AL" w:eastAsia="sq-AL"/>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AB3791"/>
    <w:rPr>
      <w:sz w:val="16"/>
      <w:szCs w:val="16"/>
    </w:rPr>
  </w:style>
  <w:style w:type="paragraph" w:styleId="CommentText">
    <w:name w:val="annotation text"/>
    <w:basedOn w:val="Normal"/>
    <w:link w:val="CommentTextChar"/>
    <w:uiPriority w:val="99"/>
    <w:semiHidden/>
    <w:unhideWhenUsed/>
    <w:rsid w:val="00AB3791"/>
    <w:pPr>
      <w:spacing w:line="240" w:lineRule="auto"/>
    </w:pPr>
    <w:rPr>
      <w:sz w:val="20"/>
      <w:szCs w:val="20"/>
    </w:rPr>
  </w:style>
  <w:style w:type="character" w:customStyle="1" w:styleId="CommentTextChar">
    <w:name w:val="Comment Text Char"/>
    <w:basedOn w:val="DefaultParagraphFont"/>
    <w:link w:val="CommentText"/>
    <w:uiPriority w:val="99"/>
    <w:semiHidden/>
    <w:rsid w:val="00AB3791"/>
    <w:rPr>
      <w:sz w:val="20"/>
      <w:szCs w:val="20"/>
      <w:lang w:val="sq-AL"/>
    </w:rPr>
  </w:style>
  <w:style w:type="paragraph" w:styleId="CommentSubject">
    <w:name w:val="annotation subject"/>
    <w:basedOn w:val="CommentText"/>
    <w:next w:val="CommentText"/>
    <w:link w:val="CommentSubjectChar"/>
    <w:uiPriority w:val="99"/>
    <w:semiHidden/>
    <w:unhideWhenUsed/>
    <w:rsid w:val="00AB3791"/>
    <w:rPr>
      <w:b/>
      <w:bCs/>
    </w:rPr>
  </w:style>
  <w:style w:type="character" w:customStyle="1" w:styleId="CommentSubjectChar">
    <w:name w:val="Comment Subject Char"/>
    <w:basedOn w:val="CommentTextChar"/>
    <w:link w:val="CommentSubject"/>
    <w:uiPriority w:val="99"/>
    <w:semiHidden/>
    <w:rsid w:val="00AB3791"/>
    <w:rPr>
      <w:b/>
      <w:bCs/>
      <w:sz w:val="20"/>
      <w:szCs w:val="20"/>
      <w:lang w:val="sq-AL"/>
    </w:rPr>
  </w:style>
  <w:style w:type="paragraph" w:styleId="BalloonText">
    <w:name w:val="Balloon Text"/>
    <w:basedOn w:val="Normal"/>
    <w:link w:val="BalloonTextChar"/>
    <w:uiPriority w:val="99"/>
    <w:semiHidden/>
    <w:unhideWhenUsed/>
    <w:rsid w:val="00AB37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791"/>
    <w:rPr>
      <w:rFonts w:ascii="Segoe UI" w:hAnsi="Segoe UI" w:cs="Segoe UI"/>
      <w:sz w:val="18"/>
      <w:szCs w:val="18"/>
      <w:lang w:val="sq-AL"/>
    </w:rPr>
  </w:style>
  <w:style w:type="paragraph" w:styleId="Header">
    <w:name w:val="header"/>
    <w:basedOn w:val="Normal"/>
    <w:link w:val="HeaderChar"/>
    <w:uiPriority w:val="99"/>
    <w:unhideWhenUsed/>
    <w:rsid w:val="00AB37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791"/>
    <w:rPr>
      <w:lang w:val="sq-AL"/>
    </w:rPr>
  </w:style>
  <w:style w:type="paragraph" w:styleId="Footer">
    <w:name w:val="footer"/>
    <w:basedOn w:val="Normal"/>
    <w:link w:val="FooterChar"/>
    <w:uiPriority w:val="99"/>
    <w:unhideWhenUsed/>
    <w:rsid w:val="00AB37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791"/>
    <w:rPr>
      <w:lang w:val="sq-AL"/>
    </w:rPr>
  </w:style>
  <w:style w:type="paragraph" w:customStyle="1" w:styleId="footnotedescription">
    <w:name w:val="footnote description"/>
    <w:next w:val="Normal"/>
    <w:link w:val="footnotedescriptionChar"/>
    <w:hidden/>
    <w:rsid w:val="00AB3791"/>
    <w:pPr>
      <w:spacing w:after="0" w:line="247" w:lineRule="auto"/>
      <w:ind w:left="180"/>
    </w:pPr>
    <w:rPr>
      <w:rFonts w:ascii="Times New Roman" w:eastAsia="Times New Roman" w:hAnsi="Times New Roman" w:cs="Times New Roman"/>
      <w:color w:val="000000"/>
      <w:sz w:val="18"/>
      <w:lang w:val="sq-AL" w:eastAsia="sq-AL"/>
    </w:rPr>
  </w:style>
  <w:style w:type="character" w:customStyle="1" w:styleId="footnotedescriptionChar">
    <w:name w:val="footnote description Char"/>
    <w:link w:val="footnotedescription"/>
    <w:rsid w:val="00AB3791"/>
    <w:rPr>
      <w:rFonts w:ascii="Times New Roman" w:eastAsia="Times New Roman" w:hAnsi="Times New Roman" w:cs="Times New Roman"/>
      <w:color w:val="000000"/>
      <w:sz w:val="18"/>
      <w:lang w:val="sq-AL" w:eastAsia="sq-AL"/>
    </w:rPr>
  </w:style>
  <w:style w:type="character" w:customStyle="1" w:styleId="footnotemark">
    <w:name w:val="footnote mark"/>
    <w:hidden/>
    <w:rsid w:val="00AB3791"/>
    <w:rPr>
      <w:rFonts w:ascii="Times New Roman" w:eastAsia="Times New Roman" w:hAnsi="Times New Roman" w:cs="Times New Roman"/>
      <w:color w:val="000000"/>
      <w:sz w:val="18"/>
      <w:vertAlign w:val="superscript"/>
    </w:rPr>
  </w:style>
  <w:style w:type="paragraph" w:styleId="NoSpacing">
    <w:name w:val="No Spacing"/>
    <w:uiPriority w:val="1"/>
    <w:qFormat/>
    <w:rsid w:val="00AB3791"/>
    <w:pPr>
      <w:spacing w:after="0" w:line="240" w:lineRule="auto"/>
    </w:pPr>
    <w:rPr>
      <w:rFonts w:ascii="Calibri" w:eastAsia="Calibri" w:hAnsi="Calibri" w:cs="Times New Roman"/>
      <w:lang w:val="en-GB"/>
    </w:rPr>
  </w:style>
  <w:style w:type="paragraph" w:styleId="Revision">
    <w:name w:val="Revision"/>
    <w:hidden/>
    <w:uiPriority w:val="99"/>
    <w:semiHidden/>
    <w:rsid w:val="00AB3791"/>
    <w:pPr>
      <w:spacing w:after="0" w:line="240" w:lineRule="auto"/>
    </w:pPr>
    <w:rPr>
      <w:lang w:val="sq-AL"/>
    </w:rPr>
  </w:style>
  <w:style w:type="character" w:styleId="Hyperlink">
    <w:name w:val="Hyperlink"/>
    <w:basedOn w:val="DefaultParagraphFont"/>
    <w:uiPriority w:val="99"/>
    <w:unhideWhenUsed/>
    <w:rsid w:val="00DC3455"/>
    <w:rPr>
      <w:color w:val="0563C1" w:themeColor="hyperlink"/>
      <w:u w:val="single"/>
    </w:rPr>
  </w:style>
  <w:style w:type="paragraph" w:customStyle="1" w:styleId="AAAAAAAAAAAAAAAAAATEEEEEXXX">
    <w:name w:val="AAAAAAAAAAAAAAAAAATEEEEEXXX"/>
    <w:basedOn w:val="Normal"/>
    <w:qFormat/>
    <w:rsid w:val="00DC3455"/>
    <w:pPr>
      <w:spacing w:after="0" w:line="240" w:lineRule="auto"/>
      <w:ind w:firstLine="284"/>
      <w:jc w:val="both"/>
    </w:pPr>
    <w:rPr>
      <w:rFonts w:ascii="Garamond" w:eastAsia="Times New Roman" w:hAnsi="Garamond" w:cs="Times New Roman"/>
      <w:color w:val="000000"/>
      <w:sz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08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theme" Target="theme/theme1.xml"/><Relationship Id="rId21" Type="http://schemas.openxmlformats.org/officeDocument/2006/relationships/image" Target="media/image9.jpeg"/><Relationship Id="rId34" Type="http://schemas.openxmlformats.org/officeDocument/2006/relationships/image" Target="media/image22.jpe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5" Type="http://schemas.openxmlformats.org/officeDocument/2006/relationships/customXml" Target="../customXml/item5.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webSettings" Target="webSettings.xm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8" Type="http://schemas.openxmlformats.org/officeDocument/2006/relationships/styles" Target="style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https://www.unodc.org/documents/corruption/publications_unodc_commentary-e.pdf" TargetMode="External"/><Relationship Id="rId2" Type="http://schemas.openxmlformats.org/officeDocument/2006/relationships/hyperlink" Target="https://www.unodc.org/documents/corruption/publications_unodc_commentary-e.pdf" TargetMode="External"/><Relationship Id="rId1" Type="http://schemas.openxmlformats.org/officeDocument/2006/relationships/hyperlink" Target="https://www.unodc.org/documents/corruption/publications_unodc_commentary" TargetMode="External"/><Relationship Id="rId4" Type="http://schemas.openxmlformats.org/officeDocument/2006/relationships/hyperlink" Target="https://www.unodc.org/documents/corruption/publications_unodc_commentary-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C6211FB2357B43D0A7E017AD006AD1C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95</Nr_x002e__x0020_akti>
    <Data_x0020_e_x0020_Krijimit xmlns="0e656187-b300-4fb0-8bf4-3a50f872073c">2022-05-19T12:01:11Z</Data_x0020_e_x0020_Krijimit>
    <URL xmlns="0e656187-b300-4fb0-8bf4-3a50f872073c" xsi:nil="true"/>
    <Institucion_x0020_Pergjegjes xmlns="0e656187-b300-4fb0-8bf4-3a50f872073c">http://qbz.gov.al/resource/authority/legal-institution/23|keshilli-i-larte-i-prokurorise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2022-05-17T22:00:00Z</Date_x0020_protokolli>
    <Titulli xmlns="0e656187-b300-4fb0-8bf4-3a50f872073c">Për miratimin e rregullores për vlerësimin etik dhe profesional të prokurorëve</Titulli>
    <Modifikuesi xmlns="0e656187-b300-4fb0-8bf4-3a50f872073c">jorina.kryeziu</Modifikuesi>
    <Nr_x002e__x0020_prot_x0020_QBZ xmlns="0e656187-b300-4fb0-8bf4-3a50f872073c">785/1</Nr_x002e__x0020_prot_x0020_QBZ>
    <Data_x0020_e_x0020_Modifikimit xmlns="0e656187-b300-4fb0-8bf4-3a50f872073c">2022-05-24T10:40:47Z</Data_x0020_e_x0020_Modifikimit>
    <Dekretuar xmlns="0e656187-b300-4fb0-8bf4-3a50f872073c">false</Dekretuar>
    <Data xmlns="0e656187-b300-4fb0-8bf4-3a50f872073c">2022-05-08T22:00:00Z</Data>
    <Nr_x002e__x0020_protokolli_x0020_i_x0020_aktit xmlns="0e656187-b300-4fb0-8bf4-3a50f872073c">922/2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C6211FB2357B43D0A7E017AD006AD1C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470D1-0F03-4384-A302-3D3F25711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D1D5729-88FE-4E76-89A8-0CCF856EAEE3}">
  <ds:schemaRefs>
    <ds:schemaRef ds:uri="http://purl.org/dc/terms/"/>
    <ds:schemaRef ds:uri="http://schemas.microsoft.com/office/2006/documentManagement/types"/>
    <ds:schemaRef ds:uri="0e656187-b300-4fb0-8bf4-3a50f872073c"/>
    <ds:schemaRef ds:uri="http://schemas.microsoft.com/office/2006/metadata/properties"/>
    <ds:schemaRef ds:uri="http://purl.org/dc/dcmitype/"/>
    <ds:schemaRef ds:uri="http://purl.org/dc/elements/1.1/"/>
    <ds:schemaRef ds:uri="http://www.w3.org/XML/1998/namespace"/>
    <ds:schemaRef ds:uri="http://schemas.openxmlformats.org/package/2006/metadata/core-properties"/>
  </ds:schemaRefs>
</ds:datastoreItem>
</file>

<file path=customXml/itemProps3.xml><?xml version="1.0" encoding="utf-8"?>
<ds:datastoreItem xmlns:ds="http://schemas.openxmlformats.org/officeDocument/2006/customXml" ds:itemID="{E5E597C2-DE0D-453D-826A-76F40C348358}">
  <ds:schemaRefs>
    <ds:schemaRef ds:uri="http://schemas.microsoft.com/sharepoint/v3/contenttype/forms"/>
  </ds:schemaRefs>
</ds:datastoreItem>
</file>

<file path=customXml/itemProps4.xml><?xml version="1.0" encoding="utf-8"?>
<ds:datastoreItem xmlns:ds="http://schemas.openxmlformats.org/officeDocument/2006/customXml" ds:itemID="{373F78B4-2C20-4A95-ADCF-1719F1B6A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5F2FBB60-4CD8-4669-81CD-A90432FB010A}">
  <ds:schemaRefs>
    <ds:schemaRef ds:uri="http://schemas.microsoft.com/sharepoint/v3/contenttype/forms"/>
  </ds:schemaRefs>
</ds:datastoreItem>
</file>

<file path=customXml/itemProps6.xml><?xml version="1.0" encoding="utf-8"?>
<ds:datastoreItem xmlns:ds="http://schemas.openxmlformats.org/officeDocument/2006/customXml" ds:itemID="{0ECB3B59-1AEB-4D5F-BB44-12307E4F6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88</Pages>
  <Words>25650</Words>
  <Characters>146205</Characters>
  <Application>Microsoft Office Word</Application>
  <DocSecurity>0</DocSecurity>
  <Lines>1218</Lines>
  <Paragraphs>343</Paragraphs>
  <ScaleCrop>false</ScaleCrop>
  <HeadingPairs>
    <vt:vector size="2" baseType="variant">
      <vt:variant>
        <vt:lpstr>Title</vt:lpstr>
      </vt:variant>
      <vt:variant>
        <vt:i4>1</vt:i4>
      </vt:variant>
    </vt:vector>
  </HeadingPairs>
  <TitlesOfParts>
    <vt:vector size="1" baseType="lpstr">
      <vt:lpstr>Për miratimin e rregullores për vlerësimin etik dhe profesional të prokurorëve</vt:lpstr>
    </vt:vector>
  </TitlesOfParts>
  <Company/>
  <LinksUpToDate>false</LinksUpToDate>
  <CharactersWithSpaces>171512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vlerësimin etik dhe profesional të prokurorëve</dc:title>
  <dc:creator>artur</dc:creator>
  <cp:lastModifiedBy>Entela Suli</cp:lastModifiedBy>
  <cp:revision>206</cp:revision>
  <dcterms:created xsi:type="dcterms:W3CDTF">2022-05-19T13:36:00Z</dcterms:created>
  <dcterms:modified xsi:type="dcterms:W3CDTF">2022-05-24T11:09:00Z</dcterms:modified>
</cp:coreProperties>
</file>