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9F5D6" w14:textId="77777777" w:rsidR="00376406" w:rsidRPr="00AB5E5D" w:rsidRDefault="00376406" w:rsidP="00376406">
      <w:pPr>
        <w:spacing w:after="0" w:line="240" w:lineRule="auto"/>
        <w:ind w:firstLine="284"/>
        <w:jc w:val="center"/>
        <w:rPr>
          <w:rFonts w:ascii="Garamond" w:hAnsi="Garamond" w:cs="Times New Roman"/>
          <w:b/>
          <w:bCs/>
          <w:sz w:val="24"/>
          <w:szCs w:val="24"/>
        </w:rPr>
      </w:pPr>
      <w:r w:rsidRPr="00AB5E5D">
        <w:rPr>
          <w:rFonts w:ascii="Garamond" w:hAnsi="Garamond" w:cs="Times New Roman"/>
          <w:b/>
          <w:sz w:val="24"/>
          <w:szCs w:val="24"/>
        </w:rPr>
        <w:t>VENDIM</w:t>
      </w:r>
    </w:p>
    <w:p w14:paraId="5228D9DA" w14:textId="325D9F71" w:rsidR="00376406" w:rsidRPr="00AB5E5D" w:rsidRDefault="00376406" w:rsidP="00376406">
      <w:pPr>
        <w:shd w:val="clear" w:color="auto" w:fill="FFFFFF"/>
        <w:spacing w:after="0" w:line="240" w:lineRule="auto"/>
        <w:ind w:firstLine="284"/>
        <w:jc w:val="center"/>
        <w:textAlignment w:val="baseline"/>
        <w:rPr>
          <w:rFonts w:ascii="Garamond" w:eastAsia="Times New Roman" w:hAnsi="Garamond" w:cs="Times New Roman"/>
          <w:b/>
          <w:bCs/>
          <w:color w:val="403D3D"/>
          <w:sz w:val="24"/>
          <w:szCs w:val="24"/>
          <w:lang w:eastAsia="sq-AL"/>
        </w:rPr>
      </w:pPr>
      <w:r w:rsidRPr="00AB5E5D">
        <w:rPr>
          <w:rFonts w:ascii="Garamond" w:eastAsia="Times New Roman" w:hAnsi="Garamond" w:cs="Times New Roman"/>
          <w:b/>
          <w:bCs/>
          <w:color w:val="403D3D"/>
          <w:sz w:val="24"/>
          <w:szCs w:val="24"/>
          <w:lang w:eastAsia="sq-AL"/>
        </w:rPr>
        <w:t>Nr.</w:t>
      </w:r>
      <w:r w:rsidR="005C7DB2">
        <w:rPr>
          <w:rFonts w:ascii="Garamond" w:eastAsia="Times New Roman" w:hAnsi="Garamond" w:cs="Times New Roman"/>
          <w:b/>
          <w:bCs/>
          <w:color w:val="403D3D"/>
          <w:sz w:val="24"/>
          <w:szCs w:val="24"/>
          <w:lang w:eastAsia="sq-AL"/>
        </w:rPr>
        <w:t xml:space="preserve"> </w:t>
      </w:r>
      <w:r w:rsidRPr="00AB5E5D">
        <w:rPr>
          <w:rFonts w:ascii="Garamond" w:eastAsia="Times New Roman" w:hAnsi="Garamond" w:cs="Times New Roman"/>
          <w:b/>
          <w:bCs/>
          <w:color w:val="403D3D"/>
          <w:sz w:val="24"/>
          <w:szCs w:val="24"/>
          <w:lang w:eastAsia="sq-AL"/>
        </w:rPr>
        <w:t>386, datë 30.11.2023</w:t>
      </w:r>
    </w:p>
    <w:p w14:paraId="043A5921" w14:textId="77777777" w:rsidR="00376406" w:rsidRPr="00AB5E5D" w:rsidRDefault="00376406" w:rsidP="00376406">
      <w:pPr>
        <w:spacing w:after="0" w:line="240" w:lineRule="auto"/>
        <w:ind w:firstLine="284"/>
        <w:jc w:val="center"/>
        <w:rPr>
          <w:rFonts w:ascii="Garamond" w:hAnsi="Garamond"/>
          <w:b/>
          <w:sz w:val="24"/>
          <w:szCs w:val="24"/>
        </w:rPr>
      </w:pPr>
    </w:p>
    <w:p w14:paraId="4D7A027B" w14:textId="3F37CECE" w:rsidR="00376406" w:rsidRPr="00AB5E5D" w:rsidRDefault="00A96DB2" w:rsidP="00376406">
      <w:pPr>
        <w:pStyle w:val="NoSpacing"/>
        <w:ind w:firstLine="284"/>
        <w:jc w:val="center"/>
        <w:rPr>
          <w:rFonts w:ascii="Garamond" w:hAnsi="Garamond" w:cs="Times New Roman"/>
          <w:b/>
          <w:bCs/>
          <w:sz w:val="24"/>
          <w:szCs w:val="24"/>
        </w:rPr>
      </w:pPr>
      <w:r>
        <w:rPr>
          <w:rFonts w:ascii="Garamond" w:hAnsi="Garamond" w:cs="Times New Roman"/>
          <w:b/>
          <w:bCs/>
          <w:sz w:val="24"/>
          <w:szCs w:val="24"/>
        </w:rPr>
        <w:t xml:space="preserve"> </w:t>
      </w:r>
      <w:r w:rsidR="00376406" w:rsidRPr="00AB5E5D">
        <w:rPr>
          <w:rFonts w:ascii="Garamond" w:hAnsi="Garamond" w:cs="Times New Roman"/>
          <w:b/>
          <w:bCs/>
          <w:sz w:val="24"/>
          <w:szCs w:val="24"/>
        </w:rPr>
        <w:t xml:space="preserve">PËR MIRATIMIN E RREGULLORES </w:t>
      </w:r>
      <w:r w:rsidR="00AB5E5D" w:rsidRPr="00AB5E5D">
        <w:rPr>
          <w:rFonts w:ascii="Garamond" w:hAnsi="Garamond" w:cs="Times New Roman"/>
          <w:b/>
          <w:bCs/>
          <w:sz w:val="24"/>
          <w:szCs w:val="24"/>
        </w:rPr>
        <w:t>“</w:t>
      </w:r>
      <w:r w:rsidR="00376406" w:rsidRPr="00AB5E5D">
        <w:rPr>
          <w:rFonts w:ascii="Garamond" w:hAnsi="Garamond" w:cs="Times New Roman"/>
          <w:b/>
          <w:bCs/>
          <w:sz w:val="24"/>
          <w:szCs w:val="24"/>
        </w:rPr>
        <w:t>PËR CAKTIMIN E PROCEDURËS DHE MASËS SË TRAJTIMIT FINANCIAR TË PROKURORIT PËR SHËRBIMIN NË SKEMËN E DELEGIMIT, PËR TRANSFERIMIN E PËRKOHSHËM, PËR CAKTIMIN E PËRKOHSHËM DHE CAKTIMIN PËR NJË ÇËSHTJE TË VEÇANTË”</w:t>
      </w:r>
    </w:p>
    <w:p w14:paraId="5CBE0B10" w14:textId="77777777" w:rsidR="00376406" w:rsidRPr="00AB5E5D" w:rsidRDefault="00376406" w:rsidP="00376406">
      <w:pPr>
        <w:spacing w:after="0" w:line="240" w:lineRule="auto"/>
        <w:ind w:firstLine="284"/>
        <w:jc w:val="center"/>
        <w:rPr>
          <w:rFonts w:ascii="Garamond" w:eastAsia="Times New Roman" w:hAnsi="Garamond" w:cs="Times New Roman"/>
          <w:color w:val="403D3D"/>
          <w:sz w:val="24"/>
          <w:szCs w:val="24"/>
          <w:lang w:eastAsia="sq-AL"/>
        </w:rPr>
      </w:pPr>
    </w:p>
    <w:p w14:paraId="01BB519D" w14:textId="1E272D21" w:rsidR="00376406" w:rsidRPr="00AB5E5D" w:rsidRDefault="00376406" w:rsidP="00376406">
      <w:pPr>
        <w:pStyle w:val="Default"/>
        <w:ind w:firstLine="284"/>
        <w:jc w:val="both"/>
        <w:rPr>
          <w:rFonts w:ascii="Garamond" w:hAnsi="Garamond"/>
        </w:rPr>
      </w:pPr>
      <w:r w:rsidRPr="00AB5E5D">
        <w:rPr>
          <w:rFonts w:ascii="Garamond" w:hAnsi="Garamond"/>
        </w:rPr>
        <w:t>Bazuar në nenin 149/a, pika 1, germa “e”</w:t>
      </w:r>
      <w:r w:rsidR="00AB5E5D" w:rsidRPr="00AB5E5D">
        <w:rPr>
          <w:rFonts w:ascii="Garamond" w:hAnsi="Garamond"/>
        </w:rPr>
        <w:t>,</w:t>
      </w:r>
      <w:r w:rsidRPr="00AB5E5D">
        <w:rPr>
          <w:rFonts w:ascii="Garamond" w:hAnsi="Garamond"/>
        </w:rPr>
        <w:t xml:space="preserve"> të Kushtetutës</w:t>
      </w:r>
      <w:r w:rsidR="00AB5E5D" w:rsidRPr="00AB5E5D">
        <w:rPr>
          <w:rFonts w:ascii="Garamond" w:hAnsi="Garamond"/>
        </w:rPr>
        <w:t>; në</w:t>
      </w:r>
      <w:r w:rsidRPr="00AB5E5D">
        <w:rPr>
          <w:rFonts w:ascii="Garamond" w:hAnsi="Garamond"/>
        </w:rPr>
        <w:t xml:space="preserve"> nenet 159</w:t>
      </w:r>
      <w:r w:rsidR="00AB5E5D" w:rsidRPr="00AB5E5D">
        <w:rPr>
          <w:rFonts w:ascii="Garamond" w:hAnsi="Garamond"/>
        </w:rPr>
        <w:t>,</w:t>
      </w:r>
      <w:r w:rsidRPr="00AB5E5D">
        <w:rPr>
          <w:rFonts w:ascii="Garamond" w:hAnsi="Garamond"/>
        </w:rPr>
        <w:t xml:space="preserve"> pika 2, shkronja “e”, 188</w:t>
      </w:r>
      <w:r w:rsidR="00AB5E5D" w:rsidRPr="00AB5E5D">
        <w:rPr>
          <w:rFonts w:ascii="Garamond" w:hAnsi="Garamond"/>
        </w:rPr>
        <w:t>,</w:t>
      </w:r>
      <w:r w:rsidRPr="00AB5E5D">
        <w:rPr>
          <w:rFonts w:ascii="Garamond" w:hAnsi="Garamond"/>
        </w:rPr>
        <w:t xml:space="preserve"> pika 1, dhe 189</w:t>
      </w:r>
      <w:r w:rsidR="00AB5E5D" w:rsidRPr="00AB5E5D">
        <w:rPr>
          <w:rFonts w:ascii="Garamond" w:hAnsi="Garamond"/>
        </w:rPr>
        <w:t>,</w:t>
      </w:r>
      <w:r w:rsidRPr="00AB5E5D">
        <w:rPr>
          <w:rFonts w:ascii="Garamond" w:hAnsi="Garamond"/>
        </w:rPr>
        <w:t xml:space="preserve"> të ligjit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115/2016</w:t>
      </w:r>
      <w:r w:rsidR="00AB5E5D" w:rsidRPr="00AB5E5D">
        <w:rPr>
          <w:rFonts w:ascii="Garamond" w:hAnsi="Garamond"/>
        </w:rPr>
        <w:t>,</w:t>
      </w:r>
      <w:r w:rsidRPr="00AB5E5D">
        <w:rPr>
          <w:rFonts w:ascii="Garamond" w:hAnsi="Garamond"/>
        </w:rPr>
        <w:t xml:space="preserve"> “Për organet e qeverisjes së sistemit të drejtësisë’’</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 xml:space="preserve">; në </w:t>
      </w:r>
      <w:r w:rsidRPr="00AB5E5D">
        <w:rPr>
          <w:rFonts w:ascii="Garamond" w:hAnsi="Garamond"/>
        </w:rPr>
        <w:t>nenet 11</w:t>
      </w:r>
      <w:r w:rsidR="00AB5E5D" w:rsidRPr="00AB5E5D">
        <w:rPr>
          <w:rFonts w:ascii="Garamond" w:hAnsi="Garamond"/>
        </w:rPr>
        <w:t>,</w:t>
      </w:r>
      <w:r w:rsidRPr="00AB5E5D">
        <w:rPr>
          <w:rFonts w:ascii="Garamond" w:hAnsi="Garamond"/>
        </w:rPr>
        <w:t xml:space="preserve"> pika 3, germa “a”, 12</w:t>
      </w:r>
      <w:r w:rsidRPr="00AB5E5D">
        <w:rPr>
          <w:rFonts w:ascii="Garamond" w:hAnsi="Garamond"/>
          <w:color w:val="528135"/>
        </w:rPr>
        <w:t xml:space="preserve">, </w:t>
      </w:r>
      <w:r w:rsidRPr="00AB5E5D">
        <w:rPr>
          <w:rFonts w:ascii="Garamond" w:hAnsi="Garamond"/>
        </w:rPr>
        <w:t xml:space="preserve">13/1, 15, 45, 46, 59 dhe 170/1, të ligjit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96/2016</w:t>
      </w:r>
      <w:r w:rsidR="00AB5E5D" w:rsidRPr="00AB5E5D">
        <w:rPr>
          <w:rFonts w:ascii="Garamond" w:hAnsi="Garamond"/>
        </w:rPr>
        <w:t>,</w:t>
      </w:r>
      <w:r w:rsidRPr="00AB5E5D">
        <w:rPr>
          <w:rFonts w:ascii="Garamond" w:hAnsi="Garamond"/>
        </w:rPr>
        <w:t xml:space="preserve"> “Për statusin e gjyqtarëve dhe prokurorëve në Republikën e Shqipërisë”</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w:t>
      </w:r>
      <w:r w:rsidRPr="00AB5E5D">
        <w:rPr>
          <w:rFonts w:ascii="Garamond" w:hAnsi="Garamond"/>
        </w:rPr>
        <w:t xml:space="preserve"> </w:t>
      </w:r>
      <w:r w:rsidR="00AB5E5D" w:rsidRPr="00AB5E5D">
        <w:rPr>
          <w:rFonts w:ascii="Garamond" w:hAnsi="Garamond"/>
        </w:rPr>
        <w:t xml:space="preserve">në </w:t>
      </w:r>
      <w:r w:rsidRPr="00AB5E5D">
        <w:rPr>
          <w:rFonts w:ascii="Garamond" w:hAnsi="Garamond"/>
        </w:rPr>
        <w:t>nenin 40</w:t>
      </w:r>
      <w:r w:rsidR="00AB5E5D" w:rsidRPr="00AB5E5D">
        <w:rPr>
          <w:rFonts w:ascii="Garamond" w:hAnsi="Garamond"/>
        </w:rPr>
        <w:t>,</w:t>
      </w:r>
      <w:r w:rsidRPr="00AB5E5D">
        <w:rPr>
          <w:rFonts w:ascii="Garamond" w:hAnsi="Garamond"/>
        </w:rPr>
        <w:t xml:space="preserve"> të ligjit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97/2016, “Për organizimin dhe funksionimin e prokurorisë në Republikën e Shqipërisë”</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 në</w:t>
      </w:r>
      <w:r w:rsidRPr="00AB5E5D">
        <w:rPr>
          <w:rFonts w:ascii="Garamond" w:hAnsi="Garamond"/>
        </w:rPr>
        <w:t xml:space="preserve"> nenin 56</w:t>
      </w:r>
      <w:r w:rsidR="00AB5E5D" w:rsidRPr="00AB5E5D">
        <w:rPr>
          <w:rFonts w:ascii="Garamond" w:hAnsi="Garamond"/>
        </w:rPr>
        <w:t>,</w:t>
      </w:r>
      <w:r w:rsidRPr="00AB5E5D">
        <w:rPr>
          <w:rFonts w:ascii="Garamond" w:hAnsi="Garamond"/>
        </w:rPr>
        <w:t xml:space="preserve"> të ligjit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95/2016, “Për organizimin dhe funksionimin e institucioneve për të luftuar korrupsionin dhe krimin e organizuar”</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w:t>
      </w:r>
      <w:r w:rsidRPr="00AB5E5D">
        <w:rPr>
          <w:rFonts w:ascii="Garamond" w:hAnsi="Garamond"/>
        </w:rPr>
        <w:t xml:space="preserve"> </w:t>
      </w:r>
      <w:r w:rsidR="00AB5E5D" w:rsidRPr="00AB5E5D">
        <w:rPr>
          <w:rFonts w:ascii="Garamond" w:hAnsi="Garamond"/>
        </w:rPr>
        <w:t>në v</w:t>
      </w:r>
      <w:r w:rsidRPr="00AB5E5D">
        <w:rPr>
          <w:rFonts w:ascii="Garamond" w:hAnsi="Garamond"/>
        </w:rPr>
        <w:t xml:space="preserve">endimin e Këshillit të Lartë të Prokurorisë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64, datë 15.4.2019, “Për caktimin e përkohshëm të prokurorëve”</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w:t>
      </w:r>
      <w:r w:rsidRPr="00AB5E5D">
        <w:rPr>
          <w:rFonts w:ascii="Garamond" w:hAnsi="Garamond"/>
        </w:rPr>
        <w:t xml:space="preserve"> </w:t>
      </w:r>
      <w:r w:rsidR="00AB5E5D" w:rsidRPr="00AB5E5D">
        <w:rPr>
          <w:rFonts w:ascii="Garamond" w:hAnsi="Garamond"/>
        </w:rPr>
        <w:t>të v</w:t>
      </w:r>
      <w:r w:rsidRPr="00AB5E5D">
        <w:rPr>
          <w:rFonts w:ascii="Garamond" w:hAnsi="Garamond"/>
        </w:rPr>
        <w:t xml:space="preserve">endimin e Këshillit të Lartë të Prokurorisë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160, datë 8.7.2020, “Mbi kriteret dhe procedurën e transferimit të përkohshëm të prokurorit”</w:t>
      </w:r>
      <w:r w:rsidR="00AB5E5D" w:rsidRPr="00AB5E5D">
        <w:rPr>
          <w:rFonts w:ascii="Garamond" w:hAnsi="Garamond"/>
        </w:rPr>
        <w:t>;</w:t>
      </w:r>
      <w:r w:rsidRPr="00AB5E5D">
        <w:rPr>
          <w:rFonts w:ascii="Garamond" w:hAnsi="Garamond"/>
        </w:rPr>
        <w:t xml:space="preserve"> </w:t>
      </w:r>
      <w:r w:rsidR="00AB5E5D" w:rsidRPr="00AB5E5D">
        <w:rPr>
          <w:rFonts w:ascii="Garamond" w:hAnsi="Garamond"/>
        </w:rPr>
        <w:t xml:space="preserve">në </w:t>
      </w:r>
      <w:r w:rsidRPr="00AB5E5D">
        <w:rPr>
          <w:rFonts w:ascii="Garamond" w:hAnsi="Garamond"/>
        </w:rPr>
        <w:t xml:space="preserve">ligjin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9936, datë 26.6.2008</w:t>
      </w:r>
      <w:r w:rsidR="00AB5E5D" w:rsidRPr="00AB5E5D">
        <w:rPr>
          <w:rFonts w:ascii="Garamond" w:hAnsi="Garamond"/>
        </w:rPr>
        <w:t>,</w:t>
      </w:r>
      <w:r w:rsidRPr="00AB5E5D">
        <w:rPr>
          <w:rFonts w:ascii="Garamond" w:hAnsi="Garamond"/>
        </w:rPr>
        <w:t xml:space="preserve"> “Për menaxhimin e sistemit buxhetor në Republikën e Shqipërisë”</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w:t>
      </w:r>
      <w:r w:rsidRPr="00AB5E5D">
        <w:rPr>
          <w:rFonts w:ascii="Garamond" w:hAnsi="Garamond"/>
        </w:rPr>
        <w:t xml:space="preserve"> </w:t>
      </w:r>
      <w:r w:rsidR="00AB5E5D" w:rsidRPr="00AB5E5D">
        <w:rPr>
          <w:rFonts w:ascii="Garamond" w:hAnsi="Garamond"/>
        </w:rPr>
        <w:t xml:space="preserve">në </w:t>
      </w:r>
      <w:r w:rsidRPr="00AB5E5D">
        <w:rPr>
          <w:rFonts w:ascii="Garamond" w:hAnsi="Garamond"/>
        </w:rPr>
        <w:t xml:space="preserve">ligjin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10296, datë 8.7.2010, “Për menaxhimin financiar dhe kontrollin”</w:t>
      </w:r>
      <w:r w:rsidR="00AB5E5D" w:rsidRPr="00AB5E5D">
        <w:rPr>
          <w:rFonts w:ascii="Garamond" w:hAnsi="Garamond"/>
        </w:rPr>
        <w:t>,</w:t>
      </w:r>
      <w:r w:rsidRPr="00AB5E5D">
        <w:rPr>
          <w:rFonts w:ascii="Garamond" w:hAnsi="Garamond"/>
        </w:rPr>
        <w:t xml:space="preserve"> </w:t>
      </w:r>
      <w:r w:rsidR="00AB5E5D" w:rsidRPr="00AB5E5D">
        <w:rPr>
          <w:rFonts w:ascii="Garamond" w:hAnsi="Garamond"/>
        </w:rPr>
        <w:t>të</w:t>
      </w:r>
      <w:r w:rsidRPr="00AB5E5D">
        <w:rPr>
          <w:rFonts w:ascii="Garamond" w:hAnsi="Garamond"/>
        </w:rPr>
        <w:t xml:space="preserve"> ndryshuar</w:t>
      </w:r>
      <w:r w:rsidR="00AB5E5D" w:rsidRPr="00AB5E5D">
        <w:rPr>
          <w:rFonts w:ascii="Garamond" w:hAnsi="Garamond"/>
        </w:rPr>
        <w:t>;</w:t>
      </w:r>
      <w:r w:rsidRPr="00AB5E5D">
        <w:rPr>
          <w:rFonts w:ascii="Garamond" w:hAnsi="Garamond"/>
        </w:rPr>
        <w:t xml:space="preserve"> </w:t>
      </w:r>
      <w:r w:rsidR="00AB5E5D" w:rsidRPr="00AB5E5D">
        <w:rPr>
          <w:rFonts w:ascii="Garamond" w:hAnsi="Garamond"/>
        </w:rPr>
        <w:t>në v</w:t>
      </w:r>
      <w:r w:rsidRPr="00AB5E5D">
        <w:rPr>
          <w:rFonts w:ascii="Garamond" w:hAnsi="Garamond"/>
        </w:rPr>
        <w:t xml:space="preserve">endimin e Këshillit të Ministrave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997, datë 10.12.2010, “Për trajtimin financiar të punonjësve që dërgohen me shërbim jashtë qendrës së punës, brenda vendit”</w:t>
      </w:r>
      <w:r w:rsidR="00AB5E5D" w:rsidRPr="00AB5E5D">
        <w:rPr>
          <w:rFonts w:ascii="Garamond" w:hAnsi="Garamond"/>
        </w:rPr>
        <w:t>,</w:t>
      </w:r>
      <w:r w:rsidRPr="00AB5E5D">
        <w:rPr>
          <w:rFonts w:ascii="Garamond" w:hAnsi="Garamond"/>
        </w:rPr>
        <w:t xml:space="preserve"> </w:t>
      </w:r>
      <w:r w:rsidR="00AB5E5D" w:rsidRPr="00AB5E5D">
        <w:rPr>
          <w:rFonts w:ascii="Garamond" w:hAnsi="Garamond"/>
        </w:rPr>
        <w:t xml:space="preserve">të </w:t>
      </w:r>
      <w:r w:rsidRPr="00AB5E5D">
        <w:rPr>
          <w:rFonts w:ascii="Garamond" w:hAnsi="Garamond"/>
        </w:rPr>
        <w:t>ndryshuar</w:t>
      </w:r>
      <w:r w:rsidR="00AB5E5D" w:rsidRPr="00AB5E5D">
        <w:rPr>
          <w:rFonts w:ascii="Garamond" w:hAnsi="Garamond"/>
        </w:rPr>
        <w:t>;</w:t>
      </w:r>
      <w:r w:rsidRPr="00AB5E5D">
        <w:rPr>
          <w:rFonts w:ascii="Garamond" w:hAnsi="Garamond"/>
        </w:rPr>
        <w:t xml:space="preserve"> </w:t>
      </w:r>
      <w:r w:rsidR="00AB5E5D" w:rsidRPr="00AB5E5D">
        <w:rPr>
          <w:rFonts w:ascii="Garamond" w:hAnsi="Garamond"/>
        </w:rPr>
        <w:t>në u</w:t>
      </w:r>
      <w:r w:rsidRPr="00AB5E5D">
        <w:rPr>
          <w:rFonts w:ascii="Garamond" w:hAnsi="Garamond"/>
        </w:rPr>
        <w:t xml:space="preserve">dhëzimin e </w:t>
      </w:r>
      <w:r w:rsidR="00AB5E5D" w:rsidRPr="00AB5E5D">
        <w:rPr>
          <w:rFonts w:ascii="Garamond" w:hAnsi="Garamond"/>
        </w:rPr>
        <w:t>m</w:t>
      </w:r>
      <w:r w:rsidRPr="00AB5E5D">
        <w:rPr>
          <w:rFonts w:ascii="Garamond" w:hAnsi="Garamond"/>
        </w:rPr>
        <w:t xml:space="preserve">inistrit të Financave dhe Ekonomisë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9, datë 20.3.2018, “Për procedurat standarde të zbatimit të buxhetit”, me propozim të grupit të punës</w:t>
      </w:r>
      <w:r w:rsidR="00AB5E5D" w:rsidRPr="00AB5E5D">
        <w:rPr>
          <w:rFonts w:ascii="Garamond" w:hAnsi="Garamond"/>
        </w:rPr>
        <w:t>,</w:t>
      </w:r>
      <w:r w:rsidRPr="00AB5E5D">
        <w:rPr>
          <w:rFonts w:ascii="Garamond" w:hAnsi="Garamond"/>
        </w:rPr>
        <w:t xml:space="preserve"> ngritur me </w:t>
      </w:r>
      <w:r w:rsidR="00AB5E5D" w:rsidRPr="00AB5E5D">
        <w:rPr>
          <w:rFonts w:ascii="Garamond" w:hAnsi="Garamond"/>
        </w:rPr>
        <w:t>u</w:t>
      </w:r>
      <w:r w:rsidRPr="00AB5E5D">
        <w:rPr>
          <w:rFonts w:ascii="Garamond" w:hAnsi="Garamond"/>
        </w:rPr>
        <w:t xml:space="preserve">rdhrin e Kryetarit të Këshillit të Lartë të Prokurorisë </w:t>
      </w:r>
      <w:r w:rsidR="00AB5E5D" w:rsidRPr="00AB5E5D">
        <w:rPr>
          <w:rFonts w:ascii="Garamond" w:hAnsi="Garamond"/>
        </w:rPr>
        <w:t>n</w:t>
      </w:r>
      <w:r w:rsidRPr="00AB5E5D">
        <w:rPr>
          <w:rFonts w:ascii="Garamond" w:hAnsi="Garamond"/>
        </w:rPr>
        <w:t>r.</w:t>
      </w:r>
      <w:r w:rsidR="00AB5E5D" w:rsidRPr="00AB5E5D">
        <w:rPr>
          <w:rFonts w:ascii="Garamond" w:hAnsi="Garamond"/>
        </w:rPr>
        <w:t xml:space="preserve"> </w:t>
      </w:r>
      <w:r w:rsidRPr="00AB5E5D">
        <w:rPr>
          <w:rFonts w:ascii="Garamond" w:hAnsi="Garamond"/>
        </w:rPr>
        <w:t xml:space="preserve">113, datë 21.6.2022, “Për ngritjen e Grupit të Punës për hartimin e rregullores </w:t>
      </w:r>
      <w:r w:rsidR="00AB5E5D" w:rsidRPr="00AB5E5D">
        <w:rPr>
          <w:rFonts w:ascii="Garamond" w:hAnsi="Garamond"/>
        </w:rPr>
        <w:t>‘</w:t>
      </w:r>
      <w:r w:rsidRPr="00AB5E5D">
        <w:rPr>
          <w:rFonts w:ascii="Garamond" w:hAnsi="Garamond"/>
        </w:rPr>
        <w:t>Për mënyrën e caktimit të kompensimit financiar që përfitojnë prokurorët që shërbejnë në skemën e delegimit, të transferuar përkohësisht ose të caktuar përkohësisht</w:t>
      </w:r>
      <w:r w:rsidR="00AB5E5D" w:rsidRPr="00AB5E5D">
        <w:rPr>
          <w:rFonts w:ascii="Garamond" w:hAnsi="Garamond"/>
        </w:rPr>
        <w:t>’</w:t>
      </w:r>
      <w:r w:rsidRPr="00AB5E5D">
        <w:rPr>
          <w:rFonts w:ascii="Garamond" w:hAnsi="Garamond"/>
        </w:rPr>
        <w:t>”</w:t>
      </w:r>
      <w:r w:rsidR="00AB5E5D" w:rsidRPr="00AB5E5D">
        <w:rPr>
          <w:rFonts w:ascii="Garamond" w:hAnsi="Garamond"/>
        </w:rPr>
        <w:t>,</w:t>
      </w:r>
      <w:r w:rsidRPr="00AB5E5D">
        <w:rPr>
          <w:rFonts w:ascii="Garamond" w:hAnsi="Garamond"/>
        </w:rPr>
        <w:t xml:space="preserve"> i ndryshuar, Këshilli i Lartë i Prokurorisë,</w:t>
      </w:r>
    </w:p>
    <w:p w14:paraId="0A369DA0" w14:textId="77777777" w:rsidR="00376406" w:rsidRPr="00AB5E5D" w:rsidRDefault="00376406" w:rsidP="00376406">
      <w:pPr>
        <w:pStyle w:val="Default"/>
        <w:ind w:firstLine="284"/>
        <w:jc w:val="both"/>
        <w:rPr>
          <w:rFonts w:ascii="Garamond" w:hAnsi="Garamond"/>
        </w:rPr>
      </w:pPr>
    </w:p>
    <w:p w14:paraId="6C49AF55" w14:textId="77777777" w:rsidR="00376406" w:rsidRPr="00AB5E5D" w:rsidRDefault="00376406" w:rsidP="00376406">
      <w:pPr>
        <w:shd w:val="clear" w:color="auto" w:fill="FFFFFF"/>
        <w:spacing w:after="0" w:line="240" w:lineRule="auto"/>
        <w:ind w:firstLine="284"/>
        <w:jc w:val="center"/>
        <w:textAlignment w:val="baseline"/>
        <w:rPr>
          <w:rFonts w:ascii="Garamond" w:hAnsi="Garamond" w:cs="Times New Roman"/>
          <w:bCs/>
          <w:sz w:val="24"/>
          <w:szCs w:val="24"/>
        </w:rPr>
      </w:pPr>
      <w:r w:rsidRPr="00AB5E5D">
        <w:rPr>
          <w:rFonts w:ascii="Garamond" w:hAnsi="Garamond" w:cs="Times New Roman"/>
          <w:bCs/>
          <w:sz w:val="24"/>
          <w:szCs w:val="24"/>
        </w:rPr>
        <w:t>VENDOSI:</w:t>
      </w:r>
    </w:p>
    <w:p w14:paraId="61D84727" w14:textId="77777777" w:rsidR="00376406" w:rsidRPr="00AB5E5D" w:rsidRDefault="00376406" w:rsidP="00376406">
      <w:pPr>
        <w:shd w:val="clear" w:color="auto" w:fill="FFFFFF"/>
        <w:spacing w:after="0" w:line="240" w:lineRule="auto"/>
        <w:ind w:firstLine="284"/>
        <w:jc w:val="center"/>
        <w:textAlignment w:val="baseline"/>
        <w:rPr>
          <w:rFonts w:ascii="Garamond" w:hAnsi="Garamond" w:cs="Times New Roman"/>
          <w:b/>
          <w:bCs/>
          <w:sz w:val="24"/>
          <w:szCs w:val="24"/>
        </w:rPr>
      </w:pPr>
    </w:p>
    <w:p w14:paraId="412E9AD4" w14:textId="3C541DA4" w:rsidR="00376406" w:rsidRPr="00AB5E5D" w:rsidRDefault="00376406" w:rsidP="00376406">
      <w:pPr>
        <w:pStyle w:val="Default"/>
        <w:ind w:firstLine="284"/>
        <w:jc w:val="both"/>
        <w:rPr>
          <w:rFonts w:ascii="Garamond" w:hAnsi="Garamond"/>
          <w:bCs/>
        </w:rPr>
      </w:pPr>
      <w:r w:rsidRPr="00AB5E5D">
        <w:rPr>
          <w:rFonts w:ascii="Garamond" w:eastAsia="Times New Roman" w:hAnsi="Garamond"/>
        </w:rPr>
        <w:t xml:space="preserve">1. Miratimin e </w:t>
      </w:r>
      <w:r w:rsidR="00AB5E5D" w:rsidRPr="00AB5E5D">
        <w:rPr>
          <w:rFonts w:ascii="Garamond" w:eastAsia="Times New Roman" w:hAnsi="Garamond"/>
        </w:rPr>
        <w:t>r</w:t>
      </w:r>
      <w:r w:rsidRPr="00AB5E5D">
        <w:rPr>
          <w:rFonts w:ascii="Garamond" w:eastAsia="Times New Roman" w:hAnsi="Garamond"/>
        </w:rPr>
        <w:t xml:space="preserve">regullores “Për </w:t>
      </w:r>
      <w:r w:rsidRPr="00AB5E5D">
        <w:rPr>
          <w:rFonts w:ascii="Garamond" w:hAnsi="Garamond"/>
          <w:bCs/>
        </w:rPr>
        <w:t>caktimin e procedurës dhe masës së trajtimit financiar të prokurorit për shërbimin në skemën e delegimit, për transferimin e përkohshëm, për caktimin e përkohshëm dhe caktimin për një çështje të veçantë”</w:t>
      </w:r>
      <w:r w:rsidRPr="00AB5E5D">
        <w:rPr>
          <w:rFonts w:ascii="Garamond" w:eastAsia="Times New Roman" w:hAnsi="Garamond"/>
        </w:rPr>
        <w:t>, sipas tekstit që i bashkëlidhet këtij vendimi.</w:t>
      </w:r>
    </w:p>
    <w:p w14:paraId="33F693EE" w14:textId="77777777" w:rsidR="00376406" w:rsidRPr="00AB5E5D" w:rsidRDefault="00376406" w:rsidP="00376406">
      <w:pPr>
        <w:pStyle w:val="ListParagraph"/>
        <w:shd w:val="clear" w:color="auto" w:fill="FFFFFF"/>
        <w:spacing w:after="0" w:line="240" w:lineRule="auto"/>
        <w:ind w:left="0" w:firstLine="284"/>
        <w:jc w:val="both"/>
        <w:rPr>
          <w:rFonts w:ascii="Garamond" w:eastAsia="Times New Roman" w:hAnsi="Garamond" w:cs="Times New Roman"/>
          <w:b/>
          <w:color w:val="000000"/>
          <w:sz w:val="24"/>
          <w:szCs w:val="24"/>
        </w:rPr>
      </w:pPr>
      <w:r w:rsidRPr="00AB5E5D">
        <w:rPr>
          <w:rFonts w:ascii="Garamond" w:eastAsia="Times New Roman" w:hAnsi="Garamond" w:cs="Times New Roman"/>
          <w:color w:val="000000"/>
          <w:sz w:val="24"/>
          <w:szCs w:val="24"/>
        </w:rPr>
        <w:t xml:space="preserve">2. Ky vendim hyn në fuqi në datën e botimit në Fletoren Zyrtare dhe publikohet në faqen zyrtare </w:t>
      </w:r>
      <w:r w:rsidRPr="00AB5E5D">
        <w:rPr>
          <w:rFonts w:ascii="Garamond" w:eastAsia="Times New Roman" w:hAnsi="Garamond" w:cs="Times New Roman"/>
          <w:i/>
          <w:iCs/>
          <w:color w:val="000000"/>
          <w:sz w:val="24"/>
          <w:szCs w:val="24"/>
        </w:rPr>
        <w:t>web</w:t>
      </w:r>
      <w:r w:rsidRPr="00AB5E5D">
        <w:rPr>
          <w:rFonts w:ascii="Garamond" w:eastAsia="Times New Roman" w:hAnsi="Garamond" w:cs="Times New Roman"/>
          <w:color w:val="000000"/>
          <w:sz w:val="24"/>
          <w:szCs w:val="24"/>
        </w:rPr>
        <w:t xml:space="preserve"> të Këshillit.</w:t>
      </w:r>
    </w:p>
    <w:p w14:paraId="1595CDEE" w14:textId="77777777" w:rsidR="00376406" w:rsidRPr="00AB5E5D" w:rsidRDefault="00376406" w:rsidP="00376406">
      <w:pPr>
        <w:pStyle w:val="ListParagraph"/>
        <w:shd w:val="clear" w:color="auto" w:fill="FFFFFF"/>
        <w:spacing w:after="0" w:line="240" w:lineRule="auto"/>
        <w:ind w:left="0" w:firstLine="284"/>
        <w:jc w:val="both"/>
        <w:rPr>
          <w:rFonts w:ascii="Garamond" w:eastAsia="Times New Roman" w:hAnsi="Garamond" w:cs="Times New Roman"/>
          <w:b/>
          <w:color w:val="000000"/>
          <w:sz w:val="24"/>
          <w:szCs w:val="24"/>
        </w:rPr>
      </w:pPr>
      <w:bookmarkStart w:id="0" w:name="_Hlk102723746"/>
      <w:r w:rsidRPr="00AB5E5D">
        <w:rPr>
          <w:rFonts w:ascii="Garamond" w:eastAsia="Times New Roman" w:hAnsi="Garamond" w:cs="Times New Roman"/>
          <w:sz w:val="24"/>
          <w:szCs w:val="24"/>
        </w:rPr>
        <w:t>3. U shpall në Tiranë, sot më 30.11.202</w:t>
      </w:r>
      <w:bookmarkEnd w:id="0"/>
      <w:r w:rsidRPr="00AB5E5D">
        <w:rPr>
          <w:rFonts w:ascii="Garamond" w:eastAsia="Times New Roman" w:hAnsi="Garamond" w:cs="Times New Roman"/>
          <w:sz w:val="24"/>
          <w:szCs w:val="24"/>
        </w:rPr>
        <w:t>3.</w:t>
      </w:r>
    </w:p>
    <w:p w14:paraId="2F09ED57" w14:textId="77777777" w:rsidR="00376406" w:rsidRPr="00AB5E5D" w:rsidRDefault="00376406" w:rsidP="00376406">
      <w:pPr>
        <w:spacing w:after="0" w:line="240" w:lineRule="auto"/>
        <w:ind w:firstLine="284"/>
        <w:jc w:val="both"/>
        <w:rPr>
          <w:rFonts w:ascii="Garamond" w:eastAsia="Times New Roman" w:hAnsi="Garamond" w:cs="Times New Roman"/>
          <w:sz w:val="24"/>
          <w:szCs w:val="24"/>
        </w:rPr>
      </w:pPr>
    </w:p>
    <w:p w14:paraId="2AE30031" w14:textId="77777777" w:rsidR="00376406" w:rsidRPr="00AB5E5D" w:rsidRDefault="00376406" w:rsidP="00376406">
      <w:pPr>
        <w:widowControl w:val="0"/>
        <w:autoSpaceDE w:val="0"/>
        <w:autoSpaceDN w:val="0"/>
        <w:adjustRightInd w:val="0"/>
        <w:spacing w:after="0" w:line="240" w:lineRule="auto"/>
        <w:ind w:firstLine="284"/>
        <w:jc w:val="right"/>
        <w:rPr>
          <w:rFonts w:ascii="Garamond" w:eastAsia="Times New Roman" w:hAnsi="Garamond" w:cs="Times New Roman"/>
          <w:bCs/>
          <w:sz w:val="24"/>
          <w:szCs w:val="24"/>
        </w:rPr>
      </w:pPr>
      <w:r w:rsidRPr="00AB5E5D">
        <w:rPr>
          <w:rFonts w:ascii="Garamond" w:eastAsia="Times New Roman" w:hAnsi="Garamond" w:cs="Times New Roman"/>
          <w:bCs/>
          <w:sz w:val="24"/>
          <w:szCs w:val="24"/>
        </w:rPr>
        <w:t>KRYETAR I KËSHILLIT TË LARTË TË PROKURORISË</w:t>
      </w:r>
    </w:p>
    <w:p w14:paraId="618B2C9E" w14:textId="77777777" w:rsidR="00376406" w:rsidRPr="00AB5E5D" w:rsidRDefault="00376406" w:rsidP="00376406">
      <w:pPr>
        <w:widowControl w:val="0"/>
        <w:autoSpaceDE w:val="0"/>
        <w:autoSpaceDN w:val="0"/>
        <w:adjustRightInd w:val="0"/>
        <w:spacing w:after="0" w:line="240" w:lineRule="auto"/>
        <w:ind w:firstLine="284"/>
        <w:jc w:val="right"/>
        <w:rPr>
          <w:rFonts w:ascii="Garamond" w:hAnsi="Garamond"/>
        </w:rPr>
      </w:pPr>
      <w:r w:rsidRPr="00AB5E5D">
        <w:rPr>
          <w:rFonts w:ascii="Garamond" w:eastAsia="Times New Roman" w:hAnsi="Garamond" w:cs="Times New Roman"/>
          <w:b/>
          <w:bCs/>
          <w:sz w:val="24"/>
          <w:szCs w:val="24"/>
        </w:rPr>
        <w:t>Alfred Balla</w:t>
      </w:r>
    </w:p>
    <w:p w14:paraId="2B0BE566" w14:textId="77777777" w:rsidR="00376406" w:rsidRPr="00AB5E5D" w:rsidRDefault="00376406" w:rsidP="00EA1EE6">
      <w:pPr>
        <w:autoSpaceDE w:val="0"/>
        <w:autoSpaceDN w:val="0"/>
        <w:adjustRightInd w:val="0"/>
        <w:spacing w:after="0" w:line="240" w:lineRule="auto"/>
        <w:ind w:firstLine="284"/>
        <w:jc w:val="center"/>
        <w:rPr>
          <w:rFonts w:ascii="Garamond" w:hAnsi="Garamond" w:cs="Garamond"/>
          <w:sz w:val="24"/>
          <w:szCs w:val="24"/>
        </w:rPr>
      </w:pPr>
    </w:p>
    <w:p w14:paraId="6DCF57C8" w14:textId="0B150CBA" w:rsidR="00EA1EE6" w:rsidRPr="00AB5E5D" w:rsidRDefault="00EA1EE6" w:rsidP="00EA1EE6">
      <w:pPr>
        <w:autoSpaceDE w:val="0"/>
        <w:autoSpaceDN w:val="0"/>
        <w:adjustRightInd w:val="0"/>
        <w:spacing w:after="0" w:line="240" w:lineRule="auto"/>
        <w:ind w:firstLine="284"/>
        <w:jc w:val="center"/>
        <w:rPr>
          <w:rFonts w:ascii="Garamond" w:hAnsi="Garamond" w:cs="Garamond"/>
          <w:b/>
          <w:bCs/>
          <w:sz w:val="24"/>
          <w:szCs w:val="24"/>
        </w:rPr>
      </w:pPr>
      <w:r w:rsidRPr="00AB5E5D">
        <w:rPr>
          <w:rFonts w:ascii="Garamond" w:hAnsi="Garamond" w:cs="Garamond"/>
          <w:b/>
          <w:bCs/>
          <w:sz w:val="24"/>
          <w:szCs w:val="24"/>
        </w:rPr>
        <w:t>RREGULLORE</w:t>
      </w:r>
    </w:p>
    <w:p w14:paraId="311BBD42" w14:textId="02020269" w:rsidR="00EA1EE6" w:rsidRPr="00AB5E5D" w:rsidRDefault="00EA1EE6" w:rsidP="00AB5E5D">
      <w:pPr>
        <w:autoSpaceDE w:val="0"/>
        <w:autoSpaceDN w:val="0"/>
        <w:adjustRightInd w:val="0"/>
        <w:spacing w:after="0" w:line="240" w:lineRule="auto"/>
        <w:ind w:firstLine="284"/>
        <w:jc w:val="center"/>
        <w:rPr>
          <w:rFonts w:ascii="Garamond" w:hAnsi="Garamond" w:cs="Garamond"/>
          <w:bCs/>
          <w:sz w:val="24"/>
          <w:szCs w:val="24"/>
        </w:rPr>
      </w:pPr>
      <w:r w:rsidRPr="00AB5E5D">
        <w:rPr>
          <w:rFonts w:ascii="Garamond" w:hAnsi="Garamond" w:cs="Garamond"/>
          <w:bCs/>
          <w:sz w:val="24"/>
          <w:szCs w:val="24"/>
        </w:rPr>
        <w:t>PËR CAKTIMIN E PROCEDURËS DHE MASËS SË TRAJTIMIT FINANCIAR TË PROKURORIT PËR SHËRBIMIN NË SKEMËN E DELEGIMIT, PËR TRANSFERIMIN E PËRKOHSHËM, PËR CAKTIMIN E PËRKOHSHËM DHE CAKTIMIN PËR NJË ÇËSHTJE TË VEÇANTË</w:t>
      </w:r>
    </w:p>
    <w:p w14:paraId="10385835"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sz w:val="24"/>
          <w:szCs w:val="24"/>
        </w:rPr>
      </w:pPr>
    </w:p>
    <w:p w14:paraId="3EBC6E25"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1</w:t>
      </w:r>
    </w:p>
    <w:p w14:paraId="5DDA495F"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Qëllimi</w:t>
      </w:r>
    </w:p>
    <w:p w14:paraId="1A3DB534"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4C5D50C0" w14:textId="222323DA"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lastRenderedPageBreak/>
        <w:t>Qëllimi i kësaj rregulloreje është përcaktimi i rregullave më të detajuara dhe procedurës që duhet të ndiqet në prokurori, për kompensimin financiar të prokurorit</w:t>
      </w:r>
      <w:r w:rsidR="00AB5E5D">
        <w:rPr>
          <w:rFonts w:ascii="Garamond" w:hAnsi="Garamond" w:cs="Garamond"/>
          <w:color w:val="000000"/>
          <w:sz w:val="24"/>
          <w:szCs w:val="24"/>
        </w:rPr>
        <w:t>,</w:t>
      </w:r>
      <w:r w:rsidRPr="00AB5E5D">
        <w:rPr>
          <w:rFonts w:ascii="Garamond" w:hAnsi="Garamond" w:cs="Garamond"/>
          <w:color w:val="000000"/>
          <w:sz w:val="24"/>
          <w:szCs w:val="24"/>
        </w:rPr>
        <w:t xml:space="preserve"> lidhur me shërbimin e tij në skemën e delegimit, gjatë transferimit të përkohshëm, caktimit të përkohshëm dhe caktimit për një çështje të veçantë, si dhe masën e kompensimit.</w:t>
      </w:r>
    </w:p>
    <w:p w14:paraId="32EFACD1"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2FC5AA50"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2</w:t>
      </w:r>
    </w:p>
    <w:p w14:paraId="4D23977A" w14:textId="79D7C178"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Subjektet</w:t>
      </w:r>
    </w:p>
    <w:p w14:paraId="65261D5D" w14:textId="77777777" w:rsidR="001D3C48" w:rsidRPr="00AB5E5D" w:rsidRDefault="001D3C48" w:rsidP="00EA1EE6">
      <w:pPr>
        <w:autoSpaceDE w:val="0"/>
        <w:autoSpaceDN w:val="0"/>
        <w:adjustRightInd w:val="0"/>
        <w:spacing w:after="0" w:line="240" w:lineRule="auto"/>
        <w:ind w:firstLine="284"/>
        <w:jc w:val="center"/>
        <w:rPr>
          <w:rFonts w:ascii="Garamond" w:hAnsi="Garamond" w:cs="Garamond"/>
          <w:b/>
          <w:bCs/>
          <w:color w:val="000000"/>
          <w:sz w:val="24"/>
          <w:szCs w:val="24"/>
        </w:rPr>
      </w:pPr>
    </w:p>
    <w:p w14:paraId="69770A0B" w14:textId="214E4FA9" w:rsidR="00EA1EE6" w:rsidRPr="00AB5E5D" w:rsidRDefault="00EA1EE6" w:rsidP="00EA1EE6">
      <w:pPr>
        <w:autoSpaceDE w:val="0"/>
        <w:autoSpaceDN w:val="0"/>
        <w:adjustRightInd w:val="0"/>
        <w:spacing w:after="0" w:line="240" w:lineRule="auto"/>
        <w:ind w:firstLine="284"/>
        <w:jc w:val="both"/>
        <w:rPr>
          <w:rFonts w:ascii="Garamond" w:hAnsi="Garamond" w:cs="Garamond"/>
          <w:b/>
          <w:bCs/>
          <w:color w:val="000000"/>
          <w:sz w:val="24"/>
          <w:szCs w:val="24"/>
        </w:rPr>
      </w:pPr>
      <w:r w:rsidRPr="00AB5E5D">
        <w:rPr>
          <w:rFonts w:ascii="Garamond" w:hAnsi="Garamond" w:cs="Garamond"/>
          <w:color w:val="000000"/>
          <w:sz w:val="24"/>
          <w:szCs w:val="24"/>
        </w:rPr>
        <w:t>Subjekte të kësaj rregulloreje janë prokurorët e skemës së delegimit, të transferuar përkohësisht, të caktuar përkohësisht apo të caktuar për hetimin e një çështjeje të veçantë, pranë Prokurorisë së Përgjithshme, prokurorive të shkallës së parë dhe të apelit, të juridiksionit të përgjithshëm dhe të posaçëm</w:t>
      </w:r>
      <w:r w:rsidR="00AB5E5D">
        <w:rPr>
          <w:rFonts w:ascii="Garamond" w:hAnsi="Garamond" w:cs="Garamond"/>
          <w:color w:val="000000"/>
          <w:sz w:val="24"/>
          <w:szCs w:val="24"/>
        </w:rPr>
        <w:t xml:space="preserve">, </w:t>
      </w:r>
      <w:r w:rsidRPr="00AB5E5D">
        <w:rPr>
          <w:rFonts w:ascii="Garamond" w:hAnsi="Garamond" w:cs="Garamond"/>
          <w:color w:val="000000"/>
          <w:sz w:val="24"/>
          <w:szCs w:val="24"/>
        </w:rPr>
        <w:t>të cilëve nuk u është kufizuar ushtrimi i funksionit për shkaqe të parashikuara në ligj.</w:t>
      </w:r>
    </w:p>
    <w:p w14:paraId="16C94953"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430EBC42"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3</w:t>
      </w:r>
    </w:p>
    <w:p w14:paraId="27591847"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Përkufizime</w:t>
      </w:r>
    </w:p>
    <w:p w14:paraId="20052FA4"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020163E0"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Në kuptim të kësaj rregulloreje, termat e mëposhtëm kanë këto kuptime: </w:t>
      </w:r>
    </w:p>
    <w:p w14:paraId="4CDAC78B" w14:textId="6EBCB3DC"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1. “Skema e delegimit” është tërësia e rregullave të caktimit të prokurorit, nga prokuroria ku ai është i caktuar në mënyrë të përhershme, në skemën e delegimit të ngritur pranë Këshillit të Lartë të Prokurorisë, për një periudhë kohore të caktuar dhe të shërbimit të tij në funksion të kësaj skeme, për të hetuar çështje në çdo prokurori. </w:t>
      </w:r>
    </w:p>
    <w:p w14:paraId="4F2AC7C0" w14:textId="01D4722E"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2. “Prokuror i transferuar përkohësisht” është prokurori i cili me vendim të Këshillit të Lartë të Prokurorisë transferohet për një periudhë të caktuar kohe, nga një pozicion i përhershëm në prokurorinë e tij, në një pozicion të përkohshëm të lirë, në një prokurori tjetër të të njëjtit nivel, sipas nenit 46, të </w:t>
      </w:r>
      <w:r w:rsidR="00AB5E5D">
        <w:rPr>
          <w:rFonts w:ascii="Garamond" w:hAnsi="Garamond" w:cs="Garamond"/>
          <w:color w:val="000000"/>
          <w:sz w:val="24"/>
          <w:szCs w:val="24"/>
        </w:rPr>
        <w:t>l</w:t>
      </w:r>
      <w:r w:rsidRPr="00AB5E5D">
        <w:rPr>
          <w:rFonts w:ascii="Garamond" w:hAnsi="Garamond" w:cs="Garamond"/>
          <w:color w:val="000000"/>
          <w:sz w:val="24"/>
          <w:szCs w:val="24"/>
        </w:rPr>
        <w:t>igjit nr. 96/2016</w:t>
      </w:r>
      <w:r w:rsidR="00AB5E5D">
        <w:rPr>
          <w:rFonts w:ascii="Garamond" w:hAnsi="Garamond" w:cs="Garamond"/>
          <w:color w:val="000000"/>
          <w:sz w:val="24"/>
          <w:szCs w:val="24"/>
        </w:rPr>
        <w:t>,</w:t>
      </w:r>
      <w:r w:rsidRPr="00AB5E5D">
        <w:rPr>
          <w:rFonts w:ascii="Garamond" w:hAnsi="Garamond" w:cs="Garamond"/>
          <w:color w:val="000000"/>
          <w:sz w:val="24"/>
          <w:szCs w:val="24"/>
        </w:rPr>
        <w:t xml:space="preserve"> “Për statusin e gjyqtarëve dhe prokurorëve në Republikën e Shqipërisë”, </w:t>
      </w:r>
      <w:r w:rsidR="00AB5E5D" w:rsidRPr="00AB5E5D">
        <w:rPr>
          <w:rFonts w:ascii="Garamond" w:hAnsi="Garamond"/>
        </w:rPr>
        <w:t>të</w:t>
      </w:r>
      <w:r w:rsidRPr="00AB5E5D">
        <w:rPr>
          <w:rFonts w:ascii="Garamond" w:hAnsi="Garamond" w:cs="Garamond"/>
          <w:color w:val="000000"/>
          <w:sz w:val="24"/>
          <w:szCs w:val="24"/>
        </w:rPr>
        <w:t xml:space="preserve"> ndryshuar.</w:t>
      </w:r>
    </w:p>
    <w:p w14:paraId="5EC4D2BF" w14:textId="48FD5B38"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3. “Caktimi i përkohshëm i prokurorit”, nënkupton caktimin e përkohshëm të një prokurori, në një prokurori tjetër</w:t>
      </w:r>
      <w:r w:rsidR="00AB5E5D">
        <w:rPr>
          <w:rFonts w:ascii="Garamond" w:hAnsi="Garamond" w:cs="Garamond"/>
          <w:color w:val="000000"/>
          <w:sz w:val="24"/>
          <w:szCs w:val="24"/>
        </w:rPr>
        <w:t>,</w:t>
      </w:r>
      <w:r w:rsidRPr="00AB5E5D">
        <w:rPr>
          <w:rFonts w:ascii="Garamond" w:hAnsi="Garamond" w:cs="Garamond"/>
          <w:color w:val="000000"/>
          <w:sz w:val="24"/>
          <w:szCs w:val="24"/>
        </w:rPr>
        <w:t xml:space="preserve"> të ndryshme nga ajo ku ushtron funksionin, me vendim të Këshillit të Lartë të Prokurorisë, sipas nenit 59, të </w:t>
      </w:r>
      <w:r w:rsidR="00AB5E5D">
        <w:rPr>
          <w:rFonts w:ascii="Garamond" w:hAnsi="Garamond" w:cs="Garamond"/>
          <w:color w:val="000000"/>
          <w:sz w:val="24"/>
          <w:szCs w:val="24"/>
        </w:rPr>
        <w:t>l</w:t>
      </w:r>
      <w:r w:rsidRPr="00AB5E5D">
        <w:rPr>
          <w:rFonts w:ascii="Garamond" w:hAnsi="Garamond" w:cs="Garamond"/>
          <w:color w:val="000000"/>
          <w:sz w:val="24"/>
          <w:szCs w:val="24"/>
        </w:rPr>
        <w:t>igjit nr. 96/2016</w:t>
      </w:r>
      <w:r w:rsidR="00AB5E5D">
        <w:rPr>
          <w:rFonts w:ascii="Garamond" w:hAnsi="Garamond" w:cs="Garamond"/>
          <w:color w:val="000000"/>
          <w:sz w:val="24"/>
          <w:szCs w:val="24"/>
        </w:rPr>
        <w:t>,</w:t>
      </w:r>
      <w:r w:rsidRPr="00AB5E5D">
        <w:rPr>
          <w:rFonts w:ascii="Garamond" w:hAnsi="Garamond" w:cs="Garamond"/>
          <w:color w:val="000000"/>
          <w:sz w:val="24"/>
          <w:szCs w:val="24"/>
        </w:rPr>
        <w:t xml:space="preserve"> “Për statusin e gjyqtarëve dhe prokurorëve në Republikën e Shqipërisë”, </w:t>
      </w:r>
      <w:r w:rsidR="00AB5E5D" w:rsidRPr="00AB5E5D">
        <w:rPr>
          <w:rFonts w:ascii="Garamond" w:hAnsi="Garamond"/>
        </w:rPr>
        <w:t>të</w:t>
      </w:r>
      <w:r w:rsidRPr="00AB5E5D">
        <w:rPr>
          <w:rFonts w:ascii="Garamond" w:hAnsi="Garamond" w:cs="Garamond"/>
          <w:color w:val="000000"/>
          <w:sz w:val="24"/>
          <w:szCs w:val="24"/>
        </w:rPr>
        <w:t xml:space="preserve"> ndryshuar. </w:t>
      </w:r>
    </w:p>
    <w:p w14:paraId="09305CE8" w14:textId="5A60BC2C"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4. “Caktimi i prokurorit për një çështje të veçantë” nënkupton caktimin e një prokurori me vendim të Këshillit të Lartë të Prokurorisë, për hetimin ose përfaqësimin në gjykatë të një ose disa çështjeve të veçanta, në një prokurori tjetër</w:t>
      </w:r>
      <w:r w:rsidR="00A96DB2">
        <w:rPr>
          <w:rFonts w:ascii="Garamond" w:hAnsi="Garamond" w:cs="Garamond"/>
          <w:color w:val="000000"/>
          <w:sz w:val="24"/>
          <w:szCs w:val="24"/>
        </w:rPr>
        <w:t>,</w:t>
      </w:r>
      <w:r w:rsidRPr="00AB5E5D">
        <w:rPr>
          <w:rFonts w:ascii="Garamond" w:hAnsi="Garamond" w:cs="Garamond"/>
          <w:color w:val="000000"/>
          <w:sz w:val="24"/>
          <w:szCs w:val="24"/>
        </w:rPr>
        <w:t xml:space="preserve"> </w:t>
      </w:r>
      <w:r w:rsidR="00A96DB2" w:rsidRPr="00AB5E5D">
        <w:rPr>
          <w:rFonts w:ascii="Garamond" w:hAnsi="Garamond"/>
        </w:rPr>
        <w:t>të</w:t>
      </w:r>
      <w:r w:rsidRPr="00AB5E5D">
        <w:rPr>
          <w:rFonts w:ascii="Garamond" w:hAnsi="Garamond" w:cs="Garamond"/>
          <w:color w:val="000000"/>
          <w:sz w:val="24"/>
          <w:szCs w:val="24"/>
        </w:rPr>
        <w:t xml:space="preserve"> ndryshme nga ajo ku ushtron funksionin në mënyrë të përhershme, sipas nenit 170/1, të </w:t>
      </w:r>
      <w:r w:rsidR="00A96DB2">
        <w:rPr>
          <w:rFonts w:ascii="Garamond" w:hAnsi="Garamond" w:cs="Garamond"/>
          <w:color w:val="000000"/>
          <w:sz w:val="24"/>
          <w:szCs w:val="24"/>
        </w:rPr>
        <w:t>l</w:t>
      </w:r>
      <w:r w:rsidRPr="00AB5E5D">
        <w:rPr>
          <w:rFonts w:ascii="Garamond" w:hAnsi="Garamond" w:cs="Garamond"/>
          <w:color w:val="000000"/>
          <w:sz w:val="24"/>
          <w:szCs w:val="24"/>
        </w:rPr>
        <w:t>igjit nr. 96/2016</w:t>
      </w:r>
      <w:r w:rsidR="00A96DB2">
        <w:rPr>
          <w:rFonts w:ascii="Garamond" w:hAnsi="Garamond" w:cs="Garamond"/>
          <w:color w:val="000000"/>
          <w:sz w:val="24"/>
          <w:szCs w:val="24"/>
        </w:rPr>
        <w:t>,</w:t>
      </w:r>
      <w:r w:rsidRPr="00AB5E5D">
        <w:rPr>
          <w:rFonts w:ascii="Garamond" w:hAnsi="Garamond" w:cs="Garamond"/>
          <w:color w:val="000000"/>
          <w:sz w:val="24"/>
          <w:szCs w:val="24"/>
        </w:rPr>
        <w:t xml:space="preserve"> “Për statusin e gjyqtarëve dhe prokurorëve në Republikën e Shqipërisë”, </w:t>
      </w:r>
      <w:r w:rsidR="00A96DB2" w:rsidRPr="00AB5E5D">
        <w:rPr>
          <w:rFonts w:ascii="Garamond" w:hAnsi="Garamond"/>
        </w:rPr>
        <w:t>të</w:t>
      </w:r>
      <w:r w:rsidRPr="00AB5E5D">
        <w:rPr>
          <w:rFonts w:ascii="Garamond" w:hAnsi="Garamond" w:cs="Garamond"/>
          <w:color w:val="000000"/>
          <w:sz w:val="24"/>
          <w:szCs w:val="24"/>
        </w:rPr>
        <w:t xml:space="preserve"> ndryshuar. </w:t>
      </w:r>
    </w:p>
    <w:p w14:paraId="162738F4" w14:textId="2D1901CA"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5. “Paga bruto fillestare”, në kuptim të </w:t>
      </w:r>
      <w:r w:rsidR="00A96DB2">
        <w:rPr>
          <w:rFonts w:ascii="Garamond" w:hAnsi="Garamond" w:cs="Garamond"/>
          <w:color w:val="000000"/>
          <w:sz w:val="24"/>
          <w:szCs w:val="24"/>
        </w:rPr>
        <w:t>l</w:t>
      </w:r>
      <w:r w:rsidRPr="00AB5E5D">
        <w:rPr>
          <w:rFonts w:ascii="Garamond" w:hAnsi="Garamond" w:cs="Garamond"/>
          <w:color w:val="000000"/>
          <w:sz w:val="24"/>
          <w:szCs w:val="24"/>
        </w:rPr>
        <w:t>igjit nr. 96/2016</w:t>
      </w:r>
      <w:r w:rsidR="00A96DB2">
        <w:rPr>
          <w:rFonts w:ascii="Garamond" w:hAnsi="Garamond" w:cs="Garamond"/>
          <w:color w:val="000000"/>
          <w:sz w:val="24"/>
          <w:szCs w:val="24"/>
        </w:rPr>
        <w:t>,</w:t>
      </w:r>
      <w:r w:rsidRPr="00AB5E5D">
        <w:rPr>
          <w:rFonts w:ascii="Garamond" w:hAnsi="Garamond" w:cs="Garamond"/>
          <w:color w:val="000000"/>
          <w:sz w:val="24"/>
          <w:szCs w:val="24"/>
        </w:rPr>
        <w:t xml:space="preserve"> “Për statusin e gjyqtarëve dhe prokurorëve në Republikën e Shqipërisë”, </w:t>
      </w:r>
      <w:r w:rsidR="00A96DB2" w:rsidRPr="00AB5E5D">
        <w:rPr>
          <w:rFonts w:ascii="Garamond" w:hAnsi="Garamond"/>
        </w:rPr>
        <w:t>të</w:t>
      </w:r>
      <w:r w:rsidRPr="00AB5E5D">
        <w:rPr>
          <w:rFonts w:ascii="Garamond" w:hAnsi="Garamond" w:cs="Garamond"/>
          <w:color w:val="000000"/>
          <w:sz w:val="24"/>
          <w:szCs w:val="24"/>
        </w:rPr>
        <w:t xml:space="preserve"> ndryshuar, përfaqëson pagën referuese bazë dhe shtesën e pagës në grup, sipas grupeve të pagave (G1, G2, G3), në prokurorinë ku prokurori është i caktuar në mënyrë të përhershme.</w:t>
      </w:r>
    </w:p>
    <w:p w14:paraId="6E2091D5" w14:textId="3366661E"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6. “Prokuror në skemë delegimi” është prokurori i caktuar në një pozicion në skemën e delegimit të krijuar pranë Këshillit të Lartë të Prokurorisë, për të hetuar çështje penale në çdo prokurori.</w:t>
      </w:r>
    </w:p>
    <w:p w14:paraId="576298F6" w14:textId="7FA3EFFD"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7. “Prokuror në skemë delegimi pranë prokurorisë së posaçme” është prokurori i skemës së delegimit i cili përmbush kriteret dhe kushtet e sigurisë, sipas parashikimeve të </w:t>
      </w:r>
      <w:r w:rsidR="00A96DB2">
        <w:rPr>
          <w:rFonts w:ascii="Garamond" w:hAnsi="Garamond" w:cs="Garamond"/>
          <w:color w:val="000000"/>
          <w:sz w:val="24"/>
          <w:szCs w:val="24"/>
        </w:rPr>
        <w:t>l</w:t>
      </w:r>
      <w:r w:rsidRPr="00AB5E5D">
        <w:rPr>
          <w:rFonts w:ascii="Garamond" w:hAnsi="Garamond" w:cs="Garamond"/>
          <w:color w:val="000000"/>
          <w:sz w:val="24"/>
          <w:szCs w:val="24"/>
        </w:rPr>
        <w:t>igjit nr. 95/2016</w:t>
      </w:r>
      <w:r w:rsidR="00A96DB2">
        <w:rPr>
          <w:rFonts w:ascii="Garamond" w:hAnsi="Garamond" w:cs="Garamond"/>
          <w:color w:val="000000"/>
          <w:sz w:val="24"/>
          <w:szCs w:val="24"/>
        </w:rPr>
        <w:t>,</w:t>
      </w:r>
      <w:r w:rsidRPr="00AB5E5D">
        <w:rPr>
          <w:rFonts w:ascii="Garamond" w:hAnsi="Garamond" w:cs="Garamond"/>
          <w:color w:val="000000"/>
          <w:sz w:val="24"/>
          <w:szCs w:val="24"/>
        </w:rPr>
        <w:t xml:space="preserve"> “Për organizimin dhe funksionimin e institucioneve për të luftuar korrupsionin dhe krimin e organizuar”, </w:t>
      </w:r>
      <w:r w:rsidR="00A96DB2" w:rsidRPr="00AB5E5D">
        <w:rPr>
          <w:rFonts w:ascii="Garamond" w:hAnsi="Garamond"/>
        </w:rPr>
        <w:t>të</w:t>
      </w:r>
      <w:r w:rsidRPr="00AB5E5D">
        <w:rPr>
          <w:rFonts w:ascii="Garamond" w:hAnsi="Garamond" w:cs="Garamond"/>
          <w:color w:val="000000"/>
          <w:sz w:val="24"/>
          <w:szCs w:val="24"/>
        </w:rPr>
        <w:t xml:space="preserve"> ndryshuar,</w:t>
      </w:r>
      <w:r w:rsidR="00A96DB2">
        <w:rPr>
          <w:rFonts w:ascii="Garamond" w:hAnsi="Garamond" w:cs="Garamond"/>
          <w:color w:val="000000"/>
          <w:sz w:val="24"/>
          <w:szCs w:val="24"/>
        </w:rPr>
        <w:t xml:space="preserve"> </w:t>
      </w:r>
      <w:r w:rsidRPr="00AB5E5D">
        <w:rPr>
          <w:rFonts w:ascii="Garamond" w:hAnsi="Garamond" w:cs="Garamond"/>
          <w:color w:val="000000"/>
          <w:sz w:val="24"/>
          <w:szCs w:val="24"/>
        </w:rPr>
        <w:t>i caktuar për të shërbyer pranë prokurorisë së posaçme.</w:t>
      </w:r>
    </w:p>
    <w:p w14:paraId="2C73CFFA" w14:textId="7D5F5F80"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8. “Prokuror në skemë delegimi, i caktuar për një çështje të veçantë pranë prokurorisë së posaçme”, është prokurori i skemës së delegimit i cili me vendim të Këshillit të Lartë të Prokurorisë është caktuar për të hetuar një çështje të veçantë pranë prokurorisë së posaçme.</w:t>
      </w:r>
    </w:p>
    <w:p w14:paraId="4C52B8F6" w14:textId="4EDFB3BA"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9. “Trajtim financiar” është shtesa mbi pagë dhe kompensimi për shërbimin në skemën e delegimit, për transferimin e përkohshëm, caktimin e përkohshëm ose caktimin për një çështje të veçantë.</w:t>
      </w:r>
    </w:p>
    <w:p w14:paraId="267A1A83" w14:textId="76FEB4B8"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lastRenderedPageBreak/>
        <w:t>10. “Ditë” për qëllime të këtij udhëzimi konsiderohen ditë pune.</w:t>
      </w:r>
    </w:p>
    <w:p w14:paraId="04B8DAA0" w14:textId="40559D86"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11. “Territor” konsiderohet njësia administrative/bashkia ku ndodhet prokuroria</w:t>
      </w:r>
      <w:r w:rsidR="00A96DB2">
        <w:rPr>
          <w:rFonts w:ascii="Garamond" w:hAnsi="Garamond" w:cs="Garamond"/>
          <w:color w:val="000000"/>
          <w:sz w:val="24"/>
          <w:szCs w:val="24"/>
        </w:rPr>
        <w:t>,</w:t>
      </w:r>
      <w:r w:rsidRPr="00AB5E5D">
        <w:rPr>
          <w:rFonts w:ascii="Garamond" w:hAnsi="Garamond" w:cs="Garamond"/>
          <w:color w:val="000000"/>
          <w:sz w:val="24"/>
          <w:szCs w:val="24"/>
        </w:rPr>
        <w:t xml:space="preserve"> ku prokurori është i caktuar në mënyrë të përhershme në pozicion ose territori i vendbanimit të tij të përhershëm.</w:t>
      </w:r>
    </w:p>
    <w:p w14:paraId="3E36DD3D" w14:textId="2F88E5C3"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12. “Këshill” është Këshilli i Lartë i Prokurorisë.</w:t>
      </w:r>
    </w:p>
    <w:p w14:paraId="59D2352A"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0DE2D9E6"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4</w:t>
      </w:r>
    </w:p>
    <w:p w14:paraId="52CE0E6A"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Shtesa e pagës për prokurorët në skemë delegimi dhe ata të caktuar për çështje gjyqësore të veçanta, që nuk janë pjesë e kësaj skeme</w:t>
      </w:r>
    </w:p>
    <w:p w14:paraId="460BEBBF"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525FE629" w14:textId="31E339A4"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1. Prokurori në skemë delegimi, i caktuar me vendim të Këshillit, përfiton 10 për qind shtesë page mbi pagën bruto fillestare. Kjo shtesë paguhet në prokurorinë ku është i caktuar në mënyrë të përhershme, me përjashtim të rasteve kur Këshilli me vendim vendos ndryshe.</w:t>
      </w:r>
    </w:p>
    <w:p w14:paraId="5A271413" w14:textId="75270D36"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2. Prokurori në skemë delegimi, i caktuar nga Këshilli pranë Prokurorisë së Posaçme, përfiton për vështirësi shtesë page në masën 80 për qind mbi pagën bruto fillestare. Kjo shtesë page paguhet nga prokuroria ku është i caktuar në mënyrë të përhershme, për gjithë periudhën e ushtrimit të shërbimit pranë skemës së delegimit, me përjashtim të rasteve kur Këshilli me vendim vendos ndryshe.</w:t>
      </w:r>
    </w:p>
    <w:p w14:paraId="55AFA6AE" w14:textId="59649349"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3. Prokurori i cili caktohet nga Këshilli për çështje të veçanta pranë Prokurorisë së Posaçme, përfiton për vështirësi shtesë page në masën 40 për qind mbi pagën bruto fillestare. Kjo shtesë page paguhet nga prokuroria ku është i caktuar në mënyrë të përhershme dhe llogaritet në raport me ditët kur prokurori ka kryer veprime hetimore ose ka përfaqësuar çështje në gjykatë, për llogari të Prokurorisë së Posaçme.</w:t>
      </w:r>
    </w:p>
    <w:p w14:paraId="4E9A574C"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1FEA73DD"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5</w:t>
      </w:r>
    </w:p>
    <w:p w14:paraId="006BA74D"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Mënyra e kompensimit për shërbimin në skemën e delegimit, për transferimin e përkohshëm, për caktimin e përkohshëm të prokurorit dhe për caktimin për një çështje të veçantë</w:t>
      </w:r>
    </w:p>
    <w:p w14:paraId="3CFDE96C"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color w:val="000000"/>
          <w:sz w:val="24"/>
          <w:szCs w:val="24"/>
        </w:rPr>
      </w:pPr>
    </w:p>
    <w:p w14:paraId="73F0B3C4" w14:textId="7632B924"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1. Prokurori në skemën e delegimit, i transferuar apo caktuar përkohësisht, në prokuroritë e juridiksionit të përgjithshëm dhe të posaçëm, të shkallës së parë dhe apelit, për jo më shumë se njëzet e dy ditë pune, përfiton kompensim financiar për mbulimin e shpenzimeve të qëndrimit, shpenzimeve të transportit, si dhe dietë ditore për çdo ditë të ushtrimit të funksionit pranë prokurorisë ku delegohet, transferohet përkohësisht ose caktohet përkohësisht.</w:t>
      </w:r>
    </w:p>
    <w:p w14:paraId="0C1D7CC6" w14:textId="12F582E8"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2. Prokurori në skemën e delegimit, i transferuar apo caktuar përkohësisht, në prokuroritë e juridiksionit të përgjithshëm dhe të posaçëm, të shkallës së parë dhe apelit, për një periudhë kohore më të gjatë se njëzet e dy ditë, përfiton një kompensim mujor në masën 80 për qind të pagës referuese bazë. Ky kompensim mbulon çdo shpenzim për qëndrimin dhe transportin e prokurorit në prokurorinë ku prokurori është deleguar, transferuar apo caktuar përkohësisht.</w:t>
      </w:r>
    </w:p>
    <w:p w14:paraId="10613A0B" w14:textId="297BA964"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3. Prokurori i caktuar për një çështje të veçantë, në një prokurori tjetër, të ndryshme nga ajo ku ushtron funksionin në mënyrë të përhershme, përfiton kompensim financiar për mbulimin e shpenzimeve të qëndrimit, shpenzimeve të transportit, si dhe dietë ditore për çdo ditë të ushtrimit të funksionit pranë prokurorisë ku caktohet</w:t>
      </w:r>
      <w:r w:rsidR="00A96DB2">
        <w:rPr>
          <w:rFonts w:ascii="Garamond" w:hAnsi="Garamond" w:cs="Garamond"/>
          <w:color w:val="000000"/>
          <w:sz w:val="24"/>
          <w:szCs w:val="24"/>
        </w:rPr>
        <w:t>,</w:t>
      </w:r>
      <w:r w:rsidRPr="00AB5E5D">
        <w:rPr>
          <w:rFonts w:ascii="Garamond" w:hAnsi="Garamond" w:cs="Garamond"/>
          <w:color w:val="000000"/>
          <w:sz w:val="24"/>
          <w:szCs w:val="24"/>
        </w:rPr>
        <w:t xml:space="preserve"> por jo kompensim mujor financiar në masën 80 për qind të pagës referuese bazë.</w:t>
      </w:r>
    </w:p>
    <w:p w14:paraId="78D6A818" w14:textId="081E29CA"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4. Shpenzimet e transportit llogariten në bazë të distancës më të shkurtër që rezulton ndërmjet prokurorisë ku ai delegohet, transferohet përkohësisht, caktohet përkohësisht apo caktohet për një çështje të veçantë, me prokurorinë ku ai është i caktuar në mënyrë të përhershme në pozicion ose me vendbanimin e tij të përhershëm.</w:t>
      </w:r>
    </w:p>
    <w:p w14:paraId="1850DB62" w14:textId="4F3AC5E1"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5. Prokurori nuk përfiton kompensim financiar</w:t>
      </w:r>
      <w:r w:rsidR="00A96DB2">
        <w:rPr>
          <w:rFonts w:ascii="Garamond" w:hAnsi="Garamond" w:cs="Garamond"/>
          <w:color w:val="000000"/>
          <w:sz w:val="24"/>
          <w:szCs w:val="24"/>
        </w:rPr>
        <w:t>,</w:t>
      </w:r>
      <w:r w:rsidRPr="00AB5E5D">
        <w:rPr>
          <w:rFonts w:ascii="Garamond" w:hAnsi="Garamond" w:cs="Garamond"/>
          <w:color w:val="000000"/>
          <w:sz w:val="24"/>
          <w:szCs w:val="24"/>
        </w:rPr>
        <w:t xml:space="preserve"> sipas kësaj rregulloreje</w:t>
      </w:r>
      <w:r w:rsidR="00A96DB2">
        <w:rPr>
          <w:rFonts w:ascii="Garamond" w:hAnsi="Garamond" w:cs="Garamond"/>
          <w:color w:val="000000"/>
          <w:sz w:val="24"/>
          <w:szCs w:val="24"/>
        </w:rPr>
        <w:t>,</w:t>
      </w:r>
      <w:r w:rsidRPr="00AB5E5D">
        <w:rPr>
          <w:rFonts w:ascii="Garamond" w:hAnsi="Garamond" w:cs="Garamond"/>
          <w:color w:val="000000"/>
          <w:sz w:val="24"/>
          <w:szCs w:val="24"/>
        </w:rPr>
        <w:t xml:space="preserve"> në rastet kur prokuroria ku ai delegohet, transferohet përkohësisht, caktohet përkohësisht apo caktohet për një çështje të veçantë, ndodhet në të njëjtin territor me prokurorinë ku ai është i caktuar në mënyrë të përhershme në pozicion ose në territorin e vendbanimit të tij të përhershëm.</w:t>
      </w:r>
    </w:p>
    <w:p w14:paraId="70FCF419"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332D5772"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6D808DB3"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6</w:t>
      </w:r>
    </w:p>
    <w:p w14:paraId="77C8EB55"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Procedura për miratimin dhe kompensimin për shërbimin në skemën e delegimit, për transferimin e përkohshëm, për caktimin e përkohshëm të prokurorit dhe për caktimin për një çështje të veçantë</w:t>
      </w:r>
    </w:p>
    <w:p w14:paraId="71F91DE0"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7CFC2045" w14:textId="4AFE5684"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1. Prokurori përfitues</w:t>
      </w:r>
      <w:r w:rsidR="00A96DB2">
        <w:rPr>
          <w:rFonts w:ascii="Garamond" w:hAnsi="Garamond" w:cs="Garamond"/>
          <w:color w:val="000000"/>
          <w:sz w:val="24"/>
          <w:szCs w:val="24"/>
        </w:rPr>
        <w:t>,</w:t>
      </w:r>
      <w:r w:rsidRPr="00AB5E5D">
        <w:rPr>
          <w:rFonts w:ascii="Garamond" w:hAnsi="Garamond" w:cs="Garamond"/>
          <w:color w:val="000000"/>
          <w:sz w:val="24"/>
          <w:szCs w:val="24"/>
        </w:rPr>
        <w:t xml:space="preserve"> sipas pikave 1 dhe 3, të nenit 5 të kësaj rregulloreje, paraqet dokumentacionin vërtetues justifikues, lidhur me shpenzimet e kryera për qëndrimin, transportin dhe dietën ditore, për çdo ditë të ushtrimit të funksionit pranë prokurorisë ku delegohet, transferohet përkohësisht, caktohet përkohësisht apo caktohet për një çështje të veçantë, sipas përcaktimeve </w:t>
      </w:r>
      <w:r w:rsidR="00A96DB2" w:rsidRPr="00AB5E5D">
        <w:rPr>
          <w:rFonts w:ascii="Garamond" w:hAnsi="Garamond" w:cs="Garamond"/>
          <w:color w:val="000000"/>
          <w:sz w:val="24"/>
          <w:szCs w:val="24"/>
        </w:rPr>
        <w:t>në v</w:t>
      </w:r>
      <w:r w:rsidRPr="00AB5E5D">
        <w:rPr>
          <w:rFonts w:ascii="Garamond" w:hAnsi="Garamond" w:cs="Garamond"/>
          <w:color w:val="000000"/>
          <w:sz w:val="24"/>
          <w:szCs w:val="24"/>
        </w:rPr>
        <w:t>endimin e Këshillit të Ministrave nr. 997, datë 10.12.2010</w:t>
      </w:r>
      <w:r w:rsidR="00A96DB2">
        <w:rPr>
          <w:rFonts w:ascii="Garamond" w:hAnsi="Garamond" w:cs="Garamond"/>
          <w:color w:val="000000"/>
          <w:sz w:val="24"/>
          <w:szCs w:val="24"/>
        </w:rPr>
        <w:t>,</w:t>
      </w:r>
      <w:r w:rsidRPr="00AB5E5D">
        <w:rPr>
          <w:rFonts w:ascii="Garamond" w:hAnsi="Garamond" w:cs="Garamond"/>
          <w:color w:val="000000"/>
          <w:sz w:val="24"/>
          <w:szCs w:val="24"/>
        </w:rPr>
        <w:t xml:space="preserve"> “Për trajtimin financiar të punonjësve që dërgohen me shërbim jashtë qendrës së punës, brenda vendit”, i ndryshuar. </w:t>
      </w:r>
    </w:p>
    <w:p w14:paraId="0CBAFEB7" w14:textId="1D88D28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2. Prokurori përfitues</w:t>
      </w:r>
      <w:r w:rsidR="00A96DB2">
        <w:rPr>
          <w:rFonts w:ascii="Garamond" w:hAnsi="Garamond" w:cs="Garamond"/>
          <w:color w:val="000000"/>
          <w:sz w:val="24"/>
          <w:szCs w:val="24"/>
        </w:rPr>
        <w:t>,</w:t>
      </w:r>
      <w:r w:rsidRPr="00AB5E5D">
        <w:rPr>
          <w:rFonts w:ascii="Garamond" w:hAnsi="Garamond" w:cs="Garamond"/>
          <w:color w:val="000000"/>
          <w:sz w:val="24"/>
          <w:szCs w:val="24"/>
        </w:rPr>
        <w:t xml:space="preserve"> sipas pikës 2, të nenit 5 të kësaj rregulloreje, kur delegohet, transferohet përkohësisht, caktohet përkohësisht për një periudhë kohore më të gjatë se njëzet e dy ditë, kompensohet financiarisht për çdo muaj në vlerën 80 për qind të pagës referuese bazë.</w:t>
      </w:r>
    </w:p>
    <w:p w14:paraId="7EAD1788" w14:textId="1698E8C6"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3. Kompensimi financiar realizohet pas nxjerrjes </w:t>
      </w:r>
      <w:r w:rsidR="00A96DB2">
        <w:rPr>
          <w:rFonts w:ascii="Garamond" w:hAnsi="Garamond" w:cs="Garamond"/>
          <w:color w:val="000000"/>
          <w:sz w:val="24"/>
          <w:szCs w:val="24"/>
        </w:rPr>
        <w:t>s</w:t>
      </w:r>
      <w:r w:rsidRPr="00AB5E5D">
        <w:rPr>
          <w:rFonts w:ascii="Garamond" w:hAnsi="Garamond" w:cs="Garamond"/>
          <w:color w:val="000000"/>
          <w:sz w:val="24"/>
          <w:szCs w:val="24"/>
        </w:rPr>
        <w:t>ë urdhrit nga drejtuesi i prokurorisë, në të cilën përcaktohet prokurori përfitues, periudha si dhe masa e kompensimit financiar. Urdhri mbështetet në dokumentacionin justifikues vërtetues, si më poshtë:</w:t>
      </w:r>
    </w:p>
    <w:p w14:paraId="517016BB"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a) Kërkesën e bërë me shkrim nga prokurori në skemë delegimi, i transferuar përkohësisht, i caktuar përkohësisht apo i caktuar për një çështje të veçantë lidhur me kompensimin; </w:t>
      </w:r>
    </w:p>
    <w:p w14:paraId="5424EBC9" w14:textId="0326A10A"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b) Vendimin e Këshillit mbi caktimin në skemën e delegimit, transferimin e përkohshëm, caktimin e përkohshëm apo caktimin për një çështje të veçantë;</w:t>
      </w:r>
    </w:p>
    <w:p w14:paraId="27764E6B" w14:textId="7BFCBD71"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c) Vërtetimin e vendbanimit të tij të përhershëm;</w:t>
      </w:r>
    </w:p>
    <w:p w14:paraId="00AB34E5" w14:textId="5B193679"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ç) Dokumentacionin justifikues vërtetues</w:t>
      </w:r>
      <w:r w:rsidR="00A96DB2">
        <w:rPr>
          <w:rFonts w:ascii="Garamond" w:hAnsi="Garamond" w:cs="Garamond"/>
          <w:color w:val="000000"/>
          <w:sz w:val="24"/>
          <w:szCs w:val="24"/>
        </w:rPr>
        <w:t>,</w:t>
      </w:r>
      <w:r w:rsidRPr="00AB5E5D">
        <w:rPr>
          <w:rFonts w:ascii="Garamond" w:hAnsi="Garamond" w:cs="Garamond"/>
          <w:color w:val="000000"/>
          <w:sz w:val="24"/>
          <w:szCs w:val="24"/>
        </w:rPr>
        <w:t xml:space="preserve"> sipas pikave 1 dhe 3, të nenit 5 të kësaj rregulloreje, për rastet jo më shumë se 22 ditë pune.</w:t>
      </w:r>
    </w:p>
    <w:p w14:paraId="2AE5595A"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4. Mosparaqitja e dokumentacionit të përcaktuar në pikën e mësipërme të këtij udhëzimi përbën shkak për moskryerjen e pagesës. </w:t>
      </w:r>
    </w:p>
    <w:p w14:paraId="3BA19847"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415BB9AE"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7</w:t>
      </w:r>
    </w:p>
    <w:p w14:paraId="76EF1289"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Buxheti dhe zbatimi</w:t>
      </w:r>
    </w:p>
    <w:p w14:paraId="4CA7192A"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417D42CA" w14:textId="714BA868"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1. Trajtimi financiar për prokurorët sipas përcaktimeve të mësipërme përballohet nga fondet buxhetore nga prokuroria në të cilën prokurori është caktuar në mënyrë të përhershme, përveçse në rastet kur është vendosur ndryshe</w:t>
      </w:r>
      <w:r w:rsidRPr="00AB5E5D">
        <w:rPr>
          <w:rFonts w:ascii="Garamond" w:hAnsi="Garamond" w:cs="Garamond"/>
          <w:color w:val="C00000"/>
          <w:sz w:val="24"/>
          <w:szCs w:val="24"/>
        </w:rPr>
        <w:t xml:space="preserve"> </w:t>
      </w:r>
      <w:r w:rsidRPr="00AB5E5D">
        <w:rPr>
          <w:rFonts w:ascii="Garamond" w:hAnsi="Garamond" w:cs="Garamond"/>
          <w:color w:val="000000"/>
          <w:sz w:val="24"/>
          <w:szCs w:val="24"/>
        </w:rPr>
        <w:t>nga Këshilli.</w:t>
      </w:r>
    </w:p>
    <w:p w14:paraId="029A9AD3" w14:textId="559292CD"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2. Programimi i fondeve buxhetore të nevojshme për shpenzimet e trajtimit financiar si pasojë e zbatimit të kësaj rregulloreje bëhet nga secila prokurori, gjatë procesit të hartimit të projektbuxhetit, për çdo vit buxhetor.</w:t>
      </w:r>
    </w:p>
    <w:p w14:paraId="227542C9" w14:textId="09433B7D"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3. Ngarkohen prokuroritë e juridiksionit të përgjithshëm, të shkallës së parë dhe të apelit, Prokuroria e Përgjithshme dhe Prokuroria e Posaçme, për zbatimin e kësaj rregulloreje.</w:t>
      </w:r>
    </w:p>
    <w:p w14:paraId="078FEC30"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3764A87B"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8</w:t>
      </w:r>
    </w:p>
    <w:p w14:paraId="2BA0559F"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Dispozita kalimtare</w:t>
      </w:r>
    </w:p>
    <w:p w14:paraId="41016D8F"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6ED4D4A6" w14:textId="0A81274A"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 xml:space="preserve">1. Prokurori në skemën e delegimit, i transferuar përkohësisht, i caktuar përkohësisht apo i caktuar për një çështje të veçantë, që ka shërbyer si më sipër përpara hyrjes në fuqi të kësaj rregulloreje, trajtohet financiarisht sipas përcaktimeve të kësaj rregulloreje nga hyrja në fuqi e </w:t>
      </w:r>
      <w:r w:rsidR="00A96DB2">
        <w:rPr>
          <w:rFonts w:ascii="Garamond" w:hAnsi="Garamond" w:cs="Garamond"/>
          <w:color w:val="000000"/>
          <w:sz w:val="24"/>
          <w:szCs w:val="24"/>
        </w:rPr>
        <w:t>l</w:t>
      </w:r>
      <w:r w:rsidRPr="00AB5E5D">
        <w:rPr>
          <w:rFonts w:ascii="Garamond" w:hAnsi="Garamond" w:cs="Garamond"/>
          <w:color w:val="000000"/>
          <w:sz w:val="24"/>
          <w:szCs w:val="24"/>
        </w:rPr>
        <w:t>igjit nr. 50/2021</w:t>
      </w:r>
      <w:r w:rsidR="00A96DB2">
        <w:rPr>
          <w:rFonts w:ascii="Garamond" w:hAnsi="Garamond" w:cs="Garamond"/>
          <w:color w:val="000000"/>
          <w:sz w:val="24"/>
          <w:szCs w:val="24"/>
        </w:rPr>
        <w:t>,</w:t>
      </w:r>
      <w:r w:rsidRPr="00AB5E5D">
        <w:rPr>
          <w:rFonts w:ascii="Garamond" w:hAnsi="Garamond" w:cs="Garamond"/>
          <w:color w:val="000000"/>
          <w:sz w:val="24"/>
          <w:szCs w:val="24"/>
        </w:rPr>
        <w:t xml:space="preserve"> “Për disa shtesa dhe ndryshime në </w:t>
      </w:r>
      <w:r w:rsidR="00A96DB2">
        <w:rPr>
          <w:rFonts w:ascii="Garamond" w:hAnsi="Garamond" w:cs="Garamond"/>
          <w:color w:val="000000"/>
          <w:sz w:val="24"/>
          <w:szCs w:val="24"/>
        </w:rPr>
        <w:t>l</w:t>
      </w:r>
      <w:r w:rsidRPr="00AB5E5D">
        <w:rPr>
          <w:rFonts w:ascii="Garamond" w:hAnsi="Garamond" w:cs="Garamond"/>
          <w:color w:val="000000"/>
          <w:sz w:val="24"/>
          <w:szCs w:val="24"/>
        </w:rPr>
        <w:t>igjin nr. 96/2016</w:t>
      </w:r>
      <w:r w:rsidR="00A96DB2">
        <w:rPr>
          <w:rFonts w:ascii="Garamond" w:hAnsi="Garamond" w:cs="Garamond"/>
          <w:color w:val="000000"/>
          <w:sz w:val="24"/>
          <w:szCs w:val="24"/>
        </w:rPr>
        <w:t>,</w:t>
      </w:r>
      <w:r w:rsidRPr="00AB5E5D">
        <w:rPr>
          <w:rFonts w:ascii="Garamond" w:hAnsi="Garamond" w:cs="Garamond"/>
          <w:color w:val="000000"/>
          <w:sz w:val="24"/>
          <w:szCs w:val="24"/>
        </w:rPr>
        <w:t xml:space="preserve"> </w:t>
      </w:r>
      <w:r w:rsidR="00A96DB2">
        <w:rPr>
          <w:rFonts w:ascii="Garamond" w:hAnsi="Garamond" w:cs="Garamond"/>
          <w:color w:val="000000"/>
          <w:sz w:val="24"/>
          <w:szCs w:val="24"/>
        </w:rPr>
        <w:t>‘</w:t>
      </w:r>
      <w:r w:rsidRPr="00AB5E5D">
        <w:rPr>
          <w:rFonts w:ascii="Garamond" w:hAnsi="Garamond" w:cs="Garamond"/>
          <w:color w:val="000000"/>
          <w:sz w:val="24"/>
          <w:szCs w:val="24"/>
        </w:rPr>
        <w:t>Për statusin e gjyqtarëve dhe prokurorëve në Republikën e Shqipërisë</w:t>
      </w:r>
      <w:r w:rsidR="00A96DB2">
        <w:rPr>
          <w:rFonts w:ascii="Garamond" w:hAnsi="Garamond" w:cs="Garamond"/>
          <w:color w:val="000000"/>
          <w:sz w:val="24"/>
          <w:szCs w:val="24"/>
        </w:rPr>
        <w:t>’</w:t>
      </w:r>
      <w:r w:rsidRPr="00AB5E5D">
        <w:rPr>
          <w:rFonts w:ascii="Garamond" w:hAnsi="Garamond" w:cs="Garamond"/>
          <w:color w:val="000000"/>
          <w:sz w:val="24"/>
          <w:szCs w:val="24"/>
        </w:rPr>
        <w:t>”, i ndryshuar, përveç rasteve kur Këshilli me vendim ka përcaktuar masën e trajtimit financiar.</w:t>
      </w:r>
    </w:p>
    <w:p w14:paraId="65152B30" w14:textId="1CC62414"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lastRenderedPageBreak/>
        <w:t>2. Kur prokuroria pranë së cilës ka qenë i caktuar në mënyrë të përhershme</w:t>
      </w:r>
      <w:r w:rsidR="00A96DB2">
        <w:rPr>
          <w:rFonts w:ascii="Garamond" w:hAnsi="Garamond" w:cs="Garamond"/>
          <w:color w:val="000000"/>
          <w:sz w:val="24"/>
          <w:szCs w:val="24"/>
        </w:rPr>
        <w:t xml:space="preserve"> </w:t>
      </w:r>
      <w:r w:rsidRPr="00AB5E5D">
        <w:rPr>
          <w:rFonts w:ascii="Garamond" w:hAnsi="Garamond" w:cs="Garamond"/>
          <w:color w:val="000000"/>
          <w:sz w:val="24"/>
          <w:szCs w:val="24"/>
        </w:rPr>
        <w:t>prokurori i transferuar përkohësisht, i caktuar përkohësisht apo i caktuar për një çështje të veçantë ka ndërprerë veprimtarinë për shkak të riorganizimit, trajtimi financiar do të përballohet nga prokuroria pranë së cilës prokurori është transferuar pas riorganizimit.</w:t>
      </w:r>
    </w:p>
    <w:p w14:paraId="7826AEC5"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7F0BAFB4"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Cs/>
          <w:color w:val="000000"/>
          <w:sz w:val="24"/>
          <w:szCs w:val="24"/>
        </w:rPr>
      </w:pPr>
      <w:r w:rsidRPr="00AB5E5D">
        <w:rPr>
          <w:rFonts w:ascii="Garamond" w:hAnsi="Garamond" w:cs="Garamond"/>
          <w:bCs/>
          <w:color w:val="000000"/>
          <w:sz w:val="24"/>
          <w:szCs w:val="24"/>
        </w:rPr>
        <w:t>Neni 9</w:t>
      </w:r>
    </w:p>
    <w:p w14:paraId="7E607B35" w14:textId="77777777" w:rsidR="00EA1EE6" w:rsidRPr="00AB5E5D" w:rsidRDefault="00EA1EE6" w:rsidP="00EA1EE6">
      <w:pPr>
        <w:autoSpaceDE w:val="0"/>
        <w:autoSpaceDN w:val="0"/>
        <w:adjustRightInd w:val="0"/>
        <w:spacing w:after="0" w:line="240" w:lineRule="auto"/>
        <w:ind w:firstLine="284"/>
        <w:jc w:val="center"/>
        <w:rPr>
          <w:rFonts w:ascii="Garamond" w:hAnsi="Garamond" w:cs="Garamond"/>
          <w:b/>
          <w:bCs/>
          <w:color w:val="000000"/>
          <w:sz w:val="24"/>
          <w:szCs w:val="24"/>
        </w:rPr>
      </w:pPr>
      <w:r w:rsidRPr="00AB5E5D">
        <w:rPr>
          <w:rFonts w:ascii="Garamond" w:hAnsi="Garamond" w:cs="Garamond"/>
          <w:b/>
          <w:bCs/>
          <w:color w:val="000000"/>
          <w:sz w:val="24"/>
          <w:szCs w:val="24"/>
        </w:rPr>
        <w:t>Hyrja në fuqi</w:t>
      </w:r>
    </w:p>
    <w:p w14:paraId="566392F8"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p>
    <w:p w14:paraId="450A1188"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color w:val="000000"/>
          <w:sz w:val="24"/>
          <w:szCs w:val="24"/>
        </w:rPr>
      </w:pPr>
      <w:r w:rsidRPr="00AB5E5D">
        <w:rPr>
          <w:rFonts w:ascii="Garamond" w:hAnsi="Garamond" w:cs="Garamond"/>
          <w:color w:val="000000"/>
          <w:sz w:val="24"/>
          <w:szCs w:val="24"/>
        </w:rPr>
        <w:t>Kjo rregullore hyn në fuqi në datën e botimit në Fletoren Zyrtare.</w:t>
      </w:r>
    </w:p>
    <w:p w14:paraId="2E4F554A"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b/>
          <w:bCs/>
          <w:color w:val="000000"/>
          <w:sz w:val="24"/>
          <w:szCs w:val="24"/>
        </w:rPr>
      </w:pPr>
    </w:p>
    <w:p w14:paraId="64AD3987" w14:textId="3B18463F" w:rsidR="00EA1EE6" w:rsidRDefault="00EA1EE6" w:rsidP="00EA1EE6">
      <w:pPr>
        <w:autoSpaceDE w:val="0"/>
        <w:autoSpaceDN w:val="0"/>
        <w:adjustRightInd w:val="0"/>
        <w:spacing w:after="0" w:line="240" w:lineRule="auto"/>
        <w:ind w:firstLine="284"/>
        <w:jc w:val="right"/>
        <w:rPr>
          <w:rFonts w:ascii="Garamond" w:hAnsi="Garamond" w:cs="Garamond"/>
          <w:bCs/>
          <w:color w:val="000000"/>
          <w:sz w:val="24"/>
          <w:szCs w:val="24"/>
        </w:rPr>
      </w:pPr>
      <w:r w:rsidRPr="00525FD5">
        <w:rPr>
          <w:rFonts w:ascii="Garamond" w:hAnsi="Garamond" w:cs="Garamond"/>
          <w:bCs/>
          <w:color w:val="000000"/>
          <w:sz w:val="24"/>
          <w:szCs w:val="24"/>
        </w:rPr>
        <w:t>KËSHILLI I LARTË I PROKURORISË</w:t>
      </w:r>
      <w:bookmarkStart w:id="1" w:name="_GoBack"/>
      <w:bookmarkEnd w:id="1"/>
    </w:p>
    <w:p w14:paraId="2D4BA76B" w14:textId="77777777" w:rsidR="00A96DB2" w:rsidRPr="00AB5E5D" w:rsidRDefault="00A96DB2" w:rsidP="00EA1EE6">
      <w:pPr>
        <w:autoSpaceDE w:val="0"/>
        <w:autoSpaceDN w:val="0"/>
        <w:adjustRightInd w:val="0"/>
        <w:spacing w:after="0" w:line="240" w:lineRule="auto"/>
        <w:ind w:firstLine="284"/>
        <w:jc w:val="right"/>
        <w:rPr>
          <w:rFonts w:ascii="Garamond" w:hAnsi="Garamond" w:cs="Garamond"/>
          <w:bCs/>
          <w:color w:val="000000"/>
          <w:sz w:val="24"/>
          <w:szCs w:val="24"/>
        </w:rPr>
      </w:pPr>
    </w:p>
    <w:p w14:paraId="6484EAC6" w14:textId="77777777" w:rsidR="00EA1EE6" w:rsidRPr="00AB5E5D" w:rsidRDefault="00EA1EE6" w:rsidP="00EA1EE6">
      <w:pPr>
        <w:autoSpaceDE w:val="0"/>
        <w:autoSpaceDN w:val="0"/>
        <w:adjustRightInd w:val="0"/>
        <w:spacing w:after="0" w:line="240" w:lineRule="auto"/>
        <w:ind w:firstLine="284"/>
        <w:jc w:val="both"/>
        <w:rPr>
          <w:rFonts w:ascii="Garamond" w:hAnsi="Garamond" w:cs="Garamond"/>
          <w:b/>
          <w:bCs/>
          <w:color w:val="000000"/>
          <w:sz w:val="24"/>
          <w:szCs w:val="24"/>
        </w:rPr>
      </w:pPr>
    </w:p>
    <w:p w14:paraId="7873FD33" w14:textId="77777777" w:rsidR="00252C94" w:rsidRPr="00AB5E5D" w:rsidRDefault="00252C94" w:rsidP="00EA1EE6">
      <w:pPr>
        <w:spacing w:after="0" w:line="240" w:lineRule="auto"/>
        <w:ind w:firstLine="284"/>
        <w:rPr>
          <w:rFonts w:ascii="Garamond" w:hAnsi="Garamond"/>
          <w:sz w:val="24"/>
          <w:szCs w:val="24"/>
        </w:rPr>
      </w:pPr>
    </w:p>
    <w:sectPr w:rsidR="00252C94" w:rsidRPr="00AB5E5D" w:rsidSect="00AB5E5D">
      <w:pgSz w:w="12240" w:h="15840"/>
      <w:pgMar w:top="1135" w:right="1608" w:bottom="851" w:left="15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5D3ECD" w14:textId="77777777" w:rsidR="00525FD5" w:rsidRDefault="00525FD5">
      <w:pPr>
        <w:spacing w:after="0" w:line="240" w:lineRule="auto"/>
      </w:pPr>
      <w:r>
        <w:separator/>
      </w:r>
    </w:p>
  </w:endnote>
  <w:endnote w:type="continuationSeparator" w:id="0">
    <w:p w14:paraId="00715A40" w14:textId="77777777" w:rsidR="00525FD5" w:rsidRDefault="00525FD5">
      <w:pPr>
        <w:spacing w:after="0" w:line="240" w:lineRule="auto"/>
      </w:pPr>
      <w:r>
        <w:continuationSeparator/>
      </w:r>
    </w:p>
  </w:endnote>
  <w:endnote w:type="continuationNotice" w:id="1">
    <w:p w14:paraId="6FE2FAEA" w14:textId="77777777" w:rsidR="00525FD5" w:rsidRDefault="00525F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026459" w14:textId="77777777" w:rsidR="00525FD5" w:rsidRDefault="00525FD5">
      <w:pPr>
        <w:spacing w:after="0" w:line="240" w:lineRule="auto"/>
      </w:pPr>
      <w:r>
        <w:separator/>
      </w:r>
    </w:p>
  </w:footnote>
  <w:footnote w:type="continuationSeparator" w:id="0">
    <w:p w14:paraId="66881C5C" w14:textId="77777777" w:rsidR="00525FD5" w:rsidRDefault="00525FD5">
      <w:pPr>
        <w:spacing w:after="0" w:line="240" w:lineRule="auto"/>
      </w:pPr>
      <w:r>
        <w:continuationSeparator/>
      </w:r>
    </w:p>
  </w:footnote>
  <w:footnote w:type="continuationNotice" w:id="1">
    <w:p w14:paraId="4EC1527D" w14:textId="77777777" w:rsidR="00525FD5" w:rsidRDefault="00525FD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33094"/>
    <w:multiLevelType w:val="hybridMultilevel"/>
    <w:tmpl w:val="D73A6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E6A6A"/>
    <w:multiLevelType w:val="hybridMultilevel"/>
    <w:tmpl w:val="709A3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9E2D77"/>
    <w:multiLevelType w:val="hybridMultilevel"/>
    <w:tmpl w:val="453679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A27DF6"/>
    <w:multiLevelType w:val="hybridMultilevel"/>
    <w:tmpl w:val="2250B7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7A0C29"/>
    <w:multiLevelType w:val="hybridMultilevel"/>
    <w:tmpl w:val="858E2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53329"/>
    <w:multiLevelType w:val="hybridMultilevel"/>
    <w:tmpl w:val="A2148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0870B9"/>
    <w:multiLevelType w:val="hybridMultilevel"/>
    <w:tmpl w:val="573ADF90"/>
    <w:lvl w:ilvl="0" w:tplc="08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33C41232"/>
    <w:multiLevelType w:val="hybridMultilevel"/>
    <w:tmpl w:val="7818C5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AD08BA"/>
    <w:multiLevelType w:val="hybridMultilevel"/>
    <w:tmpl w:val="70724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7C6202"/>
    <w:multiLevelType w:val="hybridMultilevel"/>
    <w:tmpl w:val="AC747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9826B6"/>
    <w:multiLevelType w:val="hybridMultilevel"/>
    <w:tmpl w:val="9C76D0DE"/>
    <w:lvl w:ilvl="0" w:tplc="0809001B">
      <w:start w:val="1"/>
      <w:numFmt w:val="lowerRoman"/>
      <w:lvlText w:val="%1."/>
      <w:lvlJc w:val="right"/>
      <w:pPr>
        <w:ind w:left="780" w:hanging="360"/>
      </w:p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11" w15:restartNumberingAfterBreak="0">
    <w:nsid w:val="467534F0"/>
    <w:multiLevelType w:val="hybridMultilevel"/>
    <w:tmpl w:val="87FAFF3C"/>
    <w:lvl w:ilvl="0" w:tplc="08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47A66F14"/>
    <w:multiLevelType w:val="hybridMultilevel"/>
    <w:tmpl w:val="3B5A4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DF2051"/>
    <w:multiLevelType w:val="hybridMultilevel"/>
    <w:tmpl w:val="D6F27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25011C"/>
    <w:multiLevelType w:val="hybridMultilevel"/>
    <w:tmpl w:val="08B8B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EE20A6"/>
    <w:multiLevelType w:val="hybridMultilevel"/>
    <w:tmpl w:val="93B2B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0"/>
  </w:num>
  <w:num w:numId="3">
    <w:abstractNumId w:val="6"/>
  </w:num>
  <w:num w:numId="4">
    <w:abstractNumId w:val="7"/>
  </w:num>
  <w:num w:numId="5">
    <w:abstractNumId w:val="8"/>
  </w:num>
  <w:num w:numId="6">
    <w:abstractNumId w:val="12"/>
  </w:num>
  <w:num w:numId="7">
    <w:abstractNumId w:val="9"/>
  </w:num>
  <w:num w:numId="8">
    <w:abstractNumId w:val="3"/>
  </w:num>
  <w:num w:numId="9">
    <w:abstractNumId w:val="2"/>
  </w:num>
  <w:num w:numId="10">
    <w:abstractNumId w:val="13"/>
  </w:num>
  <w:num w:numId="11">
    <w:abstractNumId w:val="4"/>
  </w:num>
  <w:num w:numId="12">
    <w:abstractNumId w:val="5"/>
  </w:num>
  <w:num w:numId="13">
    <w:abstractNumId w:val="1"/>
  </w:num>
  <w:num w:numId="14">
    <w:abstractNumId w:val="0"/>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64C"/>
    <w:rsid w:val="000318E5"/>
    <w:rsid w:val="000361DA"/>
    <w:rsid w:val="000375F1"/>
    <w:rsid w:val="00037F5F"/>
    <w:rsid w:val="00065F36"/>
    <w:rsid w:val="00074935"/>
    <w:rsid w:val="0008256A"/>
    <w:rsid w:val="00091C6D"/>
    <w:rsid w:val="000942E7"/>
    <w:rsid w:val="000B5BD1"/>
    <w:rsid w:val="000C15CE"/>
    <w:rsid w:val="000E0FF4"/>
    <w:rsid w:val="000E123D"/>
    <w:rsid w:val="000F32A4"/>
    <w:rsid w:val="00104C9A"/>
    <w:rsid w:val="001076DC"/>
    <w:rsid w:val="001130CC"/>
    <w:rsid w:val="001139A0"/>
    <w:rsid w:val="00132C01"/>
    <w:rsid w:val="001378C4"/>
    <w:rsid w:val="001437D0"/>
    <w:rsid w:val="00153D46"/>
    <w:rsid w:val="00162EE2"/>
    <w:rsid w:val="001668FB"/>
    <w:rsid w:val="00184420"/>
    <w:rsid w:val="00192CBB"/>
    <w:rsid w:val="001B39BF"/>
    <w:rsid w:val="001B48E3"/>
    <w:rsid w:val="001D3C48"/>
    <w:rsid w:val="001E47F7"/>
    <w:rsid w:val="001E7858"/>
    <w:rsid w:val="002079BF"/>
    <w:rsid w:val="00213B89"/>
    <w:rsid w:val="00227851"/>
    <w:rsid w:val="00241369"/>
    <w:rsid w:val="00252C94"/>
    <w:rsid w:val="00261422"/>
    <w:rsid w:val="00276D5E"/>
    <w:rsid w:val="00291135"/>
    <w:rsid w:val="002A7579"/>
    <w:rsid w:val="002C1F1D"/>
    <w:rsid w:val="002C41FF"/>
    <w:rsid w:val="002D575C"/>
    <w:rsid w:val="003003D6"/>
    <w:rsid w:val="00316F46"/>
    <w:rsid w:val="00320098"/>
    <w:rsid w:val="00334CC3"/>
    <w:rsid w:val="003428E1"/>
    <w:rsid w:val="00351482"/>
    <w:rsid w:val="003736EF"/>
    <w:rsid w:val="00376406"/>
    <w:rsid w:val="0039667F"/>
    <w:rsid w:val="003B08DB"/>
    <w:rsid w:val="003D3008"/>
    <w:rsid w:val="003E4586"/>
    <w:rsid w:val="004120BF"/>
    <w:rsid w:val="004135E3"/>
    <w:rsid w:val="004441C1"/>
    <w:rsid w:val="00461008"/>
    <w:rsid w:val="00462631"/>
    <w:rsid w:val="004A18CF"/>
    <w:rsid w:val="004A23D2"/>
    <w:rsid w:val="004A3707"/>
    <w:rsid w:val="004C53BE"/>
    <w:rsid w:val="004C5AFF"/>
    <w:rsid w:val="004E0D1D"/>
    <w:rsid w:val="004E380C"/>
    <w:rsid w:val="004E7149"/>
    <w:rsid w:val="004F077E"/>
    <w:rsid w:val="00501B76"/>
    <w:rsid w:val="00511CF9"/>
    <w:rsid w:val="00524EC3"/>
    <w:rsid w:val="00525FD5"/>
    <w:rsid w:val="00530484"/>
    <w:rsid w:val="00560ABA"/>
    <w:rsid w:val="00570781"/>
    <w:rsid w:val="00587518"/>
    <w:rsid w:val="005A23EB"/>
    <w:rsid w:val="005C6105"/>
    <w:rsid w:val="005C7DB2"/>
    <w:rsid w:val="0061388A"/>
    <w:rsid w:val="00640FE8"/>
    <w:rsid w:val="00657847"/>
    <w:rsid w:val="0066277A"/>
    <w:rsid w:val="006861C9"/>
    <w:rsid w:val="00690CCF"/>
    <w:rsid w:val="006935C7"/>
    <w:rsid w:val="006A4516"/>
    <w:rsid w:val="006D5074"/>
    <w:rsid w:val="006E0640"/>
    <w:rsid w:val="006F5B49"/>
    <w:rsid w:val="007021E7"/>
    <w:rsid w:val="00702F29"/>
    <w:rsid w:val="0071384B"/>
    <w:rsid w:val="00715873"/>
    <w:rsid w:val="0074331C"/>
    <w:rsid w:val="007517B7"/>
    <w:rsid w:val="00755CAA"/>
    <w:rsid w:val="0076509B"/>
    <w:rsid w:val="00781F3C"/>
    <w:rsid w:val="00791005"/>
    <w:rsid w:val="007C0CEC"/>
    <w:rsid w:val="007D1809"/>
    <w:rsid w:val="007E740D"/>
    <w:rsid w:val="0081039E"/>
    <w:rsid w:val="00812C73"/>
    <w:rsid w:val="0086300E"/>
    <w:rsid w:val="0089236C"/>
    <w:rsid w:val="008948BB"/>
    <w:rsid w:val="008A465E"/>
    <w:rsid w:val="008B4F9D"/>
    <w:rsid w:val="008C2C11"/>
    <w:rsid w:val="008F5549"/>
    <w:rsid w:val="00903027"/>
    <w:rsid w:val="00903DF3"/>
    <w:rsid w:val="00925469"/>
    <w:rsid w:val="00957DF9"/>
    <w:rsid w:val="00983FC9"/>
    <w:rsid w:val="0098612D"/>
    <w:rsid w:val="009A23A1"/>
    <w:rsid w:val="009B1FDA"/>
    <w:rsid w:val="009B3A89"/>
    <w:rsid w:val="009D7F86"/>
    <w:rsid w:val="009E1274"/>
    <w:rsid w:val="009E1900"/>
    <w:rsid w:val="009E281A"/>
    <w:rsid w:val="009E5A02"/>
    <w:rsid w:val="009F2143"/>
    <w:rsid w:val="00A07BF1"/>
    <w:rsid w:val="00A21E6F"/>
    <w:rsid w:val="00A25C5B"/>
    <w:rsid w:val="00A32FD9"/>
    <w:rsid w:val="00A42BA9"/>
    <w:rsid w:val="00A50C93"/>
    <w:rsid w:val="00A87EEF"/>
    <w:rsid w:val="00A95488"/>
    <w:rsid w:val="00A96DB2"/>
    <w:rsid w:val="00AA0A42"/>
    <w:rsid w:val="00AB3DB6"/>
    <w:rsid w:val="00AB5E5D"/>
    <w:rsid w:val="00AE6765"/>
    <w:rsid w:val="00B04652"/>
    <w:rsid w:val="00B139EF"/>
    <w:rsid w:val="00B235DE"/>
    <w:rsid w:val="00B37CCE"/>
    <w:rsid w:val="00B43896"/>
    <w:rsid w:val="00B60805"/>
    <w:rsid w:val="00B66216"/>
    <w:rsid w:val="00BB5A36"/>
    <w:rsid w:val="00BD7D38"/>
    <w:rsid w:val="00C225D1"/>
    <w:rsid w:val="00C22850"/>
    <w:rsid w:val="00C258AD"/>
    <w:rsid w:val="00C435C0"/>
    <w:rsid w:val="00C605BB"/>
    <w:rsid w:val="00C62C07"/>
    <w:rsid w:val="00C656A0"/>
    <w:rsid w:val="00CA1BE8"/>
    <w:rsid w:val="00CA23A5"/>
    <w:rsid w:val="00CA2608"/>
    <w:rsid w:val="00CA4111"/>
    <w:rsid w:val="00CA6305"/>
    <w:rsid w:val="00CB1FF4"/>
    <w:rsid w:val="00CC5367"/>
    <w:rsid w:val="00CD2A71"/>
    <w:rsid w:val="00D12BA8"/>
    <w:rsid w:val="00D1326F"/>
    <w:rsid w:val="00D67D86"/>
    <w:rsid w:val="00D730FD"/>
    <w:rsid w:val="00DA4ACA"/>
    <w:rsid w:val="00DA4BC0"/>
    <w:rsid w:val="00DA5D0F"/>
    <w:rsid w:val="00DA7C99"/>
    <w:rsid w:val="00DC027F"/>
    <w:rsid w:val="00DC7FDB"/>
    <w:rsid w:val="00DF1111"/>
    <w:rsid w:val="00E01DCE"/>
    <w:rsid w:val="00E06FED"/>
    <w:rsid w:val="00E10EA8"/>
    <w:rsid w:val="00E327E4"/>
    <w:rsid w:val="00E46292"/>
    <w:rsid w:val="00E700FF"/>
    <w:rsid w:val="00E77ECF"/>
    <w:rsid w:val="00E84A66"/>
    <w:rsid w:val="00E86FE6"/>
    <w:rsid w:val="00E9170E"/>
    <w:rsid w:val="00EA1EE6"/>
    <w:rsid w:val="00EA384F"/>
    <w:rsid w:val="00EA60EB"/>
    <w:rsid w:val="00EB2606"/>
    <w:rsid w:val="00EB6910"/>
    <w:rsid w:val="00ED16C6"/>
    <w:rsid w:val="00ED3040"/>
    <w:rsid w:val="00EF00A8"/>
    <w:rsid w:val="00EF0389"/>
    <w:rsid w:val="00F073A8"/>
    <w:rsid w:val="00F1116B"/>
    <w:rsid w:val="00F21630"/>
    <w:rsid w:val="00F31DBD"/>
    <w:rsid w:val="00F34DF7"/>
    <w:rsid w:val="00F51A0E"/>
    <w:rsid w:val="00F66FB8"/>
    <w:rsid w:val="00F729B8"/>
    <w:rsid w:val="00FA08CD"/>
    <w:rsid w:val="00FB364C"/>
    <w:rsid w:val="00FC65DE"/>
    <w:rsid w:val="00FD3FE9"/>
    <w:rsid w:val="00FD5ABA"/>
    <w:rsid w:val="00FE19B9"/>
    <w:rsid w:val="00FE495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3FCBF"/>
  <w15:chartTrackingRefBased/>
  <w15:docId w15:val="{F3611A73-8761-4707-A6EC-46884670A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B364C"/>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FB364C"/>
    <w:rPr>
      <w:lang w:val="en-GB"/>
    </w:rPr>
  </w:style>
  <w:style w:type="table" w:styleId="TableGrid">
    <w:name w:val="Table Grid"/>
    <w:basedOn w:val="TableNormal"/>
    <w:uiPriority w:val="39"/>
    <w:rsid w:val="00FB3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B364C"/>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320098"/>
    <w:pPr>
      <w:spacing w:after="0" w:line="240" w:lineRule="auto"/>
    </w:pPr>
  </w:style>
  <w:style w:type="paragraph" w:styleId="ListParagraph">
    <w:name w:val="List Paragraph"/>
    <w:basedOn w:val="Normal"/>
    <w:link w:val="ListParagraphChar"/>
    <w:uiPriority w:val="34"/>
    <w:qFormat/>
    <w:rsid w:val="002D575C"/>
    <w:pPr>
      <w:ind w:left="720"/>
      <w:contextualSpacing/>
    </w:pPr>
  </w:style>
  <w:style w:type="paragraph" w:styleId="Header">
    <w:name w:val="header"/>
    <w:basedOn w:val="Normal"/>
    <w:link w:val="HeaderChar"/>
    <w:uiPriority w:val="99"/>
    <w:unhideWhenUsed/>
    <w:rsid w:val="00EA1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EE6"/>
  </w:style>
  <w:style w:type="character" w:customStyle="1" w:styleId="ListParagraphChar">
    <w:name w:val="List Paragraph Char"/>
    <w:link w:val="ListParagraph"/>
    <w:uiPriority w:val="34"/>
    <w:locked/>
    <w:rsid w:val="003764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10BFCF8C30946E8A179D1C366A7F0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386</Nr_x002e__x0020_akti>
    <Data_x0020_e_x0020_Krijimit xmlns="0e656187-b300-4fb0-8bf4-3a50f872073c">2023-12-22T11:57:30Z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2023-12-21T00:00:00Z</Date_x0020_protokolli>
    <Titulli xmlns="0e656187-b300-4fb0-8bf4-3a50f872073c">Për miratimin e rregullores "Për caktimin e procedurës dhe masës së trajtimit financiar të prokurorit për shërbimin në skemën e delegimit, për transferimin e përkohshëm, për caktimin e përkohshëm dhe caktimin për një çështje të veçantë"</Titulli>
    <Modifikuesi xmlns="0e656187-b300-4fb0-8bf4-3a50f872073c">Fjora.Cahani</Modifikuesi>
    <Nr_x002e__x0020_prot_x0020_QBZ xmlns="0e656187-b300-4fb0-8bf4-3a50f872073c">1953/1</Nr_x002e__x0020_prot_x0020_QBZ>
    <Data_x0020_e_x0020_Modifikimit xmlns="0e656187-b300-4fb0-8bf4-3a50f872073c">2023-12-26T11:50:06Z</Data_x0020_e_x0020_Modifikimit>
    <Dekretuar xmlns="0e656187-b300-4fb0-8bf4-3a50f872073c">false</Dekretuar>
    <Data xmlns="0e656187-b300-4fb0-8bf4-3a50f872073c">2023-11-30T00:00:00Z</Data>
    <Nr_x002e__x0020_protokolli_x0020_i_x0020_aktit xmlns="0e656187-b300-4fb0-8bf4-3a50f872073c">2708/3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10BFCF8C30946E8A179D1C366A7F06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56450-FB56-4833-94F9-D760F8AE2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092E76F-33C4-40EC-AF88-3CF165ECF371}">
  <ds:schemaRef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6B8D1C74-5728-46CC-B88B-E4BB280A599B}">
  <ds:schemaRefs>
    <ds:schemaRef ds:uri="http://schemas.microsoft.com/sharepoint/v3/contenttype/forms"/>
  </ds:schemaRefs>
</ds:datastoreItem>
</file>

<file path=customXml/itemProps4.xml><?xml version="1.0" encoding="utf-8"?>
<ds:datastoreItem xmlns:ds="http://schemas.openxmlformats.org/officeDocument/2006/customXml" ds:itemID="{298ADD50-A686-4012-BDDC-6FB7B829A6ED}">
  <ds:schemaRefs>
    <ds:schemaRef ds:uri="http://schemas.microsoft.com/sharepoint/v3/contenttype/forms"/>
  </ds:schemaRefs>
</ds:datastoreItem>
</file>

<file path=customXml/itemProps5.xml><?xml version="1.0" encoding="utf-8"?>
<ds:datastoreItem xmlns:ds="http://schemas.openxmlformats.org/officeDocument/2006/customXml" ds:itemID="{DA6174CA-DAB9-4603-BE65-11C6AAA27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C596B16-A70E-4090-9591-3429BC883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2084</Words>
  <Characters>11879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Për miratimin e rregullores "Për caktimin e procedurës dhe masës së trajtimit financiar të prokurorit për shërbimin në skemën e delegimit, për transferimin e përkohshëm, për caktimin e përkohshëm dhe caktimin për një çështje të veçantë"</vt:lpstr>
    </vt:vector>
  </TitlesOfParts>
  <Company/>
  <LinksUpToDate>false</LinksUpToDate>
  <CharactersWithSpaces>13936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caktimin e procedurës dhe masës së trajtimit financiar të prokurorit për shërbimin në skemën e delegimit, për transferimin e përkohshëm, për caktimin e përkohshëm dhe caktimin për një çështje të veçantë"</dc:title>
  <dc:creator>klp</dc:creator>
  <cp:lastModifiedBy>Amarilda Muja</cp:lastModifiedBy>
  <cp:revision>6</cp:revision>
  <cp:lastPrinted>2023-10-18T07:02:00Z</cp:lastPrinted>
  <dcterms:created xsi:type="dcterms:W3CDTF">2023-12-22T11:40:00Z</dcterms:created>
  <dcterms:modified xsi:type="dcterms:W3CDTF">2023-12-26T12:52:00Z</dcterms:modified>
</cp:coreProperties>
</file>