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6D6F9" w14:textId="5DC7CE93" w:rsidR="006D79E5" w:rsidRPr="00F20626" w:rsidRDefault="00524216" w:rsidP="00156E33">
      <w:pPr>
        <w:spacing w:after="0" w:line="240" w:lineRule="auto"/>
        <w:ind w:firstLine="284"/>
        <w:jc w:val="center"/>
        <w:rPr>
          <w:rFonts w:ascii="Garamond" w:hAnsi="Garamond"/>
          <w:b/>
          <w:sz w:val="24"/>
          <w:lang w:val="sq-AL"/>
        </w:rPr>
      </w:pPr>
      <w:r w:rsidRPr="00F20626">
        <w:rPr>
          <w:rFonts w:ascii="Garamond" w:hAnsi="Garamond"/>
          <w:b/>
          <w:sz w:val="24"/>
          <w:lang w:val="sq-AL"/>
        </w:rPr>
        <w:t>VENDIM</w:t>
      </w:r>
    </w:p>
    <w:p w14:paraId="23E48B03" w14:textId="017D91A1" w:rsidR="000F74B6" w:rsidRPr="00F20626" w:rsidRDefault="0059674C" w:rsidP="00156E33">
      <w:pPr>
        <w:spacing w:after="0" w:line="240" w:lineRule="auto"/>
        <w:ind w:firstLine="284"/>
        <w:jc w:val="center"/>
        <w:rPr>
          <w:rFonts w:ascii="Garamond" w:hAnsi="Garamond"/>
          <w:b/>
          <w:sz w:val="24"/>
          <w:lang w:val="sq-AL"/>
        </w:rPr>
      </w:pPr>
      <w:r w:rsidRPr="00F20626">
        <w:rPr>
          <w:rFonts w:ascii="Garamond" w:hAnsi="Garamond"/>
          <w:b/>
          <w:sz w:val="24"/>
          <w:lang w:val="sq-AL"/>
        </w:rPr>
        <w:t>Nr</w:t>
      </w:r>
      <w:r w:rsidR="00415D6C" w:rsidRPr="00F20626">
        <w:rPr>
          <w:rFonts w:ascii="Garamond" w:hAnsi="Garamond"/>
          <w:b/>
          <w:sz w:val="24"/>
          <w:lang w:val="sq-AL"/>
        </w:rPr>
        <w:t>.</w:t>
      </w:r>
      <w:r w:rsidR="00B513C8">
        <w:rPr>
          <w:rFonts w:ascii="Garamond" w:hAnsi="Garamond"/>
          <w:b/>
          <w:sz w:val="24"/>
          <w:lang w:val="sq-AL"/>
        </w:rPr>
        <w:t xml:space="preserve"> </w:t>
      </w:r>
      <w:r w:rsidR="00415D6C" w:rsidRPr="00F20626">
        <w:rPr>
          <w:rFonts w:ascii="Garamond" w:hAnsi="Garamond"/>
          <w:b/>
          <w:sz w:val="24"/>
          <w:lang w:val="sq-AL"/>
        </w:rPr>
        <w:t>11</w:t>
      </w:r>
      <w:r w:rsidR="003C7AC6" w:rsidRPr="00F20626">
        <w:rPr>
          <w:rFonts w:ascii="Garamond" w:hAnsi="Garamond"/>
          <w:b/>
          <w:sz w:val="24"/>
          <w:lang w:val="sq-AL"/>
        </w:rPr>
        <w:t>2</w:t>
      </w:r>
      <w:r w:rsidR="00502A65" w:rsidRPr="00F20626">
        <w:rPr>
          <w:rFonts w:ascii="Garamond" w:hAnsi="Garamond"/>
          <w:b/>
          <w:sz w:val="24"/>
          <w:lang w:val="sq-AL"/>
        </w:rPr>
        <w:t xml:space="preserve">, datë </w:t>
      </w:r>
      <w:r w:rsidR="003C7AC6" w:rsidRPr="00F20626">
        <w:rPr>
          <w:rFonts w:ascii="Garamond" w:hAnsi="Garamond"/>
          <w:b/>
          <w:sz w:val="24"/>
          <w:lang w:val="sq-AL"/>
        </w:rPr>
        <w:t>9</w:t>
      </w:r>
      <w:r w:rsidR="00524216" w:rsidRPr="00F20626">
        <w:rPr>
          <w:rFonts w:ascii="Garamond" w:hAnsi="Garamond"/>
          <w:b/>
          <w:sz w:val="24"/>
          <w:lang w:val="sq-AL"/>
        </w:rPr>
        <w:t>.</w:t>
      </w:r>
      <w:r w:rsidR="00415D6C" w:rsidRPr="00F20626">
        <w:rPr>
          <w:rFonts w:ascii="Garamond" w:hAnsi="Garamond"/>
          <w:b/>
          <w:sz w:val="24"/>
          <w:lang w:val="sq-AL"/>
        </w:rPr>
        <w:t>7</w:t>
      </w:r>
      <w:r w:rsidR="00524216" w:rsidRPr="00F20626">
        <w:rPr>
          <w:rFonts w:ascii="Garamond" w:hAnsi="Garamond"/>
          <w:b/>
          <w:sz w:val="24"/>
          <w:lang w:val="sq-AL"/>
        </w:rPr>
        <w:t>.</w:t>
      </w:r>
      <w:r w:rsidR="00415D6C" w:rsidRPr="00F20626">
        <w:rPr>
          <w:rFonts w:ascii="Garamond" w:hAnsi="Garamond"/>
          <w:b/>
          <w:sz w:val="24"/>
          <w:lang w:val="sq-AL"/>
        </w:rPr>
        <w:t>2024</w:t>
      </w:r>
    </w:p>
    <w:p w14:paraId="31D7DB01" w14:textId="40F98264" w:rsidR="003F768C" w:rsidRPr="00F20626" w:rsidRDefault="003F768C" w:rsidP="00156E33">
      <w:pPr>
        <w:spacing w:after="0" w:line="240" w:lineRule="auto"/>
        <w:ind w:firstLine="284"/>
        <w:jc w:val="center"/>
        <w:rPr>
          <w:rFonts w:ascii="Garamond" w:hAnsi="Garamond"/>
          <w:b/>
          <w:sz w:val="24"/>
          <w:lang w:val="sq-AL"/>
        </w:rPr>
      </w:pPr>
    </w:p>
    <w:p w14:paraId="3F0C05AD" w14:textId="445F7E38" w:rsidR="003F768C" w:rsidRPr="00F20626" w:rsidRDefault="00156E33" w:rsidP="00156E33">
      <w:pPr>
        <w:spacing w:after="0" w:line="240" w:lineRule="auto"/>
        <w:ind w:firstLine="284"/>
        <w:jc w:val="center"/>
        <w:rPr>
          <w:rFonts w:ascii="Garamond" w:hAnsi="Garamond"/>
          <w:b/>
          <w:sz w:val="24"/>
          <w:lang w:val="sq-AL"/>
        </w:rPr>
      </w:pPr>
      <w:r w:rsidRPr="00F20626">
        <w:rPr>
          <w:rFonts w:ascii="Garamond" w:hAnsi="Garamond"/>
          <w:b/>
          <w:sz w:val="24"/>
          <w:lang w:val="sq-AL"/>
        </w:rPr>
        <w:t>PËR BASHKIMIN E PROCEDIMEVE DISIPLINORE</w:t>
      </w:r>
      <w:r w:rsidR="004977BB">
        <w:rPr>
          <w:rFonts w:ascii="Garamond" w:hAnsi="Garamond"/>
          <w:b/>
          <w:sz w:val="24"/>
          <w:lang w:val="sq-AL"/>
        </w:rPr>
        <w:t>,</w:t>
      </w:r>
      <w:r w:rsidRPr="00F20626">
        <w:rPr>
          <w:rFonts w:ascii="Garamond" w:hAnsi="Garamond"/>
          <w:b/>
          <w:sz w:val="24"/>
          <w:lang w:val="sq-AL"/>
        </w:rPr>
        <w:t xml:space="preserve"> NË RASTET KUR NJË PROKUROR DHE NJË GJYQTAR JANË</w:t>
      </w:r>
      <w:r w:rsidR="0007626C">
        <w:rPr>
          <w:rFonts w:ascii="Garamond" w:hAnsi="Garamond"/>
          <w:b/>
          <w:sz w:val="24"/>
          <w:lang w:val="sq-AL"/>
        </w:rPr>
        <w:t xml:space="preserve"> TË</w:t>
      </w:r>
      <w:r w:rsidR="0007626C" w:rsidRPr="00F20626">
        <w:rPr>
          <w:rFonts w:ascii="Garamond" w:hAnsi="Garamond"/>
          <w:b/>
          <w:sz w:val="24"/>
          <w:lang w:val="sq-AL"/>
        </w:rPr>
        <w:t xml:space="preserve"> </w:t>
      </w:r>
      <w:r w:rsidRPr="00F20626">
        <w:rPr>
          <w:rFonts w:ascii="Garamond" w:hAnsi="Garamond"/>
          <w:b/>
          <w:sz w:val="24"/>
          <w:lang w:val="sq-AL"/>
        </w:rPr>
        <w:t>PËRFSHIRË NË TË NJËJTËN SHKELJE DISIPLINORE</w:t>
      </w:r>
    </w:p>
    <w:p w14:paraId="6F0BE4FA" w14:textId="365C451B" w:rsidR="003F768C" w:rsidRPr="00F20626" w:rsidRDefault="003F768C" w:rsidP="00156E33">
      <w:pPr>
        <w:spacing w:after="0" w:line="240" w:lineRule="auto"/>
        <w:ind w:firstLine="284"/>
        <w:jc w:val="both"/>
        <w:rPr>
          <w:rFonts w:ascii="Garamond" w:hAnsi="Garamond"/>
          <w:sz w:val="24"/>
          <w:lang w:val="sq-AL"/>
        </w:rPr>
      </w:pPr>
    </w:p>
    <w:p w14:paraId="0CD3E112" w14:textId="41640B72" w:rsidR="003F768C" w:rsidRPr="00F20626" w:rsidRDefault="003F768C" w:rsidP="00156E33">
      <w:pPr>
        <w:spacing w:after="0" w:line="240" w:lineRule="auto"/>
        <w:ind w:firstLine="284"/>
        <w:jc w:val="both"/>
        <w:rPr>
          <w:rFonts w:ascii="Garamond" w:hAnsi="Garamond"/>
          <w:sz w:val="24"/>
          <w:lang w:val="sq-AL"/>
        </w:rPr>
      </w:pPr>
      <w:r w:rsidRPr="00F20626">
        <w:rPr>
          <w:rFonts w:ascii="Garamond" w:hAnsi="Garamond"/>
          <w:sz w:val="24"/>
          <w:lang w:val="sq-AL"/>
        </w:rPr>
        <w:t>Bazuar n</w:t>
      </w:r>
      <w:r w:rsidR="00156E33" w:rsidRPr="00F20626">
        <w:rPr>
          <w:rFonts w:ascii="Garamond" w:hAnsi="Garamond"/>
          <w:sz w:val="24"/>
          <w:lang w:val="sq-AL"/>
        </w:rPr>
        <w:t>ë</w:t>
      </w:r>
      <w:r w:rsidRPr="00F20626">
        <w:rPr>
          <w:rFonts w:ascii="Garamond" w:hAnsi="Garamond"/>
          <w:sz w:val="24"/>
          <w:lang w:val="sq-AL"/>
        </w:rPr>
        <w:t xml:space="preserve"> nenin 148/d, pi</w:t>
      </w:r>
      <w:r w:rsidR="00280A6A" w:rsidRPr="00F20626">
        <w:rPr>
          <w:rFonts w:ascii="Garamond" w:hAnsi="Garamond"/>
          <w:sz w:val="24"/>
          <w:lang w:val="sq-AL"/>
        </w:rPr>
        <w:t>k</w:t>
      </w:r>
      <w:r w:rsidRPr="00F20626">
        <w:rPr>
          <w:rFonts w:ascii="Garamond" w:hAnsi="Garamond"/>
          <w:sz w:val="24"/>
          <w:lang w:val="sq-AL"/>
        </w:rPr>
        <w:t>a 1, nenin 149, pi</w:t>
      </w:r>
      <w:r w:rsidR="00764F49" w:rsidRPr="00F20626">
        <w:rPr>
          <w:rFonts w:ascii="Garamond" w:hAnsi="Garamond"/>
          <w:sz w:val="24"/>
          <w:lang w:val="sq-AL"/>
        </w:rPr>
        <w:t>k</w:t>
      </w:r>
      <w:r w:rsidRPr="00F20626">
        <w:rPr>
          <w:rFonts w:ascii="Garamond" w:hAnsi="Garamond"/>
          <w:sz w:val="24"/>
          <w:lang w:val="sq-AL"/>
        </w:rPr>
        <w:t>a 1</w:t>
      </w:r>
      <w:r w:rsidR="00B20C13">
        <w:rPr>
          <w:rFonts w:ascii="Garamond" w:hAnsi="Garamond"/>
          <w:sz w:val="24"/>
          <w:lang w:val="sq-AL"/>
        </w:rPr>
        <w:t>,</w:t>
      </w:r>
      <w:r w:rsidRPr="00F20626">
        <w:rPr>
          <w:rFonts w:ascii="Garamond" w:hAnsi="Garamond"/>
          <w:sz w:val="24"/>
          <w:lang w:val="sq-AL"/>
        </w:rPr>
        <w:t xml:space="preserve"> </w:t>
      </w:r>
      <w:r w:rsidR="00133ED1">
        <w:rPr>
          <w:rFonts w:ascii="Garamond" w:hAnsi="Garamond"/>
          <w:sz w:val="24"/>
          <w:lang w:val="sq-AL"/>
        </w:rPr>
        <w:t>si dhe</w:t>
      </w:r>
      <w:r w:rsidRPr="00F20626">
        <w:rPr>
          <w:rFonts w:ascii="Garamond" w:hAnsi="Garamond"/>
          <w:sz w:val="24"/>
          <w:lang w:val="sq-AL"/>
        </w:rPr>
        <w:t xml:space="preserve"> nenin 149/a, pi</w:t>
      </w:r>
      <w:r w:rsidR="00280A6A" w:rsidRPr="00F20626">
        <w:rPr>
          <w:rFonts w:ascii="Garamond" w:hAnsi="Garamond"/>
          <w:sz w:val="24"/>
          <w:lang w:val="sq-AL"/>
        </w:rPr>
        <w:t>k</w:t>
      </w:r>
      <w:r w:rsidRPr="00F20626">
        <w:rPr>
          <w:rFonts w:ascii="Garamond" w:hAnsi="Garamond"/>
          <w:sz w:val="24"/>
          <w:lang w:val="sq-AL"/>
        </w:rPr>
        <w:t>a 1, germa “b”</w:t>
      </w:r>
      <w:r w:rsidR="00156E33" w:rsidRPr="00F20626">
        <w:rPr>
          <w:rFonts w:ascii="Garamond" w:hAnsi="Garamond"/>
          <w:sz w:val="24"/>
          <w:lang w:val="sq-AL"/>
        </w:rPr>
        <w:t>, të Kushtetutës</w:t>
      </w:r>
      <w:r w:rsidR="00B20C13">
        <w:rPr>
          <w:rFonts w:ascii="Garamond" w:hAnsi="Garamond"/>
          <w:sz w:val="24"/>
          <w:lang w:val="sq-AL"/>
        </w:rPr>
        <w:t>; në</w:t>
      </w:r>
      <w:r w:rsidR="00156E33" w:rsidRPr="00F20626">
        <w:rPr>
          <w:rFonts w:ascii="Garamond" w:hAnsi="Garamond"/>
          <w:sz w:val="24"/>
          <w:lang w:val="sq-AL"/>
        </w:rPr>
        <w:t xml:space="preserve"> nenin 140, pi</w:t>
      </w:r>
      <w:r w:rsidR="00280A6A" w:rsidRPr="00F20626">
        <w:rPr>
          <w:rFonts w:ascii="Garamond" w:hAnsi="Garamond"/>
          <w:sz w:val="24"/>
          <w:lang w:val="sq-AL"/>
        </w:rPr>
        <w:t>k</w:t>
      </w:r>
      <w:r w:rsidR="00156E33" w:rsidRPr="00F20626">
        <w:rPr>
          <w:rFonts w:ascii="Garamond" w:hAnsi="Garamond"/>
          <w:sz w:val="24"/>
          <w:lang w:val="sq-AL"/>
        </w:rPr>
        <w:t>a 2</w:t>
      </w:r>
      <w:r w:rsidR="00713FE8">
        <w:rPr>
          <w:rFonts w:ascii="Garamond" w:hAnsi="Garamond"/>
          <w:sz w:val="24"/>
          <w:lang w:val="sq-AL"/>
        </w:rPr>
        <w:t>,</w:t>
      </w:r>
      <w:r w:rsidR="00156E33" w:rsidRPr="00F20626">
        <w:rPr>
          <w:rFonts w:ascii="Garamond" w:hAnsi="Garamond"/>
          <w:sz w:val="24"/>
          <w:lang w:val="sq-AL"/>
        </w:rPr>
        <w:t xml:space="preserve"> të ligjit nr. 96/2016</w:t>
      </w:r>
      <w:r w:rsidR="00713FE8">
        <w:rPr>
          <w:rFonts w:ascii="Garamond" w:hAnsi="Garamond"/>
          <w:sz w:val="24"/>
          <w:lang w:val="sq-AL"/>
        </w:rPr>
        <w:t>,</w:t>
      </w:r>
      <w:r w:rsidR="00156E33" w:rsidRPr="00F20626">
        <w:rPr>
          <w:rFonts w:ascii="Garamond" w:hAnsi="Garamond"/>
          <w:sz w:val="24"/>
          <w:lang w:val="sq-AL"/>
        </w:rPr>
        <w:t xml:space="preserve"> “Për statusin e gjyqtarëve dhe prokurorëve në Republikën e Shqipërisë</w:t>
      </w:r>
      <w:r w:rsidR="00713FE8">
        <w:rPr>
          <w:rFonts w:ascii="Garamond" w:hAnsi="Garamond"/>
          <w:sz w:val="24"/>
          <w:lang w:val="sq-AL"/>
        </w:rPr>
        <w:t>”,</w:t>
      </w:r>
      <w:r w:rsidR="00156E33" w:rsidRPr="00F20626">
        <w:rPr>
          <w:rFonts w:ascii="Garamond" w:hAnsi="Garamond"/>
          <w:sz w:val="24"/>
          <w:lang w:val="sq-AL"/>
        </w:rPr>
        <w:t xml:space="preserve"> të ndryshuar</w:t>
      </w:r>
      <w:r w:rsidR="00713FE8">
        <w:rPr>
          <w:rFonts w:ascii="Garamond" w:hAnsi="Garamond"/>
          <w:sz w:val="24"/>
          <w:lang w:val="sq-AL"/>
        </w:rPr>
        <w:t>;</w:t>
      </w:r>
      <w:r w:rsidR="00156E33" w:rsidRPr="00F20626">
        <w:rPr>
          <w:rFonts w:ascii="Garamond" w:hAnsi="Garamond"/>
          <w:sz w:val="24"/>
          <w:lang w:val="sq-AL"/>
        </w:rPr>
        <w:t xml:space="preserve"> </w:t>
      </w:r>
      <w:r w:rsidR="002C6BFE">
        <w:rPr>
          <w:rFonts w:ascii="Garamond" w:hAnsi="Garamond"/>
          <w:sz w:val="24"/>
          <w:lang w:val="sq-AL"/>
        </w:rPr>
        <w:t xml:space="preserve"> </w:t>
      </w:r>
      <w:r w:rsidR="00156E33" w:rsidRPr="00F20626">
        <w:rPr>
          <w:rFonts w:ascii="Garamond" w:hAnsi="Garamond"/>
          <w:sz w:val="24"/>
          <w:lang w:val="sq-AL"/>
        </w:rPr>
        <w:t>nenet 189, pi</w:t>
      </w:r>
      <w:r w:rsidR="00280A6A" w:rsidRPr="00F20626">
        <w:rPr>
          <w:rFonts w:ascii="Garamond" w:hAnsi="Garamond"/>
          <w:sz w:val="24"/>
          <w:lang w:val="sq-AL"/>
        </w:rPr>
        <w:t>k</w:t>
      </w:r>
      <w:r w:rsidR="00156E33" w:rsidRPr="00F20626">
        <w:rPr>
          <w:rFonts w:ascii="Garamond" w:hAnsi="Garamond"/>
          <w:sz w:val="24"/>
          <w:lang w:val="sq-AL"/>
        </w:rPr>
        <w:t>a 1, germa “b”, dhe nenin 190, pikat 3 dhe 4</w:t>
      </w:r>
      <w:r w:rsidR="002C6BFE">
        <w:rPr>
          <w:rFonts w:ascii="Garamond" w:hAnsi="Garamond"/>
          <w:sz w:val="24"/>
          <w:lang w:val="sq-AL"/>
        </w:rPr>
        <w:t>,</w:t>
      </w:r>
      <w:r w:rsidR="00156E33" w:rsidRPr="00F20626">
        <w:rPr>
          <w:rFonts w:ascii="Garamond" w:hAnsi="Garamond"/>
          <w:sz w:val="24"/>
          <w:lang w:val="sq-AL"/>
        </w:rPr>
        <w:t xml:space="preserve"> të ligjit nr. 115/2016</w:t>
      </w:r>
      <w:r w:rsidR="00713FE8">
        <w:rPr>
          <w:rFonts w:ascii="Garamond" w:hAnsi="Garamond"/>
          <w:sz w:val="24"/>
          <w:lang w:val="sq-AL"/>
        </w:rPr>
        <w:t>,</w:t>
      </w:r>
      <w:r w:rsidR="00156E33" w:rsidRPr="00F20626">
        <w:rPr>
          <w:rFonts w:ascii="Garamond" w:hAnsi="Garamond"/>
          <w:sz w:val="24"/>
          <w:lang w:val="sq-AL"/>
        </w:rPr>
        <w:t xml:space="preserve"> “Për organet e qeverisjes së sistemit të drejtësisë</w:t>
      </w:r>
      <w:r w:rsidR="00713FE8">
        <w:rPr>
          <w:rFonts w:ascii="Garamond" w:hAnsi="Garamond"/>
          <w:sz w:val="24"/>
          <w:lang w:val="sq-AL"/>
        </w:rPr>
        <w:t>”,</w:t>
      </w:r>
      <w:r w:rsidR="00156E33" w:rsidRPr="00F20626">
        <w:rPr>
          <w:rFonts w:ascii="Garamond" w:hAnsi="Garamond"/>
          <w:sz w:val="24"/>
          <w:lang w:val="sq-AL"/>
        </w:rPr>
        <w:t xml:space="preserve"> të ndryshuar, me propozimin e Komisionit të Disiplinës,</w:t>
      </w:r>
    </w:p>
    <w:p w14:paraId="1AE04F71" w14:textId="2A545800" w:rsidR="00156E33" w:rsidRPr="00F20626" w:rsidRDefault="00156E33" w:rsidP="00156E33">
      <w:pPr>
        <w:spacing w:after="0" w:line="240" w:lineRule="auto"/>
        <w:ind w:firstLine="284"/>
        <w:jc w:val="both"/>
        <w:rPr>
          <w:rFonts w:ascii="Garamond" w:hAnsi="Garamond"/>
          <w:sz w:val="24"/>
          <w:lang w:val="sq-AL"/>
        </w:rPr>
      </w:pPr>
    </w:p>
    <w:p w14:paraId="00C0C974" w14:textId="22C05581" w:rsidR="00156E33" w:rsidRPr="00F20626" w:rsidRDefault="00156E33" w:rsidP="00156E33">
      <w:pPr>
        <w:spacing w:after="0" w:line="240" w:lineRule="auto"/>
        <w:ind w:firstLine="284"/>
        <w:jc w:val="center"/>
        <w:rPr>
          <w:rFonts w:ascii="Garamond" w:hAnsi="Garamond"/>
          <w:sz w:val="24"/>
          <w:lang w:val="sq-AL"/>
        </w:rPr>
      </w:pPr>
      <w:r w:rsidRPr="00F20626">
        <w:rPr>
          <w:rFonts w:ascii="Garamond" w:hAnsi="Garamond"/>
          <w:sz w:val="24"/>
          <w:lang w:val="sq-AL"/>
        </w:rPr>
        <w:t>VENDOSI:</w:t>
      </w:r>
    </w:p>
    <w:p w14:paraId="479CF328" w14:textId="6B290F55" w:rsidR="00156E33" w:rsidRPr="00F20626" w:rsidRDefault="00156E33" w:rsidP="00156E33">
      <w:pPr>
        <w:spacing w:after="0" w:line="240" w:lineRule="auto"/>
        <w:ind w:firstLine="284"/>
        <w:jc w:val="both"/>
        <w:rPr>
          <w:rFonts w:ascii="Garamond" w:hAnsi="Garamond"/>
          <w:sz w:val="24"/>
          <w:lang w:val="sq-AL"/>
        </w:rPr>
      </w:pPr>
    </w:p>
    <w:p w14:paraId="213E2CDD" w14:textId="652BFEF2" w:rsidR="00156E33" w:rsidRPr="00F20626" w:rsidRDefault="00156E33" w:rsidP="00156E33">
      <w:pPr>
        <w:spacing w:after="0" w:line="240" w:lineRule="auto"/>
        <w:ind w:firstLine="284"/>
        <w:jc w:val="both"/>
        <w:rPr>
          <w:rFonts w:ascii="Garamond" w:hAnsi="Garamond"/>
          <w:sz w:val="24"/>
          <w:lang w:val="sq-AL"/>
        </w:rPr>
      </w:pPr>
      <w:r w:rsidRPr="00F20626">
        <w:rPr>
          <w:rFonts w:ascii="Garamond" w:hAnsi="Garamond"/>
          <w:sz w:val="24"/>
          <w:lang w:val="sq-AL"/>
        </w:rPr>
        <w:t xml:space="preserve">1. Miratimin e </w:t>
      </w:r>
      <w:r w:rsidR="00713FE8" w:rsidRPr="00F20626">
        <w:rPr>
          <w:rFonts w:ascii="Garamond" w:hAnsi="Garamond"/>
          <w:sz w:val="24"/>
          <w:lang w:val="sq-AL"/>
        </w:rPr>
        <w:t xml:space="preserve">rregullores </w:t>
      </w:r>
      <w:r w:rsidRPr="00F20626">
        <w:rPr>
          <w:rFonts w:ascii="Garamond" w:hAnsi="Garamond"/>
          <w:sz w:val="24"/>
          <w:lang w:val="sq-AL"/>
        </w:rPr>
        <w:t>“Për bashkimin e procedimeve disiplinore</w:t>
      </w:r>
      <w:r w:rsidR="00A90999">
        <w:rPr>
          <w:rFonts w:ascii="Garamond" w:hAnsi="Garamond"/>
          <w:sz w:val="24"/>
          <w:lang w:val="sq-AL"/>
        </w:rPr>
        <w:t>,</w:t>
      </w:r>
      <w:r w:rsidRPr="00F20626">
        <w:rPr>
          <w:rFonts w:ascii="Garamond" w:hAnsi="Garamond"/>
          <w:sz w:val="24"/>
          <w:lang w:val="sq-AL"/>
        </w:rPr>
        <w:t xml:space="preserve"> në rastet kur një prokuror dhe një gjyqtar janë </w:t>
      </w:r>
      <w:r w:rsidR="00133ED1">
        <w:rPr>
          <w:rFonts w:ascii="Garamond" w:hAnsi="Garamond"/>
          <w:sz w:val="24"/>
          <w:lang w:val="sq-AL"/>
        </w:rPr>
        <w:t xml:space="preserve">të </w:t>
      </w:r>
      <w:bookmarkStart w:id="0" w:name="_GoBack"/>
      <w:bookmarkEnd w:id="0"/>
      <w:r w:rsidRPr="00F20626">
        <w:rPr>
          <w:rFonts w:ascii="Garamond" w:hAnsi="Garamond"/>
          <w:sz w:val="24"/>
          <w:lang w:val="sq-AL"/>
        </w:rPr>
        <w:t>përfshirë në të njëjtën shkelje disiplinore”, sipas tekstit bashkëlidhur këtij vendimi.</w:t>
      </w:r>
    </w:p>
    <w:p w14:paraId="1AEAF43B" w14:textId="38D5A912" w:rsidR="00156E33" w:rsidRPr="00F20626" w:rsidRDefault="00156E33" w:rsidP="00156E33">
      <w:pPr>
        <w:spacing w:after="0" w:line="240" w:lineRule="auto"/>
        <w:ind w:firstLine="284"/>
        <w:jc w:val="both"/>
        <w:rPr>
          <w:rFonts w:ascii="Garamond" w:hAnsi="Garamond"/>
          <w:sz w:val="24"/>
          <w:lang w:val="sq-AL"/>
        </w:rPr>
      </w:pPr>
      <w:r w:rsidRPr="00F20626">
        <w:rPr>
          <w:rFonts w:ascii="Garamond" w:hAnsi="Garamond"/>
          <w:sz w:val="24"/>
          <w:lang w:val="sq-AL"/>
        </w:rPr>
        <w:t>2. Ky vendim hyn në fuqi në datën e botimit në Fletoren Zyrtare.</w:t>
      </w:r>
    </w:p>
    <w:p w14:paraId="09D919A6" w14:textId="61322728" w:rsidR="00156E33" w:rsidRPr="00F20626" w:rsidRDefault="00156E33" w:rsidP="00156E33">
      <w:pPr>
        <w:spacing w:after="0" w:line="240" w:lineRule="auto"/>
        <w:ind w:firstLine="284"/>
        <w:jc w:val="both"/>
        <w:rPr>
          <w:rFonts w:ascii="Garamond" w:hAnsi="Garamond"/>
          <w:sz w:val="24"/>
          <w:lang w:val="sq-AL"/>
        </w:rPr>
      </w:pPr>
      <w:r w:rsidRPr="00F20626">
        <w:rPr>
          <w:rFonts w:ascii="Garamond" w:hAnsi="Garamond"/>
          <w:sz w:val="24"/>
          <w:lang w:val="sq-AL"/>
        </w:rPr>
        <w:t>3. U shpall</w:t>
      </w:r>
      <w:r w:rsidR="00F20626">
        <w:rPr>
          <w:rFonts w:ascii="Garamond" w:hAnsi="Garamond"/>
          <w:sz w:val="24"/>
          <w:lang w:val="sq-AL"/>
        </w:rPr>
        <w:t xml:space="preserve"> </w:t>
      </w:r>
      <w:r w:rsidRPr="00F20626">
        <w:rPr>
          <w:rFonts w:ascii="Garamond" w:hAnsi="Garamond"/>
          <w:sz w:val="24"/>
          <w:lang w:val="sq-AL"/>
        </w:rPr>
        <w:t>në Tiranë, sot</w:t>
      </w:r>
      <w:r w:rsidR="00C66791">
        <w:rPr>
          <w:rFonts w:ascii="Garamond" w:hAnsi="Garamond"/>
          <w:sz w:val="24"/>
          <w:lang w:val="sq-AL"/>
        </w:rPr>
        <w:t>,</w:t>
      </w:r>
      <w:r w:rsidRPr="00F20626">
        <w:rPr>
          <w:rFonts w:ascii="Garamond" w:hAnsi="Garamond"/>
          <w:sz w:val="24"/>
          <w:lang w:val="sq-AL"/>
        </w:rPr>
        <w:t xml:space="preserve"> më 9.7.2024</w:t>
      </w:r>
    </w:p>
    <w:p w14:paraId="7E12952E" w14:textId="29F1FBCD" w:rsidR="00156E33" w:rsidRPr="00F20626" w:rsidRDefault="00156E33" w:rsidP="00156E33">
      <w:pPr>
        <w:spacing w:after="0" w:line="240" w:lineRule="auto"/>
        <w:ind w:firstLine="284"/>
        <w:jc w:val="both"/>
        <w:rPr>
          <w:rFonts w:ascii="Garamond" w:hAnsi="Garamond"/>
          <w:sz w:val="24"/>
          <w:lang w:val="sq-AL"/>
        </w:rPr>
      </w:pPr>
    </w:p>
    <w:p w14:paraId="533BE676" w14:textId="77777777" w:rsidR="008A171C" w:rsidRPr="00F20626" w:rsidRDefault="00156E33" w:rsidP="00156E33">
      <w:pPr>
        <w:spacing w:after="0" w:line="240" w:lineRule="auto"/>
        <w:ind w:firstLine="284"/>
        <w:jc w:val="right"/>
        <w:rPr>
          <w:rFonts w:ascii="Garamond" w:hAnsi="Garamond"/>
          <w:sz w:val="24"/>
          <w:lang w:val="sq-AL"/>
        </w:rPr>
      </w:pPr>
      <w:r w:rsidRPr="00F20626">
        <w:rPr>
          <w:rFonts w:ascii="Garamond" w:hAnsi="Garamond"/>
          <w:sz w:val="24"/>
          <w:lang w:val="sq-AL"/>
        </w:rPr>
        <w:t xml:space="preserve">KRYETAR I KËSHILLIT TË LARTË </w:t>
      </w:r>
    </w:p>
    <w:p w14:paraId="4355A524" w14:textId="3FB6648A" w:rsidR="00156E33" w:rsidRPr="00F20626" w:rsidRDefault="00156E33" w:rsidP="00156E33">
      <w:pPr>
        <w:spacing w:after="0" w:line="240" w:lineRule="auto"/>
        <w:ind w:firstLine="284"/>
        <w:jc w:val="right"/>
        <w:rPr>
          <w:rFonts w:ascii="Garamond" w:hAnsi="Garamond"/>
          <w:sz w:val="24"/>
          <w:lang w:val="sq-AL"/>
        </w:rPr>
      </w:pPr>
      <w:r w:rsidRPr="00F20626">
        <w:rPr>
          <w:rFonts w:ascii="Garamond" w:hAnsi="Garamond"/>
          <w:sz w:val="24"/>
          <w:lang w:val="sq-AL"/>
        </w:rPr>
        <w:t>TË PROKURORISË</w:t>
      </w:r>
    </w:p>
    <w:p w14:paraId="1E6E8D1A" w14:textId="1FE3F6FA" w:rsidR="00156E33" w:rsidRPr="00F20626" w:rsidRDefault="00156E33" w:rsidP="00156E33">
      <w:pPr>
        <w:spacing w:after="0" w:line="240" w:lineRule="auto"/>
        <w:ind w:firstLine="284"/>
        <w:jc w:val="right"/>
        <w:rPr>
          <w:rFonts w:ascii="Garamond" w:hAnsi="Garamond"/>
          <w:b/>
          <w:sz w:val="24"/>
          <w:lang w:val="sq-AL"/>
        </w:rPr>
      </w:pPr>
      <w:r w:rsidRPr="00F20626">
        <w:rPr>
          <w:rFonts w:ascii="Garamond" w:hAnsi="Garamond"/>
          <w:b/>
          <w:sz w:val="24"/>
          <w:lang w:val="sq-AL"/>
        </w:rPr>
        <w:t>Mirela Bogdani</w:t>
      </w:r>
    </w:p>
    <w:p w14:paraId="0786AAC4" w14:textId="5451E1CA" w:rsidR="00DB02C8" w:rsidRPr="00F20626" w:rsidRDefault="00DB02C8" w:rsidP="00156E33">
      <w:pPr>
        <w:spacing w:after="0" w:line="240" w:lineRule="auto"/>
        <w:ind w:firstLine="284"/>
        <w:jc w:val="right"/>
        <w:rPr>
          <w:rFonts w:ascii="Garamond" w:hAnsi="Garamond"/>
          <w:b/>
          <w:sz w:val="24"/>
          <w:lang w:val="sq-AL"/>
        </w:rPr>
      </w:pPr>
    </w:p>
    <w:p w14:paraId="624A8592" w14:textId="4BBD7B9F"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RREGULLORE</w:t>
      </w:r>
    </w:p>
    <w:p w14:paraId="202753A2" w14:textId="4B2D87FD" w:rsidR="00DB02C8" w:rsidRPr="00F20626" w:rsidRDefault="00DB02C8" w:rsidP="00FE3E06">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PËR BASHKIMIN E PROCEDIMEVE DISIPLINORE,</w:t>
      </w:r>
      <w:r w:rsidR="00FE3E06" w:rsidRPr="00F20626">
        <w:rPr>
          <w:rFonts w:ascii="Garamond" w:hAnsi="Garamond" w:cs="Times New Roman"/>
          <w:bCs/>
          <w:color w:val="000000"/>
          <w:sz w:val="24"/>
          <w:szCs w:val="24"/>
          <w:lang w:val="sq-AL"/>
        </w:rPr>
        <w:t xml:space="preserve"> </w:t>
      </w:r>
      <w:r w:rsidRPr="00F20626">
        <w:rPr>
          <w:rFonts w:ascii="Garamond" w:hAnsi="Garamond" w:cs="Times New Roman"/>
          <w:bCs/>
          <w:color w:val="000000"/>
          <w:sz w:val="24"/>
          <w:szCs w:val="24"/>
          <w:lang w:val="sq-AL"/>
        </w:rPr>
        <w:t>NË RASTET KUR NJË GJYQTAR DHE NJË PROKUROR</w:t>
      </w:r>
      <w:r w:rsidR="00FE3E06" w:rsidRPr="00F20626">
        <w:rPr>
          <w:rFonts w:ascii="Garamond" w:hAnsi="Garamond" w:cs="Times New Roman"/>
          <w:bCs/>
          <w:color w:val="000000"/>
          <w:sz w:val="24"/>
          <w:szCs w:val="24"/>
          <w:lang w:val="sq-AL"/>
        </w:rPr>
        <w:t xml:space="preserve"> </w:t>
      </w:r>
      <w:r w:rsidRPr="00F20626">
        <w:rPr>
          <w:rFonts w:ascii="Garamond" w:hAnsi="Garamond" w:cs="Times New Roman"/>
          <w:bCs/>
          <w:color w:val="000000"/>
          <w:sz w:val="24"/>
          <w:szCs w:val="24"/>
          <w:lang w:val="sq-AL"/>
        </w:rPr>
        <w:t>JANË TË PËRFSHIRË NË TË NJËJTËN SHKELJE DISIPLINORE</w:t>
      </w:r>
    </w:p>
    <w:p w14:paraId="1FC029F2"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Cs/>
          <w:color w:val="000000"/>
          <w:sz w:val="24"/>
          <w:szCs w:val="24"/>
          <w:lang w:val="sq-AL"/>
        </w:rPr>
      </w:pPr>
    </w:p>
    <w:p w14:paraId="2A15F651"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KREU I</w:t>
      </w:r>
    </w:p>
    <w:p w14:paraId="27974D41"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DISPOZITA TË PËRGJITHSHME</w:t>
      </w:r>
    </w:p>
    <w:p w14:paraId="727B898E"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p>
    <w:p w14:paraId="08590FB7"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1</w:t>
      </w:r>
    </w:p>
    <w:p w14:paraId="5BBC8E29"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Qëllimi i rregullores</w:t>
      </w:r>
    </w:p>
    <w:p w14:paraId="6BA69AF3" w14:textId="77777777" w:rsidR="00DB02C8" w:rsidRPr="00F20626" w:rsidRDefault="00DB02C8" w:rsidP="00DB02C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93573B" w14:textId="6697EDEA"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1. Qëllimi i kësaj rregulloreje është hartimi i rregullave për procedim të përbashkët, kur një gjyqtar dhe një prokuror janë të përfshirë në të njëjtën shkelje. </w:t>
      </w:r>
    </w:p>
    <w:p w14:paraId="3C86757C" w14:textId="7D4EA4E9"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2. Në zbatim të kësaj rregulloreje do të konsiderohet se një gjyqtar dhe një prokuror janë të përfshirë në të njëjtën shkelje disiplinore kur të dy, bazuar në të njëjtat fakte, kryejnë të njëjtën shkelje ose një shkelje që, për nga</w:t>
      </w:r>
      <w:r w:rsidR="00F20626">
        <w:rPr>
          <w:rFonts w:ascii="Garamond" w:hAnsi="Garamond" w:cs="Times New Roman"/>
          <w:color w:val="000000"/>
          <w:sz w:val="24"/>
          <w:szCs w:val="24"/>
          <w:lang w:val="sq-AL"/>
        </w:rPr>
        <w:t xml:space="preserve"> </w:t>
      </w:r>
      <w:r w:rsidRPr="00F20626">
        <w:rPr>
          <w:rFonts w:ascii="Garamond" w:hAnsi="Garamond" w:cs="Times New Roman"/>
          <w:color w:val="000000"/>
          <w:sz w:val="24"/>
          <w:szCs w:val="24"/>
          <w:lang w:val="sq-AL"/>
        </w:rPr>
        <w:t>natyra e saj, mund të konsiderohet ekuivalente</w:t>
      </w:r>
      <w:r w:rsidR="00447114">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duke pasur parasysh pozicionin dhe kompetencat e ndryshme profesionale të atyre që janë të përfshirë. </w:t>
      </w:r>
    </w:p>
    <w:p w14:paraId="68B4A134"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
          <w:bCs/>
          <w:color w:val="000000"/>
          <w:sz w:val="24"/>
          <w:szCs w:val="24"/>
          <w:lang w:val="sq-AL"/>
        </w:rPr>
      </w:pPr>
    </w:p>
    <w:p w14:paraId="0D55E40D" w14:textId="082403DB"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2</w:t>
      </w:r>
    </w:p>
    <w:p w14:paraId="331A7D92"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Parimet e përgjithshme</w:t>
      </w:r>
    </w:p>
    <w:p w14:paraId="1A502262"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F43C300" w14:textId="0F1E1F98"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20626">
        <w:rPr>
          <w:rFonts w:ascii="Garamond" w:hAnsi="Garamond" w:cs="Times New Roman"/>
          <w:color w:val="000000"/>
          <w:sz w:val="24"/>
          <w:szCs w:val="24"/>
          <w:lang w:val="sq-AL"/>
        </w:rPr>
        <w:t>1. Pasi të jetë miratuar bashkimi i procedimeve, asnjë bashkim tjetër i mëtejshëm</w:t>
      </w:r>
      <w:r w:rsidR="00F20626">
        <w:rPr>
          <w:rFonts w:ascii="Garamond" w:hAnsi="Garamond" w:cs="Times New Roman"/>
          <w:color w:val="000000"/>
          <w:sz w:val="24"/>
          <w:szCs w:val="24"/>
          <w:lang w:val="sq-AL"/>
        </w:rPr>
        <w:t xml:space="preserve"> </w:t>
      </w:r>
      <w:r w:rsidRPr="00F20626">
        <w:rPr>
          <w:rFonts w:ascii="Garamond" w:hAnsi="Garamond" w:cs="Times New Roman"/>
          <w:color w:val="000000"/>
          <w:sz w:val="24"/>
          <w:szCs w:val="24"/>
          <w:lang w:val="sq-AL"/>
        </w:rPr>
        <w:t xml:space="preserve">procedimesh, bazuar në fakte të tjera, në përputhje me dispozitat e nenit 140(1) të </w:t>
      </w:r>
      <w:r w:rsidR="00F20626" w:rsidRPr="00F20626">
        <w:rPr>
          <w:rFonts w:ascii="Garamond" w:hAnsi="Garamond" w:cs="Times New Roman"/>
          <w:color w:val="000000"/>
          <w:sz w:val="24"/>
          <w:szCs w:val="24"/>
          <w:lang w:val="sq-AL"/>
        </w:rPr>
        <w:t>ligjit</w:t>
      </w:r>
      <w:r w:rsidR="00F20626">
        <w:rPr>
          <w:rFonts w:ascii="Garamond" w:hAnsi="Garamond" w:cs="Times New Roman"/>
          <w:color w:val="000000"/>
          <w:sz w:val="24"/>
          <w:szCs w:val="24"/>
          <w:lang w:val="sq-AL"/>
        </w:rPr>
        <w:t xml:space="preserve"> nr.</w:t>
      </w:r>
      <w:r w:rsidR="00F20626" w:rsidRPr="00F20626">
        <w:rPr>
          <w:rFonts w:ascii="Garamond" w:hAnsi="Garamond" w:cs="Times New Roman"/>
          <w:color w:val="000000"/>
          <w:sz w:val="24"/>
          <w:szCs w:val="24"/>
          <w:lang w:val="sq-AL"/>
        </w:rPr>
        <w:t xml:space="preserve"> </w:t>
      </w:r>
      <w:r w:rsidRPr="00F20626">
        <w:rPr>
          <w:rFonts w:ascii="Garamond" w:hAnsi="Garamond" w:cs="Times New Roman"/>
          <w:color w:val="000000"/>
          <w:sz w:val="24"/>
          <w:szCs w:val="24"/>
          <w:lang w:val="sq-AL"/>
        </w:rPr>
        <w:t>96/2016</w:t>
      </w:r>
      <w:r w:rsidR="00F20626" w:rsidRPr="00F20626">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“Për statusin e gjyqtarëve dhe të prokurorëve në Republikën e Shqipërisë”, i ndryshuar, për shkeljet e pretenduara të kryera veçmas, nuk do të jetë më i mundur. </w:t>
      </w:r>
    </w:p>
    <w:p w14:paraId="359C8FB9" w14:textId="2A491635"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20626">
        <w:rPr>
          <w:rFonts w:ascii="Garamond" w:hAnsi="Garamond" w:cs="Times New Roman"/>
          <w:color w:val="000000"/>
          <w:sz w:val="24"/>
          <w:szCs w:val="24"/>
          <w:lang w:val="sq-AL"/>
        </w:rPr>
        <w:lastRenderedPageBreak/>
        <w:t>2.</w:t>
      </w:r>
      <w:r w:rsidRPr="00F20626">
        <w:rPr>
          <w:rFonts w:ascii="Garamond" w:hAnsi="Garamond" w:cs="Times New Roman"/>
          <w:b/>
          <w:bCs/>
          <w:color w:val="000000"/>
          <w:sz w:val="24"/>
          <w:szCs w:val="24"/>
          <w:lang w:val="sq-AL"/>
        </w:rPr>
        <w:t xml:space="preserve"> </w:t>
      </w:r>
      <w:r w:rsidRPr="00F20626">
        <w:rPr>
          <w:rFonts w:ascii="Garamond" w:hAnsi="Garamond" w:cs="Times New Roman"/>
          <w:color w:val="000000"/>
          <w:sz w:val="24"/>
          <w:szCs w:val="24"/>
          <w:lang w:val="sq-AL"/>
        </w:rPr>
        <w:t xml:space="preserve">Për çdo çështje që nuk është rregulluar në mënyrë specifike nga kjo rregullore, do të zbatohen rregullat </w:t>
      </w:r>
      <w:r w:rsidR="000C4AE8" w:rsidRPr="00F20626">
        <w:rPr>
          <w:rFonts w:ascii="Garamond" w:hAnsi="Garamond" w:cs="Times New Roman"/>
          <w:color w:val="000000"/>
          <w:sz w:val="24"/>
          <w:szCs w:val="24"/>
          <w:lang w:val="sq-AL"/>
        </w:rPr>
        <w:t>procedurale</w:t>
      </w:r>
      <w:r w:rsidRPr="00F20626">
        <w:rPr>
          <w:rFonts w:ascii="Garamond" w:hAnsi="Garamond" w:cs="Times New Roman"/>
          <w:color w:val="000000"/>
          <w:sz w:val="24"/>
          <w:szCs w:val="24"/>
          <w:lang w:val="sq-AL"/>
        </w:rPr>
        <w:t xml:space="preserve"> të përgjithshme, të parashikuara në </w:t>
      </w:r>
      <w:r w:rsidR="00447114" w:rsidRPr="00F20626">
        <w:rPr>
          <w:rFonts w:ascii="Garamond" w:hAnsi="Garamond" w:cs="Times New Roman"/>
          <w:color w:val="000000"/>
          <w:sz w:val="24"/>
          <w:szCs w:val="24"/>
          <w:lang w:val="sq-AL"/>
        </w:rPr>
        <w:t>ligjin</w:t>
      </w:r>
      <w:r w:rsidR="00447114">
        <w:rPr>
          <w:rFonts w:ascii="Garamond" w:hAnsi="Garamond" w:cs="Times New Roman"/>
          <w:color w:val="000000"/>
          <w:sz w:val="24"/>
          <w:szCs w:val="24"/>
          <w:lang w:val="sq-AL"/>
        </w:rPr>
        <w:t xml:space="preserve"> nr.</w:t>
      </w:r>
      <w:r w:rsidR="00447114" w:rsidRPr="00F20626">
        <w:rPr>
          <w:rFonts w:ascii="Garamond" w:hAnsi="Garamond" w:cs="Times New Roman"/>
          <w:color w:val="000000"/>
          <w:sz w:val="24"/>
          <w:szCs w:val="24"/>
          <w:lang w:val="sq-AL"/>
        </w:rPr>
        <w:t xml:space="preserve"> </w:t>
      </w:r>
      <w:r w:rsidRPr="00F20626">
        <w:rPr>
          <w:rFonts w:ascii="Garamond" w:hAnsi="Garamond" w:cs="Times New Roman"/>
          <w:color w:val="000000"/>
          <w:sz w:val="24"/>
          <w:szCs w:val="24"/>
          <w:lang w:val="sq-AL"/>
        </w:rPr>
        <w:t>96/2016.</w:t>
      </w:r>
    </w:p>
    <w:p w14:paraId="279A2C81"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
          <w:bCs/>
          <w:color w:val="000000"/>
          <w:sz w:val="24"/>
          <w:szCs w:val="24"/>
          <w:lang w:val="sq-AL"/>
        </w:rPr>
      </w:pPr>
    </w:p>
    <w:p w14:paraId="524272F0" w14:textId="4EA1933B"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3</w:t>
      </w:r>
    </w:p>
    <w:p w14:paraId="5A404D02"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Fillimi i procedurës disiplinore</w:t>
      </w:r>
    </w:p>
    <w:p w14:paraId="6FD72E2D"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D135621" w14:textId="42CA1F16"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1. Pasi të ketë përfunduar hetimi, Inspektori i Lartë i Drejtësisë fillon procedimin disiplinor, duke paraqitur raportin e hetimit së bashku me dosjen hetimore. </w:t>
      </w:r>
    </w:p>
    <w:p w14:paraId="59DC0B79" w14:textId="1F9C3656"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2. Nëse Inspektori i Lartë i Drejtësisë konsideron se hetimet duhet të mbyllen vetëm për njërin nga dy personat nën hetim, ai e argumenton vendimmarrjen e tij në raportin e hetimit. </w:t>
      </w:r>
    </w:p>
    <w:p w14:paraId="69B118D7"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
          <w:bCs/>
          <w:color w:val="000000"/>
          <w:sz w:val="24"/>
          <w:szCs w:val="24"/>
          <w:lang w:val="sq-AL"/>
        </w:rPr>
      </w:pPr>
    </w:p>
    <w:p w14:paraId="4A12E1EC"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4</w:t>
      </w:r>
    </w:p>
    <w:p w14:paraId="5171F133" w14:textId="60AA242F"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Përpunimi i dosjeve në Këshillin e Lartë Gjyqësor dhe Këshillin e Lartë të Prokurorisë</w:t>
      </w:r>
    </w:p>
    <w:p w14:paraId="1B3F22E5"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02A7E36" w14:textId="0E6557E5"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1. Secili Këshill është plotësisht i pavarur në trajtimin dhe vendimmarrjen e çështjes disiplinore që lidhet me magjistratët</w:t>
      </w:r>
      <w:r w:rsidR="00AA0F42">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të cilët janë në fushën e tij të kompetencës.</w:t>
      </w:r>
    </w:p>
    <w:p w14:paraId="5938C158" w14:textId="60E997A6"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2. Këshillat përkatëse duhet të marrin vendimin për bashkimin e procedimeve brenda një periudhe dhjetëditore nga marrja e raportit të hetimit. </w:t>
      </w:r>
    </w:p>
    <w:p w14:paraId="715E441A" w14:textId="42FC7D6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3. Nëse njëri nga dy Këshillat nuk e merr këtë vendim, bashkimi i procedimeve nuk do të ndodhë</w:t>
      </w:r>
      <w:r w:rsidR="00F20626">
        <w:rPr>
          <w:rFonts w:ascii="Garamond" w:hAnsi="Garamond" w:cs="Times New Roman"/>
          <w:color w:val="000000"/>
          <w:sz w:val="24"/>
          <w:szCs w:val="24"/>
          <w:lang w:val="sq-AL"/>
        </w:rPr>
        <w:t xml:space="preserve"> </w:t>
      </w:r>
      <w:r w:rsidRPr="00F20626">
        <w:rPr>
          <w:rFonts w:ascii="Garamond" w:hAnsi="Garamond" w:cs="Times New Roman"/>
          <w:color w:val="000000"/>
          <w:sz w:val="24"/>
          <w:szCs w:val="24"/>
          <w:lang w:val="sq-AL"/>
        </w:rPr>
        <w:t>dhe, që nga ai moment e në vazhdim, procedurat do të vijojnë veçmas.</w:t>
      </w:r>
    </w:p>
    <w:p w14:paraId="4867924E" w14:textId="484AE6D6"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4. Këshillat, pa vonesë, njoftojnë njëri-tjetrin për vendimet përkatëse. Po ashtu, vendimi do t’</w:t>
      </w:r>
      <w:r w:rsidR="00AA0F42">
        <w:rPr>
          <w:rFonts w:ascii="Garamond" w:hAnsi="Garamond" w:cs="Times New Roman"/>
          <w:color w:val="000000"/>
          <w:sz w:val="24"/>
          <w:szCs w:val="24"/>
          <w:lang w:val="sq-AL"/>
        </w:rPr>
        <w:t>u</w:t>
      </w:r>
      <w:r w:rsidRPr="00F20626">
        <w:rPr>
          <w:rFonts w:ascii="Garamond" w:hAnsi="Garamond" w:cs="Times New Roman"/>
          <w:color w:val="000000"/>
          <w:sz w:val="24"/>
          <w:szCs w:val="24"/>
          <w:lang w:val="sq-AL"/>
        </w:rPr>
        <w:t xml:space="preserve"> njoftohet palëve në proces.</w:t>
      </w:r>
    </w:p>
    <w:p w14:paraId="486493BA" w14:textId="71BBA59C"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5. Pas regjistrimit, çështja do të hidhet menjëherë në short për caktimin e relatorit.</w:t>
      </w:r>
    </w:p>
    <w:p w14:paraId="1FB490D2" w14:textId="77777777" w:rsidR="00EE4127" w:rsidRDefault="00EE4127"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p>
    <w:p w14:paraId="558414CB" w14:textId="2821472F"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5</w:t>
      </w:r>
    </w:p>
    <w:p w14:paraId="471EA1DD"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Rastet e ndarjes pa vendim të veçantë</w:t>
      </w:r>
    </w:p>
    <w:p w14:paraId="7D346742"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E6A5638"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Procedimet do të vijojnë të ndara, edhe nëse paraprakisht është marrë vendim për bashkimin e tyre, në rastet e mëposhtme: </w:t>
      </w:r>
    </w:p>
    <w:p w14:paraId="307A9D4D" w14:textId="7C73ECA3"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a) </w:t>
      </w:r>
      <w:r w:rsidR="002C36BF" w:rsidRPr="00F20626">
        <w:rPr>
          <w:rFonts w:ascii="Garamond" w:hAnsi="Garamond" w:cs="Times New Roman"/>
          <w:color w:val="000000"/>
          <w:sz w:val="24"/>
          <w:szCs w:val="24"/>
          <w:lang w:val="sq-AL"/>
        </w:rPr>
        <w:t xml:space="preserve">nëse </w:t>
      </w:r>
      <w:r w:rsidRPr="00F20626">
        <w:rPr>
          <w:rFonts w:ascii="Garamond" w:hAnsi="Garamond" w:cs="Times New Roman"/>
          <w:color w:val="000000"/>
          <w:sz w:val="24"/>
          <w:szCs w:val="24"/>
          <w:lang w:val="sq-AL"/>
        </w:rPr>
        <w:t xml:space="preserve">njëri nga dy Këshillat kërkon nga Inspektori i Lartë i Drejtësisë të kryejë hetime të mëtejshme, në përputhje me dispozitat e nenit 138(5) të </w:t>
      </w:r>
      <w:r w:rsidR="00EE4127" w:rsidRPr="00F20626">
        <w:rPr>
          <w:rFonts w:ascii="Garamond" w:hAnsi="Garamond" w:cs="Times New Roman"/>
          <w:color w:val="000000"/>
          <w:sz w:val="24"/>
          <w:szCs w:val="24"/>
          <w:lang w:val="sq-AL"/>
        </w:rPr>
        <w:t>ligjit</w:t>
      </w:r>
      <w:r w:rsidR="00EE4127">
        <w:rPr>
          <w:rFonts w:ascii="Garamond" w:hAnsi="Garamond" w:cs="Times New Roman"/>
          <w:color w:val="000000"/>
          <w:sz w:val="24"/>
          <w:szCs w:val="24"/>
          <w:lang w:val="sq-AL"/>
        </w:rPr>
        <w:t xml:space="preserve"> nr.</w:t>
      </w:r>
      <w:r w:rsidR="00EE4127">
        <w:t xml:space="preserve"> </w:t>
      </w:r>
      <w:r w:rsidRPr="00F20626">
        <w:rPr>
          <w:rFonts w:ascii="Garamond" w:hAnsi="Garamond" w:cs="Times New Roman"/>
          <w:color w:val="000000"/>
          <w:sz w:val="24"/>
          <w:szCs w:val="24"/>
          <w:lang w:val="sq-AL"/>
        </w:rPr>
        <w:t>96/2016</w:t>
      </w:r>
      <w:r w:rsidR="002C36BF">
        <w:rPr>
          <w:rFonts w:ascii="Garamond" w:hAnsi="Garamond" w:cs="Times New Roman"/>
          <w:color w:val="000000"/>
          <w:sz w:val="24"/>
          <w:szCs w:val="24"/>
          <w:lang w:val="sq-AL"/>
        </w:rPr>
        <w:t>;</w:t>
      </w:r>
    </w:p>
    <w:p w14:paraId="6AF16F95" w14:textId="62EDA49A"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b) </w:t>
      </w:r>
      <w:r w:rsidR="002C36BF" w:rsidRPr="00F20626">
        <w:rPr>
          <w:rFonts w:ascii="Garamond" w:hAnsi="Garamond" w:cs="Times New Roman"/>
          <w:color w:val="000000"/>
          <w:sz w:val="24"/>
          <w:szCs w:val="24"/>
          <w:lang w:val="sq-AL"/>
        </w:rPr>
        <w:t xml:space="preserve">nëse </w:t>
      </w:r>
      <w:r w:rsidRPr="00F20626">
        <w:rPr>
          <w:rFonts w:ascii="Garamond" w:hAnsi="Garamond" w:cs="Times New Roman"/>
          <w:color w:val="000000"/>
          <w:sz w:val="24"/>
          <w:szCs w:val="24"/>
          <w:lang w:val="sq-AL"/>
        </w:rPr>
        <w:t xml:space="preserve">njëri nga dy Këshillat pranon të mbyllë procedimet pa një seancë dëgjimore, pasi vlerëson se ka ndodhur ndonjë nga rastet e parashikuara në nenin 139 të </w:t>
      </w:r>
      <w:r w:rsidR="002C36BF" w:rsidRPr="00F20626">
        <w:rPr>
          <w:rFonts w:ascii="Garamond" w:hAnsi="Garamond" w:cs="Times New Roman"/>
          <w:color w:val="000000"/>
          <w:sz w:val="24"/>
          <w:szCs w:val="24"/>
          <w:lang w:val="sq-AL"/>
        </w:rPr>
        <w:t xml:space="preserve">ligjit </w:t>
      </w:r>
      <w:r w:rsidRPr="00F20626">
        <w:rPr>
          <w:rFonts w:ascii="Garamond" w:hAnsi="Garamond" w:cs="Times New Roman"/>
          <w:color w:val="000000"/>
          <w:sz w:val="24"/>
          <w:szCs w:val="24"/>
          <w:lang w:val="sq-AL"/>
        </w:rPr>
        <w:t>të sipërpërmendur</w:t>
      </w:r>
      <w:r w:rsidR="002C36BF">
        <w:rPr>
          <w:rFonts w:ascii="Garamond" w:hAnsi="Garamond" w:cs="Times New Roman"/>
          <w:color w:val="000000"/>
          <w:sz w:val="24"/>
          <w:szCs w:val="24"/>
          <w:lang w:val="sq-AL"/>
        </w:rPr>
        <w:t>;</w:t>
      </w:r>
    </w:p>
    <w:p w14:paraId="4B529473" w14:textId="4C31729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c) </w:t>
      </w:r>
      <w:r w:rsidR="002C36BF" w:rsidRPr="00F20626">
        <w:rPr>
          <w:rFonts w:ascii="Garamond" w:hAnsi="Garamond" w:cs="Times New Roman"/>
          <w:color w:val="000000"/>
          <w:sz w:val="24"/>
          <w:szCs w:val="24"/>
          <w:lang w:val="sq-AL"/>
        </w:rPr>
        <w:t xml:space="preserve">nëse </w:t>
      </w:r>
      <w:r w:rsidRPr="00F20626">
        <w:rPr>
          <w:rFonts w:ascii="Garamond" w:hAnsi="Garamond" w:cs="Times New Roman"/>
          <w:color w:val="000000"/>
          <w:sz w:val="24"/>
          <w:szCs w:val="24"/>
          <w:lang w:val="sq-AL"/>
        </w:rPr>
        <w:t xml:space="preserve">ndryshon ose zgjerohet fushëveprimi i procedurës disiplinore në përputhje me nenin 144 të </w:t>
      </w:r>
      <w:r w:rsidR="002C36BF" w:rsidRPr="00F20626">
        <w:rPr>
          <w:rFonts w:ascii="Garamond" w:hAnsi="Garamond" w:cs="Times New Roman"/>
          <w:color w:val="000000"/>
          <w:sz w:val="24"/>
          <w:szCs w:val="24"/>
          <w:lang w:val="sq-AL"/>
        </w:rPr>
        <w:t xml:space="preserve">ligjit </w:t>
      </w:r>
      <w:r w:rsidRPr="00F20626">
        <w:rPr>
          <w:rFonts w:ascii="Garamond" w:hAnsi="Garamond" w:cs="Times New Roman"/>
          <w:color w:val="000000"/>
          <w:sz w:val="24"/>
          <w:szCs w:val="24"/>
          <w:lang w:val="sq-AL"/>
        </w:rPr>
        <w:t>në fjalë</w:t>
      </w:r>
      <w:r w:rsidR="002C36BF">
        <w:rPr>
          <w:rFonts w:ascii="Garamond" w:hAnsi="Garamond" w:cs="Times New Roman"/>
          <w:color w:val="000000"/>
          <w:sz w:val="24"/>
          <w:szCs w:val="24"/>
          <w:lang w:val="sq-AL"/>
        </w:rPr>
        <w:t>;</w:t>
      </w:r>
    </w:p>
    <w:p w14:paraId="3A15DA37" w14:textId="48939023"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d) </w:t>
      </w:r>
      <w:r w:rsidR="002C36BF" w:rsidRPr="00F20626">
        <w:rPr>
          <w:rFonts w:ascii="Garamond" w:hAnsi="Garamond" w:cs="Times New Roman"/>
          <w:color w:val="000000"/>
          <w:sz w:val="24"/>
          <w:szCs w:val="24"/>
          <w:lang w:val="sq-AL"/>
        </w:rPr>
        <w:t xml:space="preserve">nëse </w:t>
      </w:r>
      <w:r w:rsidRPr="00F20626">
        <w:rPr>
          <w:rFonts w:ascii="Garamond" w:hAnsi="Garamond" w:cs="Times New Roman"/>
          <w:color w:val="000000"/>
          <w:sz w:val="24"/>
          <w:szCs w:val="24"/>
          <w:lang w:val="sq-AL"/>
        </w:rPr>
        <w:t xml:space="preserve">njëri nga Këshillat pezullon procedimet bazuar në dispozitat e nenit 145 të </w:t>
      </w:r>
      <w:r w:rsidR="002C36BF" w:rsidRPr="00F20626">
        <w:rPr>
          <w:rFonts w:ascii="Garamond" w:hAnsi="Garamond" w:cs="Times New Roman"/>
          <w:color w:val="000000"/>
          <w:sz w:val="24"/>
          <w:szCs w:val="24"/>
          <w:lang w:val="sq-AL"/>
        </w:rPr>
        <w:t xml:space="preserve">ligjit </w:t>
      </w:r>
      <w:r w:rsidRPr="00F20626">
        <w:rPr>
          <w:rFonts w:ascii="Garamond" w:hAnsi="Garamond" w:cs="Times New Roman"/>
          <w:color w:val="000000"/>
          <w:sz w:val="24"/>
          <w:szCs w:val="24"/>
          <w:lang w:val="sq-AL"/>
        </w:rPr>
        <w:t>të lartpërmendur.</w:t>
      </w:r>
    </w:p>
    <w:p w14:paraId="4354FBB7"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
          <w:bCs/>
          <w:color w:val="000000"/>
          <w:sz w:val="24"/>
          <w:szCs w:val="24"/>
          <w:lang w:val="sq-AL"/>
        </w:rPr>
      </w:pPr>
    </w:p>
    <w:p w14:paraId="73615308" w14:textId="7A3AF850"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6</w:t>
      </w:r>
    </w:p>
    <w:p w14:paraId="77BB5F0D"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Procedura</w:t>
      </w:r>
    </w:p>
    <w:p w14:paraId="6A3A6D62"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E832596"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Për të garantuar standard të njëjtë përgjatë procedurës disiplinore, çdo rast do të trajtohet sipas rregullave të përgjithshme, duke marrë parasysh sa më poshtë:</w:t>
      </w:r>
    </w:p>
    <w:p w14:paraId="6845D54A" w14:textId="6A752231"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a) Pasi të jenë caktuar relatorët përkatës nga çdo Këshill, ata do të mbajnë një takim fillestar, në vendin e rënë dakord, në mënyrë që të informojnë njëri-tjetrin për qasjet përkatëse, veçanërisht mbi arsyet e bashkimit të procedimeve.</w:t>
      </w:r>
    </w:p>
    <w:p w14:paraId="5A146401" w14:textId="5DB1909C"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lastRenderedPageBreak/>
        <w:t>Ata</w:t>
      </w:r>
      <w:r w:rsidR="009963D2">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gjithashtu</w:t>
      </w:r>
      <w:r w:rsidR="009963D2">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mund të informojnë njëri-tjetrin për mundësitë që </w:t>
      </w:r>
      <w:r w:rsidR="000C4AE8" w:rsidRPr="00F20626">
        <w:rPr>
          <w:rFonts w:ascii="Garamond" w:hAnsi="Garamond" w:cs="Times New Roman"/>
          <w:color w:val="000000"/>
          <w:sz w:val="24"/>
          <w:szCs w:val="24"/>
          <w:lang w:val="sq-AL"/>
        </w:rPr>
        <w:t xml:space="preserve">këshillat </w:t>
      </w:r>
      <w:r w:rsidRPr="00F20626">
        <w:rPr>
          <w:rFonts w:ascii="Garamond" w:hAnsi="Garamond" w:cs="Times New Roman"/>
          <w:color w:val="000000"/>
          <w:sz w:val="24"/>
          <w:szCs w:val="24"/>
          <w:lang w:val="sq-AL"/>
        </w:rPr>
        <w:t xml:space="preserve">respektivë të vendosin mbylljen e procedimit disiplinor pa seancë dëgjimore ose, në të kundërt, të caktojnë datën në të cilën do të zhvillohen seancat </w:t>
      </w:r>
      <w:r w:rsidR="000C4AE8" w:rsidRPr="00F20626">
        <w:rPr>
          <w:rFonts w:ascii="Garamond" w:hAnsi="Garamond" w:cs="Times New Roman"/>
          <w:color w:val="000000"/>
          <w:sz w:val="24"/>
          <w:szCs w:val="24"/>
          <w:lang w:val="sq-AL"/>
        </w:rPr>
        <w:t>dëgjimore</w:t>
      </w:r>
      <w:r w:rsidRPr="00F20626">
        <w:rPr>
          <w:rFonts w:ascii="Garamond" w:hAnsi="Garamond" w:cs="Times New Roman"/>
          <w:color w:val="000000"/>
          <w:sz w:val="24"/>
          <w:szCs w:val="24"/>
          <w:lang w:val="sq-AL"/>
        </w:rPr>
        <w:t>.</w:t>
      </w:r>
    </w:p>
    <w:p w14:paraId="5B4D5852"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Marrëdhëniet dhe komunikimet mes relatorëve zhvillohen përmes kanaleve zyrtare.</w:t>
      </w:r>
    </w:p>
    <w:p w14:paraId="41423973" w14:textId="60C42DE0"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b) Nëse njëri nga Këshillat urdhëron mbylljen e procedimit disiplinor, ai do të informojë menjëherë Këshillin tjetër, nëpërmjet relatorit përkatës.</w:t>
      </w:r>
    </w:p>
    <w:p w14:paraId="24A2CDB1" w14:textId="436748E2"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c) Relatorët do të ndërmarrin takime sipas nevojës, duke vepruar në besnikëri të plotë, duke mundësuar qëndrime të përbashkëta, veçanërisht për përcaktimin e fakteve të vërtetuara.</w:t>
      </w:r>
    </w:p>
    <w:p w14:paraId="14B9BBC5" w14:textId="4D25E2A6"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 xml:space="preserve">d) Gjithashtu, relatorët duhet të informojnë njëri-tjetrin për statusin e çdo veprimi procedural që kryhet, duke kërkuar, për aq sa është e mundur dhe në respektim të plotë të fushës së tyre të veprimit, koherencën më të madhe në vendimin përfundimtar. </w:t>
      </w:r>
    </w:p>
    <w:p w14:paraId="34653E72" w14:textId="000595E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e) Relatorët do të mundësojnë, sa herë që është e mundur, që Këshillat përkatës të japin përgjigje të njëjtë ndaj kërkesave të palëve për prova, shtyrjen e seancës dëgjimore, kërkesën për pezullimin e procedurës</w:t>
      </w:r>
      <w:r w:rsidR="009963D2">
        <w:rPr>
          <w:rFonts w:ascii="Garamond" w:hAnsi="Garamond" w:cs="Times New Roman"/>
          <w:color w:val="000000"/>
          <w:sz w:val="24"/>
          <w:szCs w:val="24"/>
          <w:lang w:val="sq-AL"/>
        </w:rPr>
        <w:t>,</w:t>
      </w:r>
      <w:r w:rsidRPr="00F20626">
        <w:rPr>
          <w:rFonts w:ascii="Garamond" w:hAnsi="Garamond" w:cs="Times New Roman"/>
          <w:color w:val="000000"/>
          <w:sz w:val="24"/>
          <w:szCs w:val="24"/>
          <w:lang w:val="sq-AL"/>
        </w:rPr>
        <w:t xml:space="preserve"> për shkak të ekzistencës së një hetimi penal apo procesi gjyqësor që ka rëndësi për procedimin disiplinor, si dhe çdo kërkese apo çështjeje tjetër që mund të ngrihet.</w:t>
      </w:r>
    </w:p>
    <w:p w14:paraId="2B197900" w14:textId="0DA66235"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f) Relatorët duhet të përpiqen të sigurojnë që seancat dëgjimore disiplinore të mbahen në të njëjtën ditë. Nëse kjo nuk është e mundur, përpiqen të mbahen sa më afër njëra-tjetrës të jetë e mundur. Nëse ato janë planifikuar në të njëjtën ditë, duhet të evitohet që mbajtja e njërës seancë të mund të paragjykojë mbajtjen e tjetrës, nëse të njëjtët persona duhet të marrin pjesë në të dyja seancat.</w:t>
      </w:r>
    </w:p>
    <w:p w14:paraId="0B43C9D3" w14:textId="2D5C7281"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g) Në hartimin e vendimit përfundimtar, çdo relator do të kërkojë konsistencën maksimale në përcaktimin e fakteve të vërtetuara, pa paragjykuar vlerësimin ligjor të këtyre fakteve nga secili Këshill.</w:t>
      </w:r>
    </w:p>
    <w:p w14:paraId="42A24871"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Gjithashtu, ata do të përpiqen të sigurojnë që, nëse është e mundur dhe pa cenuar të drejtat e palëve, njoftimi i vendimit disiplinor të bëhet në të njëjtën datë.</w:t>
      </w:r>
    </w:p>
    <w:p w14:paraId="524C264A" w14:textId="77777777" w:rsidR="00DB02C8" w:rsidRPr="00F20626" w:rsidRDefault="00DB02C8" w:rsidP="00DB02C8">
      <w:pPr>
        <w:autoSpaceDE w:val="0"/>
        <w:autoSpaceDN w:val="0"/>
        <w:adjustRightInd w:val="0"/>
        <w:spacing w:after="0" w:line="240" w:lineRule="auto"/>
        <w:ind w:firstLine="284"/>
        <w:jc w:val="both"/>
        <w:outlineLvl w:val="0"/>
        <w:rPr>
          <w:rFonts w:ascii="Garamond" w:hAnsi="Garamond" w:cs="Times New Roman"/>
          <w:b/>
          <w:bCs/>
          <w:color w:val="000000"/>
          <w:sz w:val="24"/>
          <w:szCs w:val="24"/>
          <w:lang w:val="sq-AL"/>
        </w:rPr>
      </w:pPr>
    </w:p>
    <w:p w14:paraId="66C1F802" w14:textId="2E496FA0"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KREU II</w:t>
      </w:r>
    </w:p>
    <w:p w14:paraId="3A544037"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DISPOZITA TË FUNDIT</w:t>
      </w:r>
    </w:p>
    <w:p w14:paraId="4D304F81"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p>
    <w:p w14:paraId="5166D351"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Cs/>
          <w:color w:val="000000"/>
          <w:sz w:val="24"/>
          <w:szCs w:val="24"/>
          <w:lang w:val="sq-AL"/>
        </w:rPr>
      </w:pPr>
      <w:r w:rsidRPr="00F20626">
        <w:rPr>
          <w:rFonts w:ascii="Garamond" w:hAnsi="Garamond" w:cs="Times New Roman"/>
          <w:bCs/>
          <w:color w:val="000000"/>
          <w:sz w:val="24"/>
          <w:szCs w:val="24"/>
          <w:lang w:val="sq-AL"/>
        </w:rPr>
        <w:t>Neni 7</w:t>
      </w:r>
    </w:p>
    <w:p w14:paraId="70C5A0E4" w14:textId="77777777" w:rsidR="00DB02C8" w:rsidRPr="00F20626" w:rsidRDefault="00DB02C8" w:rsidP="00DB02C8">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F20626">
        <w:rPr>
          <w:rFonts w:ascii="Garamond" w:hAnsi="Garamond" w:cs="Times New Roman"/>
          <w:b/>
          <w:bCs/>
          <w:color w:val="000000"/>
          <w:sz w:val="24"/>
          <w:szCs w:val="24"/>
          <w:lang w:val="sq-AL"/>
        </w:rPr>
        <w:t>Hyrja në fuqi</w:t>
      </w:r>
    </w:p>
    <w:p w14:paraId="3132C6CB" w14:textId="77777777"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8BA3C31" w14:textId="4E65C491" w:rsidR="00DB02C8" w:rsidRPr="00F20626" w:rsidRDefault="00DB02C8" w:rsidP="00DB02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0626">
        <w:rPr>
          <w:rFonts w:ascii="Garamond" w:hAnsi="Garamond" w:cs="Times New Roman"/>
          <w:color w:val="000000"/>
          <w:sz w:val="24"/>
          <w:szCs w:val="24"/>
          <w:lang w:val="sq-AL"/>
        </w:rPr>
        <w:t>Kjo rregullore hyn në fuqi në ditën e botimit në Fletoren Zyrtare.</w:t>
      </w:r>
    </w:p>
    <w:p w14:paraId="644FF240" w14:textId="77777777" w:rsidR="00DB02C8" w:rsidRPr="00F20626" w:rsidRDefault="00DB02C8" w:rsidP="00DB02C8">
      <w:pPr>
        <w:spacing w:after="0" w:line="240" w:lineRule="auto"/>
        <w:ind w:firstLine="284"/>
        <w:jc w:val="both"/>
        <w:rPr>
          <w:rFonts w:ascii="Garamond" w:hAnsi="Garamond"/>
          <w:b/>
          <w:sz w:val="24"/>
          <w:lang w:val="sq-AL"/>
        </w:rPr>
      </w:pPr>
    </w:p>
    <w:p w14:paraId="57B6EFF0" w14:textId="201FBAE2" w:rsidR="00524216" w:rsidRPr="00F20626" w:rsidRDefault="00524216" w:rsidP="00156E33">
      <w:pPr>
        <w:spacing w:after="0" w:line="240" w:lineRule="auto"/>
        <w:ind w:firstLine="284"/>
        <w:jc w:val="both"/>
        <w:rPr>
          <w:rFonts w:ascii="Garamond" w:hAnsi="Garamond"/>
          <w:sz w:val="24"/>
          <w:lang w:val="sq-AL"/>
        </w:rPr>
      </w:pPr>
    </w:p>
    <w:p w14:paraId="7C512AC4" w14:textId="77777777" w:rsidR="00524216" w:rsidRPr="00F20626" w:rsidRDefault="00524216" w:rsidP="00524216">
      <w:pPr>
        <w:spacing w:after="0" w:line="240" w:lineRule="auto"/>
        <w:ind w:firstLine="284"/>
        <w:rPr>
          <w:rFonts w:ascii="Garamond" w:hAnsi="Garamond"/>
          <w:sz w:val="24"/>
          <w:lang w:val="sq-AL"/>
        </w:rPr>
      </w:pPr>
    </w:p>
    <w:p w14:paraId="01D4E7D2" w14:textId="5FCE2227" w:rsidR="00524216" w:rsidRPr="00F20626" w:rsidRDefault="00524216">
      <w:pPr>
        <w:rPr>
          <w:lang w:val="sq-AL"/>
        </w:rPr>
      </w:pPr>
    </w:p>
    <w:p w14:paraId="02011B39" w14:textId="77777777" w:rsidR="00524216" w:rsidRPr="00F20626" w:rsidRDefault="00524216">
      <w:pPr>
        <w:rPr>
          <w:lang w:val="sq-AL"/>
        </w:rPr>
      </w:pPr>
    </w:p>
    <w:sectPr w:rsidR="00524216" w:rsidRPr="00F20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D1"/>
    <w:rsid w:val="000170D0"/>
    <w:rsid w:val="0007626C"/>
    <w:rsid w:val="00093FF7"/>
    <w:rsid w:val="000C4AE8"/>
    <w:rsid w:val="000F74B6"/>
    <w:rsid w:val="00133ED1"/>
    <w:rsid w:val="00156E33"/>
    <w:rsid w:val="001930A9"/>
    <w:rsid w:val="001A56A5"/>
    <w:rsid w:val="001F1B06"/>
    <w:rsid w:val="00245572"/>
    <w:rsid w:val="00277766"/>
    <w:rsid w:val="00280A6A"/>
    <w:rsid w:val="00281ABA"/>
    <w:rsid w:val="002A2045"/>
    <w:rsid w:val="002C36BF"/>
    <w:rsid w:val="002C6BFE"/>
    <w:rsid w:val="0032021F"/>
    <w:rsid w:val="003C7AC6"/>
    <w:rsid w:val="003F167C"/>
    <w:rsid w:val="003F768C"/>
    <w:rsid w:val="00415D6C"/>
    <w:rsid w:val="00420DDA"/>
    <w:rsid w:val="00420FCC"/>
    <w:rsid w:val="004262AA"/>
    <w:rsid w:val="00447114"/>
    <w:rsid w:val="00463D71"/>
    <w:rsid w:val="00466D63"/>
    <w:rsid w:val="00475729"/>
    <w:rsid w:val="00495544"/>
    <w:rsid w:val="004977BB"/>
    <w:rsid w:val="00502A65"/>
    <w:rsid w:val="00524216"/>
    <w:rsid w:val="00530AD4"/>
    <w:rsid w:val="0056576D"/>
    <w:rsid w:val="005856A6"/>
    <w:rsid w:val="0059674C"/>
    <w:rsid w:val="005B5F43"/>
    <w:rsid w:val="005E7A0D"/>
    <w:rsid w:val="0061636A"/>
    <w:rsid w:val="00642C82"/>
    <w:rsid w:val="0064747C"/>
    <w:rsid w:val="00684321"/>
    <w:rsid w:val="006D79E5"/>
    <w:rsid w:val="00713FE8"/>
    <w:rsid w:val="00764F49"/>
    <w:rsid w:val="007A461B"/>
    <w:rsid w:val="008638DE"/>
    <w:rsid w:val="008A171C"/>
    <w:rsid w:val="008C7EE7"/>
    <w:rsid w:val="008F286E"/>
    <w:rsid w:val="0090290C"/>
    <w:rsid w:val="009077D1"/>
    <w:rsid w:val="00963E49"/>
    <w:rsid w:val="009963D2"/>
    <w:rsid w:val="00A90999"/>
    <w:rsid w:val="00AA0F42"/>
    <w:rsid w:val="00AC57D1"/>
    <w:rsid w:val="00AD6F91"/>
    <w:rsid w:val="00AF35D0"/>
    <w:rsid w:val="00B15A5F"/>
    <w:rsid w:val="00B20C13"/>
    <w:rsid w:val="00B22326"/>
    <w:rsid w:val="00B513C8"/>
    <w:rsid w:val="00B63811"/>
    <w:rsid w:val="00C25383"/>
    <w:rsid w:val="00C66791"/>
    <w:rsid w:val="00C72B08"/>
    <w:rsid w:val="00DB02C8"/>
    <w:rsid w:val="00E417F7"/>
    <w:rsid w:val="00EE4127"/>
    <w:rsid w:val="00F20626"/>
    <w:rsid w:val="00F223EA"/>
    <w:rsid w:val="00F23FBB"/>
    <w:rsid w:val="00F274B7"/>
    <w:rsid w:val="00F54FC8"/>
    <w:rsid w:val="00F71BE0"/>
    <w:rsid w:val="00F72413"/>
    <w:rsid w:val="00F84694"/>
    <w:rsid w:val="00FE3E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8B03"/>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B02C8"/>
    <w:pPr>
      <w:keepNext/>
      <w:autoSpaceDE w:val="0"/>
      <w:autoSpaceDN w:val="0"/>
      <w:adjustRightInd w:val="0"/>
      <w:spacing w:before="240" w:after="240" w:line="400" w:lineRule="atLeast"/>
      <w:ind w:left="340" w:firstLine="340"/>
      <w:jc w:val="center"/>
      <w:outlineLvl w:val="0"/>
    </w:pPr>
    <w:rPr>
      <w:rFonts w:ascii="Times New Roman" w:hAnsi="Times New Roman" w:cs="Times New Roman"/>
      <w:b/>
      <w:bCs/>
      <w:color w:val="000000"/>
      <w:sz w:val="30"/>
      <w:szCs w:val="3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2C8"/>
    <w:rPr>
      <w:rFonts w:ascii="Times New Roman" w:hAnsi="Times New Roman" w:cs="Times New Roman"/>
      <w:b/>
      <w:bCs/>
      <w:color w:val="000000"/>
      <w:sz w:val="30"/>
      <w:szCs w:val="3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C944B9F88964CEAB74C38AFD8C5E1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Nr_x002e__x0020_akti>
    <Data_x0020_e_x0020_Krijimit xmlns="0e656187-b300-4fb0-8bf4-3a50f872073c">2024-07-29T10:58:42Z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2024-07-29T00:00:00Z</Date_x0020_protokolli>
    <Titulli xmlns="0e656187-b300-4fb0-8bf4-3a50f872073c">Për bashkimin e procedimeve disiplinore në rastet kur një prokuror dhe një gjyqtar, janë të përfshirë në të njëjtën shkelje disiplinore</Titulli>
    <Modifikuesi xmlns="0e656187-b300-4fb0-8bf4-3a50f872073c">alma.lisaku</Modifikuesi>
    <Nr_x002e__x0020_prot_x0020_QBZ xmlns="0e656187-b300-4fb0-8bf4-3a50f872073c">1352/1</Nr_x002e__x0020_prot_x0020_QBZ>
    <Data_x0020_e_x0020_Modifikimit xmlns="0e656187-b300-4fb0-8bf4-3a50f872073c">2024-07-30T09:06:16Z</Data_x0020_e_x0020_Modifikimit>
    <Dekretuar xmlns="0e656187-b300-4fb0-8bf4-3a50f872073c">false</Dekretuar>
    <Data xmlns="0e656187-b300-4fb0-8bf4-3a50f872073c">2024-07-09T00:00:00Z</Data>
    <Nr_x002e__x0020_protokolli_x0020_i_x0020_aktit xmlns="0e656187-b300-4fb0-8bf4-3a50f872073c">1796/2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944B9F88964CEAB74C38AFD8C5E1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0EC073-483E-48C1-9F24-5E8E38FA0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3E30F50-FAAF-4FBF-95CA-A4094EA6F3A5}">
  <ds:schemaRefs>
    <ds:schemaRef ds:uri="http://schemas.microsoft.com/office/2006/metadata/properties"/>
    <ds:schemaRef ds:uri="http://www.w3.org/XML/1998/namespace"/>
    <ds:schemaRef ds:uri="http://purl.org/dc/terms/"/>
    <ds:schemaRef ds:uri="http://purl.org/dc/dcmityp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29230257-F304-48E1-9948-0F31FF28078D}">
  <ds:schemaRefs>
    <ds:schemaRef ds:uri="http://schemas.microsoft.com/sharepoint/v3/contenttype/forms"/>
  </ds:schemaRefs>
</ds:datastoreItem>
</file>

<file path=customXml/itemProps4.xml><?xml version="1.0" encoding="utf-8"?>
<ds:datastoreItem xmlns:ds="http://schemas.openxmlformats.org/officeDocument/2006/customXml" ds:itemID="{5E6C8214-7581-4BDA-9888-4C9E87A55198}">
  <ds:schemaRefs>
    <ds:schemaRef ds:uri="http://schemas.microsoft.com/sharepoint/v3/contenttype/forms"/>
  </ds:schemaRefs>
</ds:datastoreItem>
</file>

<file path=customXml/itemProps5.xml><?xml version="1.0" encoding="utf-8"?>
<ds:datastoreItem xmlns:ds="http://schemas.openxmlformats.org/officeDocument/2006/customXml" ds:itemID="{D8CC37DA-940C-4923-A4EB-4B40F2A3E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bashkimin e procedimeve disiplinore në rastet kur një prokuror dhe një gjyqtar, janë të përfshirë në të njëjtën shkelje disiplinore</vt:lpstr>
    </vt:vector>
  </TitlesOfParts>
  <Company/>
  <LinksUpToDate>false</LinksUpToDate>
  <CharactersWithSpaces>6797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bashkimin e procedimeve disiplinore në rastet kur një prokuror dhe një gjyqtar, janë të përfshirë në të njëjtën shkelje disiplinore</dc:title>
  <dc:creator>Entela Suli</dc:creator>
  <cp:lastModifiedBy>Entela Suli</cp:lastModifiedBy>
  <cp:revision>33</cp:revision>
  <dcterms:created xsi:type="dcterms:W3CDTF">2024-07-29T10:00:00Z</dcterms:created>
  <dcterms:modified xsi:type="dcterms:W3CDTF">2024-07-30T08:28:00Z</dcterms:modified>
</cp:coreProperties>
</file>