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ADDD00" w14:textId="77777777" w:rsidR="00A119B4" w:rsidRPr="00552543" w:rsidRDefault="00A119B4" w:rsidP="00B75E74">
      <w:pPr>
        <w:spacing w:after="0" w:line="240" w:lineRule="auto"/>
        <w:ind w:firstLine="284"/>
        <w:jc w:val="center"/>
        <w:rPr>
          <w:rFonts w:ascii="Garamond" w:hAnsi="Garamond"/>
          <w:b/>
          <w:sz w:val="24"/>
          <w:szCs w:val="24"/>
        </w:rPr>
      </w:pPr>
    </w:p>
    <w:p w14:paraId="45355445" w14:textId="77777777" w:rsidR="00444C47" w:rsidRPr="00552543" w:rsidRDefault="00444C47" w:rsidP="00B75E74">
      <w:pPr>
        <w:spacing w:after="0" w:line="240" w:lineRule="auto"/>
        <w:ind w:firstLine="284"/>
        <w:jc w:val="center"/>
        <w:rPr>
          <w:rFonts w:ascii="Garamond" w:eastAsia="Times New Roman" w:hAnsi="Garamond"/>
          <w:b/>
          <w:color w:val="000000"/>
          <w:sz w:val="24"/>
          <w:szCs w:val="24"/>
        </w:rPr>
      </w:pPr>
      <w:r w:rsidRPr="00552543">
        <w:rPr>
          <w:rFonts w:ascii="Garamond" w:eastAsia="Times New Roman" w:hAnsi="Garamond"/>
          <w:b/>
          <w:color w:val="000000"/>
          <w:sz w:val="24"/>
          <w:szCs w:val="24"/>
        </w:rPr>
        <w:t>VENDIM</w:t>
      </w:r>
    </w:p>
    <w:p w14:paraId="29EEB79B" w14:textId="3CBCA091" w:rsidR="00444C47" w:rsidRPr="00552543" w:rsidRDefault="00444C47" w:rsidP="00B75E74">
      <w:pPr>
        <w:spacing w:after="0" w:line="240" w:lineRule="auto"/>
        <w:ind w:firstLine="284"/>
        <w:jc w:val="center"/>
        <w:rPr>
          <w:rFonts w:ascii="Garamond" w:eastAsia="Times New Roman" w:hAnsi="Garamond"/>
          <w:b/>
          <w:color w:val="000000"/>
          <w:sz w:val="24"/>
          <w:szCs w:val="24"/>
        </w:rPr>
      </w:pPr>
      <w:r w:rsidRPr="00552543">
        <w:rPr>
          <w:rFonts w:ascii="Garamond" w:eastAsia="Times New Roman" w:hAnsi="Garamond"/>
          <w:b/>
          <w:color w:val="000000"/>
          <w:sz w:val="24"/>
          <w:szCs w:val="24"/>
        </w:rPr>
        <w:t>Nr. 169, datë 16.7.2025</w:t>
      </w:r>
    </w:p>
    <w:p w14:paraId="4606754C" w14:textId="77777777" w:rsidR="00444C47" w:rsidRPr="00552543" w:rsidRDefault="00444C47" w:rsidP="00B75E74">
      <w:pPr>
        <w:spacing w:after="0" w:line="240" w:lineRule="auto"/>
        <w:ind w:firstLine="284"/>
        <w:jc w:val="center"/>
        <w:rPr>
          <w:rFonts w:ascii="Garamond" w:eastAsia="Times New Roman" w:hAnsi="Garamond"/>
          <w:b/>
          <w:color w:val="000000"/>
          <w:sz w:val="24"/>
          <w:szCs w:val="24"/>
        </w:rPr>
      </w:pPr>
    </w:p>
    <w:p w14:paraId="00CEC319" w14:textId="717BD8B8" w:rsidR="00444C47" w:rsidRPr="00552543" w:rsidRDefault="00444C47" w:rsidP="00B75E74">
      <w:pPr>
        <w:spacing w:after="0" w:line="240" w:lineRule="auto"/>
        <w:ind w:firstLine="284"/>
        <w:jc w:val="center"/>
        <w:rPr>
          <w:rFonts w:ascii="Garamond" w:eastAsia="Times New Roman" w:hAnsi="Garamond"/>
          <w:b/>
          <w:color w:val="000000"/>
          <w:sz w:val="24"/>
          <w:szCs w:val="24"/>
        </w:rPr>
      </w:pPr>
      <w:r w:rsidRPr="00552543">
        <w:rPr>
          <w:rFonts w:ascii="Garamond" w:eastAsia="Times New Roman" w:hAnsi="Garamond"/>
          <w:b/>
          <w:color w:val="000000"/>
          <w:sz w:val="24"/>
          <w:szCs w:val="24"/>
        </w:rPr>
        <w:t>PËR MIRATIMIN E RREGULLORES “MBI ZHVILLIMIN E PROCEDURAVE PËR RIVLERËSIMIN E SUBJEKTEVE NGA</w:t>
      </w:r>
      <w:r w:rsidR="001C4183" w:rsidRPr="001C4183">
        <w:rPr>
          <w:rFonts w:ascii="Garamond" w:eastAsia="Times New Roman" w:hAnsi="Garamond"/>
          <w:b/>
          <w:color w:val="000000"/>
          <w:sz w:val="24"/>
          <w:szCs w:val="24"/>
        </w:rPr>
        <w:t xml:space="preserve"> </w:t>
      </w:r>
      <w:r w:rsidR="001C4183" w:rsidRPr="00552543">
        <w:rPr>
          <w:rFonts w:ascii="Garamond" w:eastAsia="Times New Roman" w:hAnsi="Garamond"/>
          <w:b/>
          <w:color w:val="000000"/>
          <w:sz w:val="24"/>
          <w:szCs w:val="24"/>
        </w:rPr>
        <w:t>KËSHILLI I LARTË</w:t>
      </w:r>
      <w:r w:rsidRPr="00552543">
        <w:rPr>
          <w:rFonts w:ascii="Garamond" w:eastAsia="Times New Roman" w:hAnsi="Garamond"/>
          <w:b/>
          <w:color w:val="000000"/>
          <w:sz w:val="24"/>
          <w:szCs w:val="24"/>
        </w:rPr>
        <w:t xml:space="preserve"> </w:t>
      </w:r>
      <w:r w:rsidR="001C4183">
        <w:rPr>
          <w:rFonts w:ascii="Garamond" w:eastAsia="Times New Roman" w:hAnsi="Garamond"/>
          <w:b/>
          <w:color w:val="000000"/>
          <w:sz w:val="24"/>
          <w:szCs w:val="24"/>
        </w:rPr>
        <w:t xml:space="preserve">GJYQËSOR DHE </w:t>
      </w:r>
      <w:r w:rsidRPr="00552543">
        <w:rPr>
          <w:rFonts w:ascii="Garamond" w:eastAsia="Times New Roman" w:hAnsi="Garamond"/>
          <w:b/>
          <w:color w:val="000000"/>
          <w:sz w:val="24"/>
          <w:szCs w:val="24"/>
        </w:rPr>
        <w:t>KËSHILLI I LARTË I PROKURORISË”</w:t>
      </w:r>
    </w:p>
    <w:p w14:paraId="171F4B6F" w14:textId="77777777" w:rsidR="00444C47" w:rsidRPr="00552543" w:rsidRDefault="00444C47" w:rsidP="00B75E74">
      <w:pPr>
        <w:spacing w:after="0" w:line="240" w:lineRule="auto"/>
        <w:ind w:firstLine="284"/>
        <w:jc w:val="both"/>
        <w:rPr>
          <w:rFonts w:ascii="Garamond" w:eastAsia="Times New Roman" w:hAnsi="Garamond"/>
          <w:color w:val="000000"/>
          <w:sz w:val="24"/>
          <w:szCs w:val="24"/>
        </w:rPr>
      </w:pPr>
    </w:p>
    <w:p w14:paraId="269DA164" w14:textId="7FCC5E7C" w:rsidR="00444C47" w:rsidRPr="00552543" w:rsidRDefault="00444C47" w:rsidP="00552543">
      <w:pPr>
        <w:spacing w:after="0" w:line="240" w:lineRule="auto"/>
        <w:ind w:firstLine="284"/>
        <w:jc w:val="both"/>
        <w:rPr>
          <w:rFonts w:ascii="Garamond" w:eastAsia="Times New Roman" w:hAnsi="Garamond"/>
          <w:color w:val="000000"/>
          <w:sz w:val="24"/>
          <w:szCs w:val="24"/>
        </w:rPr>
      </w:pPr>
      <w:r w:rsidRPr="00552543">
        <w:rPr>
          <w:rFonts w:ascii="Garamond" w:eastAsia="Times New Roman" w:hAnsi="Garamond"/>
          <w:color w:val="000000"/>
          <w:sz w:val="24"/>
          <w:szCs w:val="24"/>
        </w:rPr>
        <w:t>Bazuar në nenet</w:t>
      </w:r>
      <w:r w:rsidR="00726A34">
        <w:rPr>
          <w:rFonts w:ascii="Garamond" w:eastAsia="Times New Roman" w:hAnsi="Garamond"/>
          <w:color w:val="000000"/>
          <w:sz w:val="24"/>
          <w:szCs w:val="24"/>
        </w:rPr>
        <w:t xml:space="preserve"> </w:t>
      </w:r>
      <w:r w:rsidRPr="00552543">
        <w:rPr>
          <w:rFonts w:ascii="Garamond" w:eastAsia="Times New Roman" w:hAnsi="Garamond"/>
          <w:color w:val="000000"/>
          <w:sz w:val="24"/>
          <w:szCs w:val="24"/>
        </w:rPr>
        <w:t xml:space="preserve">149, pika 1, 149/a, pika 1, germa “e”, 179/b dhe </w:t>
      </w:r>
      <w:r w:rsidR="00552543">
        <w:rPr>
          <w:rFonts w:ascii="Garamond" w:eastAsia="Times New Roman" w:hAnsi="Garamond"/>
          <w:color w:val="000000"/>
          <w:sz w:val="24"/>
          <w:szCs w:val="24"/>
        </w:rPr>
        <w:t>a</w:t>
      </w:r>
      <w:r w:rsidRPr="00552543">
        <w:rPr>
          <w:rFonts w:ascii="Garamond" w:eastAsia="Times New Roman" w:hAnsi="Garamond"/>
          <w:color w:val="000000"/>
          <w:sz w:val="24"/>
          <w:szCs w:val="24"/>
        </w:rPr>
        <w:t xml:space="preserve">neksin “Rivlerësimi kalimtar i gjyqtarëve dhe prokurorëve”, të Kushtetutës </w:t>
      </w:r>
      <w:r w:rsidR="00552543">
        <w:rPr>
          <w:rFonts w:ascii="Garamond" w:eastAsia="Times New Roman" w:hAnsi="Garamond"/>
          <w:color w:val="000000"/>
          <w:sz w:val="24"/>
          <w:szCs w:val="24"/>
        </w:rPr>
        <w:t>s</w:t>
      </w:r>
      <w:r w:rsidRPr="00552543">
        <w:rPr>
          <w:rFonts w:ascii="Garamond" w:eastAsia="Times New Roman" w:hAnsi="Garamond"/>
          <w:color w:val="000000"/>
          <w:sz w:val="24"/>
          <w:szCs w:val="24"/>
        </w:rPr>
        <w:t>ë Republikës së Shqipërisë</w:t>
      </w:r>
      <w:r w:rsidR="00552543">
        <w:rPr>
          <w:rFonts w:ascii="Garamond" w:eastAsia="Times New Roman" w:hAnsi="Garamond"/>
          <w:color w:val="000000"/>
          <w:sz w:val="24"/>
          <w:szCs w:val="24"/>
        </w:rPr>
        <w:t>;</w:t>
      </w:r>
      <w:r w:rsidRPr="00552543">
        <w:rPr>
          <w:rFonts w:ascii="Garamond" w:eastAsia="Times New Roman" w:hAnsi="Garamond"/>
          <w:color w:val="000000"/>
          <w:sz w:val="24"/>
          <w:szCs w:val="24"/>
        </w:rPr>
        <w:t xml:space="preserve"> në </w:t>
      </w:r>
      <w:r w:rsidR="00552543">
        <w:rPr>
          <w:rFonts w:ascii="Garamond" w:eastAsia="Times New Roman" w:hAnsi="Garamond"/>
          <w:color w:val="000000"/>
          <w:sz w:val="24"/>
          <w:szCs w:val="24"/>
        </w:rPr>
        <w:t>l</w:t>
      </w:r>
      <w:r w:rsidRPr="00552543">
        <w:rPr>
          <w:rFonts w:ascii="Garamond" w:eastAsia="Times New Roman" w:hAnsi="Garamond"/>
          <w:color w:val="000000"/>
          <w:sz w:val="24"/>
          <w:szCs w:val="24"/>
        </w:rPr>
        <w:t>igjin nr. 84/2016</w:t>
      </w:r>
      <w:r w:rsidR="00552543">
        <w:rPr>
          <w:rFonts w:ascii="Garamond" w:eastAsia="Times New Roman" w:hAnsi="Garamond"/>
          <w:color w:val="000000"/>
          <w:sz w:val="24"/>
          <w:szCs w:val="24"/>
        </w:rPr>
        <w:t>,</w:t>
      </w:r>
      <w:r w:rsidRPr="00552543">
        <w:rPr>
          <w:rFonts w:ascii="Garamond" w:eastAsia="Times New Roman" w:hAnsi="Garamond"/>
          <w:color w:val="000000"/>
          <w:sz w:val="24"/>
          <w:szCs w:val="24"/>
        </w:rPr>
        <w:t xml:space="preserve"> “Për rivlerësimin kalimtar të gjyqtarëve dhe prokurorëve”</w:t>
      </w:r>
      <w:r w:rsidR="00552543">
        <w:rPr>
          <w:rFonts w:ascii="Garamond" w:eastAsia="Times New Roman" w:hAnsi="Garamond"/>
          <w:color w:val="000000"/>
          <w:sz w:val="24"/>
          <w:szCs w:val="24"/>
        </w:rPr>
        <w:t>;</w:t>
      </w:r>
      <w:r w:rsidRPr="00552543">
        <w:rPr>
          <w:rFonts w:ascii="Garamond" w:eastAsia="Times New Roman" w:hAnsi="Garamond"/>
          <w:color w:val="000000"/>
          <w:sz w:val="24"/>
          <w:szCs w:val="24"/>
        </w:rPr>
        <w:t xml:space="preserve"> në </w:t>
      </w:r>
      <w:r w:rsidR="00552543">
        <w:rPr>
          <w:rFonts w:ascii="Garamond" w:eastAsia="Times New Roman" w:hAnsi="Garamond"/>
          <w:color w:val="000000"/>
          <w:sz w:val="24"/>
          <w:szCs w:val="24"/>
        </w:rPr>
        <w:t>l</w:t>
      </w:r>
      <w:r w:rsidRPr="00552543">
        <w:rPr>
          <w:rFonts w:ascii="Garamond" w:eastAsia="Times New Roman" w:hAnsi="Garamond"/>
          <w:color w:val="000000"/>
          <w:sz w:val="24"/>
          <w:szCs w:val="24"/>
        </w:rPr>
        <w:t>igjin nr. 44/2015, ‘Kodi i Procedurave Administrative të Republikës së Shqipërisë”</w:t>
      </w:r>
      <w:r w:rsidR="00552543">
        <w:rPr>
          <w:rFonts w:ascii="Garamond" w:eastAsia="Times New Roman" w:hAnsi="Garamond"/>
          <w:color w:val="000000"/>
          <w:sz w:val="24"/>
          <w:szCs w:val="24"/>
        </w:rPr>
        <w:t>;</w:t>
      </w:r>
      <w:r w:rsidRPr="00552543">
        <w:rPr>
          <w:rFonts w:ascii="Garamond" w:eastAsia="Times New Roman" w:hAnsi="Garamond"/>
          <w:color w:val="000000"/>
          <w:sz w:val="24"/>
          <w:szCs w:val="24"/>
        </w:rPr>
        <w:t xml:space="preserve"> në </w:t>
      </w:r>
      <w:r w:rsidR="00552543">
        <w:rPr>
          <w:rFonts w:ascii="Garamond" w:eastAsia="Times New Roman" w:hAnsi="Garamond"/>
          <w:color w:val="000000"/>
          <w:sz w:val="24"/>
          <w:szCs w:val="24"/>
        </w:rPr>
        <w:t>l</w:t>
      </w:r>
      <w:r w:rsidRPr="00552543">
        <w:rPr>
          <w:rFonts w:ascii="Garamond" w:eastAsia="Times New Roman" w:hAnsi="Garamond"/>
          <w:color w:val="000000"/>
          <w:sz w:val="24"/>
          <w:szCs w:val="24"/>
        </w:rPr>
        <w:t>igjin nr. 115/2016</w:t>
      </w:r>
      <w:r w:rsidR="00552543">
        <w:rPr>
          <w:rFonts w:ascii="Garamond" w:eastAsia="Times New Roman" w:hAnsi="Garamond"/>
          <w:color w:val="000000"/>
          <w:sz w:val="24"/>
          <w:szCs w:val="24"/>
        </w:rPr>
        <w:t>,</w:t>
      </w:r>
      <w:r w:rsidRPr="00552543">
        <w:rPr>
          <w:rFonts w:ascii="Garamond" w:eastAsia="Times New Roman" w:hAnsi="Garamond"/>
          <w:color w:val="000000"/>
          <w:sz w:val="24"/>
          <w:szCs w:val="24"/>
        </w:rPr>
        <w:t xml:space="preserve"> “Për organet e qeverisjes së sistemit të drejtësisë”, i ndryshuar</w:t>
      </w:r>
      <w:r w:rsidR="00552543">
        <w:rPr>
          <w:rFonts w:ascii="Garamond" w:eastAsia="Times New Roman" w:hAnsi="Garamond"/>
          <w:color w:val="000000"/>
          <w:sz w:val="24"/>
          <w:szCs w:val="24"/>
        </w:rPr>
        <w:t>;</w:t>
      </w:r>
      <w:r w:rsidRPr="00552543">
        <w:rPr>
          <w:rFonts w:ascii="Garamond" w:eastAsia="Times New Roman" w:hAnsi="Garamond"/>
          <w:color w:val="000000"/>
          <w:sz w:val="24"/>
          <w:szCs w:val="24"/>
        </w:rPr>
        <w:t xml:space="preserve"> në </w:t>
      </w:r>
      <w:r w:rsidR="00552543">
        <w:rPr>
          <w:rFonts w:ascii="Garamond" w:eastAsia="Times New Roman" w:hAnsi="Garamond"/>
          <w:color w:val="000000"/>
          <w:sz w:val="24"/>
          <w:szCs w:val="24"/>
        </w:rPr>
        <w:t>l</w:t>
      </w:r>
      <w:r w:rsidRPr="00552543">
        <w:rPr>
          <w:rFonts w:ascii="Garamond" w:eastAsia="Times New Roman" w:hAnsi="Garamond"/>
          <w:color w:val="000000"/>
          <w:sz w:val="24"/>
          <w:szCs w:val="24"/>
        </w:rPr>
        <w:t>igjin nr. 96/2016</w:t>
      </w:r>
      <w:r w:rsidR="00552543">
        <w:rPr>
          <w:rFonts w:ascii="Garamond" w:eastAsia="Times New Roman" w:hAnsi="Garamond"/>
          <w:color w:val="000000"/>
          <w:sz w:val="24"/>
          <w:szCs w:val="24"/>
        </w:rPr>
        <w:t>,</w:t>
      </w:r>
      <w:r w:rsidRPr="00552543">
        <w:rPr>
          <w:rFonts w:ascii="Garamond" w:eastAsia="Times New Roman" w:hAnsi="Garamond"/>
          <w:color w:val="000000"/>
          <w:sz w:val="24"/>
          <w:szCs w:val="24"/>
        </w:rPr>
        <w:t xml:space="preserve"> “Për statusin e gjyqtarëve dhe prokurorëve në Republikën e Shqipërisë”, i ndryshuar, me propozim të Grupit të Punës</w:t>
      </w:r>
      <w:r w:rsidR="00552543">
        <w:rPr>
          <w:rFonts w:ascii="Garamond" w:eastAsia="Times New Roman" w:hAnsi="Garamond"/>
          <w:color w:val="000000"/>
          <w:sz w:val="24"/>
          <w:szCs w:val="24"/>
        </w:rPr>
        <w:t>,</w:t>
      </w:r>
      <w:r w:rsidRPr="00552543">
        <w:rPr>
          <w:rFonts w:ascii="Garamond" w:eastAsia="Times New Roman" w:hAnsi="Garamond"/>
          <w:color w:val="000000"/>
          <w:sz w:val="24"/>
          <w:szCs w:val="24"/>
        </w:rPr>
        <w:t xml:space="preserve"> sipas </w:t>
      </w:r>
      <w:r w:rsidR="00552543">
        <w:rPr>
          <w:rFonts w:ascii="Garamond" w:eastAsia="Times New Roman" w:hAnsi="Garamond"/>
          <w:color w:val="000000"/>
          <w:sz w:val="24"/>
          <w:szCs w:val="24"/>
        </w:rPr>
        <w:t>u</w:t>
      </w:r>
      <w:r w:rsidRPr="00552543">
        <w:rPr>
          <w:rFonts w:ascii="Garamond" w:eastAsia="Times New Roman" w:hAnsi="Garamond"/>
          <w:color w:val="000000"/>
          <w:sz w:val="24"/>
          <w:szCs w:val="24"/>
        </w:rPr>
        <w:t>rdhrit nr. 195, datë 16.12.2024, “Për përgatitjen dhe hartimin e planit të veprimit për çështjet e papërfunduara të rivlerësimit të prokurorëve nga Komisioni i Pavarur i Kualifikimit”, të Kryetarit, Këshilli i Lartë i Prokurorisë</w:t>
      </w:r>
    </w:p>
    <w:p w14:paraId="084543EC" w14:textId="77777777" w:rsidR="00444C47" w:rsidRPr="00552543" w:rsidRDefault="00444C47" w:rsidP="00B75E74">
      <w:pPr>
        <w:spacing w:after="0" w:line="240" w:lineRule="auto"/>
        <w:ind w:firstLine="284"/>
        <w:jc w:val="both"/>
        <w:rPr>
          <w:rFonts w:ascii="Garamond" w:eastAsia="Times New Roman" w:hAnsi="Garamond"/>
          <w:color w:val="000000"/>
          <w:sz w:val="24"/>
          <w:szCs w:val="24"/>
        </w:rPr>
      </w:pPr>
    </w:p>
    <w:p w14:paraId="644B749C" w14:textId="6F478923" w:rsidR="00444C47" w:rsidRPr="00552543" w:rsidRDefault="00444C47" w:rsidP="00B75E74">
      <w:pPr>
        <w:spacing w:after="0" w:line="240" w:lineRule="auto"/>
        <w:ind w:firstLine="284"/>
        <w:jc w:val="center"/>
        <w:rPr>
          <w:rFonts w:ascii="Garamond" w:eastAsia="Times New Roman" w:hAnsi="Garamond"/>
          <w:color w:val="000000"/>
          <w:sz w:val="24"/>
          <w:szCs w:val="24"/>
        </w:rPr>
      </w:pPr>
      <w:r w:rsidRPr="00552543">
        <w:rPr>
          <w:rFonts w:ascii="Garamond" w:eastAsia="Times New Roman" w:hAnsi="Garamond"/>
          <w:color w:val="000000"/>
          <w:sz w:val="24"/>
          <w:szCs w:val="24"/>
        </w:rPr>
        <w:t>VENDOSI:</w:t>
      </w:r>
    </w:p>
    <w:p w14:paraId="3DC56BE3" w14:textId="77777777" w:rsidR="00444C47" w:rsidRPr="00552543" w:rsidRDefault="00444C47" w:rsidP="00B75E74">
      <w:pPr>
        <w:spacing w:after="0" w:line="240" w:lineRule="auto"/>
        <w:ind w:firstLine="284"/>
        <w:jc w:val="both"/>
        <w:rPr>
          <w:rFonts w:ascii="Garamond" w:eastAsia="Times New Roman" w:hAnsi="Garamond"/>
          <w:color w:val="000000"/>
          <w:sz w:val="24"/>
          <w:szCs w:val="24"/>
        </w:rPr>
      </w:pPr>
    </w:p>
    <w:p w14:paraId="59C8B223" w14:textId="4B4FAF78" w:rsidR="00444C47" w:rsidRPr="00552543" w:rsidRDefault="00444C47" w:rsidP="00B75E74">
      <w:pPr>
        <w:spacing w:after="0" w:line="240" w:lineRule="auto"/>
        <w:ind w:firstLine="284"/>
        <w:jc w:val="both"/>
        <w:rPr>
          <w:rFonts w:ascii="Garamond" w:eastAsia="Times New Roman" w:hAnsi="Garamond"/>
          <w:color w:val="000000"/>
          <w:sz w:val="24"/>
          <w:szCs w:val="24"/>
        </w:rPr>
      </w:pPr>
      <w:r w:rsidRPr="00552543">
        <w:rPr>
          <w:rFonts w:ascii="Garamond" w:eastAsia="Times New Roman" w:hAnsi="Garamond"/>
          <w:color w:val="000000"/>
          <w:sz w:val="24"/>
          <w:szCs w:val="24"/>
        </w:rPr>
        <w:t>1.</w:t>
      </w:r>
      <w:r w:rsidR="008B10D0" w:rsidRPr="00552543">
        <w:rPr>
          <w:rFonts w:ascii="Garamond" w:eastAsia="Times New Roman" w:hAnsi="Garamond"/>
          <w:color w:val="000000"/>
          <w:sz w:val="24"/>
          <w:szCs w:val="24"/>
        </w:rPr>
        <w:t xml:space="preserve"> </w:t>
      </w:r>
      <w:r w:rsidRPr="00552543">
        <w:rPr>
          <w:rFonts w:ascii="Garamond" w:eastAsia="Times New Roman" w:hAnsi="Garamond"/>
          <w:color w:val="000000"/>
          <w:sz w:val="24"/>
          <w:szCs w:val="24"/>
        </w:rPr>
        <w:t xml:space="preserve">Miratimin e </w:t>
      </w:r>
      <w:r w:rsidR="00552543">
        <w:rPr>
          <w:rFonts w:ascii="Garamond" w:eastAsia="Times New Roman" w:hAnsi="Garamond"/>
          <w:color w:val="000000"/>
          <w:sz w:val="24"/>
          <w:szCs w:val="24"/>
        </w:rPr>
        <w:t>r</w:t>
      </w:r>
      <w:r w:rsidRPr="00552543">
        <w:rPr>
          <w:rFonts w:ascii="Garamond" w:eastAsia="Times New Roman" w:hAnsi="Garamond"/>
          <w:color w:val="000000"/>
          <w:sz w:val="24"/>
          <w:szCs w:val="24"/>
        </w:rPr>
        <w:t>regullores “Mbi zhvillimin e procedurave për rivlerësimin e subjekteve nga Këshilli i Lartë i Prokurorisë”, sipas tekstit bashkëlidhur.</w:t>
      </w:r>
    </w:p>
    <w:p w14:paraId="1C6A2369" w14:textId="4040567B" w:rsidR="00444C47" w:rsidRPr="00552543" w:rsidRDefault="00444C47" w:rsidP="00B75E74">
      <w:pPr>
        <w:spacing w:after="0" w:line="240" w:lineRule="auto"/>
        <w:ind w:firstLine="284"/>
        <w:jc w:val="both"/>
        <w:rPr>
          <w:rFonts w:ascii="Garamond" w:eastAsia="Times New Roman" w:hAnsi="Garamond"/>
          <w:color w:val="000000"/>
          <w:sz w:val="24"/>
          <w:szCs w:val="24"/>
        </w:rPr>
      </w:pPr>
      <w:r w:rsidRPr="00552543">
        <w:rPr>
          <w:rFonts w:ascii="Garamond" w:eastAsia="Times New Roman" w:hAnsi="Garamond"/>
          <w:color w:val="000000"/>
          <w:sz w:val="24"/>
          <w:szCs w:val="24"/>
        </w:rPr>
        <w:t>2.</w:t>
      </w:r>
      <w:r w:rsidR="008B10D0" w:rsidRPr="00552543">
        <w:rPr>
          <w:rFonts w:ascii="Garamond" w:eastAsia="Times New Roman" w:hAnsi="Garamond"/>
          <w:color w:val="000000"/>
          <w:sz w:val="24"/>
          <w:szCs w:val="24"/>
        </w:rPr>
        <w:t xml:space="preserve"> </w:t>
      </w:r>
      <w:r w:rsidRPr="00552543">
        <w:rPr>
          <w:rFonts w:ascii="Garamond" w:eastAsia="Times New Roman" w:hAnsi="Garamond"/>
          <w:color w:val="000000"/>
          <w:sz w:val="24"/>
          <w:szCs w:val="24"/>
        </w:rPr>
        <w:t>Ky vendim hyn në fuqi në datën e botimit në Fletoren Zyrtare dhe publikohet në faqen zyrtare të internetit të Këshillit të Lartë të Prokurorisë.</w:t>
      </w:r>
    </w:p>
    <w:p w14:paraId="7683E365" w14:textId="66205B0F" w:rsidR="00444C47" w:rsidRPr="00552543" w:rsidRDefault="00444C47" w:rsidP="00B75E74">
      <w:pPr>
        <w:spacing w:after="0" w:line="240" w:lineRule="auto"/>
        <w:ind w:firstLine="284"/>
        <w:jc w:val="both"/>
        <w:rPr>
          <w:rFonts w:ascii="Garamond" w:eastAsia="Times New Roman" w:hAnsi="Garamond"/>
          <w:color w:val="000000"/>
          <w:sz w:val="24"/>
          <w:szCs w:val="24"/>
        </w:rPr>
      </w:pPr>
      <w:r w:rsidRPr="00552543">
        <w:rPr>
          <w:rFonts w:ascii="Garamond" w:eastAsia="Times New Roman" w:hAnsi="Garamond"/>
          <w:color w:val="000000"/>
          <w:sz w:val="24"/>
          <w:szCs w:val="24"/>
        </w:rPr>
        <w:t>U shpall në Tiranë, sot më</w:t>
      </w:r>
      <w:r w:rsidR="00552543">
        <w:rPr>
          <w:rFonts w:ascii="Garamond" w:eastAsia="Times New Roman" w:hAnsi="Garamond"/>
          <w:color w:val="000000"/>
          <w:sz w:val="24"/>
          <w:szCs w:val="24"/>
        </w:rPr>
        <w:t xml:space="preserve"> </w:t>
      </w:r>
      <w:r w:rsidRPr="00552543">
        <w:rPr>
          <w:rFonts w:ascii="Garamond" w:eastAsia="Times New Roman" w:hAnsi="Garamond"/>
          <w:color w:val="000000"/>
          <w:sz w:val="24"/>
          <w:szCs w:val="24"/>
        </w:rPr>
        <w:t>16.7.202</w:t>
      </w:r>
      <w:r w:rsidR="009B1ADA">
        <w:rPr>
          <w:rFonts w:ascii="Garamond" w:eastAsia="Times New Roman" w:hAnsi="Garamond"/>
          <w:color w:val="000000"/>
          <w:sz w:val="24"/>
          <w:szCs w:val="24"/>
        </w:rPr>
        <w:t>5</w:t>
      </w:r>
      <w:bookmarkStart w:id="0" w:name="_GoBack"/>
      <w:bookmarkEnd w:id="0"/>
      <w:r w:rsidRPr="00552543">
        <w:rPr>
          <w:rFonts w:ascii="Garamond" w:eastAsia="Times New Roman" w:hAnsi="Garamond"/>
          <w:color w:val="000000"/>
          <w:sz w:val="24"/>
          <w:szCs w:val="24"/>
        </w:rPr>
        <w:t>.</w:t>
      </w:r>
    </w:p>
    <w:p w14:paraId="3CB78D28" w14:textId="77777777" w:rsidR="00444C47" w:rsidRPr="00552543" w:rsidRDefault="00444C47" w:rsidP="00B75E74">
      <w:pPr>
        <w:spacing w:after="0" w:line="240" w:lineRule="auto"/>
        <w:ind w:firstLine="284"/>
        <w:jc w:val="both"/>
        <w:rPr>
          <w:rFonts w:ascii="Garamond" w:eastAsia="Times New Roman" w:hAnsi="Garamond"/>
          <w:color w:val="000000"/>
          <w:sz w:val="24"/>
          <w:szCs w:val="24"/>
        </w:rPr>
      </w:pPr>
    </w:p>
    <w:p w14:paraId="68AF0DEC" w14:textId="7F42725D" w:rsidR="00444C47" w:rsidRPr="00552543" w:rsidRDefault="00444C47" w:rsidP="00B75E74">
      <w:pPr>
        <w:spacing w:after="0" w:line="240" w:lineRule="auto"/>
        <w:ind w:firstLine="284"/>
        <w:jc w:val="right"/>
        <w:rPr>
          <w:rFonts w:ascii="Garamond" w:eastAsia="Times New Roman" w:hAnsi="Garamond"/>
          <w:color w:val="000000"/>
          <w:sz w:val="24"/>
          <w:szCs w:val="24"/>
        </w:rPr>
      </w:pPr>
      <w:r w:rsidRPr="00552543">
        <w:rPr>
          <w:rFonts w:ascii="Garamond" w:eastAsia="Times New Roman" w:hAnsi="Garamond"/>
          <w:color w:val="000000"/>
          <w:sz w:val="24"/>
          <w:szCs w:val="24"/>
        </w:rPr>
        <w:t>KRYETAR</w:t>
      </w:r>
    </w:p>
    <w:p w14:paraId="188B9D06" w14:textId="621C8907" w:rsidR="000E5630" w:rsidRPr="00552543" w:rsidRDefault="00444C47" w:rsidP="00B75E74">
      <w:pPr>
        <w:spacing w:after="0" w:line="240" w:lineRule="auto"/>
        <w:ind w:firstLine="284"/>
        <w:jc w:val="right"/>
        <w:rPr>
          <w:rFonts w:ascii="Garamond" w:eastAsia="Times New Roman" w:hAnsi="Garamond"/>
          <w:b/>
          <w:color w:val="000000"/>
          <w:sz w:val="24"/>
          <w:szCs w:val="24"/>
        </w:rPr>
      </w:pPr>
      <w:r w:rsidRPr="00552543">
        <w:rPr>
          <w:rFonts w:ascii="Garamond" w:eastAsia="Times New Roman" w:hAnsi="Garamond"/>
          <w:b/>
          <w:color w:val="000000"/>
          <w:sz w:val="24"/>
          <w:szCs w:val="24"/>
        </w:rPr>
        <w:t>Mirela Bogdani</w:t>
      </w:r>
    </w:p>
    <w:p w14:paraId="7BC1C72D" w14:textId="5403104B" w:rsidR="00A80412" w:rsidRPr="00552543" w:rsidRDefault="00A80412" w:rsidP="00B75E74">
      <w:pPr>
        <w:spacing w:after="0" w:line="240" w:lineRule="auto"/>
        <w:ind w:firstLine="284"/>
        <w:jc w:val="right"/>
        <w:rPr>
          <w:rFonts w:ascii="Garamond" w:eastAsia="Times New Roman" w:hAnsi="Garamond"/>
          <w:b/>
          <w:color w:val="000000"/>
          <w:sz w:val="24"/>
          <w:szCs w:val="24"/>
        </w:rPr>
      </w:pPr>
    </w:p>
    <w:p w14:paraId="00971B77" w14:textId="77777777" w:rsidR="00B75E74" w:rsidRPr="00552543" w:rsidRDefault="00B75E74" w:rsidP="00B75E74">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552543">
        <w:rPr>
          <w:rFonts w:ascii="Garamond" w:eastAsiaTheme="minorHAnsi" w:hAnsi="Garamond"/>
          <w:b/>
          <w:bCs/>
          <w:color w:val="000000"/>
          <w:sz w:val="24"/>
          <w:szCs w:val="24"/>
        </w:rPr>
        <w:t>RREGULLORE</w:t>
      </w:r>
    </w:p>
    <w:p w14:paraId="40055648" w14:textId="5C6C9B97" w:rsidR="00B75E74" w:rsidRPr="00552543" w:rsidRDefault="00B75E74" w:rsidP="00B75E74">
      <w:pPr>
        <w:autoSpaceDE w:val="0"/>
        <w:autoSpaceDN w:val="0"/>
        <w:adjustRightInd w:val="0"/>
        <w:spacing w:after="0" w:line="240" w:lineRule="auto"/>
        <w:ind w:firstLine="284"/>
        <w:jc w:val="center"/>
        <w:rPr>
          <w:rFonts w:ascii="Garamond" w:eastAsiaTheme="minorHAnsi" w:hAnsi="Garamond"/>
          <w:color w:val="000000"/>
          <w:sz w:val="24"/>
          <w:szCs w:val="24"/>
        </w:rPr>
      </w:pPr>
      <w:r w:rsidRPr="00552543">
        <w:rPr>
          <w:rFonts w:ascii="Garamond" w:eastAsiaTheme="minorHAnsi" w:hAnsi="Garamond"/>
          <w:bCs/>
          <w:color w:val="000000"/>
          <w:sz w:val="24"/>
          <w:szCs w:val="24"/>
        </w:rPr>
        <w:t>PËR MBLEDHJET E PËRBASHKËTA DHE BASHKËPUNIMIN NDËRINSTITUCIONAL NDËRMJET KËSHILLIT TË LARTË GJYQËSOR DHE KËSHILLIT TË LARTË TË PROKURORISË</w:t>
      </w:r>
    </w:p>
    <w:p w14:paraId="27CBEEE3" w14:textId="77777777" w:rsidR="00B75E74" w:rsidRPr="00552543" w:rsidRDefault="00B75E74" w:rsidP="00B75E74">
      <w:pPr>
        <w:autoSpaceDE w:val="0"/>
        <w:autoSpaceDN w:val="0"/>
        <w:adjustRightInd w:val="0"/>
        <w:spacing w:after="0" w:line="240" w:lineRule="auto"/>
        <w:ind w:firstLine="284"/>
        <w:jc w:val="both"/>
        <w:rPr>
          <w:rFonts w:ascii="Garamond" w:eastAsiaTheme="minorHAnsi" w:hAnsi="Garamond"/>
          <w:bCs/>
          <w:color w:val="000000"/>
          <w:sz w:val="24"/>
          <w:szCs w:val="24"/>
        </w:rPr>
      </w:pPr>
    </w:p>
    <w:p w14:paraId="55983A87" w14:textId="77777777" w:rsidR="00B75E74" w:rsidRPr="00552543" w:rsidRDefault="00B75E74" w:rsidP="00B75E74">
      <w:pPr>
        <w:autoSpaceDE w:val="0"/>
        <w:autoSpaceDN w:val="0"/>
        <w:adjustRightInd w:val="0"/>
        <w:spacing w:after="0" w:line="240" w:lineRule="auto"/>
        <w:ind w:firstLine="284"/>
        <w:jc w:val="center"/>
        <w:rPr>
          <w:rFonts w:ascii="Garamond" w:eastAsiaTheme="minorHAnsi" w:hAnsi="Garamond"/>
          <w:bCs/>
          <w:color w:val="000000"/>
          <w:sz w:val="24"/>
          <w:szCs w:val="24"/>
        </w:rPr>
      </w:pPr>
      <w:r w:rsidRPr="00552543">
        <w:rPr>
          <w:rFonts w:ascii="Garamond" w:eastAsiaTheme="minorHAnsi" w:hAnsi="Garamond"/>
          <w:bCs/>
          <w:color w:val="000000"/>
          <w:sz w:val="24"/>
          <w:szCs w:val="24"/>
        </w:rPr>
        <w:t>Neni 1</w:t>
      </w:r>
    </w:p>
    <w:p w14:paraId="4C0A327F" w14:textId="77777777" w:rsidR="00B75E74" w:rsidRPr="00552543" w:rsidRDefault="00B75E74" w:rsidP="00B75E74">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552543">
        <w:rPr>
          <w:rFonts w:ascii="Garamond" w:eastAsiaTheme="minorHAnsi" w:hAnsi="Garamond"/>
          <w:b/>
          <w:bCs/>
          <w:color w:val="000000"/>
          <w:sz w:val="24"/>
          <w:szCs w:val="24"/>
        </w:rPr>
        <w:t>Qëllimi dhe fusha e zbatimit</w:t>
      </w:r>
    </w:p>
    <w:p w14:paraId="3E4009BA" w14:textId="77777777" w:rsidR="00B75E74" w:rsidRPr="00552543" w:rsidRDefault="00B75E74" w:rsidP="00B75E74">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39C20B5F" w14:textId="20B039C5" w:rsidR="00B75E74" w:rsidRPr="00552543" w:rsidRDefault="00B75E74" w:rsidP="00B75E74">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rPr>
      </w:pPr>
      <w:r w:rsidRPr="00552543">
        <w:rPr>
          <w:rFonts w:ascii="Garamond" w:eastAsiaTheme="minorHAnsi" w:hAnsi="Garamond"/>
          <w:color w:val="000000"/>
          <w:sz w:val="24"/>
          <w:szCs w:val="24"/>
        </w:rPr>
        <w:t xml:space="preserve">1. Kjo </w:t>
      </w:r>
      <w:r w:rsidR="00552543">
        <w:rPr>
          <w:rFonts w:ascii="Garamond" w:eastAsiaTheme="minorHAnsi" w:hAnsi="Garamond"/>
          <w:color w:val="000000"/>
          <w:sz w:val="24"/>
          <w:szCs w:val="24"/>
        </w:rPr>
        <w:t>r</w:t>
      </w:r>
      <w:r w:rsidRPr="00552543">
        <w:rPr>
          <w:rFonts w:ascii="Garamond" w:eastAsiaTheme="minorHAnsi" w:hAnsi="Garamond"/>
          <w:color w:val="000000"/>
          <w:sz w:val="24"/>
          <w:szCs w:val="24"/>
        </w:rPr>
        <w:t>regullore përcakton kuadrin procedural për organizimin, planifikimin, drejtimin dhe zhvillimin e mbledhjeve të përbashkëta midis Këshillit të Lartë Gjyqësor dhe Këshillit të Lartë të Prokurorisë.</w:t>
      </w:r>
    </w:p>
    <w:p w14:paraId="643B1D71" w14:textId="7884AEFF" w:rsidR="00B75E74" w:rsidRPr="00552543" w:rsidRDefault="00B75E74" w:rsidP="00B75E74">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rPr>
      </w:pPr>
      <w:r w:rsidRPr="00552543">
        <w:rPr>
          <w:rFonts w:ascii="Garamond" w:eastAsiaTheme="minorHAnsi" w:hAnsi="Garamond"/>
          <w:color w:val="000000"/>
          <w:sz w:val="24"/>
          <w:szCs w:val="24"/>
        </w:rPr>
        <w:t>2. Ajo përcakton përgjegjësitë e secilit Këshill në përgatitjen dhe menaxhimin e mbledhjeve të përbashkëta dhe siguron bashkërendimin në fushat me interes të përbashkët institucional, në respekt të plotë të pavarësisë kushtetuese dhe mandateve të veçanta të Këshillit të Lartë Gjyqësor dhe Këshillit të Lartë të Prokurorisë.</w:t>
      </w:r>
    </w:p>
    <w:p w14:paraId="4AE56166" w14:textId="09866B16" w:rsidR="00B75E74" w:rsidRPr="00552543" w:rsidRDefault="00B75E74" w:rsidP="00B75E74">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rPr>
      </w:pPr>
      <w:r w:rsidRPr="00552543">
        <w:rPr>
          <w:rFonts w:ascii="Garamond" w:eastAsiaTheme="minorHAnsi" w:hAnsi="Garamond"/>
          <w:color w:val="000000"/>
          <w:sz w:val="24"/>
          <w:szCs w:val="24"/>
        </w:rPr>
        <w:t xml:space="preserve">3. Kjo </w:t>
      </w:r>
      <w:r w:rsidR="00552543">
        <w:rPr>
          <w:rFonts w:ascii="Garamond" w:eastAsiaTheme="minorHAnsi" w:hAnsi="Garamond"/>
          <w:color w:val="000000"/>
          <w:sz w:val="24"/>
          <w:szCs w:val="24"/>
        </w:rPr>
        <w:t>r</w:t>
      </w:r>
      <w:r w:rsidRPr="00552543">
        <w:rPr>
          <w:rFonts w:ascii="Garamond" w:eastAsiaTheme="minorHAnsi" w:hAnsi="Garamond"/>
          <w:color w:val="000000"/>
          <w:sz w:val="24"/>
          <w:szCs w:val="24"/>
        </w:rPr>
        <w:t>regullore ofron një bazë, për bashkëpunim të strukturuar dhe periodik midis dy Këshillave dhe forcon mekanizmat institucionalë, të nevojshëm për veprim të përbashkët konsistent dhe efektiv.</w:t>
      </w:r>
    </w:p>
    <w:p w14:paraId="5CD66EBA" w14:textId="77777777" w:rsidR="00B75E74" w:rsidRPr="00552543" w:rsidRDefault="00B75E74" w:rsidP="00B75E74">
      <w:pPr>
        <w:autoSpaceDE w:val="0"/>
        <w:autoSpaceDN w:val="0"/>
        <w:adjustRightInd w:val="0"/>
        <w:spacing w:after="0" w:line="240" w:lineRule="auto"/>
        <w:ind w:firstLine="284"/>
        <w:jc w:val="both"/>
        <w:rPr>
          <w:rFonts w:ascii="Garamond" w:eastAsiaTheme="minorHAnsi" w:hAnsi="Garamond"/>
          <w:color w:val="000000"/>
          <w:sz w:val="24"/>
          <w:szCs w:val="24"/>
        </w:rPr>
      </w:pPr>
    </w:p>
    <w:p w14:paraId="4E42CF06" w14:textId="11495068" w:rsidR="00B75E74" w:rsidRPr="00552543" w:rsidRDefault="00B75E74" w:rsidP="00B75E74">
      <w:pPr>
        <w:autoSpaceDE w:val="0"/>
        <w:autoSpaceDN w:val="0"/>
        <w:adjustRightInd w:val="0"/>
        <w:spacing w:after="0" w:line="240" w:lineRule="auto"/>
        <w:ind w:firstLine="284"/>
        <w:jc w:val="center"/>
        <w:rPr>
          <w:rFonts w:ascii="Garamond" w:eastAsiaTheme="minorHAnsi" w:hAnsi="Garamond"/>
          <w:bCs/>
          <w:color w:val="000000"/>
          <w:sz w:val="24"/>
          <w:szCs w:val="24"/>
        </w:rPr>
      </w:pPr>
      <w:r w:rsidRPr="00552543">
        <w:rPr>
          <w:rFonts w:ascii="Garamond" w:eastAsiaTheme="minorHAnsi" w:hAnsi="Garamond"/>
          <w:bCs/>
          <w:color w:val="000000"/>
          <w:sz w:val="24"/>
          <w:szCs w:val="24"/>
        </w:rPr>
        <w:t>Neni 2</w:t>
      </w:r>
    </w:p>
    <w:p w14:paraId="740D0B38" w14:textId="77777777" w:rsidR="00B75E74" w:rsidRPr="00552543" w:rsidRDefault="00B75E74" w:rsidP="00B75E74">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552543">
        <w:rPr>
          <w:rFonts w:ascii="Garamond" w:eastAsiaTheme="minorHAnsi" w:hAnsi="Garamond"/>
          <w:b/>
          <w:bCs/>
          <w:color w:val="000000"/>
          <w:sz w:val="24"/>
          <w:szCs w:val="24"/>
        </w:rPr>
        <w:t>Fushat e bashkëpunimit dhe objekti i mbledhjeve të përbashkëta</w:t>
      </w:r>
    </w:p>
    <w:p w14:paraId="33744EB8" w14:textId="77777777" w:rsidR="00B75E74" w:rsidRPr="00552543" w:rsidRDefault="00B75E74" w:rsidP="00B75E74">
      <w:pPr>
        <w:autoSpaceDE w:val="0"/>
        <w:autoSpaceDN w:val="0"/>
        <w:adjustRightInd w:val="0"/>
        <w:spacing w:after="0" w:line="240" w:lineRule="auto"/>
        <w:ind w:firstLine="284"/>
        <w:jc w:val="center"/>
        <w:rPr>
          <w:rFonts w:ascii="Garamond" w:eastAsiaTheme="minorHAnsi" w:hAnsi="Garamond"/>
          <w:color w:val="000000"/>
          <w:sz w:val="24"/>
          <w:szCs w:val="24"/>
        </w:rPr>
      </w:pPr>
    </w:p>
    <w:p w14:paraId="0FFCA790" w14:textId="13EAE130" w:rsidR="00B75E74" w:rsidRPr="00552543" w:rsidRDefault="00B75E74" w:rsidP="00B75E74">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rPr>
      </w:pPr>
      <w:r w:rsidRPr="00552543">
        <w:rPr>
          <w:rFonts w:ascii="Garamond" w:eastAsiaTheme="minorHAnsi" w:hAnsi="Garamond"/>
          <w:color w:val="000000"/>
          <w:sz w:val="24"/>
          <w:szCs w:val="24"/>
        </w:rPr>
        <w:lastRenderedPageBreak/>
        <w:t>1. Bashkëpunimi midis Këshillit të Lartë Gjyqësor dhe Këshillit të Lartë të Prokurorisë, si dhe temat që do të trajtohen në mbledhjet e tyre të përbashkëta, pasqyrojnë çështje me rëndësi të përbashkët dhe përgjegjësi institucionale, në përputhje me kompetencat e tyre përkatëse kushtetuese dhe ligjore. Në fund të çdo viti kalendarik, Këshilli i Lartë Gjyqësor dhe Këshilli i Lartë i Prokurorisë, nëpërmjet Kryetarëve, dakordësojnë një agjendë vjetore të mbledhjeve të përbashkëta, si dhe çështjet me interes të ndërsjellë, që do të trajtohen.</w:t>
      </w:r>
    </w:p>
    <w:p w14:paraId="6AB4F40F" w14:textId="53DCD0BC" w:rsidR="00B75E74" w:rsidRPr="00552543" w:rsidRDefault="00B75E74" w:rsidP="00B75E74">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rPr>
      </w:pPr>
      <w:r w:rsidRPr="00552543">
        <w:rPr>
          <w:rFonts w:ascii="Garamond" w:eastAsiaTheme="minorHAnsi" w:hAnsi="Garamond"/>
          <w:color w:val="000000"/>
          <w:sz w:val="24"/>
          <w:szCs w:val="24"/>
        </w:rPr>
        <w:t>2. Fushat e bashkëpunimit përfshijnë, por nuk kufizohen, në sa vijon:</w:t>
      </w:r>
    </w:p>
    <w:p w14:paraId="3B03DEDB" w14:textId="3A53A351" w:rsidR="00B75E74" w:rsidRPr="00552543" w:rsidRDefault="00B75E74" w:rsidP="00B75E74">
      <w:pPr>
        <w:autoSpaceDE w:val="0"/>
        <w:autoSpaceDN w:val="0"/>
        <w:adjustRightInd w:val="0"/>
        <w:spacing w:after="0" w:line="240" w:lineRule="auto"/>
        <w:ind w:firstLine="284"/>
        <w:jc w:val="both"/>
        <w:rPr>
          <w:rFonts w:ascii="Garamond" w:eastAsiaTheme="minorHAnsi" w:hAnsi="Garamond"/>
          <w:color w:val="000000"/>
          <w:sz w:val="24"/>
          <w:szCs w:val="24"/>
        </w:rPr>
      </w:pPr>
      <w:r w:rsidRPr="00552543">
        <w:rPr>
          <w:rFonts w:ascii="Garamond" w:eastAsiaTheme="minorHAnsi" w:hAnsi="Garamond"/>
          <w:color w:val="000000"/>
          <w:sz w:val="24"/>
          <w:szCs w:val="24"/>
        </w:rPr>
        <w:t xml:space="preserve">a) </w:t>
      </w:r>
      <w:r w:rsidR="00552543" w:rsidRPr="00552543">
        <w:rPr>
          <w:rFonts w:ascii="Garamond" w:eastAsiaTheme="minorHAnsi" w:hAnsi="Garamond"/>
          <w:color w:val="000000"/>
          <w:sz w:val="24"/>
          <w:szCs w:val="24"/>
        </w:rPr>
        <w:t xml:space="preserve">seancat </w:t>
      </w:r>
      <w:r w:rsidRPr="00552543">
        <w:rPr>
          <w:rFonts w:ascii="Garamond" w:eastAsiaTheme="minorHAnsi" w:hAnsi="Garamond"/>
          <w:color w:val="000000"/>
          <w:sz w:val="24"/>
          <w:szCs w:val="24"/>
        </w:rPr>
        <w:t>e përbashkëta plenare dhe takimet e përbashkëta të Komisioneve të Përhershme, departamenteve, strukturave këshilluese ligjore dhe njësive mbështetëse përkatëse;</w:t>
      </w:r>
    </w:p>
    <w:p w14:paraId="1E89579E" w14:textId="05E2118F" w:rsidR="00B75E74" w:rsidRPr="00552543" w:rsidRDefault="00B75E74" w:rsidP="00B75E74">
      <w:pPr>
        <w:autoSpaceDE w:val="0"/>
        <w:autoSpaceDN w:val="0"/>
        <w:adjustRightInd w:val="0"/>
        <w:spacing w:after="0" w:line="240" w:lineRule="auto"/>
        <w:ind w:firstLine="284"/>
        <w:jc w:val="both"/>
        <w:rPr>
          <w:rFonts w:ascii="Garamond" w:eastAsiaTheme="minorHAnsi" w:hAnsi="Garamond"/>
          <w:color w:val="000000"/>
          <w:sz w:val="24"/>
          <w:szCs w:val="24"/>
        </w:rPr>
      </w:pPr>
      <w:r w:rsidRPr="00552543">
        <w:rPr>
          <w:rFonts w:ascii="Garamond" w:eastAsiaTheme="minorHAnsi" w:hAnsi="Garamond"/>
          <w:color w:val="000000"/>
          <w:sz w:val="24"/>
          <w:szCs w:val="24"/>
        </w:rPr>
        <w:t xml:space="preserve">b) </w:t>
      </w:r>
      <w:r w:rsidR="00552543" w:rsidRPr="00552543">
        <w:rPr>
          <w:rFonts w:ascii="Garamond" w:eastAsiaTheme="minorHAnsi" w:hAnsi="Garamond"/>
          <w:color w:val="000000"/>
          <w:sz w:val="24"/>
          <w:szCs w:val="24"/>
        </w:rPr>
        <w:t xml:space="preserve">bashkërendim </w:t>
      </w:r>
      <w:r w:rsidRPr="00552543">
        <w:rPr>
          <w:rFonts w:ascii="Garamond" w:eastAsiaTheme="minorHAnsi" w:hAnsi="Garamond"/>
          <w:color w:val="000000"/>
          <w:sz w:val="24"/>
          <w:szCs w:val="24"/>
        </w:rPr>
        <w:t>dhe përafrim në interpretimin dhe zbatimin e dispozitave ligjore, shkëmbim të jurisprudencës dhe praktikave institucionale;</w:t>
      </w:r>
    </w:p>
    <w:p w14:paraId="15F31CFF" w14:textId="4BE47715" w:rsidR="00B75E74" w:rsidRPr="00552543" w:rsidRDefault="00B75E74" w:rsidP="00B75E74">
      <w:pPr>
        <w:autoSpaceDE w:val="0"/>
        <w:autoSpaceDN w:val="0"/>
        <w:adjustRightInd w:val="0"/>
        <w:spacing w:after="0" w:line="240" w:lineRule="auto"/>
        <w:ind w:firstLine="284"/>
        <w:jc w:val="both"/>
        <w:rPr>
          <w:rFonts w:ascii="Garamond" w:eastAsiaTheme="minorHAnsi" w:hAnsi="Garamond"/>
          <w:color w:val="000000"/>
          <w:sz w:val="24"/>
          <w:szCs w:val="24"/>
        </w:rPr>
      </w:pPr>
      <w:r w:rsidRPr="00552543">
        <w:rPr>
          <w:rFonts w:ascii="Garamond" w:eastAsiaTheme="minorHAnsi" w:hAnsi="Garamond"/>
          <w:color w:val="000000"/>
          <w:sz w:val="24"/>
          <w:szCs w:val="24"/>
        </w:rPr>
        <w:t xml:space="preserve">c) </w:t>
      </w:r>
      <w:r w:rsidR="00552543" w:rsidRPr="00552543">
        <w:rPr>
          <w:rFonts w:ascii="Garamond" w:eastAsiaTheme="minorHAnsi" w:hAnsi="Garamond"/>
          <w:color w:val="000000"/>
          <w:sz w:val="24"/>
          <w:szCs w:val="24"/>
        </w:rPr>
        <w:t xml:space="preserve">nisma </w:t>
      </w:r>
      <w:r w:rsidRPr="00552543">
        <w:rPr>
          <w:rFonts w:ascii="Garamond" w:eastAsiaTheme="minorHAnsi" w:hAnsi="Garamond"/>
          <w:color w:val="000000"/>
          <w:sz w:val="24"/>
          <w:szCs w:val="24"/>
        </w:rPr>
        <w:t>legjislative dhe reforma të politikave të sektorit të drejtësisë që ndikojnë, si në gjyqësor, ashtu edhe në prokurori;</w:t>
      </w:r>
    </w:p>
    <w:p w14:paraId="2AAC18E3" w14:textId="0D80130B" w:rsidR="00B75E74" w:rsidRPr="00552543" w:rsidRDefault="00B75E74" w:rsidP="00B75E74">
      <w:pPr>
        <w:autoSpaceDE w:val="0"/>
        <w:autoSpaceDN w:val="0"/>
        <w:adjustRightInd w:val="0"/>
        <w:spacing w:after="0" w:line="240" w:lineRule="auto"/>
        <w:ind w:firstLine="284"/>
        <w:jc w:val="both"/>
        <w:rPr>
          <w:rFonts w:ascii="Garamond" w:eastAsiaTheme="minorHAnsi" w:hAnsi="Garamond"/>
          <w:color w:val="000000"/>
          <w:sz w:val="24"/>
          <w:szCs w:val="24"/>
        </w:rPr>
      </w:pPr>
      <w:r w:rsidRPr="00552543">
        <w:rPr>
          <w:rFonts w:ascii="Garamond" w:eastAsiaTheme="minorHAnsi" w:hAnsi="Garamond"/>
          <w:color w:val="000000"/>
          <w:sz w:val="24"/>
          <w:szCs w:val="24"/>
        </w:rPr>
        <w:t xml:space="preserve">d) </w:t>
      </w:r>
      <w:r w:rsidR="00552543" w:rsidRPr="00552543">
        <w:rPr>
          <w:rFonts w:ascii="Garamond" w:eastAsiaTheme="minorHAnsi" w:hAnsi="Garamond"/>
          <w:color w:val="000000"/>
          <w:sz w:val="24"/>
          <w:szCs w:val="24"/>
        </w:rPr>
        <w:t xml:space="preserve">zhvillimi </w:t>
      </w:r>
      <w:r w:rsidRPr="00552543">
        <w:rPr>
          <w:rFonts w:ascii="Garamond" w:eastAsiaTheme="minorHAnsi" w:hAnsi="Garamond"/>
          <w:color w:val="000000"/>
          <w:sz w:val="24"/>
          <w:szCs w:val="24"/>
        </w:rPr>
        <w:t>dhe zbatimi i standardeve etike, rregullave për integritetin dhe mekanizmave të llogaridhënies që zbatohen për magjistratët;</w:t>
      </w:r>
    </w:p>
    <w:p w14:paraId="2743836C" w14:textId="379B39DF" w:rsidR="00B75E74" w:rsidRPr="00552543" w:rsidRDefault="00B75E74" w:rsidP="00B75E74">
      <w:pPr>
        <w:autoSpaceDE w:val="0"/>
        <w:autoSpaceDN w:val="0"/>
        <w:adjustRightInd w:val="0"/>
        <w:spacing w:after="0" w:line="240" w:lineRule="auto"/>
        <w:ind w:firstLine="284"/>
        <w:jc w:val="both"/>
        <w:rPr>
          <w:rFonts w:ascii="Garamond" w:eastAsiaTheme="minorHAnsi" w:hAnsi="Garamond"/>
          <w:color w:val="000000"/>
          <w:sz w:val="24"/>
          <w:szCs w:val="24"/>
        </w:rPr>
      </w:pPr>
      <w:r w:rsidRPr="00552543">
        <w:rPr>
          <w:rFonts w:ascii="Garamond" w:eastAsiaTheme="minorHAnsi" w:hAnsi="Garamond"/>
          <w:color w:val="000000"/>
          <w:sz w:val="24"/>
          <w:szCs w:val="24"/>
        </w:rPr>
        <w:t xml:space="preserve">e) </w:t>
      </w:r>
      <w:r w:rsidR="00552543" w:rsidRPr="00552543">
        <w:rPr>
          <w:rFonts w:ascii="Garamond" w:eastAsiaTheme="minorHAnsi" w:hAnsi="Garamond"/>
          <w:color w:val="000000"/>
          <w:sz w:val="24"/>
          <w:szCs w:val="24"/>
        </w:rPr>
        <w:t xml:space="preserve">strategjitë </w:t>
      </w:r>
      <w:r w:rsidRPr="00552543">
        <w:rPr>
          <w:rFonts w:ascii="Garamond" w:eastAsiaTheme="minorHAnsi" w:hAnsi="Garamond"/>
          <w:color w:val="000000"/>
          <w:sz w:val="24"/>
          <w:szCs w:val="24"/>
        </w:rPr>
        <w:t>për transparencë dhe komunikim publik që synojnë forcimin e besimit të publikut në institucionet e drejtësisë;</w:t>
      </w:r>
    </w:p>
    <w:p w14:paraId="6415A099" w14:textId="557ABAA5" w:rsidR="00B75E74" w:rsidRPr="00552543" w:rsidRDefault="00B75E74" w:rsidP="00B75E74">
      <w:pPr>
        <w:autoSpaceDE w:val="0"/>
        <w:autoSpaceDN w:val="0"/>
        <w:adjustRightInd w:val="0"/>
        <w:spacing w:after="0" w:line="240" w:lineRule="auto"/>
        <w:ind w:firstLine="284"/>
        <w:jc w:val="both"/>
        <w:rPr>
          <w:rFonts w:ascii="Garamond" w:eastAsiaTheme="minorHAnsi" w:hAnsi="Garamond"/>
          <w:color w:val="000000"/>
          <w:sz w:val="24"/>
          <w:szCs w:val="24"/>
        </w:rPr>
      </w:pPr>
      <w:r w:rsidRPr="00552543">
        <w:rPr>
          <w:rFonts w:ascii="Garamond" w:eastAsiaTheme="minorHAnsi" w:hAnsi="Garamond"/>
          <w:color w:val="000000"/>
          <w:sz w:val="24"/>
          <w:szCs w:val="24"/>
        </w:rPr>
        <w:t xml:space="preserve">f) </w:t>
      </w:r>
      <w:r w:rsidR="00552543" w:rsidRPr="00552543">
        <w:rPr>
          <w:rFonts w:ascii="Garamond" w:eastAsiaTheme="minorHAnsi" w:hAnsi="Garamond"/>
          <w:color w:val="000000"/>
          <w:sz w:val="24"/>
          <w:szCs w:val="24"/>
        </w:rPr>
        <w:t xml:space="preserve">harmonizimi </w:t>
      </w:r>
      <w:r w:rsidRPr="00552543">
        <w:rPr>
          <w:rFonts w:ascii="Garamond" w:eastAsiaTheme="minorHAnsi" w:hAnsi="Garamond"/>
          <w:color w:val="000000"/>
          <w:sz w:val="24"/>
          <w:szCs w:val="24"/>
        </w:rPr>
        <w:t>i procedurave dhe politikave në çështjet që lidhen me zhvillimin e karrierës, vlerësimin, transferimin dhe disiplinën e magjistratëve;</w:t>
      </w:r>
    </w:p>
    <w:p w14:paraId="2CBEE9AC" w14:textId="64DBE10F" w:rsidR="00B75E74" w:rsidRPr="00552543" w:rsidRDefault="00B75E74" w:rsidP="00B75E74">
      <w:pPr>
        <w:autoSpaceDE w:val="0"/>
        <w:autoSpaceDN w:val="0"/>
        <w:adjustRightInd w:val="0"/>
        <w:spacing w:after="0" w:line="240" w:lineRule="auto"/>
        <w:ind w:firstLine="284"/>
        <w:jc w:val="both"/>
        <w:rPr>
          <w:rFonts w:ascii="Garamond" w:eastAsiaTheme="minorHAnsi" w:hAnsi="Garamond"/>
          <w:color w:val="000000"/>
          <w:sz w:val="24"/>
          <w:szCs w:val="24"/>
        </w:rPr>
      </w:pPr>
      <w:r w:rsidRPr="00552543">
        <w:rPr>
          <w:rFonts w:ascii="Garamond" w:eastAsiaTheme="minorHAnsi" w:hAnsi="Garamond"/>
          <w:color w:val="000000"/>
          <w:sz w:val="24"/>
          <w:szCs w:val="24"/>
        </w:rPr>
        <w:t xml:space="preserve">g) </w:t>
      </w:r>
      <w:r w:rsidR="00552543" w:rsidRPr="00552543">
        <w:rPr>
          <w:rFonts w:ascii="Garamond" w:eastAsiaTheme="minorHAnsi" w:hAnsi="Garamond"/>
          <w:color w:val="000000"/>
          <w:sz w:val="24"/>
          <w:szCs w:val="24"/>
        </w:rPr>
        <w:t xml:space="preserve">bashkërendimi </w:t>
      </w:r>
      <w:r w:rsidRPr="00552543">
        <w:rPr>
          <w:rFonts w:ascii="Garamond" w:eastAsiaTheme="minorHAnsi" w:hAnsi="Garamond"/>
          <w:color w:val="000000"/>
          <w:sz w:val="24"/>
          <w:szCs w:val="24"/>
        </w:rPr>
        <w:t>në mbledhjen, përpunimin dhe përdorimin e të dhënave gjyqësore dhe të prokurorisë, duke përfshirë informacionin statistikor, treguesit e performancës, si dhe përdorimin e mjeteve digjitale dhe sistemeve të TI-së nëpër gjykata dhe prokurori;</w:t>
      </w:r>
    </w:p>
    <w:p w14:paraId="33172807" w14:textId="35FE176F" w:rsidR="00B75E74" w:rsidRPr="00552543" w:rsidRDefault="00B75E74" w:rsidP="00B75E74">
      <w:pPr>
        <w:autoSpaceDE w:val="0"/>
        <w:autoSpaceDN w:val="0"/>
        <w:adjustRightInd w:val="0"/>
        <w:spacing w:after="0" w:line="240" w:lineRule="auto"/>
        <w:ind w:firstLine="284"/>
        <w:jc w:val="both"/>
        <w:rPr>
          <w:rFonts w:ascii="Garamond" w:eastAsiaTheme="minorHAnsi" w:hAnsi="Garamond"/>
          <w:color w:val="000000"/>
          <w:sz w:val="24"/>
          <w:szCs w:val="24"/>
        </w:rPr>
      </w:pPr>
      <w:r w:rsidRPr="00552543">
        <w:rPr>
          <w:rFonts w:ascii="Garamond" w:eastAsiaTheme="minorHAnsi" w:hAnsi="Garamond"/>
          <w:color w:val="000000"/>
          <w:sz w:val="24"/>
          <w:szCs w:val="24"/>
        </w:rPr>
        <w:t xml:space="preserve">h) </w:t>
      </w:r>
      <w:r w:rsidR="00552543" w:rsidRPr="00552543">
        <w:rPr>
          <w:rFonts w:ascii="Garamond" w:eastAsiaTheme="minorHAnsi" w:hAnsi="Garamond"/>
          <w:color w:val="000000"/>
          <w:sz w:val="24"/>
          <w:szCs w:val="24"/>
        </w:rPr>
        <w:t xml:space="preserve">bashkërendimi </w:t>
      </w:r>
      <w:r w:rsidRPr="00552543">
        <w:rPr>
          <w:rFonts w:ascii="Garamond" w:eastAsiaTheme="minorHAnsi" w:hAnsi="Garamond"/>
          <w:color w:val="000000"/>
          <w:sz w:val="24"/>
          <w:szCs w:val="24"/>
        </w:rPr>
        <w:t>me institucionet e tjera të sektorit të drejtësisë për çështje me rëndësi të përbashkët, duke përfshirë Inspektorin e Lartë të Drejtësisë, Shkollën e Magjistraturës, Prokurorinë e Përgjithshme, Ministrinë e Drejtësisë dhe palët e tjera të interesuara, veçanërisht kur kërkohet përafrim në zbatimin e reformave ligjore ose institucionale;</w:t>
      </w:r>
    </w:p>
    <w:p w14:paraId="1A676565" w14:textId="73B3E886" w:rsidR="00B75E74" w:rsidRPr="00552543" w:rsidRDefault="00B75E74" w:rsidP="00B75E74">
      <w:pPr>
        <w:autoSpaceDE w:val="0"/>
        <w:autoSpaceDN w:val="0"/>
        <w:adjustRightInd w:val="0"/>
        <w:spacing w:after="0" w:line="240" w:lineRule="auto"/>
        <w:ind w:firstLine="284"/>
        <w:jc w:val="both"/>
        <w:rPr>
          <w:rFonts w:ascii="Garamond" w:eastAsiaTheme="minorHAnsi" w:hAnsi="Garamond"/>
          <w:color w:val="000000"/>
          <w:sz w:val="24"/>
          <w:szCs w:val="24"/>
        </w:rPr>
      </w:pPr>
      <w:r w:rsidRPr="00552543">
        <w:rPr>
          <w:rFonts w:ascii="Garamond" w:eastAsiaTheme="minorHAnsi" w:hAnsi="Garamond"/>
          <w:color w:val="000000"/>
          <w:sz w:val="24"/>
          <w:szCs w:val="24"/>
        </w:rPr>
        <w:t xml:space="preserve">i) </w:t>
      </w:r>
      <w:r w:rsidR="00552543" w:rsidRPr="00552543">
        <w:rPr>
          <w:rFonts w:ascii="Garamond" w:eastAsiaTheme="minorHAnsi" w:hAnsi="Garamond"/>
          <w:color w:val="000000"/>
          <w:sz w:val="24"/>
          <w:szCs w:val="24"/>
        </w:rPr>
        <w:t xml:space="preserve">çdo </w:t>
      </w:r>
      <w:r w:rsidRPr="00552543">
        <w:rPr>
          <w:rFonts w:ascii="Garamond" w:eastAsiaTheme="minorHAnsi" w:hAnsi="Garamond"/>
          <w:color w:val="000000"/>
          <w:sz w:val="24"/>
          <w:szCs w:val="24"/>
        </w:rPr>
        <w:t>fushë tjetër me rëndësi për funksionimin dhe përmirësimin e sistemit të drejtësisë, ku të dy Këshillat kanë një interes të përbashkët institucional.</w:t>
      </w:r>
    </w:p>
    <w:p w14:paraId="0BA986CC" w14:textId="1DC3EEC7" w:rsidR="00B75E74" w:rsidRPr="00552543" w:rsidRDefault="00B75E74" w:rsidP="00B75E74">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rPr>
      </w:pPr>
      <w:r w:rsidRPr="00552543">
        <w:rPr>
          <w:rFonts w:ascii="Garamond" w:eastAsiaTheme="minorHAnsi" w:hAnsi="Garamond"/>
          <w:color w:val="000000"/>
          <w:sz w:val="24"/>
          <w:szCs w:val="24"/>
        </w:rPr>
        <w:t>3. Në fushat ku Këshillat identifikojnë interes të përbashkët që përfshijnë institucione të tjera të sektorit të drejtësisë, këto institucione mund të ftohen të marrin pjesë në mbledhje të përbashkëta ose diskutime specifike. Pjesëmarrja e këtyre institucioneve organizohet dhe koordinohet me marrëveshjen e kryetarëve të Këshillit të Lartë Gjyqësor dhe Këshillit të Lartë të Prokurorisë, bazuar në rëndësinë e temës dhe mandatin institucional (të përfshirë).</w:t>
      </w:r>
    </w:p>
    <w:p w14:paraId="01A4EEF2" w14:textId="77777777" w:rsidR="00B75E74" w:rsidRPr="00552543" w:rsidRDefault="00B75E74" w:rsidP="00B75E74">
      <w:pPr>
        <w:autoSpaceDE w:val="0"/>
        <w:autoSpaceDN w:val="0"/>
        <w:adjustRightInd w:val="0"/>
        <w:spacing w:after="0" w:line="240" w:lineRule="auto"/>
        <w:ind w:firstLine="284"/>
        <w:jc w:val="both"/>
        <w:rPr>
          <w:rFonts w:ascii="Garamond" w:eastAsiaTheme="minorHAnsi" w:hAnsi="Garamond"/>
          <w:color w:val="000000"/>
          <w:sz w:val="24"/>
          <w:szCs w:val="24"/>
        </w:rPr>
      </w:pPr>
    </w:p>
    <w:p w14:paraId="2F6F5B2F" w14:textId="77777777" w:rsidR="00B75E74" w:rsidRPr="00552543" w:rsidRDefault="00B75E74" w:rsidP="00B75E74">
      <w:pPr>
        <w:autoSpaceDE w:val="0"/>
        <w:autoSpaceDN w:val="0"/>
        <w:adjustRightInd w:val="0"/>
        <w:spacing w:after="0" w:line="240" w:lineRule="auto"/>
        <w:ind w:firstLine="284"/>
        <w:jc w:val="center"/>
        <w:rPr>
          <w:rFonts w:ascii="Garamond" w:eastAsiaTheme="minorHAnsi" w:hAnsi="Garamond"/>
          <w:bCs/>
          <w:color w:val="000000"/>
          <w:sz w:val="24"/>
          <w:szCs w:val="24"/>
        </w:rPr>
      </w:pPr>
      <w:r w:rsidRPr="00552543">
        <w:rPr>
          <w:rFonts w:ascii="Garamond" w:eastAsiaTheme="minorHAnsi" w:hAnsi="Garamond"/>
          <w:bCs/>
          <w:color w:val="000000"/>
          <w:sz w:val="24"/>
          <w:szCs w:val="24"/>
        </w:rPr>
        <w:t>Neni 3</w:t>
      </w:r>
    </w:p>
    <w:p w14:paraId="5E09E66D" w14:textId="77777777" w:rsidR="00B75E74" w:rsidRPr="00552543" w:rsidRDefault="00B75E74" w:rsidP="00B75E74">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552543">
        <w:rPr>
          <w:rFonts w:ascii="Garamond" w:eastAsiaTheme="minorHAnsi" w:hAnsi="Garamond"/>
          <w:b/>
          <w:bCs/>
          <w:color w:val="000000"/>
          <w:sz w:val="24"/>
          <w:szCs w:val="24"/>
        </w:rPr>
        <w:t>Shpeshtësia e mbledhjeve të përbashkëta</w:t>
      </w:r>
    </w:p>
    <w:p w14:paraId="3CD9CC76" w14:textId="77777777" w:rsidR="00B75E74" w:rsidRPr="00552543" w:rsidRDefault="00B75E74" w:rsidP="00B75E74">
      <w:pPr>
        <w:autoSpaceDE w:val="0"/>
        <w:autoSpaceDN w:val="0"/>
        <w:adjustRightInd w:val="0"/>
        <w:spacing w:after="0" w:line="240" w:lineRule="auto"/>
        <w:ind w:firstLine="284"/>
        <w:jc w:val="center"/>
        <w:rPr>
          <w:rFonts w:ascii="Garamond" w:eastAsiaTheme="minorHAnsi" w:hAnsi="Garamond"/>
          <w:color w:val="000000"/>
          <w:sz w:val="24"/>
          <w:szCs w:val="24"/>
        </w:rPr>
      </w:pPr>
    </w:p>
    <w:p w14:paraId="0A859965" w14:textId="2104C3D0" w:rsidR="00B75E74" w:rsidRPr="00552543" w:rsidRDefault="00B75E74" w:rsidP="00B75E74">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rPr>
      </w:pPr>
      <w:r w:rsidRPr="00552543">
        <w:rPr>
          <w:rFonts w:ascii="Garamond" w:eastAsiaTheme="minorHAnsi" w:hAnsi="Garamond"/>
          <w:color w:val="000000"/>
          <w:sz w:val="24"/>
          <w:szCs w:val="24"/>
        </w:rPr>
        <w:t xml:space="preserve">1. Këshilli i Lartë Gjyqësor dhe Këshilli i Lartë i Prokurorisë mbajnë jo më pak se dy mbledhje të përbashkëta plenare në vit. Pjesëmarrja në këto mbledhje është e detyrueshme, në përputhje me nenet 68 dhe 166, të </w:t>
      </w:r>
      <w:r w:rsidR="00552543">
        <w:rPr>
          <w:rFonts w:ascii="Garamond" w:eastAsiaTheme="minorHAnsi" w:hAnsi="Garamond"/>
          <w:color w:val="000000"/>
          <w:sz w:val="24"/>
          <w:szCs w:val="24"/>
        </w:rPr>
        <w:t>l</w:t>
      </w:r>
      <w:r w:rsidRPr="00552543">
        <w:rPr>
          <w:rFonts w:ascii="Garamond" w:eastAsiaTheme="minorHAnsi" w:hAnsi="Garamond"/>
          <w:color w:val="000000"/>
          <w:sz w:val="24"/>
          <w:szCs w:val="24"/>
        </w:rPr>
        <w:t>igjit nr. 115/2016. Të paktën një nga mbledhjet duhet të përfshijë një komponent ceremonial, në përputhje me nenin 170, pika 4, të të njëjtit ligj.</w:t>
      </w:r>
    </w:p>
    <w:p w14:paraId="425A78F4" w14:textId="27E3A7AE" w:rsidR="00B75E74" w:rsidRPr="00552543" w:rsidRDefault="00B75E74" w:rsidP="00B75E74">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rPr>
      </w:pPr>
      <w:r w:rsidRPr="00552543">
        <w:rPr>
          <w:rFonts w:ascii="Garamond" w:eastAsiaTheme="minorHAnsi" w:hAnsi="Garamond"/>
          <w:color w:val="000000"/>
          <w:sz w:val="24"/>
          <w:szCs w:val="24"/>
        </w:rPr>
        <w:t>2. Çdo Komision i Përhershëm</w:t>
      </w:r>
      <w:r w:rsidR="00552543">
        <w:rPr>
          <w:rFonts w:ascii="Garamond" w:eastAsiaTheme="minorHAnsi" w:hAnsi="Garamond"/>
          <w:color w:val="000000"/>
          <w:sz w:val="24"/>
          <w:szCs w:val="24"/>
        </w:rPr>
        <w:t>,</w:t>
      </w:r>
      <w:r w:rsidRPr="00552543">
        <w:rPr>
          <w:rFonts w:ascii="Garamond" w:eastAsiaTheme="minorHAnsi" w:hAnsi="Garamond"/>
          <w:color w:val="000000"/>
          <w:sz w:val="24"/>
          <w:szCs w:val="24"/>
        </w:rPr>
        <w:t xml:space="preserve"> i ngritur sipas neneve 62 dhe 168, të </w:t>
      </w:r>
      <w:r w:rsidR="00552543">
        <w:rPr>
          <w:rFonts w:ascii="Garamond" w:eastAsiaTheme="minorHAnsi" w:hAnsi="Garamond"/>
          <w:color w:val="000000"/>
          <w:sz w:val="24"/>
          <w:szCs w:val="24"/>
        </w:rPr>
        <w:t>l</w:t>
      </w:r>
      <w:r w:rsidRPr="00552543">
        <w:rPr>
          <w:rFonts w:ascii="Garamond" w:eastAsiaTheme="minorHAnsi" w:hAnsi="Garamond"/>
          <w:color w:val="000000"/>
          <w:sz w:val="24"/>
          <w:szCs w:val="24"/>
        </w:rPr>
        <w:t>igjit nr. 115/2016</w:t>
      </w:r>
      <w:r w:rsidR="00552543">
        <w:rPr>
          <w:rFonts w:ascii="Garamond" w:eastAsiaTheme="minorHAnsi" w:hAnsi="Garamond"/>
          <w:color w:val="000000"/>
          <w:sz w:val="24"/>
          <w:szCs w:val="24"/>
        </w:rPr>
        <w:t>,</w:t>
      </w:r>
      <w:r w:rsidRPr="00552543">
        <w:rPr>
          <w:rFonts w:ascii="Garamond" w:eastAsiaTheme="minorHAnsi" w:hAnsi="Garamond"/>
          <w:color w:val="000000"/>
          <w:sz w:val="24"/>
          <w:szCs w:val="24"/>
        </w:rPr>
        <w:t xml:space="preserve"> zhvillon mbledhje të përbashkëta, të paktën 1 (një) herë në 6 (gjashtë) muaj, përgjatë 1 (një) viti. Këto mbledhje zhvillohen në mënyrë të alternuar në mjediset e Këshillit të Lartë Gjyqësor dhe Këshillit të Lartë të Prokurorisë dhe trajtojnë çështje që janë në fushën përkatëse të kompetencës së secilit komision.</w:t>
      </w:r>
    </w:p>
    <w:p w14:paraId="23DF0A80" w14:textId="376AD5F2" w:rsidR="00B75E74" w:rsidRPr="00552543" w:rsidRDefault="00B75E74" w:rsidP="00B75E74">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rPr>
      </w:pPr>
      <w:r w:rsidRPr="00552543">
        <w:rPr>
          <w:rFonts w:ascii="Garamond" w:eastAsiaTheme="minorHAnsi" w:hAnsi="Garamond"/>
          <w:color w:val="000000"/>
          <w:sz w:val="24"/>
          <w:szCs w:val="24"/>
        </w:rPr>
        <w:t xml:space="preserve">3. Departamentet përkatëse, strukturat këshilluese ligjore dhe njësitë mbështetëse të dy Këshillave mblidhen të paktën një herë në 3 (tre) muaj, në mënyrë të alternuar në mjediset e secilit Këshill, për të bashkërenduar punën për çështje me interes të përbashkët dhe për të ndjekur zbatimin e vendimeve të përbashkëta. Sekretari i </w:t>
      </w:r>
      <w:r w:rsidR="00552543">
        <w:rPr>
          <w:rFonts w:ascii="Garamond" w:eastAsiaTheme="minorHAnsi" w:hAnsi="Garamond"/>
          <w:color w:val="000000"/>
          <w:sz w:val="24"/>
          <w:szCs w:val="24"/>
        </w:rPr>
        <w:t>p</w:t>
      </w:r>
      <w:r w:rsidRPr="00552543">
        <w:rPr>
          <w:rFonts w:ascii="Garamond" w:eastAsiaTheme="minorHAnsi" w:hAnsi="Garamond"/>
          <w:color w:val="000000"/>
          <w:sz w:val="24"/>
          <w:szCs w:val="24"/>
        </w:rPr>
        <w:t>ërgjithshëm, i secilit Këshill, merr pjesë në këto mbledhje.</w:t>
      </w:r>
    </w:p>
    <w:p w14:paraId="3EA28C85" w14:textId="77777777" w:rsidR="00B75E74" w:rsidRPr="00552543" w:rsidRDefault="00B75E74" w:rsidP="00B75E74">
      <w:pPr>
        <w:autoSpaceDE w:val="0"/>
        <w:autoSpaceDN w:val="0"/>
        <w:adjustRightInd w:val="0"/>
        <w:spacing w:after="0" w:line="240" w:lineRule="auto"/>
        <w:ind w:firstLine="284"/>
        <w:jc w:val="both"/>
        <w:rPr>
          <w:rFonts w:ascii="Garamond" w:eastAsiaTheme="minorHAnsi" w:hAnsi="Garamond"/>
          <w:color w:val="000000"/>
          <w:sz w:val="24"/>
          <w:szCs w:val="24"/>
        </w:rPr>
      </w:pPr>
    </w:p>
    <w:p w14:paraId="7CF590BF" w14:textId="77777777" w:rsidR="00B75E74" w:rsidRPr="00552543" w:rsidRDefault="00B75E74" w:rsidP="00B75E74">
      <w:pPr>
        <w:autoSpaceDE w:val="0"/>
        <w:autoSpaceDN w:val="0"/>
        <w:adjustRightInd w:val="0"/>
        <w:spacing w:after="0" w:line="240" w:lineRule="auto"/>
        <w:ind w:firstLine="284"/>
        <w:jc w:val="center"/>
        <w:rPr>
          <w:rFonts w:ascii="Garamond" w:eastAsiaTheme="minorHAnsi" w:hAnsi="Garamond"/>
          <w:bCs/>
          <w:color w:val="000000"/>
          <w:sz w:val="24"/>
          <w:szCs w:val="24"/>
        </w:rPr>
      </w:pPr>
      <w:r w:rsidRPr="00552543">
        <w:rPr>
          <w:rFonts w:ascii="Garamond" w:eastAsiaTheme="minorHAnsi" w:hAnsi="Garamond"/>
          <w:bCs/>
          <w:color w:val="000000"/>
          <w:sz w:val="24"/>
          <w:szCs w:val="24"/>
        </w:rPr>
        <w:lastRenderedPageBreak/>
        <w:t>Neni 4</w:t>
      </w:r>
    </w:p>
    <w:p w14:paraId="73BEE5B2" w14:textId="123DF1A0" w:rsidR="00B75E74" w:rsidRPr="00552543" w:rsidRDefault="00B75E74" w:rsidP="00B75E74">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552543">
        <w:rPr>
          <w:rFonts w:ascii="Garamond" w:eastAsiaTheme="minorHAnsi" w:hAnsi="Garamond"/>
          <w:b/>
          <w:bCs/>
          <w:color w:val="000000"/>
          <w:sz w:val="24"/>
          <w:szCs w:val="24"/>
        </w:rPr>
        <w:t xml:space="preserve">Organizimi dhe rendi i ditës </w:t>
      </w:r>
      <w:r w:rsidR="00552543">
        <w:rPr>
          <w:rFonts w:ascii="Garamond" w:eastAsiaTheme="minorHAnsi" w:hAnsi="Garamond"/>
          <w:b/>
          <w:bCs/>
          <w:color w:val="000000"/>
          <w:sz w:val="24"/>
          <w:szCs w:val="24"/>
        </w:rPr>
        <w:t>i</w:t>
      </w:r>
      <w:r w:rsidRPr="00552543">
        <w:rPr>
          <w:rFonts w:ascii="Garamond" w:eastAsiaTheme="minorHAnsi" w:hAnsi="Garamond"/>
          <w:b/>
          <w:bCs/>
          <w:color w:val="000000"/>
          <w:sz w:val="24"/>
          <w:szCs w:val="24"/>
        </w:rPr>
        <w:t xml:space="preserve"> mbledhjeve të përbashkëta plenare</w:t>
      </w:r>
    </w:p>
    <w:p w14:paraId="7D7ED6AB" w14:textId="77777777" w:rsidR="00B75E74" w:rsidRPr="00552543" w:rsidRDefault="00B75E74" w:rsidP="00B75E74">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05FE6BD0" w14:textId="3474BEFE" w:rsidR="00B75E74" w:rsidRPr="00552543" w:rsidRDefault="00B75E74" w:rsidP="00B75E74">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rPr>
      </w:pPr>
      <w:r w:rsidRPr="00552543">
        <w:rPr>
          <w:rFonts w:ascii="Garamond" w:eastAsiaTheme="minorHAnsi" w:hAnsi="Garamond"/>
          <w:color w:val="000000"/>
          <w:sz w:val="24"/>
          <w:szCs w:val="24"/>
        </w:rPr>
        <w:t xml:space="preserve">1. Organizimi dhe rendi i ditës i çdo mbledhjeje të përbashkët plenare dakordësohen, paraprakisht, nga </w:t>
      </w:r>
      <w:r w:rsidR="00552543" w:rsidRPr="00552543">
        <w:rPr>
          <w:rFonts w:ascii="Garamond" w:eastAsiaTheme="minorHAnsi" w:hAnsi="Garamond"/>
          <w:color w:val="000000"/>
          <w:sz w:val="24"/>
          <w:szCs w:val="24"/>
        </w:rPr>
        <w:t xml:space="preserve">kryetari </w:t>
      </w:r>
      <w:r w:rsidRPr="00552543">
        <w:rPr>
          <w:rFonts w:ascii="Garamond" w:eastAsiaTheme="minorHAnsi" w:hAnsi="Garamond"/>
          <w:color w:val="000000"/>
          <w:sz w:val="24"/>
          <w:szCs w:val="24"/>
        </w:rPr>
        <w:t xml:space="preserve">i Këshillit të Lartë Gjyqësor dhe </w:t>
      </w:r>
      <w:r w:rsidR="00552543" w:rsidRPr="00552543">
        <w:rPr>
          <w:rFonts w:ascii="Garamond" w:eastAsiaTheme="minorHAnsi" w:hAnsi="Garamond"/>
          <w:color w:val="000000"/>
          <w:sz w:val="24"/>
          <w:szCs w:val="24"/>
        </w:rPr>
        <w:t xml:space="preserve">kryetari </w:t>
      </w:r>
      <w:r w:rsidRPr="00552543">
        <w:rPr>
          <w:rFonts w:ascii="Garamond" w:eastAsiaTheme="minorHAnsi" w:hAnsi="Garamond"/>
          <w:color w:val="000000"/>
          <w:sz w:val="24"/>
          <w:szCs w:val="24"/>
        </w:rPr>
        <w:t xml:space="preserve">i Këshillit të Lartë të Prokurorisë, ose nga përfaqësuesit e tyre të autorizuar, me mbështetjen e </w:t>
      </w:r>
      <w:r w:rsidR="00552543" w:rsidRPr="00552543">
        <w:rPr>
          <w:rFonts w:ascii="Garamond" w:eastAsiaTheme="minorHAnsi" w:hAnsi="Garamond"/>
          <w:color w:val="000000"/>
          <w:sz w:val="24"/>
          <w:szCs w:val="24"/>
        </w:rPr>
        <w:t xml:space="preserve">sekretariateve teknike </w:t>
      </w:r>
      <w:r w:rsidRPr="00552543">
        <w:rPr>
          <w:rFonts w:ascii="Garamond" w:eastAsiaTheme="minorHAnsi" w:hAnsi="Garamond"/>
          <w:color w:val="000000"/>
          <w:sz w:val="24"/>
          <w:szCs w:val="24"/>
        </w:rPr>
        <w:t>përkatëse.</w:t>
      </w:r>
    </w:p>
    <w:p w14:paraId="0C7AD0A0" w14:textId="6B3B4157" w:rsidR="00B75E74" w:rsidRPr="00552543" w:rsidRDefault="00B75E74" w:rsidP="00B75E74">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rPr>
      </w:pPr>
      <w:r w:rsidRPr="00552543">
        <w:rPr>
          <w:rFonts w:ascii="Garamond" w:eastAsiaTheme="minorHAnsi" w:hAnsi="Garamond"/>
          <w:color w:val="000000"/>
          <w:sz w:val="24"/>
          <w:szCs w:val="24"/>
        </w:rPr>
        <w:t>2. Për çdo mbledhje, Këshilli i Lartë Gjyqësor ose Këshilli i Lartë i Prokurorisë merr përgjegjësinë kryesore për bashkërendimin organizativ dhe logjistik, duke përfshirë thirrjen, organizimin e mbledhjes në mjediset e tij dhe kryesimin e seancës. Kjo përgjegjësi alternohet midis dy institucioneve.</w:t>
      </w:r>
    </w:p>
    <w:p w14:paraId="5EA2373B" w14:textId="2BDD98C1" w:rsidR="00B75E74" w:rsidRPr="00552543" w:rsidRDefault="00B75E74" w:rsidP="00B75E74">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rPr>
      </w:pPr>
      <w:r w:rsidRPr="00552543">
        <w:rPr>
          <w:rFonts w:ascii="Garamond" w:eastAsiaTheme="minorHAnsi" w:hAnsi="Garamond"/>
          <w:color w:val="000000"/>
          <w:sz w:val="24"/>
          <w:szCs w:val="24"/>
        </w:rPr>
        <w:t xml:space="preserve">3. Këshilli përgjegjës për organizimin përgatit projektrendin e ditës në bazë të propozimeve të paraqitura nga të dy institucionet. Projektrendi i ditës i nënshtrohet miratimit të përbashkët nga </w:t>
      </w:r>
      <w:r w:rsidR="00552543">
        <w:rPr>
          <w:rFonts w:ascii="Garamond" w:eastAsiaTheme="minorHAnsi" w:hAnsi="Garamond"/>
          <w:color w:val="000000"/>
          <w:sz w:val="24"/>
          <w:szCs w:val="24"/>
        </w:rPr>
        <w:t>k</w:t>
      </w:r>
      <w:r w:rsidRPr="00552543">
        <w:rPr>
          <w:rFonts w:ascii="Garamond" w:eastAsiaTheme="minorHAnsi" w:hAnsi="Garamond"/>
          <w:color w:val="000000"/>
          <w:sz w:val="24"/>
          <w:szCs w:val="24"/>
        </w:rPr>
        <w:t xml:space="preserve">ryetari i Këshillit të Lartë Gjyqësor dhe </w:t>
      </w:r>
      <w:r w:rsidR="00552543">
        <w:rPr>
          <w:rFonts w:ascii="Garamond" w:eastAsiaTheme="minorHAnsi" w:hAnsi="Garamond"/>
          <w:color w:val="000000"/>
          <w:sz w:val="24"/>
          <w:szCs w:val="24"/>
        </w:rPr>
        <w:t>k</w:t>
      </w:r>
      <w:r w:rsidRPr="00552543">
        <w:rPr>
          <w:rFonts w:ascii="Garamond" w:eastAsiaTheme="minorHAnsi" w:hAnsi="Garamond"/>
          <w:color w:val="000000"/>
          <w:sz w:val="24"/>
          <w:szCs w:val="24"/>
        </w:rPr>
        <w:t>ryetari i Këshillit të Lartë të Prokurorisë, përpara se të shpërndahet.</w:t>
      </w:r>
    </w:p>
    <w:p w14:paraId="102DB99D" w14:textId="4B7D453E" w:rsidR="00B75E74" w:rsidRPr="00552543" w:rsidRDefault="00B75E74" w:rsidP="00B75E74">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rPr>
      </w:pPr>
      <w:r w:rsidRPr="00552543">
        <w:rPr>
          <w:rFonts w:ascii="Garamond" w:eastAsiaTheme="minorHAnsi" w:hAnsi="Garamond"/>
          <w:color w:val="000000"/>
          <w:sz w:val="24"/>
          <w:szCs w:val="24"/>
        </w:rPr>
        <w:t xml:space="preserve">4. Propozimet për rendin e ditës mund të paraqiten nga anëtarët e secilit Këshill, </w:t>
      </w:r>
      <w:r w:rsidR="00552543" w:rsidRPr="00552543">
        <w:rPr>
          <w:rFonts w:ascii="Garamond" w:eastAsiaTheme="minorHAnsi" w:hAnsi="Garamond"/>
          <w:color w:val="000000"/>
          <w:sz w:val="24"/>
          <w:szCs w:val="24"/>
        </w:rPr>
        <w:t>komisionet e tyre të përhershme ose njësitë administrative përkatëse.</w:t>
      </w:r>
    </w:p>
    <w:p w14:paraId="45367415" w14:textId="7579DD18" w:rsidR="00B75E74" w:rsidRPr="00552543" w:rsidRDefault="00B75E74" w:rsidP="00B75E74">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rPr>
      </w:pPr>
      <w:r w:rsidRPr="00552543">
        <w:rPr>
          <w:rFonts w:ascii="Garamond" w:eastAsiaTheme="minorHAnsi" w:hAnsi="Garamond"/>
          <w:color w:val="000000"/>
          <w:sz w:val="24"/>
          <w:szCs w:val="24"/>
        </w:rPr>
        <w:t xml:space="preserve">5. Kur zyrtarët e nivelit të lartë ftohen të marrin pjesë, në përputhje me nenin 170, pika 4, të </w:t>
      </w:r>
      <w:r w:rsidR="00552543">
        <w:rPr>
          <w:rFonts w:ascii="Garamond" w:eastAsiaTheme="minorHAnsi" w:hAnsi="Garamond"/>
          <w:color w:val="000000"/>
          <w:sz w:val="24"/>
          <w:szCs w:val="24"/>
        </w:rPr>
        <w:t>l</w:t>
      </w:r>
      <w:r w:rsidRPr="00552543">
        <w:rPr>
          <w:rFonts w:ascii="Garamond" w:eastAsiaTheme="minorHAnsi" w:hAnsi="Garamond"/>
          <w:color w:val="000000"/>
          <w:sz w:val="24"/>
          <w:szCs w:val="24"/>
        </w:rPr>
        <w:t>igjit nr. 115/2016, rendi i ditës përfshin:</w:t>
      </w:r>
    </w:p>
    <w:p w14:paraId="55101E5F" w14:textId="7F4B64B8" w:rsidR="00B75E74" w:rsidRPr="00552543" w:rsidRDefault="00B75E74" w:rsidP="00B75E74">
      <w:pPr>
        <w:autoSpaceDE w:val="0"/>
        <w:autoSpaceDN w:val="0"/>
        <w:adjustRightInd w:val="0"/>
        <w:spacing w:after="0" w:line="240" w:lineRule="auto"/>
        <w:ind w:firstLine="284"/>
        <w:jc w:val="both"/>
        <w:rPr>
          <w:rFonts w:ascii="Garamond" w:eastAsiaTheme="minorHAnsi" w:hAnsi="Garamond"/>
          <w:color w:val="000000"/>
          <w:sz w:val="24"/>
          <w:szCs w:val="24"/>
        </w:rPr>
      </w:pPr>
      <w:r w:rsidRPr="00552543">
        <w:rPr>
          <w:rFonts w:ascii="Garamond" w:eastAsiaTheme="minorHAnsi" w:hAnsi="Garamond"/>
          <w:color w:val="000000"/>
          <w:sz w:val="24"/>
          <w:szCs w:val="24"/>
        </w:rPr>
        <w:t xml:space="preserve">a) </w:t>
      </w:r>
      <w:r w:rsidR="00552543">
        <w:rPr>
          <w:rFonts w:ascii="Garamond" w:eastAsiaTheme="minorHAnsi" w:hAnsi="Garamond"/>
          <w:color w:val="000000"/>
          <w:sz w:val="24"/>
          <w:szCs w:val="24"/>
        </w:rPr>
        <w:t>n</w:t>
      </w:r>
      <w:r w:rsidRPr="00552543">
        <w:rPr>
          <w:rFonts w:ascii="Garamond" w:eastAsiaTheme="minorHAnsi" w:hAnsi="Garamond"/>
          <w:color w:val="000000"/>
          <w:sz w:val="24"/>
          <w:szCs w:val="24"/>
        </w:rPr>
        <w:t>jë seancë ceremoniale për fjalime institucionale ose prezantime zyrtare;</w:t>
      </w:r>
    </w:p>
    <w:p w14:paraId="666A0D0F" w14:textId="340E3B6B" w:rsidR="00B75E74" w:rsidRPr="00552543" w:rsidRDefault="00B75E74" w:rsidP="00B75E74">
      <w:pPr>
        <w:autoSpaceDE w:val="0"/>
        <w:autoSpaceDN w:val="0"/>
        <w:adjustRightInd w:val="0"/>
        <w:spacing w:after="0" w:line="240" w:lineRule="auto"/>
        <w:ind w:firstLine="284"/>
        <w:jc w:val="both"/>
        <w:rPr>
          <w:rFonts w:ascii="Garamond" w:eastAsiaTheme="minorHAnsi" w:hAnsi="Garamond"/>
          <w:color w:val="000000"/>
          <w:sz w:val="24"/>
          <w:szCs w:val="24"/>
        </w:rPr>
      </w:pPr>
      <w:r w:rsidRPr="00552543">
        <w:rPr>
          <w:rFonts w:ascii="Garamond" w:eastAsiaTheme="minorHAnsi" w:hAnsi="Garamond"/>
          <w:color w:val="000000"/>
          <w:sz w:val="24"/>
          <w:szCs w:val="24"/>
        </w:rPr>
        <w:t xml:space="preserve">b) </w:t>
      </w:r>
      <w:r w:rsidR="00552543">
        <w:rPr>
          <w:rFonts w:ascii="Garamond" w:eastAsiaTheme="minorHAnsi" w:hAnsi="Garamond"/>
          <w:color w:val="000000"/>
          <w:sz w:val="24"/>
          <w:szCs w:val="24"/>
        </w:rPr>
        <w:t>n</w:t>
      </w:r>
      <w:r w:rsidRPr="00552543">
        <w:rPr>
          <w:rFonts w:ascii="Garamond" w:eastAsiaTheme="minorHAnsi" w:hAnsi="Garamond"/>
          <w:color w:val="000000"/>
          <w:sz w:val="24"/>
          <w:szCs w:val="24"/>
        </w:rPr>
        <w:t>jë seancë pune për diskutimin dhe miratimin e konkluzioneve.</w:t>
      </w:r>
    </w:p>
    <w:p w14:paraId="0D83DD88" w14:textId="4BFE04EA" w:rsidR="00B75E74" w:rsidRPr="00552543" w:rsidRDefault="00B75E74" w:rsidP="00B75E74">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rPr>
      </w:pPr>
      <w:r w:rsidRPr="00552543">
        <w:rPr>
          <w:rFonts w:ascii="Garamond" w:eastAsiaTheme="minorHAnsi" w:hAnsi="Garamond"/>
          <w:color w:val="000000"/>
          <w:sz w:val="24"/>
          <w:szCs w:val="24"/>
        </w:rPr>
        <w:t>6. Rendi i ditës (përfundimtar) dhe dokumentacioni mbështetës u shpërndahen të gjithë pjesëmarrësve, jo më vonë se 10 (dhjetë) ditë pune, para mbledhjes.</w:t>
      </w:r>
    </w:p>
    <w:p w14:paraId="16D65F29" w14:textId="77777777" w:rsidR="00B75E74" w:rsidRPr="00552543" w:rsidRDefault="00B75E74" w:rsidP="00B75E74">
      <w:pPr>
        <w:autoSpaceDE w:val="0"/>
        <w:autoSpaceDN w:val="0"/>
        <w:adjustRightInd w:val="0"/>
        <w:spacing w:after="0" w:line="240" w:lineRule="auto"/>
        <w:ind w:firstLine="284"/>
        <w:jc w:val="both"/>
        <w:rPr>
          <w:rFonts w:ascii="Garamond" w:eastAsiaTheme="minorHAnsi" w:hAnsi="Garamond"/>
          <w:color w:val="000000"/>
          <w:sz w:val="24"/>
          <w:szCs w:val="24"/>
        </w:rPr>
      </w:pPr>
    </w:p>
    <w:p w14:paraId="390D5693" w14:textId="77777777" w:rsidR="00B75E74" w:rsidRPr="00552543" w:rsidRDefault="00B75E74" w:rsidP="00B75E74">
      <w:pPr>
        <w:autoSpaceDE w:val="0"/>
        <w:autoSpaceDN w:val="0"/>
        <w:adjustRightInd w:val="0"/>
        <w:spacing w:after="0" w:line="240" w:lineRule="auto"/>
        <w:ind w:firstLine="284"/>
        <w:jc w:val="center"/>
        <w:rPr>
          <w:rFonts w:ascii="Garamond" w:eastAsiaTheme="minorHAnsi" w:hAnsi="Garamond"/>
          <w:bCs/>
          <w:color w:val="000000"/>
          <w:sz w:val="24"/>
          <w:szCs w:val="24"/>
        </w:rPr>
      </w:pPr>
      <w:r w:rsidRPr="00552543">
        <w:rPr>
          <w:rFonts w:ascii="Garamond" w:eastAsiaTheme="minorHAnsi" w:hAnsi="Garamond"/>
          <w:bCs/>
          <w:color w:val="000000"/>
          <w:sz w:val="24"/>
          <w:szCs w:val="24"/>
        </w:rPr>
        <w:t>Neni 5</w:t>
      </w:r>
    </w:p>
    <w:p w14:paraId="4FBF2576" w14:textId="77777777" w:rsidR="00B75E74" w:rsidRPr="00552543" w:rsidRDefault="00B75E74" w:rsidP="00B75E74">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552543">
        <w:rPr>
          <w:rFonts w:ascii="Garamond" w:eastAsiaTheme="minorHAnsi" w:hAnsi="Garamond"/>
          <w:b/>
          <w:bCs/>
          <w:color w:val="000000"/>
          <w:sz w:val="24"/>
          <w:szCs w:val="24"/>
        </w:rPr>
        <w:t>Procedura dhe zhvillimi i mbledhjes së përbashkët</w:t>
      </w:r>
    </w:p>
    <w:p w14:paraId="730CF475" w14:textId="77777777" w:rsidR="00B75E74" w:rsidRPr="00552543" w:rsidRDefault="00B75E74" w:rsidP="00B75E74">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530B2F7A" w14:textId="3AE90874" w:rsidR="00B75E74" w:rsidRPr="00552543" w:rsidRDefault="00B75E74" w:rsidP="00B75E74">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rPr>
      </w:pPr>
      <w:r w:rsidRPr="00552543">
        <w:rPr>
          <w:rFonts w:ascii="Garamond" w:eastAsiaTheme="minorHAnsi" w:hAnsi="Garamond"/>
          <w:color w:val="000000"/>
          <w:sz w:val="24"/>
          <w:szCs w:val="24"/>
        </w:rPr>
        <w:t xml:space="preserve">1. Mbledhjet e përbashkëta thirren dhe kryesohen në mënyrë të alternuar nga </w:t>
      </w:r>
      <w:r w:rsidR="00552543">
        <w:rPr>
          <w:rFonts w:ascii="Garamond" w:eastAsiaTheme="minorHAnsi" w:hAnsi="Garamond"/>
          <w:color w:val="000000"/>
          <w:sz w:val="24"/>
          <w:szCs w:val="24"/>
        </w:rPr>
        <w:t>k</w:t>
      </w:r>
      <w:r w:rsidRPr="00552543">
        <w:rPr>
          <w:rFonts w:ascii="Garamond" w:eastAsiaTheme="minorHAnsi" w:hAnsi="Garamond"/>
          <w:color w:val="000000"/>
          <w:sz w:val="24"/>
          <w:szCs w:val="24"/>
        </w:rPr>
        <w:t xml:space="preserve">ryetari i Këshillit të Lartë Gjyqësor dhe </w:t>
      </w:r>
      <w:r w:rsidR="00552543">
        <w:rPr>
          <w:rFonts w:ascii="Garamond" w:eastAsiaTheme="minorHAnsi" w:hAnsi="Garamond"/>
          <w:color w:val="000000"/>
          <w:sz w:val="24"/>
          <w:szCs w:val="24"/>
        </w:rPr>
        <w:t>k</w:t>
      </w:r>
      <w:r w:rsidRPr="00552543">
        <w:rPr>
          <w:rFonts w:ascii="Garamond" w:eastAsiaTheme="minorHAnsi" w:hAnsi="Garamond"/>
          <w:color w:val="000000"/>
          <w:sz w:val="24"/>
          <w:szCs w:val="24"/>
        </w:rPr>
        <w:t>ryetari i Këshillit të Lartë të Prokurorisë ose nga përfaqësuesit e tyre (të caktuar).</w:t>
      </w:r>
    </w:p>
    <w:p w14:paraId="6F2948A3" w14:textId="65437219" w:rsidR="00B75E74" w:rsidRPr="00552543" w:rsidRDefault="00B75E74" w:rsidP="00B75E74">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rPr>
      </w:pPr>
      <w:r w:rsidRPr="00552543">
        <w:rPr>
          <w:rFonts w:ascii="Garamond" w:eastAsiaTheme="minorHAnsi" w:hAnsi="Garamond"/>
          <w:color w:val="000000"/>
          <w:sz w:val="24"/>
          <w:szCs w:val="24"/>
        </w:rPr>
        <w:t xml:space="preserve">2. Çdo mbledhje e përbashkët ndjek një rend dite, që përfshin fjalët hyrëse, paraqitjen e pikave të rendit të ditës, diskutime të strukturuara dhe formulimin e konkluzioneve operative ose veprimeve vijuese. Zhvillimi i mbledhjes siguron përfaqësim të barabartë dhe pjesëmarrje aktive të </w:t>
      </w:r>
      <w:r w:rsidR="00552543">
        <w:rPr>
          <w:rFonts w:ascii="Garamond" w:eastAsiaTheme="minorHAnsi" w:hAnsi="Garamond"/>
          <w:color w:val="000000"/>
          <w:sz w:val="24"/>
          <w:szCs w:val="24"/>
        </w:rPr>
        <w:t xml:space="preserve">të </w:t>
      </w:r>
      <w:r w:rsidRPr="00552543">
        <w:rPr>
          <w:rFonts w:ascii="Garamond" w:eastAsiaTheme="minorHAnsi" w:hAnsi="Garamond"/>
          <w:color w:val="000000"/>
          <w:sz w:val="24"/>
          <w:szCs w:val="24"/>
        </w:rPr>
        <w:t>dy Këshillave.</w:t>
      </w:r>
    </w:p>
    <w:p w14:paraId="1DD495F2" w14:textId="7DB218CA" w:rsidR="00B75E74" w:rsidRPr="00552543" w:rsidRDefault="00B75E74" w:rsidP="00B75E74">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rPr>
      </w:pPr>
      <w:r w:rsidRPr="00552543">
        <w:rPr>
          <w:rFonts w:ascii="Garamond" w:eastAsiaTheme="minorHAnsi" w:hAnsi="Garamond"/>
          <w:color w:val="000000"/>
          <w:sz w:val="24"/>
          <w:szCs w:val="24"/>
        </w:rPr>
        <w:t>3. Konkluzionet operative që rezultojnë nga seanca e punës</w:t>
      </w:r>
      <w:r w:rsidR="00726A34">
        <w:rPr>
          <w:rFonts w:ascii="Garamond" w:eastAsiaTheme="minorHAnsi" w:hAnsi="Garamond"/>
          <w:color w:val="000000"/>
          <w:sz w:val="24"/>
          <w:szCs w:val="24"/>
        </w:rPr>
        <w:t xml:space="preserve"> </w:t>
      </w:r>
      <w:r w:rsidRPr="00552543">
        <w:rPr>
          <w:rFonts w:ascii="Garamond" w:eastAsiaTheme="minorHAnsi" w:hAnsi="Garamond"/>
          <w:color w:val="000000"/>
          <w:sz w:val="24"/>
          <w:szCs w:val="24"/>
        </w:rPr>
        <w:t>shënohen në një seksion të veçantë të procesverbalit dhe pasqyrojnë pikat e dakor</w:t>
      </w:r>
      <w:r w:rsidR="00552543">
        <w:rPr>
          <w:rFonts w:ascii="Garamond" w:eastAsiaTheme="minorHAnsi" w:hAnsi="Garamond"/>
          <w:color w:val="000000"/>
          <w:sz w:val="24"/>
          <w:szCs w:val="24"/>
        </w:rPr>
        <w:t>d</w:t>
      </w:r>
      <w:r w:rsidRPr="00552543">
        <w:rPr>
          <w:rFonts w:ascii="Garamond" w:eastAsiaTheme="minorHAnsi" w:hAnsi="Garamond"/>
          <w:color w:val="000000"/>
          <w:sz w:val="24"/>
          <w:szCs w:val="24"/>
        </w:rPr>
        <w:t>ësuara, nismat e përbashkëta ose përpjekjet e planifikuara për bashkërendim.</w:t>
      </w:r>
    </w:p>
    <w:p w14:paraId="7F891AC9" w14:textId="1D3F7E05" w:rsidR="00B75E74" w:rsidRPr="00552543" w:rsidRDefault="00B75E74" w:rsidP="00B75E74">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rPr>
      </w:pPr>
      <w:r w:rsidRPr="00552543">
        <w:rPr>
          <w:rFonts w:ascii="Garamond" w:eastAsiaTheme="minorHAnsi" w:hAnsi="Garamond"/>
          <w:color w:val="000000"/>
          <w:sz w:val="24"/>
          <w:szCs w:val="24"/>
        </w:rPr>
        <w:t>4. Në mungesë të konsensusit mbi një pikë të caktuar të rendit të ditës, çështja i referohet secilit Këshill për diskutim individual dhe ndjekje të duhur institucionale.</w:t>
      </w:r>
    </w:p>
    <w:p w14:paraId="49D581DC" w14:textId="128C22BB" w:rsidR="00B75E74" w:rsidRPr="00552543" w:rsidRDefault="00B75E74" w:rsidP="00B75E74">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rPr>
      </w:pPr>
      <w:r w:rsidRPr="00552543">
        <w:rPr>
          <w:rFonts w:ascii="Garamond" w:eastAsiaTheme="minorHAnsi" w:hAnsi="Garamond"/>
          <w:color w:val="000000"/>
          <w:sz w:val="24"/>
          <w:szCs w:val="24"/>
        </w:rPr>
        <w:t>5. Procesverbali i çdo mbledhje</w:t>
      </w:r>
      <w:r w:rsidR="00552543">
        <w:rPr>
          <w:rFonts w:ascii="Garamond" w:eastAsiaTheme="minorHAnsi" w:hAnsi="Garamond"/>
          <w:color w:val="000000"/>
          <w:sz w:val="24"/>
          <w:szCs w:val="24"/>
        </w:rPr>
        <w:t>je</w:t>
      </w:r>
      <w:r w:rsidRPr="00552543">
        <w:rPr>
          <w:rFonts w:ascii="Garamond" w:eastAsiaTheme="minorHAnsi" w:hAnsi="Garamond"/>
          <w:color w:val="000000"/>
          <w:sz w:val="24"/>
          <w:szCs w:val="24"/>
        </w:rPr>
        <w:t xml:space="preserve"> të përbashkët përgatitet nga Sekretariati Teknik dhe i dërgohet të dy kryetarëve, brenda 7 (shtatë) ditëve të punës, për miratim. Procesverbali i miratuar regjistrohet në </w:t>
      </w:r>
      <w:r w:rsidR="00552543">
        <w:rPr>
          <w:rFonts w:ascii="Garamond" w:eastAsiaTheme="minorHAnsi" w:hAnsi="Garamond"/>
          <w:color w:val="000000"/>
          <w:sz w:val="24"/>
          <w:szCs w:val="24"/>
        </w:rPr>
        <w:t>z</w:t>
      </w:r>
      <w:r w:rsidRPr="00552543">
        <w:rPr>
          <w:rFonts w:ascii="Garamond" w:eastAsiaTheme="minorHAnsi" w:hAnsi="Garamond"/>
          <w:color w:val="000000"/>
          <w:sz w:val="24"/>
          <w:szCs w:val="24"/>
        </w:rPr>
        <w:t xml:space="preserve">yrën e </w:t>
      </w:r>
      <w:r w:rsidR="00552543" w:rsidRPr="00552543">
        <w:rPr>
          <w:rFonts w:ascii="Garamond" w:eastAsiaTheme="minorHAnsi" w:hAnsi="Garamond"/>
          <w:color w:val="000000"/>
          <w:sz w:val="24"/>
          <w:szCs w:val="24"/>
        </w:rPr>
        <w:t xml:space="preserve">protokoll-arkivit </w:t>
      </w:r>
      <w:r w:rsidRPr="00552543">
        <w:rPr>
          <w:rFonts w:ascii="Garamond" w:eastAsiaTheme="minorHAnsi" w:hAnsi="Garamond"/>
          <w:color w:val="000000"/>
          <w:sz w:val="24"/>
          <w:szCs w:val="24"/>
        </w:rPr>
        <w:t>përkatës të secilit institucion dhe shpërndahet siç duhet, sipas rastit.</w:t>
      </w:r>
    </w:p>
    <w:p w14:paraId="1EE3C40B" w14:textId="77777777" w:rsidR="00B75E74" w:rsidRPr="00552543" w:rsidRDefault="00B75E74" w:rsidP="00B75E74">
      <w:pPr>
        <w:autoSpaceDE w:val="0"/>
        <w:autoSpaceDN w:val="0"/>
        <w:adjustRightInd w:val="0"/>
        <w:spacing w:after="0" w:line="240" w:lineRule="auto"/>
        <w:ind w:firstLine="284"/>
        <w:jc w:val="both"/>
        <w:rPr>
          <w:rFonts w:ascii="Garamond" w:eastAsiaTheme="minorHAnsi" w:hAnsi="Garamond"/>
          <w:color w:val="000000"/>
          <w:sz w:val="24"/>
          <w:szCs w:val="24"/>
        </w:rPr>
      </w:pPr>
    </w:p>
    <w:p w14:paraId="47782CF6" w14:textId="77777777" w:rsidR="00B75E74" w:rsidRPr="00552543" w:rsidRDefault="00B75E74" w:rsidP="00B75E74">
      <w:pPr>
        <w:autoSpaceDE w:val="0"/>
        <w:autoSpaceDN w:val="0"/>
        <w:adjustRightInd w:val="0"/>
        <w:spacing w:after="0" w:line="240" w:lineRule="auto"/>
        <w:ind w:firstLine="284"/>
        <w:jc w:val="center"/>
        <w:rPr>
          <w:rFonts w:ascii="Garamond" w:eastAsiaTheme="minorHAnsi" w:hAnsi="Garamond"/>
          <w:bCs/>
          <w:color w:val="000000"/>
          <w:sz w:val="24"/>
          <w:szCs w:val="24"/>
        </w:rPr>
      </w:pPr>
      <w:r w:rsidRPr="00552543">
        <w:rPr>
          <w:rFonts w:ascii="Garamond" w:eastAsiaTheme="minorHAnsi" w:hAnsi="Garamond"/>
          <w:bCs/>
          <w:color w:val="000000"/>
          <w:sz w:val="24"/>
          <w:szCs w:val="24"/>
        </w:rPr>
        <w:t>Neni 6</w:t>
      </w:r>
    </w:p>
    <w:p w14:paraId="6861B527" w14:textId="68B4BD6D" w:rsidR="00B75E74" w:rsidRPr="00552543" w:rsidRDefault="00B75E74" w:rsidP="00B75E74">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552543">
        <w:rPr>
          <w:rFonts w:ascii="Garamond" w:eastAsiaTheme="minorHAnsi" w:hAnsi="Garamond"/>
          <w:b/>
          <w:bCs/>
          <w:color w:val="000000"/>
          <w:sz w:val="24"/>
          <w:szCs w:val="24"/>
        </w:rPr>
        <w:t xml:space="preserve">Bashkëpunimi i </w:t>
      </w:r>
      <w:r w:rsidR="00552543" w:rsidRPr="00552543">
        <w:rPr>
          <w:rFonts w:ascii="Garamond" w:eastAsiaTheme="minorHAnsi" w:hAnsi="Garamond"/>
          <w:b/>
          <w:bCs/>
          <w:color w:val="000000"/>
          <w:sz w:val="24"/>
          <w:szCs w:val="24"/>
        </w:rPr>
        <w:t xml:space="preserve">komisioneve të përhershme </w:t>
      </w:r>
      <w:r w:rsidRPr="00552543">
        <w:rPr>
          <w:rFonts w:ascii="Garamond" w:eastAsiaTheme="minorHAnsi" w:hAnsi="Garamond"/>
          <w:b/>
          <w:bCs/>
          <w:color w:val="000000"/>
          <w:sz w:val="24"/>
          <w:szCs w:val="24"/>
        </w:rPr>
        <w:t>dhe departamenteve ligjore</w:t>
      </w:r>
    </w:p>
    <w:p w14:paraId="076F8691" w14:textId="77777777" w:rsidR="00B75E74" w:rsidRPr="00552543" w:rsidRDefault="00B75E74" w:rsidP="00B75E74">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5C8A23A5" w14:textId="77F1747A" w:rsidR="00B75E74" w:rsidRPr="00552543" w:rsidRDefault="00B75E74" w:rsidP="00B75E74">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rPr>
      </w:pPr>
      <w:r w:rsidRPr="00552543">
        <w:rPr>
          <w:rFonts w:ascii="Garamond" w:eastAsiaTheme="minorHAnsi" w:hAnsi="Garamond"/>
          <w:color w:val="000000"/>
          <w:sz w:val="24"/>
          <w:szCs w:val="24"/>
        </w:rPr>
        <w:t xml:space="preserve">1. Komisionet e </w:t>
      </w:r>
      <w:r w:rsidR="00552543">
        <w:rPr>
          <w:rFonts w:ascii="Garamond" w:eastAsiaTheme="minorHAnsi" w:hAnsi="Garamond"/>
          <w:color w:val="000000"/>
          <w:sz w:val="24"/>
          <w:szCs w:val="24"/>
        </w:rPr>
        <w:t>p</w:t>
      </w:r>
      <w:r w:rsidRPr="00552543">
        <w:rPr>
          <w:rFonts w:ascii="Garamond" w:eastAsiaTheme="minorHAnsi" w:hAnsi="Garamond"/>
          <w:color w:val="000000"/>
          <w:sz w:val="24"/>
          <w:szCs w:val="24"/>
        </w:rPr>
        <w:t>ërhershme të Këshillit të Lartë Gjyqësor dhe Këshillit të Lartë të Prokurorisë zhvillojnë mbledhje</w:t>
      </w:r>
      <w:r w:rsidR="00726A34">
        <w:rPr>
          <w:rFonts w:ascii="Garamond" w:eastAsiaTheme="minorHAnsi" w:hAnsi="Garamond"/>
          <w:color w:val="000000"/>
          <w:sz w:val="24"/>
          <w:szCs w:val="24"/>
        </w:rPr>
        <w:t xml:space="preserve"> </w:t>
      </w:r>
      <w:r w:rsidRPr="00552543">
        <w:rPr>
          <w:rFonts w:ascii="Garamond" w:eastAsiaTheme="minorHAnsi" w:hAnsi="Garamond"/>
          <w:color w:val="000000"/>
          <w:sz w:val="24"/>
          <w:szCs w:val="24"/>
        </w:rPr>
        <w:t xml:space="preserve">të përbashkëta, të paktën 1(një) herë në 6 (gjashtë) muaj përgjatë 1(një) viti, në përputhje me nenin 3, të kësaj </w:t>
      </w:r>
      <w:r w:rsidR="00552543">
        <w:rPr>
          <w:rFonts w:ascii="Garamond" w:eastAsiaTheme="minorHAnsi" w:hAnsi="Garamond"/>
          <w:color w:val="000000"/>
          <w:sz w:val="24"/>
          <w:szCs w:val="24"/>
        </w:rPr>
        <w:t>r</w:t>
      </w:r>
      <w:r w:rsidRPr="00552543">
        <w:rPr>
          <w:rFonts w:ascii="Garamond" w:eastAsiaTheme="minorHAnsi" w:hAnsi="Garamond"/>
          <w:color w:val="000000"/>
          <w:sz w:val="24"/>
          <w:szCs w:val="24"/>
        </w:rPr>
        <w:t>regulloreje. Mbledhjet zhvillohen në mënyrë të alternuar në mjediset e secilit Këshill.</w:t>
      </w:r>
    </w:p>
    <w:p w14:paraId="3A8648E8" w14:textId="4C52CC6E" w:rsidR="00B75E74" w:rsidRPr="00552543" w:rsidRDefault="00B75E74" w:rsidP="00B75E74">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rPr>
      </w:pPr>
      <w:r w:rsidRPr="00552543">
        <w:rPr>
          <w:rFonts w:ascii="Garamond" w:eastAsiaTheme="minorHAnsi" w:hAnsi="Garamond"/>
          <w:color w:val="000000"/>
          <w:sz w:val="24"/>
          <w:szCs w:val="24"/>
        </w:rPr>
        <w:t xml:space="preserve">2. Këto mbledhje trajtojnë çështje që janë në fushat përkatëse të kompetencës së Komisioneve, siç përcaktohen në </w:t>
      </w:r>
      <w:r w:rsidR="00552543">
        <w:rPr>
          <w:rFonts w:ascii="Garamond" w:eastAsiaTheme="minorHAnsi" w:hAnsi="Garamond"/>
          <w:color w:val="000000"/>
          <w:sz w:val="24"/>
          <w:szCs w:val="24"/>
        </w:rPr>
        <w:t>l</w:t>
      </w:r>
      <w:r w:rsidRPr="00552543">
        <w:rPr>
          <w:rFonts w:ascii="Garamond" w:eastAsiaTheme="minorHAnsi" w:hAnsi="Garamond"/>
          <w:color w:val="000000"/>
          <w:sz w:val="24"/>
          <w:szCs w:val="24"/>
        </w:rPr>
        <w:t>igjin nr. 115/2016 dhe do të synojnë të sigurojnë bashkërendim dhe konsistencë në praktikat institucionale, përfshirë zbatimin e reformave ligjore dhe strategjike.</w:t>
      </w:r>
    </w:p>
    <w:p w14:paraId="4CA7CF90" w14:textId="14267828" w:rsidR="00B75E74" w:rsidRPr="00552543" w:rsidRDefault="00B75E74" w:rsidP="00B75E74">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rPr>
      </w:pPr>
      <w:r w:rsidRPr="00552543">
        <w:rPr>
          <w:rFonts w:ascii="Garamond" w:eastAsiaTheme="minorHAnsi" w:hAnsi="Garamond"/>
          <w:color w:val="000000"/>
          <w:sz w:val="24"/>
          <w:szCs w:val="24"/>
        </w:rPr>
        <w:lastRenderedPageBreak/>
        <w:t xml:space="preserve">3. Departamentet ligjore dhe këshilltarët ligjorë të dy Këshillave mbajnë bashkërendim të vazhdueshëm dhe zhvillojnë mbledhje të përbashkëta, të paktën 1 (një) herë në 3 (tre) muaj. Këto mbledhje bashkërendohen nën përgjegjësinë </w:t>
      </w:r>
      <w:r w:rsidR="00552543" w:rsidRPr="00552543">
        <w:rPr>
          <w:rFonts w:ascii="Garamond" w:eastAsiaTheme="minorHAnsi" w:hAnsi="Garamond"/>
          <w:color w:val="000000"/>
          <w:sz w:val="24"/>
          <w:szCs w:val="24"/>
        </w:rPr>
        <w:t xml:space="preserve">e sekretarit të përgjithshëm </w:t>
      </w:r>
      <w:r w:rsidRPr="00552543">
        <w:rPr>
          <w:rFonts w:ascii="Garamond" w:eastAsiaTheme="minorHAnsi" w:hAnsi="Garamond"/>
          <w:color w:val="000000"/>
          <w:sz w:val="24"/>
          <w:szCs w:val="24"/>
        </w:rPr>
        <w:t>të secilit Këshill. Qëllimi i mbledhjeve të tilla është të sigurojë interpretim dhe zbatim të harmonizuar të kuadrit ligjor që rregullon gjyqësorin dhe prokurorinë.</w:t>
      </w:r>
    </w:p>
    <w:p w14:paraId="5CD294A3" w14:textId="77777777" w:rsidR="00B75E74" w:rsidRPr="00552543" w:rsidRDefault="00B75E74" w:rsidP="00B75E74">
      <w:pPr>
        <w:autoSpaceDE w:val="0"/>
        <w:autoSpaceDN w:val="0"/>
        <w:adjustRightInd w:val="0"/>
        <w:spacing w:after="0" w:line="240" w:lineRule="auto"/>
        <w:ind w:firstLine="284"/>
        <w:jc w:val="both"/>
        <w:rPr>
          <w:rFonts w:ascii="Garamond" w:eastAsiaTheme="minorHAnsi" w:hAnsi="Garamond"/>
          <w:color w:val="000000"/>
          <w:sz w:val="24"/>
          <w:szCs w:val="24"/>
        </w:rPr>
      </w:pPr>
    </w:p>
    <w:p w14:paraId="159D1C71" w14:textId="77777777" w:rsidR="00B75E74" w:rsidRPr="00552543" w:rsidRDefault="00B75E74" w:rsidP="00B75E74">
      <w:pPr>
        <w:autoSpaceDE w:val="0"/>
        <w:autoSpaceDN w:val="0"/>
        <w:adjustRightInd w:val="0"/>
        <w:spacing w:after="0" w:line="240" w:lineRule="auto"/>
        <w:ind w:firstLine="284"/>
        <w:jc w:val="center"/>
        <w:rPr>
          <w:rFonts w:ascii="Garamond" w:eastAsiaTheme="minorHAnsi" w:hAnsi="Garamond"/>
          <w:bCs/>
          <w:color w:val="000000"/>
          <w:sz w:val="24"/>
          <w:szCs w:val="24"/>
        </w:rPr>
      </w:pPr>
      <w:r w:rsidRPr="00552543">
        <w:rPr>
          <w:rFonts w:ascii="Garamond" w:eastAsiaTheme="minorHAnsi" w:hAnsi="Garamond"/>
          <w:bCs/>
          <w:color w:val="000000"/>
          <w:sz w:val="24"/>
          <w:szCs w:val="24"/>
        </w:rPr>
        <w:t>Neni 7</w:t>
      </w:r>
    </w:p>
    <w:p w14:paraId="4758CBC1" w14:textId="7B4BDB26" w:rsidR="00B75E74" w:rsidRPr="00552543" w:rsidRDefault="00B75E74" w:rsidP="00B75E74">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552543">
        <w:rPr>
          <w:rFonts w:ascii="Garamond" w:eastAsiaTheme="minorHAnsi" w:hAnsi="Garamond"/>
          <w:b/>
          <w:bCs/>
          <w:color w:val="000000"/>
          <w:sz w:val="24"/>
          <w:szCs w:val="24"/>
        </w:rPr>
        <w:t xml:space="preserve">Sekretariati </w:t>
      </w:r>
      <w:r w:rsidR="00552543">
        <w:rPr>
          <w:rFonts w:ascii="Garamond" w:eastAsiaTheme="minorHAnsi" w:hAnsi="Garamond"/>
          <w:b/>
          <w:bCs/>
          <w:color w:val="000000"/>
          <w:sz w:val="24"/>
          <w:szCs w:val="24"/>
        </w:rPr>
        <w:t>t</w:t>
      </w:r>
      <w:r w:rsidRPr="00552543">
        <w:rPr>
          <w:rFonts w:ascii="Garamond" w:eastAsiaTheme="minorHAnsi" w:hAnsi="Garamond"/>
          <w:b/>
          <w:bCs/>
          <w:color w:val="000000"/>
          <w:sz w:val="24"/>
          <w:szCs w:val="24"/>
        </w:rPr>
        <w:t>eknik</w:t>
      </w:r>
    </w:p>
    <w:p w14:paraId="348D8780" w14:textId="77777777" w:rsidR="00B75E74" w:rsidRPr="00552543" w:rsidRDefault="00B75E74" w:rsidP="00B75E74">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349411EB" w14:textId="739070B9" w:rsidR="00B75E74" w:rsidRPr="00552543" w:rsidRDefault="00B75E74" w:rsidP="00B75E74">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rPr>
      </w:pPr>
      <w:r w:rsidRPr="00552543">
        <w:rPr>
          <w:rFonts w:ascii="Garamond" w:eastAsiaTheme="minorHAnsi" w:hAnsi="Garamond"/>
          <w:color w:val="000000"/>
          <w:sz w:val="24"/>
          <w:szCs w:val="24"/>
        </w:rPr>
        <w:t xml:space="preserve">1. Secili Këshill cakton strukturën e vet administrative (përkatëse) për të vepruar, si </w:t>
      </w:r>
      <w:r w:rsidR="00552543" w:rsidRPr="00552543">
        <w:rPr>
          <w:rFonts w:ascii="Garamond" w:eastAsiaTheme="minorHAnsi" w:hAnsi="Garamond"/>
          <w:color w:val="000000"/>
          <w:sz w:val="24"/>
          <w:szCs w:val="24"/>
        </w:rPr>
        <w:t>sekretariati teknik, përgjegjës për zbatimin dhe mbështetj</w:t>
      </w:r>
      <w:r w:rsidRPr="00552543">
        <w:rPr>
          <w:rFonts w:ascii="Garamond" w:eastAsiaTheme="minorHAnsi" w:hAnsi="Garamond"/>
          <w:color w:val="000000"/>
          <w:sz w:val="24"/>
          <w:szCs w:val="24"/>
        </w:rPr>
        <w:t xml:space="preserve">en e dispozitave të kësaj </w:t>
      </w:r>
      <w:r w:rsidR="00552543">
        <w:rPr>
          <w:rFonts w:ascii="Garamond" w:eastAsiaTheme="minorHAnsi" w:hAnsi="Garamond"/>
          <w:color w:val="000000"/>
          <w:sz w:val="24"/>
          <w:szCs w:val="24"/>
        </w:rPr>
        <w:t>r</w:t>
      </w:r>
      <w:r w:rsidRPr="00552543">
        <w:rPr>
          <w:rFonts w:ascii="Garamond" w:eastAsiaTheme="minorHAnsi" w:hAnsi="Garamond"/>
          <w:color w:val="000000"/>
          <w:sz w:val="24"/>
          <w:szCs w:val="24"/>
        </w:rPr>
        <w:t xml:space="preserve">regulloreje. Sekretariatet </w:t>
      </w:r>
      <w:r w:rsidR="00552543">
        <w:rPr>
          <w:rFonts w:ascii="Garamond" w:eastAsiaTheme="minorHAnsi" w:hAnsi="Garamond"/>
          <w:color w:val="000000"/>
          <w:sz w:val="24"/>
          <w:szCs w:val="24"/>
        </w:rPr>
        <w:t>t</w:t>
      </w:r>
      <w:r w:rsidRPr="00552543">
        <w:rPr>
          <w:rFonts w:ascii="Garamond" w:eastAsiaTheme="minorHAnsi" w:hAnsi="Garamond"/>
          <w:color w:val="000000"/>
          <w:sz w:val="24"/>
          <w:szCs w:val="24"/>
        </w:rPr>
        <w:t>eknike funksionojnë nën autoritetin dhe organizimin e secilit Këshill dhe shërbejnë si pika kontakti për komunikim dhe bashkërendim midis Këshillit të Lartë Gjyqësor dhe Këshillit të Lartë të Prokurorisë.</w:t>
      </w:r>
    </w:p>
    <w:p w14:paraId="2F8024BC" w14:textId="7E388167" w:rsidR="00B75E74" w:rsidRPr="00552543" w:rsidRDefault="00B75E74" w:rsidP="00B75E74">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rPr>
      </w:pPr>
      <w:r w:rsidRPr="00552543">
        <w:rPr>
          <w:rFonts w:ascii="Garamond" w:eastAsiaTheme="minorHAnsi" w:hAnsi="Garamond"/>
          <w:color w:val="000000"/>
          <w:sz w:val="24"/>
          <w:szCs w:val="24"/>
        </w:rPr>
        <w:t xml:space="preserve">2. Për qëllimet e kësaj </w:t>
      </w:r>
      <w:r w:rsidR="00552543">
        <w:rPr>
          <w:rFonts w:ascii="Garamond" w:eastAsiaTheme="minorHAnsi" w:hAnsi="Garamond"/>
          <w:color w:val="000000"/>
          <w:sz w:val="24"/>
          <w:szCs w:val="24"/>
        </w:rPr>
        <w:t>r</w:t>
      </w:r>
      <w:r w:rsidRPr="00552543">
        <w:rPr>
          <w:rFonts w:ascii="Garamond" w:eastAsiaTheme="minorHAnsi" w:hAnsi="Garamond"/>
          <w:color w:val="000000"/>
          <w:sz w:val="24"/>
          <w:szCs w:val="24"/>
        </w:rPr>
        <w:t xml:space="preserve">regulloreje, </w:t>
      </w:r>
      <w:r w:rsidR="00552543" w:rsidRPr="00552543">
        <w:rPr>
          <w:rFonts w:ascii="Garamond" w:eastAsiaTheme="minorHAnsi" w:hAnsi="Garamond"/>
          <w:color w:val="000000"/>
          <w:sz w:val="24"/>
          <w:szCs w:val="24"/>
        </w:rPr>
        <w:t>sekretariati t</w:t>
      </w:r>
      <w:r w:rsidRPr="00552543">
        <w:rPr>
          <w:rFonts w:ascii="Garamond" w:eastAsiaTheme="minorHAnsi" w:hAnsi="Garamond"/>
          <w:color w:val="000000"/>
          <w:sz w:val="24"/>
          <w:szCs w:val="24"/>
        </w:rPr>
        <w:t>eknik:</w:t>
      </w:r>
    </w:p>
    <w:p w14:paraId="620E1B42" w14:textId="172AE174" w:rsidR="00B75E74" w:rsidRPr="00552543" w:rsidRDefault="00B75E74" w:rsidP="00B75E74">
      <w:pPr>
        <w:autoSpaceDE w:val="0"/>
        <w:autoSpaceDN w:val="0"/>
        <w:adjustRightInd w:val="0"/>
        <w:spacing w:after="0" w:line="240" w:lineRule="auto"/>
        <w:ind w:firstLine="284"/>
        <w:jc w:val="both"/>
        <w:rPr>
          <w:rFonts w:ascii="Garamond" w:eastAsiaTheme="minorHAnsi" w:hAnsi="Garamond"/>
          <w:color w:val="000000"/>
          <w:sz w:val="24"/>
          <w:szCs w:val="24"/>
        </w:rPr>
      </w:pPr>
      <w:r w:rsidRPr="00552543">
        <w:rPr>
          <w:rFonts w:ascii="Garamond" w:eastAsiaTheme="minorHAnsi" w:hAnsi="Garamond"/>
          <w:color w:val="000000"/>
          <w:sz w:val="24"/>
          <w:szCs w:val="24"/>
        </w:rPr>
        <w:t xml:space="preserve">a) </w:t>
      </w:r>
      <w:r w:rsidR="00552543">
        <w:rPr>
          <w:rFonts w:ascii="Garamond" w:eastAsiaTheme="minorHAnsi" w:hAnsi="Garamond"/>
          <w:color w:val="000000"/>
          <w:sz w:val="24"/>
          <w:szCs w:val="24"/>
        </w:rPr>
        <w:t>b</w:t>
      </w:r>
      <w:r w:rsidRPr="00552543">
        <w:rPr>
          <w:rFonts w:ascii="Garamond" w:eastAsiaTheme="minorHAnsi" w:hAnsi="Garamond"/>
          <w:color w:val="000000"/>
          <w:sz w:val="24"/>
          <w:szCs w:val="24"/>
        </w:rPr>
        <w:t xml:space="preserve">ashkërendon organizimin logjistik dhe procedural të mbledhjeve të përbashkëta plenare, mbledhjeve të </w:t>
      </w:r>
      <w:r w:rsidR="00552543" w:rsidRPr="00552543">
        <w:rPr>
          <w:rFonts w:ascii="Garamond" w:eastAsiaTheme="minorHAnsi" w:hAnsi="Garamond"/>
          <w:color w:val="000000"/>
          <w:sz w:val="24"/>
          <w:szCs w:val="24"/>
        </w:rPr>
        <w:t xml:space="preserve">komisioneve të përhershme </w:t>
      </w:r>
      <w:r w:rsidRPr="00552543">
        <w:rPr>
          <w:rFonts w:ascii="Garamond" w:eastAsiaTheme="minorHAnsi" w:hAnsi="Garamond"/>
          <w:color w:val="000000"/>
          <w:sz w:val="24"/>
          <w:szCs w:val="24"/>
        </w:rPr>
        <w:t>dhe mbledhjeve të bashkërendimit të departamenteve;</w:t>
      </w:r>
    </w:p>
    <w:p w14:paraId="5238A072" w14:textId="6F3A007F" w:rsidR="00B75E74" w:rsidRPr="00552543" w:rsidRDefault="00B75E74" w:rsidP="00B75E74">
      <w:pPr>
        <w:autoSpaceDE w:val="0"/>
        <w:autoSpaceDN w:val="0"/>
        <w:adjustRightInd w:val="0"/>
        <w:spacing w:after="0" w:line="240" w:lineRule="auto"/>
        <w:ind w:firstLine="284"/>
        <w:jc w:val="both"/>
        <w:rPr>
          <w:rFonts w:ascii="Garamond" w:eastAsiaTheme="minorHAnsi" w:hAnsi="Garamond"/>
          <w:color w:val="000000"/>
          <w:sz w:val="24"/>
          <w:szCs w:val="24"/>
        </w:rPr>
      </w:pPr>
      <w:r w:rsidRPr="00552543">
        <w:rPr>
          <w:rFonts w:ascii="Garamond" w:eastAsiaTheme="minorHAnsi" w:hAnsi="Garamond"/>
          <w:color w:val="000000"/>
          <w:sz w:val="24"/>
          <w:szCs w:val="24"/>
        </w:rPr>
        <w:t xml:space="preserve">b) </w:t>
      </w:r>
      <w:r w:rsidR="00552543">
        <w:rPr>
          <w:rFonts w:ascii="Garamond" w:eastAsiaTheme="minorHAnsi" w:hAnsi="Garamond"/>
          <w:color w:val="000000"/>
          <w:sz w:val="24"/>
          <w:szCs w:val="24"/>
        </w:rPr>
        <w:t>n</w:t>
      </w:r>
      <w:r w:rsidRPr="00552543">
        <w:rPr>
          <w:rFonts w:ascii="Garamond" w:eastAsiaTheme="minorHAnsi" w:hAnsi="Garamond"/>
          <w:color w:val="000000"/>
          <w:sz w:val="24"/>
          <w:szCs w:val="24"/>
        </w:rPr>
        <w:t>dihmon në përgatitjen, rishikimin dhe shpërndarjen e projektrendit të ditës dhe dokumentacionit përkatës;</w:t>
      </w:r>
    </w:p>
    <w:p w14:paraId="61701DB6" w14:textId="6BF847F7" w:rsidR="00B75E74" w:rsidRPr="00552543" w:rsidRDefault="00B75E74" w:rsidP="00B75E74">
      <w:pPr>
        <w:autoSpaceDE w:val="0"/>
        <w:autoSpaceDN w:val="0"/>
        <w:adjustRightInd w:val="0"/>
        <w:spacing w:after="0" w:line="240" w:lineRule="auto"/>
        <w:ind w:firstLine="284"/>
        <w:jc w:val="both"/>
        <w:rPr>
          <w:rFonts w:ascii="Garamond" w:eastAsiaTheme="minorHAnsi" w:hAnsi="Garamond"/>
          <w:color w:val="000000"/>
          <w:sz w:val="24"/>
          <w:szCs w:val="24"/>
        </w:rPr>
      </w:pPr>
      <w:r w:rsidRPr="00552543">
        <w:rPr>
          <w:rFonts w:ascii="Garamond" w:eastAsiaTheme="minorHAnsi" w:hAnsi="Garamond"/>
          <w:color w:val="000000"/>
          <w:sz w:val="24"/>
          <w:szCs w:val="24"/>
        </w:rPr>
        <w:t xml:space="preserve">c) </w:t>
      </w:r>
      <w:r w:rsidR="00552543">
        <w:rPr>
          <w:rFonts w:ascii="Garamond" w:eastAsiaTheme="minorHAnsi" w:hAnsi="Garamond"/>
          <w:color w:val="000000"/>
          <w:sz w:val="24"/>
          <w:szCs w:val="24"/>
        </w:rPr>
        <w:t>r</w:t>
      </w:r>
      <w:r w:rsidRPr="00552543">
        <w:rPr>
          <w:rFonts w:ascii="Garamond" w:eastAsiaTheme="minorHAnsi" w:hAnsi="Garamond"/>
          <w:color w:val="000000"/>
          <w:sz w:val="24"/>
          <w:szCs w:val="24"/>
        </w:rPr>
        <w:t>egjistron, përpilon dhe shpërndan procesverbalet dhe konkluzionet operative të mbledhjeve të përbashkëta;</w:t>
      </w:r>
    </w:p>
    <w:p w14:paraId="2530C954" w14:textId="72AA29D8" w:rsidR="00B75E74" w:rsidRPr="00552543" w:rsidRDefault="00B75E74" w:rsidP="00B75E74">
      <w:pPr>
        <w:autoSpaceDE w:val="0"/>
        <w:autoSpaceDN w:val="0"/>
        <w:adjustRightInd w:val="0"/>
        <w:spacing w:after="0" w:line="240" w:lineRule="auto"/>
        <w:ind w:firstLine="284"/>
        <w:jc w:val="both"/>
        <w:rPr>
          <w:rFonts w:ascii="Garamond" w:eastAsiaTheme="minorHAnsi" w:hAnsi="Garamond"/>
          <w:color w:val="000000"/>
          <w:sz w:val="24"/>
          <w:szCs w:val="24"/>
        </w:rPr>
      </w:pPr>
      <w:r w:rsidRPr="00552543">
        <w:rPr>
          <w:rFonts w:ascii="Garamond" w:eastAsiaTheme="minorHAnsi" w:hAnsi="Garamond"/>
          <w:color w:val="000000"/>
          <w:sz w:val="24"/>
          <w:szCs w:val="24"/>
        </w:rPr>
        <w:t xml:space="preserve">d) </w:t>
      </w:r>
      <w:r w:rsidR="00552543">
        <w:rPr>
          <w:rFonts w:ascii="Garamond" w:eastAsiaTheme="minorHAnsi" w:hAnsi="Garamond"/>
          <w:color w:val="000000"/>
          <w:sz w:val="24"/>
          <w:szCs w:val="24"/>
        </w:rPr>
        <w:t>m</w:t>
      </w:r>
      <w:r w:rsidRPr="00552543">
        <w:rPr>
          <w:rFonts w:ascii="Garamond" w:eastAsiaTheme="minorHAnsi" w:hAnsi="Garamond"/>
          <w:color w:val="000000"/>
          <w:sz w:val="24"/>
          <w:szCs w:val="24"/>
        </w:rPr>
        <w:t>onitoron dhe mbështet zbatimin e konkluzioneve, veprimeve vijuese dhe nismave të përbashkëta;</w:t>
      </w:r>
    </w:p>
    <w:p w14:paraId="5BA858CE" w14:textId="2FDF56FE" w:rsidR="00B75E74" w:rsidRPr="00552543" w:rsidRDefault="00B75E74" w:rsidP="00B75E74">
      <w:pPr>
        <w:autoSpaceDE w:val="0"/>
        <w:autoSpaceDN w:val="0"/>
        <w:adjustRightInd w:val="0"/>
        <w:spacing w:after="0" w:line="240" w:lineRule="auto"/>
        <w:ind w:firstLine="284"/>
        <w:jc w:val="both"/>
        <w:rPr>
          <w:rFonts w:ascii="Garamond" w:eastAsiaTheme="minorHAnsi" w:hAnsi="Garamond"/>
          <w:color w:val="000000"/>
          <w:sz w:val="24"/>
          <w:szCs w:val="24"/>
        </w:rPr>
      </w:pPr>
      <w:r w:rsidRPr="00552543">
        <w:rPr>
          <w:rFonts w:ascii="Garamond" w:eastAsiaTheme="minorHAnsi" w:hAnsi="Garamond"/>
          <w:color w:val="000000"/>
          <w:sz w:val="24"/>
          <w:szCs w:val="24"/>
        </w:rPr>
        <w:t xml:space="preserve">e) </w:t>
      </w:r>
      <w:r w:rsidR="00552543">
        <w:rPr>
          <w:rFonts w:ascii="Garamond" w:eastAsiaTheme="minorHAnsi" w:hAnsi="Garamond"/>
          <w:color w:val="000000"/>
          <w:sz w:val="24"/>
          <w:szCs w:val="24"/>
        </w:rPr>
        <w:t>m</w:t>
      </w:r>
      <w:r w:rsidRPr="00552543">
        <w:rPr>
          <w:rFonts w:ascii="Garamond" w:eastAsiaTheme="minorHAnsi" w:hAnsi="Garamond"/>
          <w:color w:val="000000"/>
          <w:sz w:val="24"/>
          <w:szCs w:val="24"/>
        </w:rPr>
        <w:t xml:space="preserve">ban një regjistër të shkëmbimeve institucionale dhe ofron përditësime të rregullta për </w:t>
      </w:r>
      <w:r w:rsidR="00552543">
        <w:rPr>
          <w:rFonts w:ascii="Garamond" w:eastAsiaTheme="minorHAnsi" w:hAnsi="Garamond"/>
          <w:color w:val="000000"/>
          <w:sz w:val="24"/>
          <w:szCs w:val="24"/>
        </w:rPr>
        <w:t>k</w:t>
      </w:r>
      <w:r w:rsidRPr="00552543">
        <w:rPr>
          <w:rFonts w:ascii="Garamond" w:eastAsiaTheme="minorHAnsi" w:hAnsi="Garamond"/>
          <w:color w:val="000000"/>
          <w:sz w:val="24"/>
          <w:szCs w:val="24"/>
        </w:rPr>
        <w:t xml:space="preserve">ryetarët dhe </w:t>
      </w:r>
      <w:r w:rsidR="00552543" w:rsidRPr="00552543">
        <w:rPr>
          <w:rFonts w:ascii="Garamond" w:eastAsiaTheme="minorHAnsi" w:hAnsi="Garamond"/>
          <w:color w:val="000000"/>
          <w:sz w:val="24"/>
          <w:szCs w:val="24"/>
        </w:rPr>
        <w:t xml:space="preserve">sekretarët e përgjithshëm </w:t>
      </w:r>
      <w:r w:rsidRPr="00552543">
        <w:rPr>
          <w:rFonts w:ascii="Garamond" w:eastAsiaTheme="minorHAnsi" w:hAnsi="Garamond"/>
          <w:color w:val="000000"/>
          <w:sz w:val="24"/>
          <w:szCs w:val="24"/>
        </w:rPr>
        <w:t>të të dy Këshillave, mbi statusin e bashkëpunimit të vazhdueshëm.</w:t>
      </w:r>
    </w:p>
    <w:p w14:paraId="6463C700" w14:textId="16C7B299" w:rsidR="00B75E74" w:rsidRPr="00552543" w:rsidRDefault="00B75E74" w:rsidP="00B75E74">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rPr>
      </w:pPr>
      <w:r w:rsidRPr="00552543">
        <w:rPr>
          <w:rFonts w:ascii="Garamond" w:eastAsiaTheme="minorHAnsi" w:hAnsi="Garamond"/>
          <w:color w:val="000000"/>
          <w:sz w:val="24"/>
          <w:szCs w:val="24"/>
        </w:rPr>
        <w:t xml:space="preserve">3. Sekretariatet </w:t>
      </w:r>
      <w:r w:rsidR="00552543">
        <w:rPr>
          <w:rFonts w:ascii="Garamond" w:eastAsiaTheme="minorHAnsi" w:hAnsi="Garamond"/>
          <w:color w:val="000000"/>
          <w:sz w:val="24"/>
          <w:szCs w:val="24"/>
        </w:rPr>
        <w:t>t</w:t>
      </w:r>
      <w:r w:rsidRPr="00552543">
        <w:rPr>
          <w:rFonts w:ascii="Garamond" w:eastAsiaTheme="minorHAnsi" w:hAnsi="Garamond"/>
          <w:color w:val="000000"/>
          <w:sz w:val="24"/>
          <w:szCs w:val="24"/>
        </w:rPr>
        <w:t>eknike të Këshillit të Lartë Gjyqësor dhe Këshillit të Lartë të Prokurorisë punojnë në bashkërendim, për të siguruar vazhdimësinë, konsistencën dhe kujtesën institucionale në kryerjen e veprimtarive të përbashkëta, në zbatim</w:t>
      </w:r>
      <w:r w:rsidR="00726A34">
        <w:rPr>
          <w:rFonts w:ascii="Garamond" w:eastAsiaTheme="minorHAnsi" w:hAnsi="Garamond"/>
          <w:color w:val="000000"/>
          <w:sz w:val="24"/>
          <w:szCs w:val="24"/>
        </w:rPr>
        <w:t xml:space="preserve"> </w:t>
      </w:r>
      <w:r w:rsidRPr="00552543">
        <w:rPr>
          <w:rFonts w:ascii="Garamond" w:eastAsiaTheme="minorHAnsi" w:hAnsi="Garamond"/>
          <w:color w:val="000000"/>
          <w:sz w:val="24"/>
          <w:szCs w:val="24"/>
        </w:rPr>
        <w:t xml:space="preserve">të kësaj </w:t>
      </w:r>
      <w:r w:rsidR="00552543">
        <w:rPr>
          <w:rFonts w:ascii="Garamond" w:eastAsiaTheme="minorHAnsi" w:hAnsi="Garamond"/>
          <w:color w:val="000000"/>
          <w:sz w:val="24"/>
          <w:szCs w:val="24"/>
        </w:rPr>
        <w:t>r</w:t>
      </w:r>
      <w:r w:rsidRPr="00552543">
        <w:rPr>
          <w:rFonts w:ascii="Garamond" w:eastAsiaTheme="minorHAnsi" w:hAnsi="Garamond"/>
          <w:color w:val="000000"/>
          <w:sz w:val="24"/>
          <w:szCs w:val="24"/>
        </w:rPr>
        <w:t>regulloreje.</w:t>
      </w:r>
    </w:p>
    <w:p w14:paraId="0BE2F49B" w14:textId="77777777" w:rsidR="00B75E74" w:rsidRPr="00552543" w:rsidRDefault="00B75E74" w:rsidP="00B75E74">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62D647FB" w14:textId="79E2C66B" w:rsidR="00B75E74" w:rsidRPr="00552543" w:rsidRDefault="00B75E74" w:rsidP="00B75E74">
      <w:pPr>
        <w:autoSpaceDE w:val="0"/>
        <w:autoSpaceDN w:val="0"/>
        <w:adjustRightInd w:val="0"/>
        <w:spacing w:after="0" w:line="240" w:lineRule="auto"/>
        <w:ind w:firstLine="284"/>
        <w:jc w:val="center"/>
        <w:rPr>
          <w:rFonts w:ascii="Garamond" w:eastAsiaTheme="minorHAnsi" w:hAnsi="Garamond"/>
          <w:bCs/>
          <w:color w:val="000000"/>
          <w:sz w:val="24"/>
          <w:szCs w:val="24"/>
        </w:rPr>
      </w:pPr>
      <w:r w:rsidRPr="00552543">
        <w:rPr>
          <w:rFonts w:ascii="Garamond" w:eastAsiaTheme="minorHAnsi" w:hAnsi="Garamond"/>
          <w:bCs/>
          <w:color w:val="000000"/>
          <w:sz w:val="24"/>
          <w:szCs w:val="24"/>
        </w:rPr>
        <w:t>Neni 8</w:t>
      </w:r>
    </w:p>
    <w:p w14:paraId="5194411F" w14:textId="77777777" w:rsidR="00B75E74" w:rsidRPr="00552543" w:rsidRDefault="00B75E74" w:rsidP="00B75E74">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552543">
        <w:rPr>
          <w:rFonts w:ascii="Garamond" w:eastAsiaTheme="minorHAnsi" w:hAnsi="Garamond"/>
          <w:b/>
          <w:bCs/>
          <w:color w:val="000000"/>
          <w:sz w:val="24"/>
          <w:szCs w:val="24"/>
        </w:rPr>
        <w:t>Pjesëmarrja e Inspektorit të Lartë të Drejtësisë, Shkollës së Magjistraturës,</w:t>
      </w:r>
    </w:p>
    <w:p w14:paraId="3F933367" w14:textId="77777777" w:rsidR="00B75E74" w:rsidRPr="00552543" w:rsidRDefault="00B75E74" w:rsidP="00B75E74">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552543">
        <w:rPr>
          <w:rFonts w:ascii="Garamond" w:eastAsiaTheme="minorHAnsi" w:hAnsi="Garamond"/>
          <w:b/>
          <w:bCs/>
          <w:color w:val="000000"/>
          <w:sz w:val="24"/>
          <w:szCs w:val="24"/>
        </w:rPr>
        <w:t>Prokurorisë së Përgjithshme dhe institucioneve të tjera</w:t>
      </w:r>
    </w:p>
    <w:p w14:paraId="0D27DAE6" w14:textId="77777777" w:rsidR="00B75E74" w:rsidRPr="00552543" w:rsidRDefault="00B75E74" w:rsidP="00B75E74">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4D057349" w14:textId="474D3C83" w:rsidR="00B75E74" w:rsidRPr="00552543" w:rsidRDefault="00B75E74" w:rsidP="00B75E74">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rPr>
      </w:pPr>
      <w:r w:rsidRPr="00552543">
        <w:rPr>
          <w:rFonts w:ascii="Garamond" w:eastAsiaTheme="minorHAnsi" w:hAnsi="Garamond"/>
          <w:color w:val="000000"/>
          <w:sz w:val="24"/>
          <w:szCs w:val="24"/>
        </w:rPr>
        <w:t>1. Inspektori i Lartë i Drejtësisë dhe Shkolla e Magjistraturës ftohen të marrin pjesë në mbledhjet e përbashkëta të Këshillit të Lartë Gjyqësor dhe Këshillit të Lartë të Prokurorisë, kur rendi i ditës përfshin çështje brenda fushave të tyre përkatëse të përgjegjësisë.</w:t>
      </w:r>
    </w:p>
    <w:p w14:paraId="6524872B" w14:textId="0C6CC086" w:rsidR="00B75E74" w:rsidRPr="00552543" w:rsidRDefault="00B75E74" w:rsidP="00B75E74">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rPr>
      </w:pPr>
      <w:r w:rsidRPr="00552543">
        <w:rPr>
          <w:rFonts w:ascii="Garamond" w:eastAsiaTheme="minorHAnsi" w:hAnsi="Garamond"/>
          <w:color w:val="000000"/>
          <w:sz w:val="24"/>
          <w:szCs w:val="24"/>
        </w:rPr>
        <w:t>2. Prokuroria e Përgjithshme ftohet të marrë pjesë në mbledhje të përbashkëta për çështje me interes të përbashkët.</w:t>
      </w:r>
    </w:p>
    <w:p w14:paraId="456259AF" w14:textId="11B84172" w:rsidR="00B75E74" w:rsidRPr="00552543" w:rsidRDefault="00B75E74" w:rsidP="00B75E74">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rPr>
      </w:pPr>
      <w:r w:rsidRPr="00552543">
        <w:rPr>
          <w:rFonts w:ascii="Garamond" w:eastAsiaTheme="minorHAnsi" w:hAnsi="Garamond"/>
          <w:color w:val="000000"/>
          <w:sz w:val="24"/>
          <w:szCs w:val="24"/>
        </w:rPr>
        <w:t xml:space="preserve">3. Me ftesë të </w:t>
      </w:r>
      <w:r w:rsidR="00552543">
        <w:rPr>
          <w:rFonts w:ascii="Garamond" w:eastAsiaTheme="minorHAnsi" w:hAnsi="Garamond"/>
          <w:color w:val="000000"/>
          <w:sz w:val="24"/>
          <w:szCs w:val="24"/>
        </w:rPr>
        <w:t>k</w:t>
      </w:r>
      <w:r w:rsidRPr="00552543">
        <w:rPr>
          <w:rFonts w:ascii="Garamond" w:eastAsiaTheme="minorHAnsi" w:hAnsi="Garamond"/>
          <w:color w:val="000000"/>
          <w:sz w:val="24"/>
          <w:szCs w:val="24"/>
        </w:rPr>
        <w:t>ryetarëve të Këshillit të Lartë Gjyqësor dhe Këshillit të Lartë të Prokurorisë, këto institucione mund të paraqesin raporte, të dorëzojnë propozime dhe të marrin pjesë në debatin mbi pikat përkatëse të rendit të ditës, me qëllim që të kontribuojnë në formulimin e konkluzioneve operative.</w:t>
      </w:r>
    </w:p>
    <w:p w14:paraId="691758FA" w14:textId="4E103CC0" w:rsidR="00B75E74" w:rsidRPr="00552543" w:rsidRDefault="00B75E74" w:rsidP="00B75E74">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rPr>
      </w:pPr>
      <w:r w:rsidRPr="00552543">
        <w:rPr>
          <w:rFonts w:ascii="Garamond" w:eastAsiaTheme="minorHAnsi" w:hAnsi="Garamond"/>
          <w:color w:val="000000"/>
          <w:sz w:val="24"/>
          <w:szCs w:val="24"/>
        </w:rPr>
        <w:t>4. Institucionet e ftuara nuk kanë të drejtë vote, por mund të shprehin pikëpamjet e tyre, me gojë ose me shkrim, gjatë seancave të punës.</w:t>
      </w:r>
    </w:p>
    <w:p w14:paraId="3FBD56D2" w14:textId="64B3660A" w:rsidR="00B75E74" w:rsidRPr="00552543" w:rsidRDefault="00B75E74" w:rsidP="00B75E74">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rPr>
      </w:pPr>
      <w:r w:rsidRPr="00552543">
        <w:rPr>
          <w:rFonts w:ascii="Garamond" w:eastAsiaTheme="minorHAnsi" w:hAnsi="Garamond"/>
          <w:color w:val="000000"/>
          <w:sz w:val="24"/>
          <w:szCs w:val="24"/>
        </w:rPr>
        <w:t>5. Institucionet e tjera të sistemit të drejtësisë, gjithashtu</w:t>
      </w:r>
      <w:r w:rsidR="00552543">
        <w:rPr>
          <w:rFonts w:ascii="Garamond" w:eastAsiaTheme="minorHAnsi" w:hAnsi="Garamond"/>
          <w:color w:val="000000"/>
          <w:sz w:val="24"/>
          <w:szCs w:val="24"/>
        </w:rPr>
        <w:t>,</w:t>
      </w:r>
      <w:r w:rsidRPr="00552543">
        <w:rPr>
          <w:rFonts w:ascii="Garamond" w:eastAsiaTheme="minorHAnsi" w:hAnsi="Garamond"/>
          <w:color w:val="000000"/>
          <w:sz w:val="24"/>
          <w:szCs w:val="24"/>
        </w:rPr>
        <w:t xml:space="preserve"> mund të ftohen të marrin pjesë në mbledhjet e përbashkëta, me marrëveshje të përbashkët të Kryetarëve të Këshillit të Lartë Gjyqësor dhe Këshillit të Lartë të Prokurorisë, bazuar në rëndësinë e rolit të tyre për çështjet që diskutohen.</w:t>
      </w:r>
    </w:p>
    <w:p w14:paraId="5DB8949F" w14:textId="77777777" w:rsidR="00B75E74" w:rsidRPr="00552543" w:rsidRDefault="00B75E74" w:rsidP="00B75E74">
      <w:pPr>
        <w:autoSpaceDE w:val="0"/>
        <w:autoSpaceDN w:val="0"/>
        <w:adjustRightInd w:val="0"/>
        <w:spacing w:after="0" w:line="240" w:lineRule="auto"/>
        <w:ind w:firstLine="284"/>
        <w:jc w:val="both"/>
        <w:rPr>
          <w:rFonts w:ascii="Garamond" w:eastAsiaTheme="minorHAnsi" w:hAnsi="Garamond"/>
          <w:b/>
          <w:bCs/>
          <w:color w:val="000000"/>
          <w:sz w:val="24"/>
          <w:szCs w:val="24"/>
        </w:rPr>
      </w:pPr>
    </w:p>
    <w:p w14:paraId="0D2A8BE7" w14:textId="77777777" w:rsidR="00B75E74" w:rsidRPr="00552543" w:rsidRDefault="00B75E74" w:rsidP="00B75E74">
      <w:pPr>
        <w:autoSpaceDE w:val="0"/>
        <w:autoSpaceDN w:val="0"/>
        <w:adjustRightInd w:val="0"/>
        <w:spacing w:after="0" w:line="240" w:lineRule="auto"/>
        <w:ind w:firstLine="284"/>
        <w:jc w:val="center"/>
        <w:rPr>
          <w:rFonts w:ascii="Garamond" w:eastAsiaTheme="minorHAnsi" w:hAnsi="Garamond"/>
          <w:bCs/>
          <w:color w:val="000000"/>
          <w:sz w:val="24"/>
          <w:szCs w:val="24"/>
        </w:rPr>
      </w:pPr>
      <w:r w:rsidRPr="00552543">
        <w:rPr>
          <w:rFonts w:ascii="Garamond" w:eastAsiaTheme="minorHAnsi" w:hAnsi="Garamond"/>
          <w:bCs/>
          <w:color w:val="000000"/>
          <w:sz w:val="24"/>
          <w:szCs w:val="24"/>
        </w:rPr>
        <w:t>Neni 9</w:t>
      </w:r>
    </w:p>
    <w:p w14:paraId="3445E53A" w14:textId="77777777" w:rsidR="00B75E74" w:rsidRPr="00552543" w:rsidRDefault="00B75E74" w:rsidP="00B75E74">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552543">
        <w:rPr>
          <w:rFonts w:ascii="Garamond" w:eastAsiaTheme="minorHAnsi" w:hAnsi="Garamond"/>
          <w:b/>
          <w:bCs/>
          <w:color w:val="000000"/>
          <w:sz w:val="24"/>
          <w:szCs w:val="24"/>
        </w:rPr>
        <w:t>Aspektet financiare</w:t>
      </w:r>
    </w:p>
    <w:p w14:paraId="7877A068" w14:textId="77777777" w:rsidR="00B75E74" w:rsidRPr="00552543" w:rsidRDefault="00B75E74" w:rsidP="00B75E74">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2051BAC8" w14:textId="515E6D3E" w:rsidR="00B75E74" w:rsidRPr="00552543" w:rsidRDefault="00B75E74" w:rsidP="00B75E74">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rPr>
      </w:pPr>
      <w:r w:rsidRPr="00552543">
        <w:rPr>
          <w:rFonts w:ascii="Garamond" w:eastAsiaTheme="minorHAnsi" w:hAnsi="Garamond"/>
          <w:color w:val="000000"/>
          <w:sz w:val="24"/>
          <w:szCs w:val="24"/>
        </w:rPr>
        <w:t>1. Shpenzimet që lidhen me organizimin dhe zhvillimin e mbledhjeve të përbashkëta të Këshillit të Lartë Gjyqësor dhe Këshillit të Lartë të Prokurorisë mbulohen nga secili Këshill, brenda kufijve të buxheteve të tyre vjetore (përkatëse).</w:t>
      </w:r>
    </w:p>
    <w:p w14:paraId="7A774E03" w14:textId="59BEBBD2" w:rsidR="00B75E74" w:rsidRPr="00552543" w:rsidRDefault="00B75E74" w:rsidP="00B75E74">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rPr>
      </w:pPr>
      <w:r w:rsidRPr="00552543">
        <w:rPr>
          <w:rFonts w:ascii="Garamond" w:eastAsiaTheme="minorHAnsi" w:hAnsi="Garamond"/>
          <w:color w:val="000000"/>
          <w:sz w:val="24"/>
          <w:szCs w:val="24"/>
        </w:rPr>
        <w:t>2. Mbledhjet e Komisioneve të Përhershme, bashkërendimi i këshilltarëve ligjor</w:t>
      </w:r>
      <w:r w:rsidR="00552543">
        <w:rPr>
          <w:rFonts w:ascii="Garamond" w:eastAsiaTheme="minorHAnsi" w:hAnsi="Garamond"/>
          <w:color w:val="000000"/>
          <w:sz w:val="24"/>
          <w:szCs w:val="24"/>
        </w:rPr>
        <w:t>ë</w:t>
      </w:r>
      <w:r w:rsidRPr="00552543">
        <w:rPr>
          <w:rFonts w:ascii="Garamond" w:eastAsiaTheme="minorHAnsi" w:hAnsi="Garamond"/>
          <w:color w:val="000000"/>
          <w:sz w:val="24"/>
          <w:szCs w:val="24"/>
        </w:rPr>
        <w:t xml:space="preserve"> dhe aktivitetet e </w:t>
      </w:r>
      <w:r w:rsidR="00552543" w:rsidRPr="00552543">
        <w:rPr>
          <w:rFonts w:ascii="Garamond" w:eastAsiaTheme="minorHAnsi" w:hAnsi="Garamond"/>
          <w:color w:val="000000"/>
          <w:sz w:val="24"/>
          <w:szCs w:val="24"/>
        </w:rPr>
        <w:t>sekretariateve tek</w:t>
      </w:r>
      <w:r w:rsidRPr="00552543">
        <w:rPr>
          <w:rFonts w:ascii="Garamond" w:eastAsiaTheme="minorHAnsi" w:hAnsi="Garamond"/>
          <w:color w:val="000000"/>
          <w:sz w:val="24"/>
          <w:szCs w:val="24"/>
        </w:rPr>
        <w:t>nike kryhen pa krijuar barrë shtesë financiare dhe ndjekin parimin e kufizimit të kostove.</w:t>
      </w:r>
    </w:p>
    <w:p w14:paraId="4DF8D49B" w14:textId="12F21F81" w:rsidR="00B75E74" w:rsidRPr="00552543" w:rsidRDefault="00B75E74" w:rsidP="00B75E74">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rPr>
      </w:pPr>
      <w:r w:rsidRPr="00552543">
        <w:rPr>
          <w:rFonts w:ascii="Garamond" w:eastAsiaTheme="minorHAnsi" w:hAnsi="Garamond"/>
          <w:color w:val="000000"/>
          <w:sz w:val="24"/>
          <w:szCs w:val="24"/>
        </w:rPr>
        <w:t>3. Kur është e përshtatshme, Këshillat mund të kërkojnë, së bashku ose individualisht, mbështetje financiare ose teknike nga institucionet kombëtare, partnerët ndërkombëtarë ose projekte të mbështetura nga donatorët, në përputhje me rregullat financiare dhe të prokurimit në fuqi.</w:t>
      </w:r>
    </w:p>
    <w:p w14:paraId="5E01208A" w14:textId="7929576E" w:rsidR="00B75E74" w:rsidRPr="00552543" w:rsidRDefault="00B75E74" w:rsidP="00B75E74">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rPr>
      </w:pPr>
      <w:r w:rsidRPr="00552543">
        <w:rPr>
          <w:rFonts w:ascii="Garamond" w:eastAsiaTheme="minorHAnsi" w:hAnsi="Garamond"/>
          <w:color w:val="000000"/>
          <w:sz w:val="24"/>
          <w:szCs w:val="24"/>
        </w:rPr>
        <w:t>4. Të gjitha praktikat financiare duhet të respektojnë parimet e pavarësisë dhe transparencës institucionale dhe të kryhen në përputhje me kuadrin ligjor dhe rregullator përkatës.</w:t>
      </w:r>
    </w:p>
    <w:p w14:paraId="6C4A2CFD" w14:textId="77777777" w:rsidR="00B75E74" w:rsidRPr="00552543" w:rsidRDefault="00B75E74" w:rsidP="00B75E74">
      <w:pPr>
        <w:autoSpaceDE w:val="0"/>
        <w:autoSpaceDN w:val="0"/>
        <w:adjustRightInd w:val="0"/>
        <w:spacing w:after="0" w:line="240" w:lineRule="auto"/>
        <w:ind w:firstLine="284"/>
        <w:jc w:val="both"/>
        <w:rPr>
          <w:rFonts w:ascii="Garamond" w:eastAsiaTheme="minorHAnsi" w:hAnsi="Garamond"/>
          <w:color w:val="000000"/>
          <w:sz w:val="24"/>
          <w:szCs w:val="24"/>
        </w:rPr>
      </w:pPr>
    </w:p>
    <w:p w14:paraId="74ACE476" w14:textId="77777777" w:rsidR="00B75E74" w:rsidRPr="00552543" w:rsidRDefault="00B75E74" w:rsidP="00B75E74">
      <w:pPr>
        <w:autoSpaceDE w:val="0"/>
        <w:autoSpaceDN w:val="0"/>
        <w:adjustRightInd w:val="0"/>
        <w:spacing w:after="0" w:line="240" w:lineRule="auto"/>
        <w:ind w:firstLine="284"/>
        <w:jc w:val="center"/>
        <w:rPr>
          <w:rFonts w:ascii="Garamond" w:eastAsiaTheme="minorHAnsi" w:hAnsi="Garamond"/>
          <w:bCs/>
          <w:color w:val="000000"/>
          <w:sz w:val="24"/>
          <w:szCs w:val="24"/>
        </w:rPr>
      </w:pPr>
      <w:r w:rsidRPr="00552543">
        <w:rPr>
          <w:rFonts w:ascii="Garamond" w:eastAsiaTheme="minorHAnsi" w:hAnsi="Garamond"/>
          <w:bCs/>
          <w:color w:val="000000"/>
          <w:sz w:val="24"/>
          <w:szCs w:val="24"/>
        </w:rPr>
        <w:t>Neni 10</w:t>
      </w:r>
    </w:p>
    <w:p w14:paraId="27C57B21" w14:textId="77777777" w:rsidR="00B75E74" w:rsidRPr="00552543" w:rsidRDefault="00B75E74" w:rsidP="00B75E74">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552543">
        <w:rPr>
          <w:rFonts w:ascii="Garamond" w:eastAsiaTheme="minorHAnsi" w:hAnsi="Garamond"/>
          <w:b/>
          <w:bCs/>
          <w:color w:val="000000"/>
          <w:sz w:val="24"/>
          <w:szCs w:val="24"/>
        </w:rPr>
        <w:t>Komunikimi dhe konfidencialiteti</w:t>
      </w:r>
    </w:p>
    <w:p w14:paraId="5E1168FE" w14:textId="77777777" w:rsidR="00B75E74" w:rsidRPr="00552543" w:rsidRDefault="00B75E74" w:rsidP="00B75E74">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5CF5C777" w14:textId="59D40469" w:rsidR="00B75E74" w:rsidRPr="00552543" w:rsidRDefault="00B75E74" w:rsidP="00B75E74">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rPr>
      </w:pPr>
      <w:r w:rsidRPr="00552543">
        <w:rPr>
          <w:rFonts w:ascii="Garamond" w:eastAsiaTheme="minorHAnsi" w:hAnsi="Garamond"/>
          <w:color w:val="000000"/>
          <w:sz w:val="24"/>
          <w:szCs w:val="24"/>
        </w:rPr>
        <w:t xml:space="preserve">1. Këshilli i Lartë Gjyqësor dhe Këshilli i Lartë Prokurorisë sigurojnë komunikim të rregullt dhe të strukturuar në zbatimin e kësaj </w:t>
      </w:r>
      <w:r w:rsidR="00552543">
        <w:rPr>
          <w:rFonts w:ascii="Garamond" w:eastAsiaTheme="minorHAnsi" w:hAnsi="Garamond"/>
          <w:color w:val="000000"/>
          <w:sz w:val="24"/>
          <w:szCs w:val="24"/>
        </w:rPr>
        <w:t>r</w:t>
      </w:r>
      <w:r w:rsidRPr="00552543">
        <w:rPr>
          <w:rFonts w:ascii="Garamond" w:eastAsiaTheme="minorHAnsi" w:hAnsi="Garamond"/>
          <w:color w:val="000000"/>
          <w:sz w:val="24"/>
          <w:szCs w:val="24"/>
        </w:rPr>
        <w:t>regulloreje.</w:t>
      </w:r>
    </w:p>
    <w:p w14:paraId="5BF20F59" w14:textId="741CE844" w:rsidR="00B75E74" w:rsidRPr="00552543" w:rsidRDefault="00B75E74" w:rsidP="00B75E74">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rPr>
      </w:pPr>
      <w:r w:rsidRPr="00552543">
        <w:rPr>
          <w:rFonts w:ascii="Garamond" w:eastAsiaTheme="minorHAnsi" w:hAnsi="Garamond"/>
          <w:color w:val="000000"/>
          <w:sz w:val="24"/>
          <w:szCs w:val="24"/>
        </w:rPr>
        <w:t xml:space="preserve">2. Vendimet e përbashkëta, konkluzionet operative dhe rezultatet e tjera publikohen në faqet zyrtare të </w:t>
      </w:r>
      <w:r w:rsidR="00552543">
        <w:rPr>
          <w:rFonts w:ascii="Garamond" w:eastAsiaTheme="minorHAnsi" w:hAnsi="Garamond"/>
          <w:color w:val="000000"/>
          <w:sz w:val="24"/>
          <w:szCs w:val="24"/>
        </w:rPr>
        <w:t xml:space="preserve">të </w:t>
      </w:r>
      <w:r w:rsidRPr="00552543">
        <w:rPr>
          <w:rFonts w:ascii="Garamond" w:eastAsiaTheme="minorHAnsi" w:hAnsi="Garamond"/>
          <w:color w:val="000000"/>
          <w:sz w:val="24"/>
          <w:szCs w:val="24"/>
        </w:rPr>
        <w:t>dy Këshillave, përveç rasteve kur kufizohen nga legjislacioni në fuqi ose rregullat e brendshme për konfidencialitetin.</w:t>
      </w:r>
    </w:p>
    <w:p w14:paraId="7043B17B" w14:textId="060AE839" w:rsidR="00B75E74" w:rsidRPr="00552543" w:rsidRDefault="00B75E74" w:rsidP="00B75E74">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rPr>
      </w:pPr>
      <w:r w:rsidRPr="00552543">
        <w:rPr>
          <w:rFonts w:ascii="Garamond" w:eastAsiaTheme="minorHAnsi" w:hAnsi="Garamond"/>
          <w:color w:val="000000"/>
          <w:sz w:val="24"/>
          <w:szCs w:val="24"/>
        </w:rPr>
        <w:t>3. Informacioni sensitiv ose konfidencial i shkëmbyer ose i diskutuar në kuadër të mbledhjeve të përbashkëta, përpunohet në përputhje me legjislacionin në fuqi dhe procedurat e brendshme që rregullojnë mbrojtjen e të dhënave dhe sigurinë institucionale.</w:t>
      </w:r>
    </w:p>
    <w:p w14:paraId="6FFCA7F4" w14:textId="77777777" w:rsidR="00B75E74" w:rsidRPr="00552543" w:rsidRDefault="00B75E74" w:rsidP="00B75E74">
      <w:pPr>
        <w:autoSpaceDE w:val="0"/>
        <w:autoSpaceDN w:val="0"/>
        <w:adjustRightInd w:val="0"/>
        <w:spacing w:after="0" w:line="240" w:lineRule="auto"/>
        <w:ind w:firstLine="284"/>
        <w:jc w:val="both"/>
        <w:rPr>
          <w:rFonts w:ascii="Garamond" w:eastAsiaTheme="minorHAnsi" w:hAnsi="Garamond"/>
          <w:color w:val="000000"/>
          <w:sz w:val="24"/>
          <w:szCs w:val="24"/>
        </w:rPr>
      </w:pPr>
    </w:p>
    <w:p w14:paraId="4AC4279D" w14:textId="77777777" w:rsidR="00B75E74" w:rsidRPr="00552543" w:rsidRDefault="00B75E74" w:rsidP="00B75E74">
      <w:pPr>
        <w:autoSpaceDE w:val="0"/>
        <w:autoSpaceDN w:val="0"/>
        <w:adjustRightInd w:val="0"/>
        <w:spacing w:after="0" w:line="240" w:lineRule="auto"/>
        <w:ind w:firstLine="284"/>
        <w:jc w:val="center"/>
        <w:rPr>
          <w:rFonts w:ascii="Garamond" w:eastAsiaTheme="minorHAnsi" w:hAnsi="Garamond"/>
          <w:bCs/>
          <w:color w:val="000000"/>
          <w:sz w:val="24"/>
          <w:szCs w:val="24"/>
        </w:rPr>
      </w:pPr>
      <w:r w:rsidRPr="00552543">
        <w:rPr>
          <w:rFonts w:ascii="Garamond" w:eastAsiaTheme="minorHAnsi" w:hAnsi="Garamond"/>
          <w:bCs/>
          <w:color w:val="000000"/>
          <w:sz w:val="24"/>
          <w:szCs w:val="24"/>
        </w:rPr>
        <w:t>Neni 11</w:t>
      </w:r>
    </w:p>
    <w:p w14:paraId="62308222" w14:textId="77777777" w:rsidR="00B75E74" w:rsidRPr="00552543" w:rsidRDefault="00B75E74" w:rsidP="00B75E74">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552543">
        <w:rPr>
          <w:rFonts w:ascii="Garamond" w:eastAsiaTheme="minorHAnsi" w:hAnsi="Garamond"/>
          <w:b/>
          <w:bCs/>
          <w:color w:val="000000"/>
          <w:sz w:val="24"/>
          <w:szCs w:val="24"/>
        </w:rPr>
        <w:t>Hyrja në fuqi dhe rishikimi</w:t>
      </w:r>
    </w:p>
    <w:p w14:paraId="79FD32DB" w14:textId="77777777" w:rsidR="00B75E74" w:rsidRPr="00552543" w:rsidRDefault="00B75E74" w:rsidP="00B75E74">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0194F9F7" w14:textId="7C601D57" w:rsidR="00B75E74" w:rsidRPr="00552543" w:rsidRDefault="00B75E74" w:rsidP="00B75E74">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rPr>
      </w:pPr>
      <w:r w:rsidRPr="00552543">
        <w:rPr>
          <w:rFonts w:ascii="Garamond" w:eastAsiaTheme="minorHAnsi" w:hAnsi="Garamond"/>
          <w:color w:val="000000"/>
          <w:sz w:val="24"/>
          <w:szCs w:val="24"/>
        </w:rPr>
        <w:t xml:space="preserve">1. Kjo </w:t>
      </w:r>
      <w:r w:rsidR="00552543">
        <w:rPr>
          <w:rFonts w:ascii="Garamond" w:eastAsiaTheme="minorHAnsi" w:hAnsi="Garamond"/>
          <w:color w:val="000000"/>
          <w:sz w:val="24"/>
          <w:szCs w:val="24"/>
        </w:rPr>
        <w:t>r</w:t>
      </w:r>
      <w:r w:rsidRPr="00552543">
        <w:rPr>
          <w:rFonts w:ascii="Garamond" w:eastAsiaTheme="minorHAnsi" w:hAnsi="Garamond"/>
          <w:color w:val="000000"/>
          <w:sz w:val="24"/>
          <w:szCs w:val="24"/>
        </w:rPr>
        <w:t>regullore hyn në fuqi në datën e botimit në Fletoren Zyrtare dhe publikohet në faqen zyrtare të internetit të Këshillit të Lartë të Prokurorisë.</w:t>
      </w:r>
    </w:p>
    <w:p w14:paraId="4B463CB1" w14:textId="60E766F0" w:rsidR="00B75E74" w:rsidRPr="00552543" w:rsidRDefault="00B75E74" w:rsidP="00B75E74">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rPr>
      </w:pPr>
      <w:r w:rsidRPr="00552543">
        <w:rPr>
          <w:rFonts w:ascii="Garamond" w:eastAsiaTheme="minorHAnsi" w:hAnsi="Garamond"/>
          <w:color w:val="000000"/>
          <w:sz w:val="24"/>
          <w:szCs w:val="24"/>
        </w:rPr>
        <w:t xml:space="preserve">2. Zbatimi i kësaj </w:t>
      </w:r>
      <w:r w:rsidR="00552543">
        <w:rPr>
          <w:rFonts w:ascii="Garamond" w:eastAsiaTheme="minorHAnsi" w:hAnsi="Garamond"/>
          <w:color w:val="000000"/>
          <w:sz w:val="24"/>
          <w:szCs w:val="24"/>
        </w:rPr>
        <w:t>r</w:t>
      </w:r>
      <w:r w:rsidRPr="00552543">
        <w:rPr>
          <w:rFonts w:ascii="Garamond" w:eastAsiaTheme="minorHAnsi" w:hAnsi="Garamond"/>
          <w:color w:val="000000"/>
          <w:sz w:val="24"/>
          <w:szCs w:val="24"/>
        </w:rPr>
        <w:t>regulloreje rishikohet çdo 2 (dy) vjet ose më herët, nëse vlerësohet e nevojshme me marrëveshje të ndërsjellë, me qëllim</w:t>
      </w:r>
      <w:r w:rsidR="00726A34">
        <w:rPr>
          <w:rFonts w:ascii="Garamond" w:eastAsiaTheme="minorHAnsi" w:hAnsi="Garamond"/>
          <w:color w:val="000000"/>
          <w:sz w:val="24"/>
          <w:szCs w:val="24"/>
        </w:rPr>
        <w:t xml:space="preserve"> </w:t>
      </w:r>
      <w:r w:rsidRPr="00552543">
        <w:rPr>
          <w:rFonts w:ascii="Garamond" w:eastAsiaTheme="minorHAnsi" w:hAnsi="Garamond"/>
          <w:color w:val="000000"/>
          <w:sz w:val="24"/>
          <w:szCs w:val="24"/>
        </w:rPr>
        <w:t>vlerësimin e efektivitetit të saj dhe</w:t>
      </w:r>
      <w:r w:rsidR="00726A34">
        <w:rPr>
          <w:rFonts w:ascii="Garamond" w:eastAsiaTheme="minorHAnsi" w:hAnsi="Garamond"/>
          <w:color w:val="000000"/>
          <w:sz w:val="24"/>
          <w:szCs w:val="24"/>
        </w:rPr>
        <w:t xml:space="preserve"> </w:t>
      </w:r>
      <w:r w:rsidRPr="00552543">
        <w:rPr>
          <w:rFonts w:ascii="Garamond" w:eastAsiaTheme="minorHAnsi" w:hAnsi="Garamond"/>
          <w:color w:val="000000"/>
          <w:sz w:val="24"/>
          <w:szCs w:val="24"/>
        </w:rPr>
        <w:t>bërjen e ndryshimeve të përshtatshme.</w:t>
      </w:r>
    </w:p>
    <w:p w14:paraId="1494EC55" w14:textId="77777777" w:rsidR="00A80412" w:rsidRPr="00552543" w:rsidRDefault="00A80412" w:rsidP="00B75E74">
      <w:pPr>
        <w:spacing w:after="0" w:line="240" w:lineRule="auto"/>
        <w:ind w:firstLine="284"/>
        <w:jc w:val="both"/>
        <w:rPr>
          <w:rFonts w:ascii="Garamond" w:eastAsia="Times New Roman" w:hAnsi="Garamond"/>
          <w:b/>
          <w:color w:val="000000"/>
          <w:sz w:val="24"/>
          <w:szCs w:val="24"/>
        </w:rPr>
      </w:pPr>
    </w:p>
    <w:sectPr w:rsidR="00A80412" w:rsidRPr="00552543" w:rsidSect="009A0C3E">
      <w:pgSz w:w="12240" w:h="15840"/>
      <w:pgMar w:top="810" w:right="1440" w:bottom="127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C71FCB" w14:textId="77777777" w:rsidR="001C4183" w:rsidRDefault="001C4183" w:rsidP="004B2E04">
      <w:pPr>
        <w:spacing w:after="0" w:line="240" w:lineRule="auto"/>
      </w:pPr>
      <w:r>
        <w:separator/>
      </w:r>
    </w:p>
  </w:endnote>
  <w:endnote w:type="continuationSeparator" w:id="0">
    <w:p w14:paraId="42D4E2D6" w14:textId="77777777" w:rsidR="001C4183" w:rsidRDefault="001C4183" w:rsidP="004B2E04">
      <w:pPr>
        <w:spacing w:after="0" w:line="240" w:lineRule="auto"/>
      </w:pPr>
      <w:r>
        <w:continuationSeparator/>
      </w:r>
    </w:p>
  </w:endnote>
  <w:endnote w:type="continuationNotice" w:id="1">
    <w:p w14:paraId="650011B3" w14:textId="77777777" w:rsidR="001C4183" w:rsidRDefault="001C41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9A178A" w14:textId="77777777" w:rsidR="001C4183" w:rsidRDefault="001C4183" w:rsidP="004B2E04">
      <w:pPr>
        <w:spacing w:after="0" w:line="240" w:lineRule="auto"/>
      </w:pPr>
      <w:r>
        <w:separator/>
      </w:r>
    </w:p>
  </w:footnote>
  <w:footnote w:type="continuationSeparator" w:id="0">
    <w:p w14:paraId="058C2EAF" w14:textId="77777777" w:rsidR="001C4183" w:rsidRDefault="001C4183" w:rsidP="004B2E04">
      <w:pPr>
        <w:spacing w:after="0" w:line="240" w:lineRule="auto"/>
      </w:pPr>
      <w:r>
        <w:continuationSeparator/>
      </w:r>
    </w:p>
  </w:footnote>
  <w:footnote w:type="continuationNotice" w:id="1">
    <w:p w14:paraId="6958C78D" w14:textId="77777777" w:rsidR="001C4183" w:rsidRDefault="001C418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746418"/>
    <w:multiLevelType w:val="hybridMultilevel"/>
    <w:tmpl w:val="E41C825E"/>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13DB7680"/>
    <w:multiLevelType w:val="hybridMultilevel"/>
    <w:tmpl w:val="4742FE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192F32"/>
    <w:multiLevelType w:val="multilevel"/>
    <w:tmpl w:val="A5BEF40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2FAE5AD2"/>
    <w:multiLevelType w:val="hybridMultilevel"/>
    <w:tmpl w:val="8DF21C2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15:restartNumberingAfterBreak="0">
    <w:nsid w:val="3852637A"/>
    <w:multiLevelType w:val="hybridMultilevel"/>
    <w:tmpl w:val="F5F09D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8C2540"/>
    <w:multiLevelType w:val="multilevel"/>
    <w:tmpl w:val="7B7EEFBE"/>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404C5C42"/>
    <w:multiLevelType w:val="multilevel"/>
    <w:tmpl w:val="283C13F0"/>
    <w:lvl w:ilvl="0">
      <w:start w:val="1"/>
      <w:numFmt w:val="decimal"/>
      <w:lvlText w:val="%1"/>
      <w:lvlJc w:val="left"/>
      <w:pPr>
        <w:ind w:left="420" w:hanging="420"/>
      </w:pPr>
      <w:rPr>
        <w:rFonts w:hint="default"/>
      </w:rPr>
    </w:lvl>
    <w:lvl w:ilvl="1">
      <w:start w:val="28"/>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41B34179"/>
    <w:multiLevelType w:val="hybridMultilevel"/>
    <w:tmpl w:val="07B4F3AC"/>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15:restartNumberingAfterBreak="0">
    <w:nsid w:val="453E1DA0"/>
    <w:multiLevelType w:val="hybridMultilevel"/>
    <w:tmpl w:val="5BB80D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6683D62"/>
    <w:multiLevelType w:val="hybridMultilevel"/>
    <w:tmpl w:val="F9F82A82"/>
    <w:lvl w:ilvl="0" w:tplc="1A5A4A84">
      <w:start w:val="1"/>
      <w:numFmt w:val="lowerRoman"/>
      <w:lvlText w:val="%1."/>
      <w:lvlJc w:val="left"/>
      <w:pPr>
        <w:ind w:left="1080" w:hanging="360"/>
      </w:pPr>
      <w:rPr>
        <w:rFonts w:ascii="Times New Roman" w:eastAsia="Calibri" w:hAnsi="Times New Roman" w:cs="Times New Roman"/>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0" w15:restartNumberingAfterBreak="0">
    <w:nsid w:val="605E3369"/>
    <w:multiLevelType w:val="multilevel"/>
    <w:tmpl w:val="F4F850F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629F2A44"/>
    <w:multiLevelType w:val="hybridMultilevel"/>
    <w:tmpl w:val="D78009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8E00949"/>
    <w:multiLevelType w:val="multilevel"/>
    <w:tmpl w:val="ED649C28"/>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7"/>
  </w:num>
  <w:num w:numId="2">
    <w:abstractNumId w:val="10"/>
  </w:num>
  <w:num w:numId="3">
    <w:abstractNumId w:val="9"/>
  </w:num>
  <w:num w:numId="4">
    <w:abstractNumId w:val="5"/>
  </w:num>
  <w:num w:numId="5">
    <w:abstractNumId w:val="12"/>
  </w:num>
  <w:num w:numId="6">
    <w:abstractNumId w:val="6"/>
  </w:num>
  <w:num w:numId="7">
    <w:abstractNumId w:val="0"/>
  </w:num>
  <w:num w:numId="8">
    <w:abstractNumId w:val="8"/>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2"/>
  </w:num>
  <w:num w:numId="12">
    <w:abstractNumId w:val="11"/>
  </w:num>
  <w:num w:numId="13">
    <w:abstractNumId w:val="1"/>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71CB"/>
    <w:rsid w:val="000114D6"/>
    <w:rsid w:val="00017EEA"/>
    <w:rsid w:val="00043F49"/>
    <w:rsid w:val="0004425B"/>
    <w:rsid w:val="0005062F"/>
    <w:rsid w:val="0006135C"/>
    <w:rsid w:val="00065580"/>
    <w:rsid w:val="00067759"/>
    <w:rsid w:val="00076120"/>
    <w:rsid w:val="000923F2"/>
    <w:rsid w:val="0009390B"/>
    <w:rsid w:val="000A7A20"/>
    <w:rsid w:val="000C20BD"/>
    <w:rsid w:val="000D2275"/>
    <w:rsid w:val="000D71CB"/>
    <w:rsid w:val="000E5630"/>
    <w:rsid w:val="000E60F9"/>
    <w:rsid w:val="000F046B"/>
    <w:rsid w:val="000F4432"/>
    <w:rsid w:val="001019B7"/>
    <w:rsid w:val="0010248E"/>
    <w:rsid w:val="00111E15"/>
    <w:rsid w:val="001162D3"/>
    <w:rsid w:val="00121E28"/>
    <w:rsid w:val="00156FA4"/>
    <w:rsid w:val="00172BC6"/>
    <w:rsid w:val="00184A1C"/>
    <w:rsid w:val="00184CF9"/>
    <w:rsid w:val="001A18A9"/>
    <w:rsid w:val="001A3485"/>
    <w:rsid w:val="001B33A2"/>
    <w:rsid w:val="001C4183"/>
    <w:rsid w:val="001C70E9"/>
    <w:rsid w:val="001D2FB7"/>
    <w:rsid w:val="001D31C8"/>
    <w:rsid w:val="001E507A"/>
    <w:rsid w:val="001F041F"/>
    <w:rsid w:val="001F5E6A"/>
    <w:rsid w:val="00234F6D"/>
    <w:rsid w:val="0024293F"/>
    <w:rsid w:val="00247CC2"/>
    <w:rsid w:val="00285C0E"/>
    <w:rsid w:val="00290F62"/>
    <w:rsid w:val="002A0C85"/>
    <w:rsid w:val="002A4A4F"/>
    <w:rsid w:val="002C6EC7"/>
    <w:rsid w:val="002C70ED"/>
    <w:rsid w:val="002E46A7"/>
    <w:rsid w:val="002F61EC"/>
    <w:rsid w:val="00317090"/>
    <w:rsid w:val="003209C2"/>
    <w:rsid w:val="003306AC"/>
    <w:rsid w:val="00345536"/>
    <w:rsid w:val="00373640"/>
    <w:rsid w:val="0038166E"/>
    <w:rsid w:val="00381AE5"/>
    <w:rsid w:val="003823A1"/>
    <w:rsid w:val="003826E5"/>
    <w:rsid w:val="003863F9"/>
    <w:rsid w:val="00387BB2"/>
    <w:rsid w:val="003928BC"/>
    <w:rsid w:val="00392D82"/>
    <w:rsid w:val="003C0D25"/>
    <w:rsid w:val="003C3CAE"/>
    <w:rsid w:val="003C560C"/>
    <w:rsid w:val="003C72A7"/>
    <w:rsid w:val="003D2041"/>
    <w:rsid w:val="003D2C2D"/>
    <w:rsid w:val="003D73C4"/>
    <w:rsid w:val="003E31F2"/>
    <w:rsid w:val="003E4353"/>
    <w:rsid w:val="003E73A8"/>
    <w:rsid w:val="003F2264"/>
    <w:rsid w:val="00401936"/>
    <w:rsid w:val="004120E0"/>
    <w:rsid w:val="004201C4"/>
    <w:rsid w:val="004279BA"/>
    <w:rsid w:val="00430E8C"/>
    <w:rsid w:val="00434B38"/>
    <w:rsid w:val="00434CBB"/>
    <w:rsid w:val="0044184F"/>
    <w:rsid w:val="00444C47"/>
    <w:rsid w:val="00447993"/>
    <w:rsid w:val="00464F8E"/>
    <w:rsid w:val="00476ECD"/>
    <w:rsid w:val="00481426"/>
    <w:rsid w:val="0048232D"/>
    <w:rsid w:val="004B2E04"/>
    <w:rsid w:val="004B5ED3"/>
    <w:rsid w:val="004C6038"/>
    <w:rsid w:val="004E5C7F"/>
    <w:rsid w:val="004E6B1B"/>
    <w:rsid w:val="004E7F9F"/>
    <w:rsid w:val="004F10BC"/>
    <w:rsid w:val="004F2045"/>
    <w:rsid w:val="00500408"/>
    <w:rsid w:val="0050500C"/>
    <w:rsid w:val="00540643"/>
    <w:rsid w:val="00540BC0"/>
    <w:rsid w:val="00540C67"/>
    <w:rsid w:val="00541E45"/>
    <w:rsid w:val="00550C52"/>
    <w:rsid w:val="00552543"/>
    <w:rsid w:val="00556BA4"/>
    <w:rsid w:val="00564893"/>
    <w:rsid w:val="005677E1"/>
    <w:rsid w:val="00572F13"/>
    <w:rsid w:val="00574043"/>
    <w:rsid w:val="00591436"/>
    <w:rsid w:val="00591F48"/>
    <w:rsid w:val="005A43C1"/>
    <w:rsid w:val="005B2A2F"/>
    <w:rsid w:val="005B478D"/>
    <w:rsid w:val="005C2601"/>
    <w:rsid w:val="005C653A"/>
    <w:rsid w:val="005D16BD"/>
    <w:rsid w:val="005E0F7A"/>
    <w:rsid w:val="005E771D"/>
    <w:rsid w:val="005F4654"/>
    <w:rsid w:val="00613D04"/>
    <w:rsid w:val="0061430E"/>
    <w:rsid w:val="00621BBC"/>
    <w:rsid w:val="0063275C"/>
    <w:rsid w:val="00656817"/>
    <w:rsid w:val="0065682C"/>
    <w:rsid w:val="006641D1"/>
    <w:rsid w:val="00667B17"/>
    <w:rsid w:val="006735AA"/>
    <w:rsid w:val="00675696"/>
    <w:rsid w:val="00686CED"/>
    <w:rsid w:val="006A2E2F"/>
    <w:rsid w:val="006A43FB"/>
    <w:rsid w:val="006C64ED"/>
    <w:rsid w:val="006E4413"/>
    <w:rsid w:val="006E48A7"/>
    <w:rsid w:val="006F377B"/>
    <w:rsid w:val="006F7E4D"/>
    <w:rsid w:val="007129BA"/>
    <w:rsid w:val="00722B9D"/>
    <w:rsid w:val="00726A34"/>
    <w:rsid w:val="00730661"/>
    <w:rsid w:val="007403BD"/>
    <w:rsid w:val="00740F48"/>
    <w:rsid w:val="00745603"/>
    <w:rsid w:val="00760C28"/>
    <w:rsid w:val="00764008"/>
    <w:rsid w:val="00772972"/>
    <w:rsid w:val="00772FE3"/>
    <w:rsid w:val="00790128"/>
    <w:rsid w:val="007A1792"/>
    <w:rsid w:val="007A2E98"/>
    <w:rsid w:val="007A5DDD"/>
    <w:rsid w:val="007C4877"/>
    <w:rsid w:val="007C5AC2"/>
    <w:rsid w:val="007D06D3"/>
    <w:rsid w:val="007F22B2"/>
    <w:rsid w:val="007F2E2A"/>
    <w:rsid w:val="00802B29"/>
    <w:rsid w:val="00803074"/>
    <w:rsid w:val="00814788"/>
    <w:rsid w:val="00822391"/>
    <w:rsid w:val="00827986"/>
    <w:rsid w:val="00834767"/>
    <w:rsid w:val="008528B4"/>
    <w:rsid w:val="00860290"/>
    <w:rsid w:val="00870975"/>
    <w:rsid w:val="00876C82"/>
    <w:rsid w:val="008B10D0"/>
    <w:rsid w:val="008D0CD6"/>
    <w:rsid w:val="008D7DF6"/>
    <w:rsid w:val="008E5A60"/>
    <w:rsid w:val="008F53AA"/>
    <w:rsid w:val="00900013"/>
    <w:rsid w:val="00905A36"/>
    <w:rsid w:val="009128F3"/>
    <w:rsid w:val="0091361C"/>
    <w:rsid w:val="009176A3"/>
    <w:rsid w:val="00926DCC"/>
    <w:rsid w:val="00934BE5"/>
    <w:rsid w:val="00946691"/>
    <w:rsid w:val="00950D2C"/>
    <w:rsid w:val="0095306B"/>
    <w:rsid w:val="00961C67"/>
    <w:rsid w:val="00961FCD"/>
    <w:rsid w:val="00967863"/>
    <w:rsid w:val="009717F2"/>
    <w:rsid w:val="0097615B"/>
    <w:rsid w:val="00983D7B"/>
    <w:rsid w:val="00992215"/>
    <w:rsid w:val="009A0C3E"/>
    <w:rsid w:val="009A3682"/>
    <w:rsid w:val="009B1ADA"/>
    <w:rsid w:val="009B4D5F"/>
    <w:rsid w:val="009B714E"/>
    <w:rsid w:val="009C425B"/>
    <w:rsid w:val="009C64FA"/>
    <w:rsid w:val="009D2A85"/>
    <w:rsid w:val="009E1955"/>
    <w:rsid w:val="009F2108"/>
    <w:rsid w:val="009F55AD"/>
    <w:rsid w:val="00A119B4"/>
    <w:rsid w:val="00A20492"/>
    <w:rsid w:val="00A23656"/>
    <w:rsid w:val="00A31770"/>
    <w:rsid w:val="00A54C18"/>
    <w:rsid w:val="00A61DF0"/>
    <w:rsid w:val="00A80412"/>
    <w:rsid w:val="00A82EFA"/>
    <w:rsid w:val="00A972C8"/>
    <w:rsid w:val="00AA4B2C"/>
    <w:rsid w:val="00AB36C3"/>
    <w:rsid w:val="00AB5F3A"/>
    <w:rsid w:val="00AB7787"/>
    <w:rsid w:val="00AB7E17"/>
    <w:rsid w:val="00AC1E6F"/>
    <w:rsid w:val="00AC5A2F"/>
    <w:rsid w:val="00AC6A95"/>
    <w:rsid w:val="00AD5BB0"/>
    <w:rsid w:val="00AF22D2"/>
    <w:rsid w:val="00B0133D"/>
    <w:rsid w:val="00B0794D"/>
    <w:rsid w:val="00B103D0"/>
    <w:rsid w:val="00B219E6"/>
    <w:rsid w:val="00B5403B"/>
    <w:rsid w:val="00B543F5"/>
    <w:rsid w:val="00B56092"/>
    <w:rsid w:val="00B5736B"/>
    <w:rsid w:val="00B65350"/>
    <w:rsid w:val="00B665E7"/>
    <w:rsid w:val="00B75E74"/>
    <w:rsid w:val="00B77A66"/>
    <w:rsid w:val="00B820B5"/>
    <w:rsid w:val="00B83F0F"/>
    <w:rsid w:val="00B84996"/>
    <w:rsid w:val="00B91FF0"/>
    <w:rsid w:val="00B959F0"/>
    <w:rsid w:val="00BA7031"/>
    <w:rsid w:val="00BB0BEC"/>
    <w:rsid w:val="00BC007C"/>
    <w:rsid w:val="00BC6885"/>
    <w:rsid w:val="00BD1BC9"/>
    <w:rsid w:val="00BD7486"/>
    <w:rsid w:val="00BE033C"/>
    <w:rsid w:val="00BE0A49"/>
    <w:rsid w:val="00BE0C91"/>
    <w:rsid w:val="00BE1375"/>
    <w:rsid w:val="00C53BBC"/>
    <w:rsid w:val="00C67C54"/>
    <w:rsid w:val="00C70F40"/>
    <w:rsid w:val="00C72538"/>
    <w:rsid w:val="00C72734"/>
    <w:rsid w:val="00C74524"/>
    <w:rsid w:val="00C81220"/>
    <w:rsid w:val="00C93342"/>
    <w:rsid w:val="00CB4B64"/>
    <w:rsid w:val="00CC513A"/>
    <w:rsid w:val="00CC74AF"/>
    <w:rsid w:val="00CD14FD"/>
    <w:rsid w:val="00CD5EA8"/>
    <w:rsid w:val="00CE63F9"/>
    <w:rsid w:val="00CF78CA"/>
    <w:rsid w:val="00D06CB6"/>
    <w:rsid w:val="00D2536A"/>
    <w:rsid w:val="00D35813"/>
    <w:rsid w:val="00D43E9A"/>
    <w:rsid w:val="00D65FEA"/>
    <w:rsid w:val="00D664C7"/>
    <w:rsid w:val="00D675F9"/>
    <w:rsid w:val="00D74B7E"/>
    <w:rsid w:val="00D974C2"/>
    <w:rsid w:val="00DA5E0F"/>
    <w:rsid w:val="00DB0C90"/>
    <w:rsid w:val="00DB5A34"/>
    <w:rsid w:val="00DC3A78"/>
    <w:rsid w:val="00DC7FA4"/>
    <w:rsid w:val="00DD17BC"/>
    <w:rsid w:val="00DD30C8"/>
    <w:rsid w:val="00DE6E0B"/>
    <w:rsid w:val="00E00424"/>
    <w:rsid w:val="00E03AC3"/>
    <w:rsid w:val="00E23693"/>
    <w:rsid w:val="00E27508"/>
    <w:rsid w:val="00E31BEF"/>
    <w:rsid w:val="00E37837"/>
    <w:rsid w:val="00E40657"/>
    <w:rsid w:val="00E52D5C"/>
    <w:rsid w:val="00E534CA"/>
    <w:rsid w:val="00E73EDB"/>
    <w:rsid w:val="00E749C8"/>
    <w:rsid w:val="00E75D76"/>
    <w:rsid w:val="00E773B8"/>
    <w:rsid w:val="00E80325"/>
    <w:rsid w:val="00E808ED"/>
    <w:rsid w:val="00E83FDE"/>
    <w:rsid w:val="00E96381"/>
    <w:rsid w:val="00EA0EF6"/>
    <w:rsid w:val="00EA6002"/>
    <w:rsid w:val="00EB2A83"/>
    <w:rsid w:val="00EB4B2B"/>
    <w:rsid w:val="00EC21B4"/>
    <w:rsid w:val="00EC233C"/>
    <w:rsid w:val="00EC45C8"/>
    <w:rsid w:val="00EC56E8"/>
    <w:rsid w:val="00EF65F4"/>
    <w:rsid w:val="00F27562"/>
    <w:rsid w:val="00F3630E"/>
    <w:rsid w:val="00F4015C"/>
    <w:rsid w:val="00F5787D"/>
    <w:rsid w:val="00F70531"/>
    <w:rsid w:val="00F73DCA"/>
    <w:rsid w:val="00F848A7"/>
    <w:rsid w:val="00F86942"/>
    <w:rsid w:val="00FB2463"/>
    <w:rsid w:val="00FB5F00"/>
    <w:rsid w:val="00FB5FC5"/>
    <w:rsid w:val="00FC6FD6"/>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45228"/>
  <w15:docId w15:val="{B77C06D3-6214-4586-AA7E-49942EBDD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D71CB"/>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71CB"/>
    <w:pPr>
      <w:spacing w:after="160" w:line="259" w:lineRule="auto"/>
      <w:ind w:left="720"/>
      <w:contextualSpacing/>
    </w:pPr>
    <w:rPr>
      <w:rFonts w:asciiTheme="minorHAnsi" w:eastAsiaTheme="minorHAnsi" w:hAnsiTheme="minorHAnsi" w:cstheme="minorBidi"/>
      <w:lang w:val="en-GB"/>
    </w:rPr>
  </w:style>
  <w:style w:type="paragraph" w:styleId="NoSpacing">
    <w:name w:val="No Spacing"/>
    <w:link w:val="NoSpacingChar"/>
    <w:uiPriority w:val="1"/>
    <w:qFormat/>
    <w:rsid w:val="000D71CB"/>
    <w:pPr>
      <w:spacing w:after="0" w:line="240" w:lineRule="auto"/>
    </w:pPr>
    <w:rPr>
      <w:rFonts w:ascii="Calibri" w:eastAsia="Calibri" w:hAnsi="Calibri" w:cs="Times New Roman"/>
    </w:rPr>
  </w:style>
  <w:style w:type="table" w:styleId="TableGrid">
    <w:name w:val="Table Grid"/>
    <w:basedOn w:val="TableNormal"/>
    <w:uiPriority w:val="39"/>
    <w:rsid w:val="007F22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5C2601"/>
    <w:rPr>
      <w:rFonts w:ascii="Calibri" w:eastAsia="Calibri" w:hAnsi="Calibri" w:cs="Times New Roman"/>
    </w:rPr>
  </w:style>
  <w:style w:type="character" w:styleId="FootnoteReference">
    <w:name w:val="footnote reference"/>
    <w:aliases w:val="BVI fnr,Footnote symbol,Footnote Reference Arial,16 Point,Superscript 6 Point,ftref,fr,Fußnotenzeichen DISS,Footnote,Char1 Char Char Char Char,Odwołanie przypisu,Footnote reference number,note TESI"/>
    <w:link w:val="BVIfnrCarCarCarCarChar"/>
    <w:uiPriority w:val="99"/>
    <w:unhideWhenUsed/>
    <w:qFormat/>
    <w:rsid w:val="004B2E04"/>
    <w:rPr>
      <w:vertAlign w:val="superscript"/>
    </w:rPr>
  </w:style>
  <w:style w:type="paragraph" w:customStyle="1" w:styleId="BVIfnrCarCarCarCarChar">
    <w:name w:val="BVI fnr Car Car Car Car Char"/>
    <w:basedOn w:val="Normal"/>
    <w:link w:val="FootnoteReference"/>
    <w:uiPriority w:val="99"/>
    <w:qFormat/>
    <w:rsid w:val="004B2E04"/>
    <w:pPr>
      <w:spacing w:after="160" w:line="240" w:lineRule="exact"/>
    </w:pPr>
    <w:rPr>
      <w:rFonts w:asciiTheme="minorHAnsi" w:eastAsiaTheme="minorHAnsi" w:hAnsiTheme="minorHAnsi" w:cstheme="minorBidi"/>
      <w:vertAlign w:val="superscript"/>
    </w:rPr>
  </w:style>
  <w:style w:type="paragraph" w:styleId="BalloonText">
    <w:name w:val="Balloon Text"/>
    <w:basedOn w:val="Normal"/>
    <w:link w:val="BalloonTextChar"/>
    <w:uiPriority w:val="99"/>
    <w:semiHidden/>
    <w:unhideWhenUsed/>
    <w:rsid w:val="000E56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5630"/>
    <w:rPr>
      <w:rFonts w:ascii="Tahoma" w:eastAsia="Calibri" w:hAnsi="Tahoma" w:cs="Tahoma"/>
      <w:sz w:val="16"/>
      <w:szCs w:val="16"/>
    </w:rPr>
  </w:style>
  <w:style w:type="paragraph" w:customStyle="1" w:styleId="p1">
    <w:name w:val="p1"/>
    <w:basedOn w:val="Normal"/>
    <w:rsid w:val="00E80325"/>
    <w:pPr>
      <w:spacing w:before="100" w:beforeAutospacing="1" w:after="100" w:afterAutospacing="1" w:line="240" w:lineRule="auto"/>
    </w:pPr>
    <w:rPr>
      <w:rFonts w:ascii="Times New Roman" w:eastAsia="Times New Roman" w:hAnsi="Times New Roman"/>
      <w:sz w:val="24"/>
      <w:szCs w:val="24"/>
      <w:lang w:val="en-GB" w:eastAsia="en-GB"/>
    </w:rPr>
  </w:style>
  <w:style w:type="paragraph" w:styleId="Header">
    <w:name w:val="header"/>
    <w:basedOn w:val="Normal"/>
    <w:link w:val="HeaderChar"/>
    <w:uiPriority w:val="99"/>
    <w:semiHidden/>
    <w:unhideWhenUsed/>
    <w:rsid w:val="004E5C7F"/>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4E5C7F"/>
    <w:rPr>
      <w:rFonts w:ascii="Calibri" w:eastAsia="Calibri" w:hAnsi="Calibri" w:cs="Times New Roman"/>
    </w:rPr>
  </w:style>
  <w:style w:type="paragraph" w:styleId="Footer">
    <w:name w:val="footer"/>
    <w:basedOn w:val="Normal"/>
    <w:link w:val="FooterChar"/>
    <w:uiPriority w:val="99"/>
    <w:semiHidden/>
    <w:unhideWhenUsed/>
    <w:rsid w:val="004E5C7F"/>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4E5C7F"/>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8617902">
      <w:bodyDiv w:val="1"/>
      <w:marLeft w:val="0"/>
      <w:marRight w:val="0"/>
      <w:marTop w:val="0"/>
      <w:marBottom w:val="0"/>
      <w:divBdr>
        <w:top w:val="none" w:sz="0" w:space="0" w:color="auto"/>
        <w:left w:val="none" w:sz="0" w:space="0" w:color="auto"/>
        <w:bottom w:val="none" w:sz="0" w:space="0" w:color="auto"/>
        <w:right w:val="none" w:sz="0" w:space="0" w:color="auto"/>
      </w:divBdr>
    </w:div>
    <w:div w:id="928998456">
      <w:bodyDiv w:val="1"/>
      <w:marLeft w:val="0"/>
      <w:marRight w:val="0"/>
      <w:marTop w:val="0"/>
      <w:marBottom w:val="0"/>
      <w:divBdr>
        <w:top w:val="none" w:sz="0" w:space="0" w:color="auto"/>
        <w:left w:val="none" w:sz="0" w:space="0" w:color="auto"/>
        <w:bottom w:val="none" w:sz="0" w:space="0" w:color="auto"/>
        <w:right w:val="none" w:sz="0" w:space="0" w:color="auto"/>
      </w:divBdr>
    </w:div>
    <w:div w:id="1140466100">
      <w:bodyDiv w:val="1"/>
      <w:marLeft w:val="0"/>
      <w:marRight w:val="0"/>
      <w:marTop w:val="0"/>
      <w:marBottom w:val="0"/>
      <w:divBdr>
        <w:top w:val="none" w:sz="0" w:space="0" w:color="auto"/>
        <w:left w:val="none" w:sz="0" w:space="0" w:color="auto"/>
        <w:bottom w:val="none" w:sz="0" w:space="0" w:color="auto"/>
        <w:right w:val="none" w:sz="0" w:space="0" w:color="auto"/>
      </w:divBdr>
    </w:div>
    <w:div w:id="1783300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169</Nr_x002e__x0020_akti>
    <Data_x0020_e_x0020_Krijimit xmlns="0e656187-b300-4fb0-8bf4-3a50f872073c">2025-07-30T09:52:13Z</Data_x0020_e_x0020_Krijimit>
    <URL xmlns="0e656187-b300-4fb0-8bf4-3a50f872073c" xsi:nil="true"/>
    <Institucion_x0020_Pergjegjes xmlns="0e656187-b300-4fb0-8bf4-3a50f872073c">http://qbz.gov.al/resource/authority/legal-institution/23|keshilli-i-larte-i-prokurorise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2025-07-28T00:00:00Z</Date_x0020_protokolli>
    <Titulli xmlns="0e656187-b300-4fb0-8bf4-3a50f872073c">Për miratimin e rregullores "Mbi zhvillimin e procedurave për rivlerësimin e subjekteve nga Këshilli i Lartë Gjyqësor dhe Këshilli i Lartë i Prokurorisë"</Titulli>
    <Modifikuesi xmlns="0e656187-b300-4fb0-8bf4-3a50f872073c">valeta.kaftalli</Modifikuesi>
    <Nr_x002e__x0020_prot_x0020_QBZ xmlns="0e656187-b300-4fb0-8bf4-3a50f872073c">1254/1</Nr_x002e__x0020_prot_x0020_QBZ>
    <Data_x0020_e_x0020_Modifikimit xmlns="0e656187-b300-4fb0-8bf4-3a50f872073c">2025-07-30T12:41:06Z</Data_x0020_e_x0020_Modifikimit>
    <Dekretuar xmlns="0e656187-b300-4fb0-8bf4-3a50f872073c">false</Dekretuar>
    <Data xmlns="0e656187-b300-4fb0-8bf4-3a50f872073c">2025-07-16T00:00:00Z</Data>
    <Nr_x002e__x0020_protokolli_x0020_i_x0020_aktit xmlns="0e656187-b300-4fb0-8bf4-3a50f872073c">2130/1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A1D70D19CD1848168572B43F2DAD798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D9F34A-C4C6-4C8D-A42A-2C7F597AEB1A}">
  <ds:schemaRefs>
    <ds:schemaRef ds:uri="http://purl.org/dc/elements/1.1/"/>
    <ds:schemaRef ds:uri="http://schemas.openxmlformats.org/package/2006/metadata/core-properties"/>
    <ds:schemaRef ds:uri="0e656187-b300-4fb0-8bf4-3a50f872073c"/>
    <ds:schemaRef ds:uri="http://schemas.microsoft.com/office/2006/metadata/properties"/>
    <ds:schemaRef ds:uri="http://schemas.microsoft.com/office/2006/documentManagement/types"/>
    <ds:schemaRef ds:uri="http://purl.org/dc/dcmitype/"/>
    <ds:schemaRef ds:uri="http://purl.org/dc/terms/"/>
    <ds:schemaRef ds:uri="http://www.w3.org/XML/1998/namespace"/>
  </ds:schemaRefs>
</ds:datastoreItem>
</file>

<file path=customXml/itemProps2.xml><?xml version="1.0" encoding="utf-8"?>
<ds:datastoreItem xmlns:ds="http://schemas.openxmlformats.org/officeDocument/2006/customXml" ds:itemID="{569DB9C9-D1D8-4E6D-935F-3B31A0F9F14A}">
  <ds:schemaRefs>
    <ds:schemaRef ds:uri="http://schemas.microsoft.com/sharepoint/v3/contenttype/forms"/>
  </ds:schemaRefs>
</ds:datastoreItem>
</file>

<file path=customXml/itemProps3.xml><?xml version="1.0" encoding="utf-8"?>
<ds:datastoreItem xmlns:ds="http://schemas.openxmlformats.org/officeDocument/2006/customXml" ds:itemID="{0578F5D3-B712-4096-89E4-6306580D92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3B56CD1-57F8-4C0F-A5BD-61ADAB166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5</Pages>
  <Words>2228</Words>
  <Characters>12703</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Për miratimin e rregullores "Mbi zhvillimin e procedurave për rivlerësimin e subjekteve nga Këshilli i Lartë Gjyqësor dhe Këshilli i Lartë i Prokurorisë"</vt:lpstr>
    </vt:vector>
  </TitlesOfParts>
  <Company/>
  <LinksUpToDate>false</LinksUpToDate>
  <CharactersWithSpaces>14902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"Mbi zhvillimin e procedurave për rivlerësimin e subjekteve nga Këshilli i Lartë Gjyqësor dhe Këshilli i Lartë i Prokurorisë"</dc:title>
  <dc:creator>klp</dc:creator>
  <cp:lastModifiedBy>Valeta Kaftalli</cp:lastModifiedBy>
  <cp:revision>13</cp:revision>
  <dcterms:created xsi:type="dcterms:W3CDTF">2025-07-30T08:58:00Z</dcterms:created>
  <dcterms:modified xsi:type="dcterms:W3CDTF">2025-07-30T12:59:00Z</dcterms:modified>
</cp:coreProperties>
</file>