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5D57E" w14:textId="77777777" w:rsidR="00D92C07" w:rsidRPr="008718EB" w:rsidRDefault="00D92C07" w:rsidP="008718EB">
      <w:pPr>
        <w:spacing w:after="0" w:line="240" w:lineRule="auto"/>
        <w:ind w:firstLine="284"/>
        <w:jc w:val="center"/>
        <w:rPr>
          <w:rFonts w:ascii="Garamond" w:hAnsi="Garamond"/>
          <w:b/>
          <w:sz w:val="24"/>
          <w:szCs w:val="24"/>
        </w:rPr>
      </w:pPr>
      <w:r w:rsidRPr="008718EB">
        <w:rPr>
          <w:rFonts w:ascii="Garamond" w:hAnsi="Garamond"/>
          <w:b/>
          <w:sz w:val="24"/>
          <w:szCs w:val="24"/>
        </w:rPr>
        <w:t>VENDIM</w:t>
      </w:r>
    </w:p>
    <w:p w14:paraId="71DC2B98" w14:textId="1308EFB3" w:rsidR="00D92C07" w:rsidRPr="008718EB" w:rsidRDefault="00D92C07" w:rsidP="008718EB">
      <w:pPr>
        <w:spacing w:after="0" w:line="240" w:lineRule="auto"/>
        <w:ind w:firstLine="284"/>
        <w:jc w:val="center"/>
        <w:rPr>
          <w:rFonts w:ascii="Garamond" w:hAnsi="Garamond"/>
          <w:b/>
          <w:sz w:val="24"/>
          <w:szCs w:val="24"/>
        </w:rPr>
      </w:pPr>
      <w:r w:rsidRPr="008718EB">
        <w:rPr>
          <w:rFonts w:ascii="Garamond" w:hAnsi="Garamond"/>
          <w:b/>
          <w:sz w:val="24"/>
          <w:szCs w:val="24"/>
        </w:rPr>
        <w:t xml:space="preserve">Nr. 327, </w:t>
      </w:r>
      <w:r w:rsidR="006531B4">
        <w:rPr>
          <w:rFonts w:ascii="Garamond" w:hAnsi="Garamond"/>
          <w:b/>
          <w:sz w:val="24"/>
          <w:szCs w:val="24"/>
        </w:rPr>
        <w:t>d</w:t>
      </w:r>
      <w:r w:rsidRPr="008718EB">
        <w:rPr>
          <w:rFonts w:ascii="Garamond" w:hAnsi="Garamond"/>
          <w:b/>
          <w:sz w:val="24"/>
          <w:szCs w:val="24"/>
        </w:rPr>
        <w:t>atë 23.10.2025</w:t>
      </w:r>
    </w:p>
    <w:p w14:paraId="26816AD8" w14:textId="77777777" w:rsidR="00D92C07" w:rsidRPr="008718EB" w:rsidRDefault="00D92C07" w:rsidP="008718EB">
      <w:pPr>
        <w:spacing w:after="0" w:line="240" w:lineRule="auto"/>
        <w:ind w:firstLine="284"/>
        <w:jc w:val="center"/>
        <w:rPr>
          <w:rFonts w:ascii="Garamond" w:hAnsi="Garamond"/>
          <w:b/>
          <w:sz w:val="24"/>
          <w:szCs w:val="24"/>
        </w:rPr>
      </w:pPr>
    </w:p>
    <w:p w14:paraId="4DECA76D" w14:textId="3124438E" w:rsidR="00D92C07" w:rsidRPr="008718EB" w:rsidRDefault="00D92C07" w:rsidP="006531B4">
      <w:pPr>
        <w:spacing w:after="0" w:line="240" w:lineRule="auto"/>
        <w:jc w:val="center"/>
        <w:rPr>
          <w:rFonts w:ascii="Garamond" w:hAnsi="Garamond"/>
          <w:b/>
          <w:sz w:val="24"/>
          <w:szCs w:val="24"/>
        </w:rPr>
      </w:pPr>
      <w:r w:rsidRPr="008718EB">
        <w:rPr>
          <w:rFonts w:ascii="Garamond" w:hAnsi="Garamond"/>
          <w:b/>
          <w:sz w:val="24"/>
          <w:szCs w:val="24"/>
        </w:rPr>
        <w:t>PËR MIRATIMIN E RREGULLORES “PËR CAKTIMIN E PROKURORËVE SI MAGJISTRATË UDHËHEQËS NË PROGRAMIN E PRAKTIKËS PROFESIONALE DHE PËR VLERËSIMIN ETIK DHE PROFESIONAL CILËSOR TË KANDIDATËVE PËR MAGJISTRATË</w:t>
      </w:r>
    </w:p>
    <w:p w14:paraId="48DFEB74" w14:textId="77777777" w:rsidR="00D92C07" w:rsidRPr="008718EB" w:rsidRDefault="00D92C07" w:rsidP="008718EB">
      <w:pPr>
        <w:spacing w:after="0" w:line="240" w:lineRule="auto"/>
        <w:ind w:firstLine="284"/>
        <w:jc w:val="both"/>
        <w:rPr>
          <w:rFonts w:ascii="Garamond" w:hAnsi="Garamond"/>
          <w:sz w:val="24"/>
          <w:szCs w:val="24"/>
        </w:rPr>
      </w:pPr>
    </w:p>
    <w:p w14:paraId="5158A40C" w14:textId="261235A5" w:rsidR="00D92C07" w:rsidRPr="008718EB" w:rsidRDefault="00D92C07" w:rsidP="008718EB">
      <w:pPr>
        <w:spacing w:after="0" w:line="240" w:lineRule="auto"/>
        <w:ind w:firstLine="284"/>
        <w:jc w:val="both"/>
        <w:rPr>
          <w:rFonts w:ascii="Garamond" w:hAnsi="Garamond"/>
          <w:sz w:val="24"/>
          <w:szCs w:val="24"/>
        </w:rPr>
      </w:pPr>
      <w:r w:rsidRPr="008718EB">
        <w:rPr>
          <w:rFonts w:ascii="Garamond" w:hAnsi="Garamond"/>
          <w:sz w:val="24"/>
          <w:szCs w:val="24"/>
        </w:rPr>
        <w:t xml:space="preserve">Bazuar në nenet 149, pika 1 dhe 149/a, pika 1, germa “e”, të Kushtetutës, në nenin 33, të </w:t>
      </w:r>
      <w:r w:rsidR="006531B4">
        <w:rPr>
          <w:rFonts w:ascii="Garamond" w:hAnsi="Garamond"/>
          <w:sz w:val="24"/>
          <w:szCs w:val="24"/>
        </w:rPr>
        <w:t>l</w:t>
      </w:r>
      <w:r w:rsidRPr="008718EB">
        <w:rPr>
          <w:rFonts w:ascii="Garamond" w:hAnsi="Garamond"/>
          <w:sz w:val="24"/>
          <w:szCs w:val="24"/>
        </w:rPr>
        <w:t>igjit nr. 96/2016</w:t>
      </w:r>
      <w:r w:rsidR="006531B4">
        <w:rPr>
          <w:rFonts w:ascii="Garamond" w:hAnsi="Garamond"/>
          <w:sz w:val="24"/>
          <w:szCs w:val="24"/>
        </w:rPr>
        <w:t>,</w:t>
      </w:r>
      <w:r w:rsidRPr="008718EB">
        <w:rPr>
          <w:rFonts w:ascii="Garamond" w:hAnsi="Garamond"/>
          <w:sz w:val="24"/>
          <w:szCs w:val="24"/>
        </w:rPr>
        <w:t xml:space="preserve"> “Për statusin e gjyqtarëve dhe prokurorëve në Republikën e Shqipërisë”</w:t>
      </w:r>
      <w:r w:rsidR="006531B4">
        <w:rPr>
          <w:rFonts w:ascii="Garamond" w:hAnsi="Garamond"/>
          <w:sz w:val="24"/>
          <w:szCs w:val="24"/>
        </w:rPr>
        <w:t>,</w:t>
      </w:r>
      <w:r w:rsidRPr="008718EB">
        <w:rPr>
          <w:rFonts w:ascii="Garamond" w:hAnsi="Garamond"/>
          <w:sz w:val="24"/>
          <w:szCs w:val="24"/>
        </w:rPr>
        <w:t xml:space="preserve"> i ndryshuar, në nenet 164, 166 dhe 189, pika 1, germa “b”</w:t>
      </w:r>
      <w:r w:rsidR="006531B4">
        <w:rPr>
          <w:rFonts w:ascii="Garamond" w:hAnsi="Garamond"/>
          <w:sz w:val="24"/>
          <w:szCs w:val="24"/>
        </w:rPr>
        <w:t>,</w:t>
      </w:r>
      <w:r w:rsidRPr="008718EB">
        <w:rPr>
          <w:rFonts w:ascii="Garamond" w:hAnsi="Garamond"/>
          <w:sz w:val="24"/>
          <w:szCs w:val="24"/>
        </w:rPr>
        <w:t xml:space="preserve"> të </w:t>
      </w:r>
      <w:r w:rsidR="006531B4">
        <w:rPr>
          <w:rFonts w:ascii="Garamond" w:hAnsi="Garamond"/>
          <w:sz w:val="24"/>
          <w:szCs w:val="24"/>
        </w:rPr>
        <w:t>l</w:t>
      </w:r>
      <w:r w:rsidRPr="008718EB">
        <w:rPr>
          <w:rFonts w:ascii="Garamond" w:hAnsi="Garamond"/>
          <w:sz w:val="24"/>
          <w:szCs w:val="24"/>
        </w:rPr>
        <w:t>igjit nr. 115/2016</w:t>
      </w:r>
      <w:r w:rsidR="006531B4">
        <w:rPr>
          <w:rFonts w:ascii="Garamond" w:hAnsi="Garamond"/>
          <w:sz w:val="24"/>
          <w:szCs w:val="24"/>
        </w:rPr>
        <w:t>,</w:t>
      </w:r>
      <w:r w:rsidRPr="008718EB">
        <w:rPr>
          <w:rFonts w:ascii="Garamond" w:hAnsi="Garamond"/>
          <w:sz w:val="24"/>
          <w:szCs w:val="24"/>
        </w:rPr>
        <w:t xml:space="preserve"> “Për organet e qeverisjes së sistemit të drejtësisë”</w:t>
      </w:r>
      <w:r w:rsidR="006531B4">
        <w:rPr>
          <w:rFonts w:ascii="Garamond" w:hAnsi="Garamond"/>
          <w:sz w:val="24"/>
          <w:szCs w:val="24"/>
        </w:rPr>
        <w:t>,</w:t>
      </w:r>
      <w:r w:rsidRPr="008718EB">
        <w:rPr>
          <w:rFonts w:ascii="Garamond" w:hAnsi="Garamond"/>
          <w:sz w:val="24"/>
          <w:szCs w:val="24"/>
        </w:rPr>
        <w:t xml:space="preserve"> i ndryshuar, me propozim të Grupit të Punës sipas Relacionit nr. 2601, datë 23.10.2025, Këshilli i Lartë i Prokurorisë,</w:t>
      </w:r>
    </w:p>
    <w:p w14:paraId="05CB19EF" w14:textId="77777777" w:rsidR="00D92C07" w:rsidRPr="008718EB" w:rsidRDefault="00D92C07" w:rsidP="008718EB">
      <w:pPr>
        <w:spacing w:after="0" w:line="240" w:lineRule="auto"/>
        <w:ind w:firstLine="284"/>
        <w:jc w:val="both"/>
        <w:rPr>
          <w:rFonts w:ascii="Garamond" w:hAnsi="Garamond"/>
          <w:sz w:val="24"/>
          <w:szCs w:val="24"/>
        </w:rPr>
      </w:pPr>
    </w:p>
    <w:p w14:paraId="509A3135" w14:textId="525A7C75" w:rsidR="00D92C07" w:rsidRPr="008718EB" w:rsidRDefault="00D92C07" w:rsidP="008718EB">
      <w:pPr>
        <w:spacing w:after="0" w:line="240" w:lineRule="auto"/>
        <w:ind w:firstLine="284"/>
        <w:jc w:val="center"/>
        <w:rPr>
          <w:rFonts w:ascii="Garamond" w:hAnsi="Garamond"/>
          <w:sz w:val="24"/>
          <w:szCs w:val="24"/>
        </w:rPr>
      </w:pPr>
      <w:r w:rsidRPr="008718EB">
        <w:rPr>
          <w:rFonts w:ascii="Garamond" w:hAnsi="Garamond"/>
          <w:sz w:val="24"/>
          <w:szCs w:val="24"/>
        </w:rPr>
        <w:t>VENDOSI:</w:t>
      </w:r>
    </w:p>
    <w:p w14:paraId="465E97B8" w14:textId="77777777" w:rsidR="00D92C07" w:rsidRPr="008718EB" w:rsidRDefault="00D92C07" w:rsidP="008718EB">
      <w:pPr>
        <w:spacing w:after="0" w:line="240" w:lineRule="auto"/>
        <w:ind w:firstLine="284"/>
        <w:jc w:val="both"/>
        <w:rPr>
          <w:rFonts w:ascii="Garamond" w:hAnsi="Garamond"/>
          <w:sz w:val="24"/>
          <w:szCs w:val="24"/>
        </w:rPr>
      </w:pPr>
    </w:p>
    <w:p w14:paraId="35EF430A" w14:textId="6AAE3E3C" w:rsidR="00D92C07" w:rsidRPr="008718EB" w:rsidRDefault="00D92C07" w:rsidP="008718EB">
      <w:pPr>
        <w:spacing w:after="0" w:line="240" w:lineRule="auto"/>
        <w:ind w:firstLine="284"/>
        <w:jc w:val="both"/>
        <w:rPr>
          <w:rFonts w:ascii="Garamond" w:hAnsi="Garamond"/>
          <w:sz w:val="24"/>
          <w:szCs w:val="24"/>
        </w:rPr>
      </w:pPr>
      <w:r w:rsidRPr="008718EB">
        <w:rPr>
          <w:rFonts w:ascii="Garamond" w:hAnsi="Garamond"/>
          <w:sz w:val="24"/>
          <w:szCs w:val="24"/>
        </w:rPr>
        <w:t xml:space="preserve">1. Miratimin e </w:t>
      </w:r>
      <w:r w:rsidR="006531B4">
        <w:rPr>
          <w:rFonts w:ascii="Garamond" w:hAnsi="Garamond"/>
          <w:sz w:val="24"/>
          <w:szCs w:val="24"/>
        </w:rPr>
        <w:t>r</w:t>
      </w:r>
      <w:r w:rsidRPr="008718EB">
        <w:rPr>
          <w:rFonts w:ascii="Garamond" w:hAnsi="Garamond"/>
          <w:sz w:val="24"/>
          <w:szCs w:val="24"/>
        </w:rPr>
        <w:t>regullores “Për caktimin e prokurorëve si magjistratë udhëheqës në programin e praktikës profesionale dhe për vlerësimin etik dhe profesional cilësor të kandidatëve për magjistratë”, sipas tekstit që i bashkëlidhet këtij vendimi.</w:t>
      </w:r>
    </w:p>
    <w:p w14:paraId="0823630F" w14:textId="766DCFBD" w:rsidR="00D92C07" w:rsidRPr="008718EB" w:rsidRDefault="00D92C07" w:rsidP="008718EB">
      <w:pPr>
        <w:spacing w:after="0" w:line="240" w:lineRule="auto"/>
        <w:ind w:firstLine="284"/>
        <w:jc w:val="both"/>
        <w:rPr>
          <w:rFonts w:ascii="Garamond" w:hAnsi="Garamond"/>
          <w:sz w:val="24"/>
          <w:szCs w:val="24"/>
        </w:rPr>
      </w:pPr>
      <w:r w:rsidRPr="008718EB">
        <w:rPr>
          <w:rFonts w:ascii="Garamond" w:hAnsi="Garamond"/>
          <w:sz w:val="24"/>
          <w:szCs w:val="24"/>
        </w:rPr>
        <w:t>2. Ky vendim hyn në fuqi në datën e botimit në Fletoren Zyrtare dhe publikohet në faqen zyrtare të internetit të Këshillit të Lartë të Prokurorisë.</w:t>
      </w:r>
    </w:p>
    <w:p w14:paraId="08F114B2" w14:textId="21A625B1" w:rsidR="00D92C07" w:rsidRPr="008718EB" w:rsidRDefault="00D92C07" w:rsidP="008718EB">
      <w:pPr>
        <w:spacing w:after="0" w:line="240" w:lineRule="auto"/>
        <w:ind w:firstLine="284"/>
        <w:jc w:val="both"/>
        <w:rPr>
          <w:rFonts w:ascii="Garamond" w:hAnsi="Garamond"/>
          <w:sz w:val="24"/>
          <w:szCs w:val="24"/>
        </w:rPr>
      </w:pPr>
      <w:r w:rsidRPr="008718EB">
        <w:rPr>
          <w:rFonts w:ascii="Garamond" w:hAnsi="Garamond"/>
          <w:sz w:val="24"/>
          <w:szCs w:val="24"/>
        </w:rPr>
        <w:t>U shpall në Tiranë, sot</w:t>
      </w:r>
      <w:r w:rsidR="006531B4">
        <w:rPr>
          <w:rFonts w:ascii="Garamond" w:hAnsi="Garamond"/>
          <w:sz w:val="24"/>
          <w:szCs w:val="24"/>
        </w:rPr>
        <w:t>,</w:t>
      </w:r>
      <w:r w:rsidRPr="008718EB">
        <w:rPr>
          <w:rFonts w:ascii="Garamond" w:hAnsi="Garamond"/>
          <w:sz w:val="24"/>
          <w:szCs w:val="24"/>
        </w:rPr>
        <w:t xml:space="preserve"> më 23.10.2025.</w:t>
      </w:r>
    </w:p>
    <w:p w14:paraId="23B3A1D2" w14:textId="77777777" w:rsidR="00D92C07" w:rsidRPr="008718EB" w:rsidRDefault="00D92C07" w:rsidP="008718EB">
      <w:pPr>
        <w:spacing w:after="0" w:line="240" w:lineRule="auto"/>
        <w:ind w:firstLine="284"/>
        <w:jc w:val="both"/>
        <w:rPr>
          <w:rFonts w:ascii="Garamond" w:hAnsi="Garamond"/>
          <w:sz w:val="24"/>
          <w:szCs w:val="24"/>
        </w:rPr>
      </w:pPr>
    </w:p>
    <w:p w14:paraId="3D53AEC2" w14:textId="74657C94" w:rsidR="00D92C07" w:rsidRPr="008718EB" w:rsidRDefault="00D92C07" w:rsidP="008718EB">
      <w:pPr>
        <w:spacing w:after="0" w:line="240" w:lineRule="auto"/>
        <w:ind w:firstLine="284"/>
        <w:jc w:val="right"/>
        <w:rPr>
          <w:rFonts w:ascii="Garamond" w:hAnsi="Garamond"/>
          <w:sz w:val="24"/>
          <w:szCs w:val="24"/>
        </w:rPr>
      </w:pPr>
      <w:r w:rsidRPr="008718EB">
        <w:rPr>
          <w:rFonts w:ascii="Garamond" w:hAnsi="Garamond"/>
          <w:sz w:val="24"/>
          <w:szCs w:val="24"/>
        </w:rPr>
        <w:t>KRYETAR</w:t>
      </w:r>
    </w:p>
    <w:p w14:paraId="5346F2B1" w14:textId="72BBE280" w:rsidR="00252C94" w:rsidRPr="008718EB" w:rsidRDefault="00D92C07" w:rsidP="008718EB">
      <w:pPr>
        <w:spacing w:after="0" w:line="240" w:lineRule="auto"/>
        <w:ind w:firstLine="284"/>
        <w:jc w:val="right"/>
        <w:rPr>
          <w:rFonts w:ascii="Garamond" w:hAnsi="Garamond"/>
          <w:b/>
          <w:sz w:val="24"/>
          <w:szCs w:val="24"/>
        </w:rPr>
      </w:pPr>
      <w:proofErr w:type="spellStart"/>
      <w:r w:rsidRPr="008718EB">
        <w:rPr>
          <w:rFonts w:ascii="Garamond" w:hAnsi="Garamond"/>
          <w:b/>
          <w:sz w:val="24"/>
          <w:szCs w:val="24"/>
        </w:rPr>
        <w:t>Mirela</w:t>
      </w:r>
      <w:proofErr w:type="spellEnd"/>
      <w:r w:rsidRPr="008718EB">
        <w:rPr>
          <w:rFonts w:ascii="Garamond" w:hAnsi="Garamond"/>
          <w:b/>
          <w:sz w:val="24"/>
          <w:szCs w:val="24"/>
        </w:rPr>
        <w:t xml:space="preserve"> </w:t>
      </w:r>
      <w:proofErr w:type="spellStart"/>
      <w:r w:rsidRPr="008718EB">
        <w:rPr>
          <w:rFonts w:ascii="Garamond" w:hAnsi="Garamond"/>
          <w:b/>
          <w:sz w:val="24"/>
          <w:szCs w:val="24"/>
        </w:rPr>
        <w:t>Bogdani</w:t>
      </w:r>
      <w:proofErr w:type="spellEnd"/>
    </w:p>
    <w:p w14:paraId="2CED3599" w14:textId="232DF40B" w:rsidR="008718EB" w:rsidRPr="008718EB" w:rsidRDefault="008718EB" w:rsidP="008718EB">
      <w:pPr>
        <w:spacing w:after="0" w:line="240" w:lineRule="auto"/>
        <w:ind w:firstLine="284"/>
        <w:jc w:val="right"/>
        <w:rPr>
          <w:rFonts w:ascii="Garamond" w:hAnsi="Garamond"/>
          <w:b/>
          <w:sz w:val="24"/>
          <w:szCs w:val="24"/>
        </w:rPr>
      </w:pPr>
    </w:p>
    <w:p w14:paraId="2E6F674A"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RREGULLORE</w:t>
      </w:r>
    </w:p>
    <w:p w14:paraId="0B31E596" w14:textId="7E00BB7B"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PËR CAKTIMIN E PROKURORËVE SI MAGJISTRATË UDHËHEQËS NË PROGRAMIN E PRAKTIKËS PROFESIONALE DHE PËR VLERËSIMIN ETIK DHE PROFESIONAL CILËSOR TË KANDIDATËVE PËR MAGJISTRATË</w:t>
      </w:r>
    </w:p>
    <w:p w14:paraId="14416382" w14:textId="77777777" w:rsidR="008718EB" w:rsidRPr="008718EB" w:rsidRDefault="008718EB" w:rsidP="008718EB">
      <w:pPr>
        <w:autoSpaceDE w:val="0"/>
        <w:autoSpaceDN w:val="0"/>
        <w:adjustRightInd w:val="0"/>
        <w:spacing w:after="0" w:line="240" w:lineRule="auto"/>
        <w:ind w:firstLine="284"/>
        <w:rPr>
          <w:rFonts w:ascii="Garamond" w:eastAsiaTheme="minorHAnsi" w:hAnsi="Garamond"/>
          <w:b/>
          <w:bCs/>
          <w:color w:val="000000"/>
          <w:sz w:val="24"/>
          <w:szCs w:val="24"/>
        </w:rPr>
      </w:pPr>
    </w:p>
    <w:p w14:paraId="4663584D"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w:t>
      </w:r>
    </w:p>
    <w:p w14:paraId="6C3F55E4" w14:textId="77777777" w:rsid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 xml:space="preserve">Qëllimi </w:t>
      </w:r>
    </w:p>
    <w:p w14:paraId="1F3ECBD1" w14:textId="77777777" w:rsidR="006531B4" w:rsidRPr="008718EB" w:rsidRDefault="006531B4"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4CEF673" w14:textId="5C5AB135"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Kjo </w:t>
      </w:r>
      <w:r w:rsidR="006531B4">
        <w:rPr>
          <w:rFonts w:ascii="Garamond" w:eastAsiaTheme="minorHAnsi" w:hAnsi="Garamond"/>
          <w:color w:val="000000"/>
          <w:sz w:val="24"/>
          <w:szCs w:val="24"/>
        </w:rPr>
        <w:t>r</w:t>
      </w:r>
      <w:r w:rsidRPr="008718EB">
        <w:rPr>
          <w:rFonts w:ascii="Garamond" w:eastAsiaTheme="minorHAnsi" w:hAnsi="Garamond"/>
          <w:color w:val="000000"/>
          <w:sz w:val="24"/>
          <w:szCs w:val="24"/>
        </w:rPr>
        <w:t>regullore ka për qëllim:</w:t>
      </w:r>
    </w:p>
    <w:p w14:paraId="22D185E7" w14:textId="468C2C3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Garantimin e formimit fillestar cilësor të kandidatëve për magjistratë gjatë programit të praktikës profesionale;</w:t>
      </w:r>
    </w:p>
    <w:p w14:paraId="5B0AA683" w14:textId="24268B7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Rritjen e efektivitetit dhe dobishmërisë së programit të praktikës profesionale të kandidatëve për magjistratë, me qëllim përgatitjen e duhur të tyre për detyrat si prokurorë të ardhshëm;</w:t>
      </w:r>
    </w:p>
    <w:p w14:paraId="42A2E740" w14:textId="6C424B1E"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3. Përcaktimin e kritereve, afatit, procedurës dhe rregullave të tjera për caktimin e prokurorëve si magjistratë udhëheqës në programin e praktikës profesionale dhe për vlerësimin etik dhe profesional cilësor të kandidatëve për magjistratë;</w:t>
      </w:r>
    </w:p>
    <w:p w14:paraId="7E8E5F28" w14:textId="4C369D1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4. Ndërveprimin institucional mes Këshillit të Lartë të Prokurorisë</w:t>
      </w:r>
      <w:r>
        <w:rPr>
          <w:rStyle w:val="FootnoteReference"/>
          <w:rFonts w:ascii="Garamond" w:eastAsiaTheme="minorHAnsi" w:hAnsi="Garamond"/>
          <w:color w:val="000000"/>
          <w:sz w:val="24"/>
          <w:szCs w:val="24"/>
        </w:rPr>
        <w:footnoteReference w:id="2"/>
      </w:r>
      <w:r w:rsidRPr="008718EB">
        <w:rPr>
          <w:rFonts w:ascii="Garamond" w:eastAsiaTheme="minorHAnsi" w:hAnsi="Garamond"/>
          <w:color w:val="000000"/>
          <w:sz w:val="24"/>
          <w:szCs w:val="24"/>
        </w:rPr>
        <w:t xml:space="preserve"> dhe Shkollës së Magjistraturës</w:t>
      </w:r>
      <w:r>
        <w:rPr>
          <w:rStyle w:val="FootnoteReference"/>
          <w:rFonts w:ascii="Garamond" w:eastAsiaTheme="minorHAnsi" w:hAnsi="Garamond"/>
          <w:color w:val="000000"/>
          <w:sz w:val="24"/>
          <w:szCs w:val="24"/>
        </w:rPr>
        <w:footnoteReference w:id="3"/>
      </w:r>
      <w:r w:rsidRPr="008718EB">
        <w:rPr>
          <w:rFonts w:ascii="Garamond" w:eastAsiaTheme="minorHAnsi" w:hAnsi="Garamond"/>
          <w:color w:val="000000"/>
          <w:sz w:val="24"/>
          <w:szCs w:val="24"/>
        </w:rPr>
        <w:t>, me qëllim realizimin dhe vlerësimin e drejtë të kandidatëve për magjistratë gjatë kryerjes së programit të praktikës profesionale.</w:t>
      </w:r>
    </w:p>
    <w:p w14:paraId="36E58ABA"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color w:val="000000"/>
          <w:sz w:val="24"/>
          <w:szCs w:val="24"/>
        </w:rPr>
      </w:pPr>
    </w:p>
    <w:p w14:paraId="1F07CB87"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lastRenderedPageBreak/>
        <w:t>Neni 2</w:t>
      </w:r>
    </w:p>
    <w:p w14:paraId="0917B83D"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Rregulla të përgjithshme të praktikës profesionale të kandidatëve për magjistratë</w:t>
      </w:r>
    </w:p>
    <w:p w14:paraId="6219177E" w14:textId="77777777" w:rsidR="00520B0E" w:rsidRDefault="00520B0E" w:rsidP="008718EB">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6E03A67E" w14:textId="616AACFB" w:rsidR="008718EB" w:rsidRPr="00520B0E"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520B0E">
        <w:rPr>
          <w:rFonts w:ascii="Garamond" w:eastAsiaTheme="minorHAnsi" w:hAnsi="Garamond"/>
          <w:bCs/>
          <w:color w:val="000000"/>
          <w:sz w:val="24"/>
          <w:szCs w:val="24"/>
        </w:rPr>
        <w:t xml:space="preserve">1. </w:t>
      </w:r>
      <w:r w:rsidRPr="00520B0E">
        <w:rPr>
          <w:rFonts w:ascii="Garamond" w:eastAsiaTheme="minorHAnsi" w:hAnsi="Garamond"/>
          <w:color w:val="000000"/>
          <w:sz w:val="24"/>
          <w:szCs w:val="24"/>
        </w:rPr>
        <w:t xml:space="preserve">Praktika profesionale realizohet gjatë vitit të tretë të </w:t>
      </w:r>
      <w:r w:rsidR="00C3630C" w:rsidRPr="00520B0E">
        <w:rPr>
          <w:rFonts w:ascii="Garamond" w:eastAsiaTheme="minorHAnsi" w:hAnsi="Garamond"/>
          <w:color w:val="000000"/>
          <w:sz w:val="24"/>
          <w:szCs w:val="24"/>
        </w:rPr>
        <w:t xml:space="preserve">Programit </w:t>
      </w:r>
      <w:r w:rsidRPr="00520B0E">
        <w:rPr>
          <w:rFonts w:ascii="Garamond" w:eastAsiaTheme="minorHAnsi" w:hAnsi="Garamond"/>
          <w:color w:val="000000"/>
          <w:sz w:val="24"/>
          <w:szCs w:val="24"/>
        </w:rPr>
        <w:t xml:space="preserve">të Formimit Fillestar të Shkollës dhe zgjat 12 muaj, duke filluar më 1 </w:t>
      </w:r>
      <w:r w:rsidR="00C3630C" w:rsidRPr="00520B0E">
        <w:rPr>
          <w:rFonts w:ascii="Garamond" w:eastAsiaTheme="minorHAnsi" w:hAnsi="Garamond"/>
          <w:color w:val="000000"/>
          <w:sz w:val="24"/>
          <w:szCs w:val="24"/>
        </w:rPr>
        <w:t xml:space="preserve">korrik </w:t>
      </w:r>
      <w:r w:rsidRPr="00520B0E">
        <w:rPr>
          <w:rFonts w:ascii="Garamond" w:eastAsiaTheme="minorHAnsi" w:hAnsi="Garamond"/>
          <w:color w:val="000000"/>
          <w:sz w:val="24"/>
          <w:szCs w:val="24"/>
        </w:rPr>
        <w:t xml:space="preserve">deri më 30 </w:t>
      </w:r>
      <w:r w:rsidR="00C3630C" w:rsidRPr="00520B0E">
        <w:rPr>
          <w:rFonts w:ascii="Garamond" w:eastAsiaTheme="minorHAnsi" w:hAnsi="Garamond"/>
          <w:color w:val="000000"/>
          <w:sz w:val="24"/>
          <w:szCs w:val="24"/>
        </w:rPr>
        <w:t xml:space="preserve">qershor </w:t>
      </w:r>
      <w:r w:rsidRPr="00520B0E">
        <w:rPr>
          <w:rFonts w:ascii="Garamond" w:eastAsiaTheme="minorHAnsi" w:hAnsi="Garamond"/>
          <w:color w:val="000000"/>
          <w:sz w:val="24"/>
          <w:szCs w:val="24"/>
        </w:rPr>
        <w:t>të vitit pasardhës.</w:t>
      </w:r>
    </w:p>
    <w:p w14:paraId="1D1721AB" w14:textId="3E95059F" w:rsidR="008718EB" w:rsidRPr="00520B0E" w:rsidRDefault="008718EB" w:rsidP="008718EB">
      <w:pPr>
        <w:autoSpaceDE w:val="0"/>
        <w:autoSpaceDN w:val="0"/>
        <w:adjustRightInd w:val="0"/>
        <w:spacing w:after="0" w:line="240" w:lineRule="auto"/>
        <w:ind w:firstLine="284"/>
        <w:jc w:val="both"/>
        <w:rPr>
          <w:rFonts w:ascii="Garamond" w:eastAsiaTheme="minorHAnsi" w:hAnsi="Garamond"/>
          <w:bCs/>
          <w:color w:val="000000"/>
          <w:sz w:val="24"/>
          <w:szCs w:val="24"/>
        </w:rPr>
      </w:pPr>
      <w:r w:rsidRPr="00520B0E">
        <w:rPr>
          <w:rFonts w:ascii="Garamond" w:eastAsiaTheme="minorHAnsi" w:hAnsi="Garamond"/>
          <w:bCs/>
          <w:color w:val="000000"/>
          <w:sz w:val="24"/>
          <w:szCs w:val="24"/>
        </w:rPr>
        <w:t xml:space="preserve">2. </w:t>
      </w:r>
      <w:r w:rsidRPr="00520B0E">
        <w:rPr>
          <w:rFonts w:ascii="Garamond" w:eastAsiaTheme="minorHAnsi" w:hAnsi="Garamond"/>
          <w:color w:val="000000"/>
          <w:sz w:val="24"/>
          <w:szCs w:val="24"/>
        </w:rPr>
        <w:t>Me qëllim formimin sa më gjithëpërfshirës në veprimtaritë e zyrës së prokurorisë, praktika profesionale ndahet në 3 (tri) periudha,</w:t>
      </w:r>
      <w:r w:rsidRPr="00520B0E">
        <w:rPr>
          <w:rFonts w:ascii="Garamond" w:eastAsiaTheme="minorHAnsi" w:hAnsi="Garamond"/>
          <w:color w:val="EE0000"/>
          <w:sz w:val="24"/>
          <w:szCs w:val="24"/>
        </w:rPr>
        <w:t xml:space="preserve"> </w:t>
      </w:r>
      <w:r w:rsidRPr="00520B0E">
        <w:rPr>
          <w:rFonts w:ascii="Garamond" w:eastAsiaTheme="minorHAnsi" w:hAnsi="Garamond"/>
          <w:color w:val="000000"/>
          <w:sz w:val="24"/>
          <w:szCs w:val="24"/>
        </w:rPr>
        <w:t xml:space="preserve">me nga 4 (katër) muaj secila. </w:t>
      </w:r>
    </w:p>
    <w:p w14:paraId="1B735432" w14:textId="2BD95E76" w:rsidR="008718EB" w:rsidRPr="00520B0E" w:rsidRDefault="008718EB" w:rsidP="008718EB">
      <w:pPr>
        <w:autoSpaceDE w:val="0"/>
        <w:autoSpaceDN w:val="0"/>
        <w:adjustRightInd w:val="0"/>
        <w:spacing w:after="0" w:line="240" w:lineRule="auto"/>
        <w:ind w:firstLine="284"/>
        <w:jc w:val="both"/>
        <w:rPr>
          <w:rFonts w:ascii="Garamond" w:eastAsiaTheme="minorHAnsi" w:hAnsi="Garamond"/>
          <w:bCs/>
          <w:color w:val="000000"/>
          <w:sz w:val="24"/>
          <w:szCs w:val="24"/>
        </w:rPr>
      </w:pPr>
      <w:r w:rsidRPr="00520B0E">
        <w:rPr>
          <w:rFonts w:ascii="Garamond" w:eastAsiaTheme="minorHAnsi" w:hAnsi="Garamond"/>
          <w:bCs/>
          <w:color w:val="000000"/>
          <w:sz w:val="24"/>
          <w:szCs w:val="24"/>
        </w:rPr>
        <w:t xml:space="preserve">3. </w:t>
      </w:r>
      <w:r w:rsidRPr="00520B0E">
        <w:rPr>
          <w:rFonts w:ascii="Garamond" w:eastAsiaTheme="minorHAnsi" w:hAnsi="Garamond"/>
          <w:color w:val="000000"/>
          <w:sz w:val="24"/>
          <w:szCs w:val="24"/>
        </w:rPr>
        <w:t>Këshilli cakton,</w:t>
      </w:r>
      <w:r w:rsidRPr="00520B0E">
        <w:rPr>
          <w:rFonts w:ascii="Garamond" w:eastAsiaTheme="minorHAnsi" w:hAnsi="Garamond"/>
          <w:color w:val="EE0000"/>
          <w:sz w:val="24"/>
          <w:szCs w:val="24"/>
        </w:rPr>
        <w:t xml:space="preserve"> </w:t>
      </w:r>
      <w:r w:rsidRPr="00520B0E">
        <w:rPr>
          <w:rFonts w:ascii="Garamond" w:eastAsiaTheme="minorHAnsi" w:hAnsi="Garamond"/>
          <w:color w:val="000000"/>
          <w:sz w:val="24"/>
          <w:szCs w:val="24"/>
        </w:rPr>
        <w:t>për çdo kandidat për magjistrat, 3 (tre) prokurorë udhëheqës të</w:t>
      </w:r>
      <w:r w:rsidR="006C6939">
        <w:rPr>
          <w:rFonts w:ascii="Garamond" w:eastAsiaTheme="minorHAnsi" w:hAnsi="Garamond"/>
          <w:color w:val="000000"/>
          <w:sz w:val="24"/>
          <w:szCs w:val="24"/>
        </w:rPr>
        <w:t xml:space="preserve"> </w:t>
      </w:r>
      <w:r w:rsidRPr="00520B0E">
        <w:rPr>
          <w:rFonts w:ascii="Garamond" w:eastAsiaTheme="minorHAnsi" w:hAnsi="Garamond"/>
          <w:color w:val="000000"/>
          <w:sz w:val="24"/>
          <w:szCs w:val="24"/>
        </w:rPr>
        <w:t>ndryshëm, për çdo periudhë.</w:t>
      </w:r>
    </w:p>
    <w:p w14:paraId="3271C90C" w14:textId="043E8CEF" w:rsidR="008718EB" w:rsidRPr="008718EB" w:rsidRDefault="008718EB" w:rsidP="008718EB">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20B0E">
        <w:rPr>
          <w:rFonts w:ascii="Garamond" w:eastAsiaTheme="minorHAnsi" w:hAnsi="Garamond"/>
          <w:bCs/>
          <w:color w:val="000000"/>
          <w:sz w:val="24"/>
          <w:szCs w:val="24"/>
        </w:rPr>
        <w:t xml:space="preserve">4. </w:t>
      </w:r>
      <w:r w:rsidRPr="00520B0E">
        <w:rPr>
          <w:rFonts w:ascii="Garamond" w:eastAsiaTheme="minorHAnsi" w:hAnsi="Garamond"/>
          <w:color w:val="000000"/>
          <w:sz w:val="24"/>
          <w:szCs w:val="24"/>
        </w:rPr>
        <w:t>Praktika profesionale në zyrën e prokurorisë zhvillohet përmes ndërveprimit profesional mes kandidatët</w:t>
      </w:r>
      <w:r w:rsidRPr="008718EB">
        <w:rPr>
          <w:rFonts w:ascii="Garamond" w:eastAsiaTheme="minorHAnsi" w:hAnsi="Garamond"/>
          <w:color w:val="000000"/>
          <w:sz w:val="24"/>
          <w:szCs w:val="24"/>
        </w:rPr>
        <w:t xml:space="preserve"> për magjistratë dhe</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magjistratit udhëheqës, me qëllim, por pa u kufizuar në:</w:t>
      </w:r>
    </w:p>
    <w:p w14:paraId="523AA4C1" w14:textId="499D853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a) </w:t>
      </w:r>
      <w:r w:rsidR="00520B0E">
        <w:rPr>
          <w:rFonts w:ascii="Garamond" w:eastAsiaTheme="minorHAnsi" w:hAnsi="Garamond"/>
          <w:color w:val="000000"/>
          <w:sz w:val="24"/>
          <w:szCs w:val="24"/>
        </w:rPr>
        <w:t>p</w:t>
      </w:r>
      <w:r w:rsidRPr="008718EB">
        <w:rPr>
          <w:rFonts w:ascii="Garamond" w:eastAsiaTheme="minorHAnsi" w:hAnsi="Garamond"/>
          <w:color w:val="000000"/>
          <w:sz w:val="24"/>
          <w:szCs w:val="24"/>
        </w:rPr>
        <w:t>ërfshirjen</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sa më shumë që është e mundur</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në aspekte të punës së përditshme të veprimtarisë së magjistratit udhëheqës dhe aktivitete në administrimin e zyrës së prokurorisë;</w:t>
      </w:r>
    </w:p>
    <w:p w14:paraId="2ECF6053" w14:textId="2A1F745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b) përfshirjen në aspektet </w:t>
      </w:r>
      <w:r w:rsidR="002A6250">
        <w:rPr>
          <w:rFonts w:ascii="Garamond" w:eastAsiaTheme="minorHAnsi" w:hAnsi="Garamond"/>
          <w:color w:val="000000"/>
          <w:sz w:val="24"/>
          <w:szCs w:val="24"/>
        </w:rPr>
        <w:t>e</w:t>
      </w:r>
      <w:r w:rsidRPr="008718EB">
        <w:rPr>
          <w:rFonts w:ascii="Garamond" w:eastAsiaTheme="minorHAnsi" w:hAnsi="Garamond"/>
          <w:color w:val="000000"/>
          <w:sz w:val="24"/>
          <w:szCs w:val="24"/>
        </w:rPr>
        <w:t xml:space="preserve"> menaxhimit të çështjeve dhe aktivitete në menaxhimin e dosjeve;</w:t>
      </w:r>
    </w:p>
    <w:p w14:paraId="64AF0C51" w14:textId="2B933E1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c) përfshirjen në shpjegime dhe diskutime për çështjet në proces;</w:t>
      </w:r>
    </w:p>
    <w:p w14:paraId="2A787A29" w14:textId="703AB33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d) pjesëmarrjen në seanca ose në marrjet në pyetje;</w:t>
      </w:r>
    </w:p>
    <w:p w14:paraId="6AF33E99" w14:textId="46B9AD6F" w:rsidR="008718EB" w:rsidRPr="008718EB" w:rsidRDefault="008718EB" w:rsidP="008718EB">
      <w:pPr>
        <w:autoSpaceDE w:val="0"/>
        <w:autoSpaceDN w:val="0"/>
        <w:adjustRightInd w:val="0"/>
        <w:spacing w:after="0" w:line="240" w:lineRule="auto"/>
        <w:ind w:firstLine="284"/>
        <w:jc w:val="both"/>
        <w:rPr>
          <w:rFonts w:ascii="Garamond" w:eastAsiaTheme="minorHAnsi" w:hAnsi="Garamond" w:cs="Calibri"/>
          <w:color w:val="000000"/>
          <w:sz w:val="24"/>
          <w:szCs w:val="24"/>
        </w:rPr>
      </w:pPr>
      <w:r w:rsidRPr="008718EB">
        <w:rPr>
          <w:rFonts w:ascii="Garamond" w:eastAsiaTheme="minorHAnsi" w:hAnsi="Garamond"/>
          <w:color w:val="000000"/>
          <w:sz w:val="24"/>
          <w:szCs w:val="24"/>
        </w:rPr>
        <w:t>e) diskutime mbi aspekte për standardet e etikës dhe rregullat e sjelljes së magjistratëve;</w:t>
      </w:r>
    </w:p>
    <w:p w14:paraId="10B56D45" w14:textId="64A8BFAA"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f) pjesëmarrje dhe diskutime në përgatitjen e </w:t>
      </w:r>
      <w:proofErr w:type="spellStart"/>
      <w:r w:rsidRPr="008718EB">
        <w:rPr>
          <w:rFonts w:ascii="Garamond" w:eastAsiaTheme="minorHAnsi" w:hAnsi="Garamond"/>
          <w:color w:val="000000"/>
          <w:sz w:val="24"/>
          <w:szCs w:val="24"/>
        </w:rPr>
        <w:t>projektakteve</w:t>
      </w:r>
      <w:proofErr w:type="spellEnd"/>
      <w:r w:rsidRPr="008718EB">
        <w:rPr>
          <w:rFonts w:ascii="Garamond" w:eastAsiaTheme="minorHAnsi" w:hAnsi="Garamond"/>
          <w:color w:val="000000"/>
          <w:sz w:val="24"/>
          <w:szCs w:val="24"/>
        </w:rPr>
        <w:t xml:space="preserve"> që lidhen me veprimtarinë e prokurorisë.</w:t>
      </w:r>
    </w:p>
    <w:p w14:paraId="6465654D" w14:textId="77777777" w:rsidR="00520B0E" w:rsidRDefault="00520B0E"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1B2DA2F2" w14:textId="77A7333B"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3</w:t>
      </w:r>
    </w:p>
    <w:p w14:paraId="27E944E3"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Detyrat e Këshillit</w:t>
      </w:r>
    </w:p>
    <w:p w14:paraId="3B0483B2"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73D053A" w14:textId="6816D83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Këshilli përcakton zyrat e prokurorive pranë gjykatave të shkallës së parë të juridiksionit të përgjithshëm, ku do të kryhet praktika profesionale nga kandidatët për magjistratë, bazuar në këto kritere:</w:t>
      </w:r>
    </w:p>
    <w:p w14:paraId="3AFE5970" w14:textId="4572D50C"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a) </w:t>
      </w:r>
      <w:proofErr w:type="spellStart"/>
      <w:r w:rsidRPr="008718EB">
        <w:rPr>
          <w:rFonts w:ascii="Garamond" w:eastAsiaTheme="minorHAnsi" w:hAnsi="Garamond"/>
          <w:color w:val="000000"/>
          <w:sz w:val="24"/>
          <w:szCs w:val="24"/>
        </w:rPr>
        <w:t>disponueshmërinë</w:t>
      </w:r>
      <w:proofErr w:type="spellEnd"/>
      <w:r w:rsidRPr="008718EB">
        <w:rPr>
          <w:rFonts w:ascii="Garamond" w:eastAsiaTheme="minorHAnsi" w:hAnsi="Garamond"/>
          <w:color w:val="000000"/>
          <w:sz w:val="24"/>
          <w:szCs w:val="24"/>
        </w:rPr>
        <w:t xml:space="preserve"> e magjistratëve udhëheqës;</w:t>
      </w:r>
    </w:p>
    <w:p w14:paraId="4AB9EF95" w14:textId="5746AC3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b) plotësimin e kritereve ligjore si magjistrat udhëheqës</w:t>
      </w:r>
      <w:r w:rsidRPr="008718EB">
        <w:rPr>
          <w:rFonts w:ascii="Garamond" w:eastAsiaTheme="minorHAnsi" w:hAnsi="Garamond" w:cs="Calibri"/>
          <w:color w:val="000000"/>
          <w:sz w:val="24"/>
          <w:szCs w:val="24"/>
        </w:rPr>
        <w:t>,</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sipas nenit 8, të kësaj Rregulloreje;</w:t>
      </w:r>
    </w:p>
    <w:p w14:paraId="5A29156C" w14:textId="4C14F872"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c) infrastrukturën e zyrës së Prokurorisë;</w:t>
      </w:r>
    </w:p>
    <w:p w14:paraId="7527B875" w14:textId="24A06A1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d) </w:t>
      </w:r>
      <w:proofErr w:type="spellStart"/>
      <w:r w:rsidRPr="008718EB">
        <w:rPr>
          <w:rFonts w:ascii="Garamond" w:eastAsiaTheme="minorHAnsi" w:hAnsi="Garamond"/>
          <w:color w:val="000000"/>
          <w:sz w:val="24"/>
          <w:szCs w:val="24"/>
        </w:rPr>
        <w:t>disponueshmërinë</w:t>
      </w:r>
      <w:proofErr w:type="spellEnd"/>
      <w:r w:rsidRPr="008718EB">
        <w:rPr>
          <w:rFonts w:ascii="Garamond" w:eastAsiaTheme="minorHAnsi" w:hAnsi="Garamond"/>
          <w:color w:val="000000"/>
          <w:sz w:val="24"/>
          <w:szCs w:val="24"/>
        </w:rPr>
        <w:t xml:space="preserve"> e hapësirës dhe mjediseve të punës për kandidatët për magjistratë; </w:t>
      </w:r>
    </w:p>
    <w:p w14:paraId="0FDC53BF" w14:textId="79C8EF2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e) mundësinë për t’u njohur me zbatimin në praktikë të kuadrit të plotë ligjor në fushën e të drejtës penale (të brendshëm dhe ndërkombëtar), aspektet specifike në hetimin dhe gjykimin e çështjeve penale dhe shumëllojshmërinë e tyre. </w:t>
      </w:r>
    </w:p>
    <w:p w14:paraId="128587F4" w14:textId="61C485AB"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Për caktimin e zyrës së Prokurorisë për kryerjen e praktikës profesionale, Këshilli mban parasysh edhe kërkesat e argumentuara të kandidatëve për magjistratë, që i drejtohen Këshillit. Në këtë rast, ai merr në konsideratë aspekte që lidhen me largësinë</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e vendbanimit, rrethanat familjare apo sociale dhe të tjera, sipas rastit, në funksion të mbarëvajtjes së ndjekjes së praktikës profesionale,</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pa cenuar efikasitetin e ndjekjes së praktikës profesionale dhe duke ruajtur qëllimin për garantimin e një formimi sa më të mirë profesional.</w:t>
      </w:r>
    </w:p>
    <w:p w14:paraId="27BD4CA5" w14:textId="44F7D60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3. Gjatë këtij procesi, Këshilli siguron rotacionin e duhur dhe barazinë mes magjistratëve që plotësojnë kriteret ligjore për të qenë magjistrat udhëheqës. </w:t>
      </w:r>
    </w:p>
    <w:p w14:paraId="243227D7" w14:textId="2F38DCC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4. Këshilli kujdeset dhe merr masa në kohë për zëvendësimin e magjistratit udhëheqës në rastet e lëvizjes paralele, ngritjes në detyrë, komandimit, si dhe në çdo rast tjetër të parashikuar me ligj. </w:t>
      </w:r>
    </w:p>
    <w:p w14:paraId="332F2B0A"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4</w:t>
      </w:r>
    </w:p>
    <w:p w14:paraId="3392E07F"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Roli i magjistratit udhëheqës</w:t>
      </w:r>
    </w:p>
    <w:p w14:paraId="31108B7F"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24BB3504" w14:textId="2D625982"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Në rolin e mentorit, magjistrati udhëheqës drejton dhe mbështet kandidatin për magjistrat gjatë praktikës profesionale. </w:t>
      </w:r>
    </w:p>
    <w:p w14:paraId="3CED9BDE" w14:textId="29A33AB8"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lastRenderedPageBreak/>
        <w:t xml:space="preserve">2. Magjistrati udhëheqës inkurajon, këshillon, ndjek veprimtarinë dhe sjelljen </w:t>
      </w:r>
      <w:proofErr w:type="spellStart"/>
      <w:r w:rsidRPr="008718EB">
        <w:rPr>
          <w:rFonts w:ascii="Garamond" w:eastAsiaTheme="minorHAnsi" w:hAnsi="Garamond"/>
          <w:color w:val="000000"/>
          <w:sz w:val="24"/>
          <w:szCs w:val="24"/>
        </w:rPr>
        <w:t>etiko</w:t>
      </w:r>
      <w:proofErr w:type="spellEnd"/>
      <w:r w:rsidRPr="008718EB">
        <w:rPr>
          <w:rFonts w:ascii="Garamond" w:eastAsiaTheme="minorHAnsi" w:hAnsi="Garamond"/>
          <w:color w:val="000000"/>
          <w:sz w:val="24"/>
          <w:szCs w:val="24"/>
        </w:rPr>
        <w:t>- profesionale dhe informon kandidatin për magjistrat, duke nxjerrë në pah njohuritë teorike në kontekstin praktik të aktivitetit të prokurorisë, brenda dhe jashtë sallës së gjyqit.</w:t>
      </w:r>
    </w:p>
    <w:p w14:paraId="02815D15" w14:textId="6F15B10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3. Magjistrati udhëheqës luan një rol thelbësor për të siguruar që njohuritë dhe përvoja që merr kandidati për magjistrat gjatë praktikës profesionale të jenë efektive dhe të përqendruara në aftësitë profesionale të kandidatit për magjistrat. </w:t>
      </w:r>
    </w:p>
    <w:p w14:paraId="37DCA268" w14:textId="7A605B36"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4. </w:t>
      </w:r>
      <w:proofErr w:type="spellStart"/>
      <w:r w:rsidRPr="008718EB">
        <w:rPr>
          <w:rFonts w:ascii="Garamond" w:eastAsiaTheme="minorHAnsi" w:hAnsi="Garamond"/>
          <w:color w:val="000000"/>
          <w:sz w:val="24"/>
          <w:szCs w:val="24"/>
        </w:rPr>
        <w:t>Mentorimi</w:t>
      </w:r>
      <w:proofErr w:type="spellEnd"/>
      <w:r w:rsidRPr="008718EB">
        <w:rPr>
          <w:rFonts w:ascii="Garamond" w:eastAsiaTheme="minorHAnsi" w:hAnsi="Garamond"/>
          <w:color w:val="000000"/>
          <w:sz w:val="24"/>
          <w:szCs w:val="24"/>
        </w:rPr>
        <w:t xml:space="preserve"> i siguron kandidatit për magjistrat mbështetje për zhvillimin e aftësive profesionale, inkurajon dhe nxit bashkëpunimin me trupin gjykues dhe ndihmon arritjet në praktikë dhe zhvillimin e strukturuar për secilin kandidat për magjistrat.</w:t>
      </w:r>
    </w:p>
    <w:p w14:paraId="264F36F8" w14:textId="26973256"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5. Magjistrati udhëheqës siguron mbështetje, drejtim dhe këshillim, bazuar në legjislacionin në fuqi dhe standardet etike e profesionale, duke gërshetuar njohuritë e marra në formimin fillestar me zbatimin e tyre</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 xml:space="preserve">në praktikë. </w:t>
      </w:r>
    </w:p>
    <w:p w14:paraId="47FC81A3" w14:textId="410012D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6. Procesi i </w:t>
      </w:r>
      <w:proofErr w:type="spellStart"/>
      <w:r w:rsidRPr="008718EB">
        <w:rPr>
          <w:rFonts w:ascii="Garamond" w:eastAsiaTheme="minorHAnsi" w:hAnsi="Garamond"/>
          <w:color w:val="000000"/>
          <w:sz w:val="24"/>
          <w:szCs w:val="24"/>
        </w:rPr>
        <w:t>mentorimit</w:t>
      </w:r>
      <w:proofErr w:type="spellEnd"/>
      <w:r w:rsidRPr="008718EB">
        <w:rPr>
          <w:rFonts w:ascii="Garamond" w:eastAsiaTheme="minorHAnsi" w:hAnsi="Garamond"/>
          <w:color w:val="000000"/>
          <w:sz w:val="24"/>
          <w:szCs w:val="24"/>
        </w:rPr>
        <w:t xml:space="preserve"> dhe pjesëmarrja e kandidatit për magjistrat në aktivitetin profesional të magjistratit udhëheqës mbështet zhvillimin individual,</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duke e ndihmuar të identifikojë dhe zhvillojë aftësitë për veprimtarinë e prokurorisë, si dhe të çdo nevoje tjetër për trajnim dhe zhvillim.</w:t>
      </w:r>
    </w:p>
    <w:p w14:paraId="3D06373C"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3281DDA7"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5</w:t>
      </w:r>
    </w:p>
    <w:p w14:paraId="3B2115E0"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Detyrat e magjistratit udhëheqës</w:t>
      </w:r>
    </w:p>
    <w:p w14:paraId="20EEDDD5"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7F5113C7" w14:textId="62C4549C"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Magjistratët udhëheqës në program garantojnë marrjen e përvojës profesionale në fushën e të drejtës penale. </w:t>
      </w:r>
    </w:p>
    <w:p w14:paraId="6470BE97" w14:textId="62A3F1B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Roli i magjistratit udhëheqës përfshin detyrat e mëposhtme:</w:t>
      </w:r>
    </w:p>
    <w:p w14:paraId="544C8617" w14:textId="4DF31CA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i. </w:t>
      </w:r>
      <w:r w:rsidR="00520B0E" w:rsidRPr="008718EB">
        <w:rPr>
          <w:rFonts w:ascii="Garamond" w:eastAsiaTheme="minorHAnsi" w:hAnsi="Garamond"/>
          <w:color w:val="000000"/>
          <w:sz w:val="24"/>
          <w:szCs w:val="24"/>
        </w:rPr>
        <w:t xml:space="preserve">siguron </w:t>
      </w:r>
      <w:r w:rsidRPr="008718EB">
        <w:rPr>
          <w:rFonts w:ascii="Garamond" w:eastAsiaTheme="minorHAnsi" w:hAnsi="Garamond"/>
          <w:color w:val="000000"/>
          <w:sz w:val="24"/>
          <w:szCs w:val="24"/>
        </w:rPr>
        <w:t>informacion mbi rolin e prokurorit, sjelljen dhe rregulloret;</w:t>
      </w:r>
    </w:p>
    <w:p w14:paraId="16C0F507" w14:textId="480BE82D"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ii</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dëgjon</w:t>
      </w:r>
      <w:r w:rsidRPr="008718EB">
        <w:rPr>
          <w:rFonts w:ascii="Garamond" w:eastAsiaTheme="minorHAnsi" w:hAnsi="Garamond"/>
          <w:color w:val="000000"/>
          <w:sz w:val="24"/>
          <w:szCs w:val="24"/>
        </w:rPr>
        <w:t>, pyet dhe mbledh informacion nga kandidati për magjistrat, lidhur me aftësitë e tij;</w:t>
      </w:r>
    </w:p>
    <w:p w14:paraId="0384CAC3" w14:textId="2CDF6B1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iii</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mbështet </w:t>
      </w:r>
      <w:r w:rsidRPr="008718EB">
        <w:rPr>
          <w:rFonts w:ascii="Garamond" w:eastAsiaTheme="minorHAnsi" w:hAnsi="Garamond"/>
          <w:color w:val="000000"/>
          <w:sz w:val="24"/>
          <w:szCs w:val="24"/>
        </w:rPr>
        <w:t>procesin e praktikës dhe zhvillimit personal;</w:t>
      </w:r>
    </w:p>
    <w:p w14:paraId="18635DAE" w14:textId="1219001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iv</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inkurajon </w:t>
      </w:r>
      <w:r w:rsidRPr="008718EB">
        <w:rPr>
          <w:rFonts w:ascii="Garamond" w:eastAsiaTheme="minorHAnsi" w:hAnsi="Garamond"/>
          <w:color w:val="000000"/>
          <w:sz w:val="24"/>
          <w:szCs w:val="24"/>
        </w:rPr>
        <w:t>kandidatin për magjistrat për të marrë përgjegjësitë për zhvillimin e tij individual;</w:t>
      </w:r>
    </w:p>
    <w:p w14:paraId="370D9096" w14:textId="64D5483D"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v. </w:t>
      </w:r>
      <w:r w:rsidR="00520B0E" w:rsidRPr="008718EB">
        <w:rPr>
          <w:rFonts w:ascii="Garamond" w:eastAsiaTheme="minorHAnsi" w:hAnsi="Garamond"/>
          <w:color w:val="000000"/>
          <w:sz w:val="24"/>
          <w:szCs w:val="24"/>
        </w:rPr>
        <w:t xml:space="preserve">vëzhgon </w:t>
      </w:r>
      <w:proofErr w:type="spellStart"/>
      <w:r w:rsidRPr="008718EB">
        <w:rPr>
          <w:rFonts w:ascii="Garamond" w:eastAsiaTheme="minorHAnsi" w:hAnsi="Garamond"/>
          <w:color w:val="000000"/>
          <w:sz w:val="24"/>
          <w:szCs w:val="24"/>
        </w:rPr>
        <w:t>performancën</w:t>
      </w:r>
      <w:proofErr w:type="spellEnd"/>
      <w:r w:rsidRPr="008718EB">
        <w:rPr>
          <w:rFonts w:ascii="Garamond" w:eastAsiaTheme="minorHAnsi" w:hAnsi="Garamond"/>
          <w:color w:val="000000"/>
          <w:sz w:val="24"/>
          <w:szCs w:val="24"/>
        </w:rPr>
        <w:t xml:space="preserve"> e kandidatit për magjistrat;</w:t>
      </w:r>
    </w:p>
    <w:p w14:paraId="1E70A30F" w14:textId="19ADC63E"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vi</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identifikon </w:t>
      </w:r>
      <w:r w:rsidRPr="008718EB">
        <w:rPr>
          <w:rFonts w:ascii="Garamond" w:eastAsiaTheme="minorHAnsi" w:hAnsi="Garamond"/>
          <w:color w:val="000000"/>
          <w:sz w:val="24"/>
          <w:szCs w:val="24"/>
        </w:rPr>
        <w:t xml:space="preserve">nevojat për trajnim dhe zhvillim të magjistratëve dhe, kur çmon se këto nevoja mund të përmbushen shpejt, ndihmon kandidatin për magjistrat të gjejë mënyrat për përmbushjen e tyre, si dhe raporton në lidhje me to, në Shkollën e Magjistraturës; </w:t>
      </w:r>
    </w:p>
    <w:p w14:paraId="622C44BF" w14:textId="280D5D5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vii</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siguron </w:t>
      </w:r>
      <w:r w:rsidRPr="008718EB">
        <w:rPr>
          <w:rFonts w:ascii="Garamond" w:eastAsiaTheme="minorHAnsi" w:hAnsi="Garamond"/>
          <w:color w:val="000000"/>
          <w:sz w:val="24"/>
          <w:szCs w:val="24"/>
        </w:rPr>
        <w:t>pjesëmarrjen e kandidatit për magjistrat në</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 xml:space="preserve">hetim dhe gjykim për të paktën 10 kallëzime/procedime penale në muaj, sipas seksioneve në prokurori (3 prej të cilat të jenë në fazë gjykimi; të paktën 1 me person të arrestuar në flagrancë; jo më shumë se 3 për të cilat vendoset </w:t>
      </w:r>
      <w:proofErr w:type="spellStart"/>
      <w:r w:rsidRPr="008718EB">
        <w:rPr>
          <w:rFonts w:ascii="Garamond" w:eastAsiaTheme="minorHAnsi" w:hAnsi="Garamond"/>
          <w:color w:val="000000"/>
          <w:sz w:val="24"/>
          <w:szCs w:val="24"/>
        </w:rPr>
        <w:t>mosfillim</w:t>
      </w:r>
      <w:proofErr w:type="spellEnd"/>
      <w:r w:rsidRPr="008718EB">
        <w:rPr>
          <w:rFonts w:ascii="Garamond" w:eastAsiaTheme="minorHAnsi" w:hAnsi="Garamond"/>
          <w:color w:val="000000"/>
          <w:sz w:val="24"/>
          <w:szCs w:val="24"/>
        </w:rPr>
        <w:t xml:space="preserve">), të regjistruara për vepra penale për të cilat ligji penal parashikon dënimin deri në 10 (dhjetë) </w:t>
      </w:r>
      <w:r w:rsidR="002F2F40">
        <w:rPr>
          <w:rFonts w:ascii="Garamond" w:eastAsiaTheme="minorHAnsi" w:hAnsi="Garamond"/>
          <w:color w:val="000000"/>
          <w:sz w:val="24"/>
          <w:szCs w:val="24"/>
        </w:rPr>
        <w:t>vjet</w:t>
      </w:r>
      <w:r w:rsidRPr="008718EB">
        <w:rPr>
          <w:rFonts w:ascii="Garamond" w:eastAsiaTheme="minorHAnsi" w:hAnsi="Garamond"/>
          <w:color w:val="000000"/>
          <w:sz w:val="24"/>
          <w:szCs w:val="24"/>
        </w:rPr>
        <w:t xml:space="preserve"> burgim;</w:t>
      </w:r>
    </w:p>
    <w:p w14:paraId="57564C78" w14:textId="3022231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viii</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mbikëqyr </w:t>
      </w:r>
      <w:r w:rsidRPr="008718EB">
        <w:rPr>
          <w:rFonts w:ascii="Garamond" w:eastAsiaTheme="minorHAnsi" w:hAnsi="Garamond"/>
          <w:color w:val="000000"/>
          <w:sz w:val="24"/>
          <w:szCs w:val="24"/>
        </w:rPr>
        <w:t xml:space="preserve">zbatimin e rregullave </w:t>
      </w:r>
      <w:proofErr w:type="spellStart"/>
      <w:r w:rsidRPr="008718EB">
        <w:rPr>
          <w:rFonts w:ascii="Garamond" w:eastAsiaTheme="minorHAnsi" w:hAnsi="Garamond"/>
          <w:color w:val="000000"/>
          <w:sz w:val="24"/>
          <w:szCs w:val="24"/>
        </w:rPr>
        <w:t>etikoprofesionale</w:t>
      </w:r>
      <w:proofErr w:type="spellEnd"/>
      <w:r w:rsidRPr="008718EB">
        <w:rPr>
          <w:rFonts w:ascii="Garamond" w:eastAsiaTheme="minorHAnsi" w:hAnsi="Garamond"/>
          <w:color w:val="000000"/>
          <w:sz w:val="24"/>
          <w:szCs w:val="24"/>
        </w:rPr>
        <w:t xml:space="preserve"> nga kandidati për magjistrat dhe raporton te</w:t>
      </w:r>
      <w:bookmarkStart w:id="0" w:name="_GoBack"/>
      <w:bookmarkEnd w:id="0"/>
      <w:r w:rsidRPr="008718EB">
        <w:rPr>
          <w:rFonts w:ascii="Garamond" w:eastAsiaTheme="minorHAnsi" w:hAnsi="Garamond"/>
          <w:color w:val="000000"/>
          <w:sz w:val="24"/>
          <w:szCs w:val="24"/>
        </w:rPr>
        <w:t xml:space="preserve"> drejtuesi i zyrës së Prokurorisë mbi problematikat e vërejtura</w:t>
      </w:r>
      <w:r w:rsidR="00020B4B">
        <w:rPr>
          <w:rFonts w:ascii="Garamond" w:eastAsiaTheme="minorHAnsi" w:hAnsi="Garamond"/>
          <w:color w:val="000000"/>
          <w:sz w:val="24"/>
          <w:szCs w:val="24"/>
        </w:rPr>
        <w:t>;</w:t>
      </w:r>
    </w:p>
    <w:p w14:paraId="24C085D1" w14:textId="2162022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8718EB">
        <w:rPr>
          <w:rFonts w:ascii="Garamond" w:eastAsiaTheme="minorHAnsi" w:hAnsi="Garamond"/>
          <w:color w:val="000000"/>
          <w:sz w:val="24"/>
          <w:szCs w:val="24"/>
        </w:rPr>
        <w:t>ix</w:t>
      </w:r>
      <w:proofErr w:type="spellEnd"/>
      <w:r w:rsidRPr="008718EB">
        <w:rPr>
          <w:rFonts w:ascii="Garamond" w:eastAsiaTheme="minorHAnsi" w:hAnsi="Garamond"/>
          <w:color w:val="000000"/>
          <w:sz w:val="24"/>
          <w:szCs w:val="24"/>
        </w:rPr>
        <w:t xml:space="preserve">. </w:t>
      </w:r>
      <w:r w:rsidR="00520B0E" w:rsidRPr="008718EB">
        <w:rPr>
          <w:rFonts w:ascii="Garamond" w:eastAsiaTheme="minorHAnsi" w:hAnsi="Garamond"/>
          <w:color w:val="000000"/>
          <w:sz w:val="24"/>
          <w:szCs w:val="24"/>
        </w:rPr>
        <w:t xml:space="preserve">vepron </w:t>
      </w:r>
      <w:r w:rsidRPr="008718EB">
        <w:rPr>
          <w:rFonts w:ascii="Garamond" w:eastAsiaTheme="minorHAnsi" w:hAnsi="Garamond"/>
          <w:color w:val="000000"/>
          <w:sz w:val="24"/>
          <w:szCs w:val="24"/>
        </w:rPr>
        <w:t xml:space="preserve">me integritet, objektivitet dhe paanësi, si dhe duke u përmbajtur nga ndonjë veprim që mund të krijojë konflikt interesi sipas ligjit ose që minon pavarësinë e </w:t>
      </w:r>
      <w:proofErr w:type="spellStart"/>
      <w:r w:rsidRPr="008718EB">
        <w:rPr>
          <w:rFonts w:ascii="Garamond" w:eastAsiaTheme="minorHAnsi" w:hAnsi="Garamond"/>
          <w:color w:val="000000"/>
          <w:sz w:val="24"/>
          <w:szCs w:val="24"/>
        </w:rPr>
        <w:t>mentorimit</w:t>
      </w:r>
      <w:proofErr w:type="spellEnd"/>
      <w:r w:rsidRPr="008718EB">
        <w:rPr>
          <w:rFonts w:ascii="Garamond" w:eastAsiaTheme="minorHAnsi" w:hAnsi="Garamond"/>
          <w:color w:val="000000"/>
          <w:sz w:val="24"/>
          <w:szCs w:val="24"/>
        </w:rPr>
        <w:t xml:space="preserve"> të tij. </w:t>
      </w:r>
    </w:p>
    <w:p w14:paraId="3C4E1249"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675967AF"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6</w:t>
      </w:r>
    </w:p>
    <w:p w14:paraId="477F7619"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Detyrat e kandidatit për magjistrat</w:t>
      </w:r>
    </w:p>
    <w:p w14:paraId="7FE277AB"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E15CC1D" w14:textId="7EFC1A08"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Përpara çdo vendimmarrje apo përpilimit të një akti të rëndësishëm procedural, kandidati për magjistrat konsultohet me magjistratin udhëheqës,</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dhe në çdo rast,</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 xml:space="preserve">kryen veprimet e përcaktuara nga magjistrati udhëheqës. </w:t>
      </w:r>
    </w:p>
    <w:p w14:paraId="15444B15" w14:textId="506809CA"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lastRenderedPageBreak/>
        <w:t>2. Kandidati për magjistrat merr pjesë në seancat gjyqësore të ndjekura nga magjistrati udhëheqës</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dhe për dosjet e caktuara atij merr pjesë në përpilimin e akteve të prokurorit, sipas kritereve dhe kërkesave të ligjit procedural penal.</w:t>
      </w:r>
    </w:p>
    <w:p w14:paraId="7801103C" w14:textId="0A09553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3. Pas përfundimit të gjykimit dhe dhënies së vendimit, nën mbikëqyrjen e magjistratit udhëheqës, kandidati për magjistrat kryen veprimet administrative për arkivimin e dosjes.</w:t>
      </w:r>
    </w:p>
    <w:p w14:paraId="5BD8C30F" w14:textId="4B8C834B"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4. Kandidati për magjistrat mban bashkëpunim të ngushtë me magjistratin udhëheqës dhe sigurohet, që çështjet profesionale që trajtohen gjatë praktikës profesionale,</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 xml:space="preserve">të mbahen </w:t>
      </w:r>
      <w:proofErr w:type="spellStart"/>
      <w:r w:rsidRPr="008718EB">
        <w:rPr>
          <w:rFonts w:ascii="Garamond" w:eastAsiaTheme="minorHAnsi" w:hAnsi="Garamond"/>
          <w:color w:val="000000"/>
          <w:sz w:val="24"/>
          <w:szCs w:val="24"/>
        </w:rPr>
        <w:t>konfidenciale</w:t>
      </w:r>
      <w:proofErr w:type="spellEnd"/>
      <w:r w:rsidRPr="008718EB">
        <w:rPr>
          <w:rFonts w:ascii="Garamond" w:eastAsiaTheme="minorHAnsi" w:hAnsi="Garamond"/>
          <w:color w:val="000000"/>
          <w:sz w:val="24"/>
          <w:szCs w:val="24"/>
        </w:rPr>
        <w:t>.</w:t>
      </w:r>
    </w:p>
    <w:p w14:paraId="25BFFAA1"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50FEC6B5"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7</w:t>
      </w:r>
    </w:p>
    <w:p w14:paraId="5919EDE3"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Vlerësimi i kandidatit për magjistrat</w:t>
      </w:r>
    </w:p>
    <w:p w14:paraId="33DED39A"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52C7F907" w14:textId="3E559898"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Çdo magjistrat udhëheqës, në fund të çdo periudhe </w:t>
      </w:r>
      <w:r w:rsidR="006C6939" w:rsidRPr="008718EB">
        <w:rPr>
          <w:rFonts w:ascii="Garamond" w:eastAsiaTheme="minorHAnsi" w:hAnsi="Garamond"/>
          <w:color w:val="000000"/>
          <w:sz w:val="24"/>
          <w:szCs w:val="24"/>
        </w:rPr>
        <w:t>4</w:t>
      </w:r>
      <w:r w:rsidR="006C6939">
        <w:rPr>
          <w:rFonts w:ascii="Garamond" w:eastAsiaTheme="minorHAnsi" w:hAnsi="Garamond"/>
          <w:color w:val="000000"/>
          <w:sz w:val="24"/>
          <w:szCs w:val="24"/>
        </w:rPr>
        <w:t>-</w:t>
      </w:r>
      <w:r w:rsidR="006C6939" w:rsidRPr="008718EB">
        <w:rPr>
          <w:rFonts w:ascii="Garamond" w:eastAsiaTheme="minorHAnsi" w:hAnsi="Garamond"/>
          <w:color w:val="000000"/>
          <w:sz w:val="24"/>
          <w:szCs w:val="24"/>
        </w:rPr>
        <w:t>mujore (</w:t>
      </w:r>
      <w:proofErr w:type="spellStart"/>
      <w:r w:rsidR="006C6939" w:rsidRPr="008718EB">
        <w:rPr>
          <w:rFonts w:ascii="Garamond" w:eastAsiaTheme="minorHAnsi" w:hAnsi="Garamond"/>
          <w:color w:val="000000"/>
          <w:sz w:val="24"/>
          <w:szCs w:val="24"/>
        </w:rPr>
        <w:t>katërmujore</w:t>
      </w:r>
      <w:proofErr w:type="spellEnd"/>
      <w:r w:rsidR="006C6939" w:rsidRPr="008718EB">
        <w:rPr>
          <w:rFonts w:ascii="Garamond" w:eastAsiaTheme="minorHAnsi" w:hAnsi="Garamond"/>
          <w:color w:val="000000"/>
          <w:sz w:val="24"/>
          <w:szCs w:val="24"/>
        </w:rPr>
        <w:t>)</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të praktikës profesionale</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vlerëson cilësitë etike dhe profesionale të kandidatit për magjistrat, duke u bazuar në kriteret dhe nivelet e vlerësimit të përcaktuara në </w:t>
      </w:r>
      <w:r w:rsidR="00520B0E">
        <w:rPr>
          <w:rFonts w:ascii="Garamond" w:eastAsiaTheme="minorHAnsi" w:hAnsi="Garamond"/>
          <w:color w:val="000000"/>
          <w:sz w:val="24"/>
          <w:szCs w:val="24"/>
        </w:rPr>
        <w:t>l</w:t>
      </w:r>
      <w:r w:rsidRPr="008718EB">
        <w:rPr>
          <w:rFonts w:ascii="Garamond" w:eastAsiaTheme="minorHAnsi" w:hAnsi="Garamond"/>
          <w:color w:val="000000"/>
          <w:sz w:val="24"/>
          <w:szCs w:val="24"/>
        </w:rPr>
        <w:t>igjin nr. 96/2016, “Për statusin e gjyqtarëve dhe prokurorëve në Republikën e Shqipërisë”, i ndryshuar.</w:t>
      </w:r>
    </w:p>
    <w:p w14:paraId="5CA95A08" w14:textId="2D7DD6E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Vlerësimi bëhet përmes Formularit të Vlerësimit të miratuar nga Shkolla e Magjistraturës dhe evidenton cilësitë etike dhe profesionale të kandidatit për magjistrat, dhe në veçanti:</w:t>
      </w:r>
    </w:p>
    <w:p w14:paraId="67EFD299"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a) aftësitë profesionale;</w:t>
      </w:r>
    </w:p>
    <w:p w14:paraId="766F34C9"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b) aftësitë organizative;</w:t>
      </w:r>
    </w:p>
    <w:p w14:paraId="2348F0DE"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c) etikën dhe angazhimin ndaj vlerave profesionale të prokurorit;</w:t>
      </w:r>
    </w:p>
    <w:p w14:paraId="404D3337"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ç) aftësitë personale dhe angazhimi profesional.</w:t>
      </w:r>
    </w:p>
    <w:p w14:paraId="6CB29227" w14:textId="423348D6"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3. Formulari i vlerësimit etik dhe profesional, shoqëruar nga procesverbali përkatës, nënshkruhen nga magjistrati udhëheqës dhe drejtuesi i zyrës së Prokurorisë.</w:t>
      </w:r>
      <w:r w:rsidR="006C6939">
        <w:rPr>
          <w:rFonts w:ascii="Garamond" w:eastAsiaTheme="minorHAnsi" w:hAnsi="Garamond"/>
          <w:color w:val="000000"/>
          <w:sz w:val="24"/>
          <w:szCs w:val="24"/>
        </w:rPr>
        <w:t xml:space="preserve"> </w:t>
      </w:r>
    </w:p>
    <w:p w14:paraId="199DE5D2" w14:textId="1F4DE796"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4. Formulari i njoftohet kandidatit për magjistrat,</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 xml:space="preserve">i cili brenda 5 </w:t>
      </w:r>
      <w:r w:rsidR="00520B0E">
        <w:rPr>
          <w:rFonts w:ascii="Garamond" w:eastAsiaTheme="minorHAnsi" w:hAnsi="Garamond"/>
          <w:color w:val="000000"/>
          <w:sz w:val="24"/>
          <w:szCs w:val="24"/>
        </w:rPr>
        <w:t>(</w:t>
      </w:r>
      <w:r w:rsidRPr="008718EB">
        <w:rPr>
          <w:rFonts w:ascii="Garamond" w:eastAsiaTheme="minorHAnsi" w:hAnsi="Garamond"/>
          <w:color w:val="000000"/>
          <w:sz w:val="24"/>
          <w:szCs w:val="24"/>
        </w:rPr>
        <w:t xml:space="preserve">pesë) ditëve ka të drejtë të bëjë komente ose shpjegime shtesë. </w:t>
      </w:r>
    </w:p>
    <w:p w14:paraId="5986624F" w14:textId="25DB8A2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5. Formulari i shoqëruar me komentet ose shpjegimet shtesë të kandidatit për magjistrat, kur ka të tilla, i dërgohet Këshillit dhe Shkollës, brenda 20 (njëzet) ditëve nga dita e mbarimit të çdo periudhe </w:t>
      </w:r>
      <w:r w:rsidR="00520B0E" w:rsidRPr="008718EB">
        <w:rPr>
          <w:rFonts w:ascii="Garamond" w:eastAsiaTheme="minorHAnsi" w:hAnsi="Garamond"/>
          <w:color w:val="000000"/>
          <w:sz w:val="24"/>
          <w:szCs w:val="24"/>
        </w:rPr>
        <w:t>4</w:t>
      </w:r>
      <w:r w:rsidR="00520B0E">
        <w:rPr>
          <w:rFonts w:ascii="Garamond" w:eastAsiaTheme="minorHAnsi" w:hAnsi="Garamond"/>
          <w:color w:val="000000"/>
          <w:sz w:val="24"/>
          <w:szCs w:val="24"/>
        </w:rPr>
        <w:t>-</w:t>
      </w:r>
      <w:r w:rsidR="00520B0E" w:rsidRPr="008718EB">
        <w:rPr>
          <w:rFonts w:ascii="Garamond" w:eastAsiaTheme="minorHAnsi" w:hAnsi="Garamond"/>
          <w:color w:val="000000"/>
          <w:sz w:val="24"/>
          <w:szCs w:val="24"/>
        </w:rPr>
        <w:t xml:space="preserve">mujore </w:t>
      </w:r>
      <w:r w:rsidRPr="008718EB">
        <w:rPr>
          <w:rFonts w:ascii="Garamond" w:eastAsiaTheme="minorHAnsi" w:hAnsi="Garamond"/>
          <w:color w:val="000000"/>
          <w:sz w:val="24"/>
          <w:szCs w:val="24"/>
        </w:rPr>
        <w:t>(</w:t>
      </w:r>
      <w:proofErr w:type="spellStart"/>
      <w:r w:rsidRPr="008718EB">
        <w:rPr>
          <w:rFonts w:ascii="Garamond" w:eastAsiaTheme="minorHAnsi" w:hAnsi="Garamond"/>
          <w:color w:val="000000"/>
          <w:sz w:val="24"/>
          <w:szCs w:val="24"/>
        </w:rPr>
        <w:t>katër</w:t>
      </w:r>
      <w:r w:rsidR="00520B0E" w:rsidRPr="008718EB">
        <w:rPr>
          <w:rFonts w:ascii="Garamond" w:eastAsiaTheme="minorHAnsi" w:hAnsi="Garamond"/>
          <w:color w:val="000000"/>
          <w:sz w:val="24"/>
          <w:szCs w:val="24"/>
        </w:rPr>
        <w:t>mujore</w:t>
      </w:r>
      <w:proofErr w:type="spellEnd"/>
      <w:r w:rsidRPr="008718EB">
        <w:rPr>
          <w:rFonts w:ascii="Garamond" w:eastAsiaTheme="minorHAnsi" w:hAnsi="Garamond"/>
          <w:color w:val="000000"/>
          <w:sz w:val="24"/>
          <w:szCs w:val="24"/>
        </w:rPr>
        <w:t>) të praktikës profesionale.</w:t>
      </w:r>
    </w:p>
    <w:p w14:paraId="1376534F"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211E41CC"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8</w:t>
      </w:r>
    </w:p>
    <w:p w14:paraId="20CEE8BB"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Kriteret e caktimit të magjistratit udhëheqës</w:t>
      </w:r>
    </w:p>
    <w:p w14:paraId="42051C22"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3CC31B8F" w14:textId="4D94015D"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Në caktimin e magjistratit udhëheqës Këshilli mban parasysh kriteret e vendosura në këtë nen. Këto kritere nevojitet të përmbushen</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njëkohësisht</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nga ana e magjistratit udhëheqës. </w:t>
      </w:r>
    </w:p>
    <w:p w14:paraId="24051DAF" w14:textId="694025BB"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Kriteret për caktimin si magjistrat udhëheqës janë:</w:t>
      </w:r>
    </w:p>
    <w:p w14:paraId="73508927" w14:textId="7318FC75"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a) të ketë të paktën 5 (pesë) vjet përvojë si prokuror; </w:t>
      </w:r>
    </w:p>
    <w:p w14:paraId="73AAA16A" w14:textId="3065ECF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b) të jetë vlerësuar në përputhje me </w:t>
      </w:r>
      <w:r w:rsidR="00520B0E">
        <w:rPr>
          <w:rFonts w:ascii="Garamond" w:eastAsiaTheme="minorHAnsi" w:hAnsi="Garamond"/>
          <w:color w:val="000000"/>
          <w:sz w:val="24"/>
          <w:szCs w:val="24"/>
        </w:rPr>
        <w:t>l</w:t>
      </w:r>
      <w:r w:rsidRPr="008718EB">
        <w:rPr>
          <w:rFonts w:ascii="Garamond" w:eastAsiaTheme="minorHAnsi" w:hAnsi="Garamond"/>
          <w:color w:val="000000"/>
          <w:sz w:val="24"/>
          <w:szCs w:val="24"/>
        </w:rPr>
        <w:t xml:space="preserve">igjin nr. 96/2016, “Për statusin e gjyqtarëve dhe prokurorëve në Republikën e Shqipërisë”, i ndryshuar, të paktën </w:t>
      </w:r>
      <w:r w:rsidRPr="008718EB">
        <w:rPr>
          <w:rFonts w:ascii="Garamond" w:eastAsiaTheme="minorHAnsi" w:hAnsi="Garamond"/>
          <w:i/>
          <w:iCs/>
          <w:color w:val="000000"/>
          <w:sz w:val="24"/>
          <w:szCs w:val="24"/>
        </w:rPr>
        <w:t>“Shumë mirë”</w:t>
      </w:r>
      <w:r w:rsidRPr="008718EB">
        <w:rPr>
          <w:rFonts w:ascii="Garamond" w:eastAsiaTheme="minorHAnsi" w:hAnsi="Garamond"/>
          <w:color w:val="000000"/>
          <w:sz w:val="24"/>
          <w:szCs w:val="24"/>
        </w:rPr>
        <w:t xml:space="preserve"> në vlerësimin e fundit etik dhe profesional;</w:t>
      </w:r>
    </w:p>
    <w:p w14:paraId="73FF5046" w14:textId="1A4D8EA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c) të ketë përfunduar me sukses trajnimin për magjistrat udhëheqës në 3 (tre) </w:t>
      </w:r>
      <w:r w:rsidR="00520B0E">
        <w:rPr>
          <w:rFonts w:ascii="Garamond" w:eastAsiaTheme="minorHAnsi" w:hAnsi="Garamond"/>
          <w:color w:val="000000"/>
          <w:sz w:val="24"/>
          <w:szCs w:val="24"/>
        </w:rPr>
        <w:t>vjetët</w:t>
      </w:r>
      <w:r w:rsidRPr="008718EB">
        <w:rPr>
          <w:rFonts w:ascii="Garamond" w:eastAsiaTheme="minorHAnsi" w:hAnsi="Garamond"/>
          <w:color w:val="000000"/>
          <w:sz w:val="24"/>
          <w:szCs w:val="24"/>
        </w:rPr>
        <w:t xml:space="preserve"> e fundit, në Shkollën e Magjistraturës;</w:t>
      </w:r>
    </w:p>
    <w:p w14:paraId="24B77582" w14:textId="2CC3A845"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d) të mos ketë qenë subjekt i masave disiplinore; </w:t>
      </w:r>
    </w:p>
    <w:p w14:paraId="2D23BB3E" w14:textId="519CEDE5"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e) të ketë respektuar afatet ligjore për hetimin apo gjykimin e çështjeve, të paktën në vitin paraardhës</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përpara se të caktohet si magjistrat udhëheqës.</w:t>
      </w:r>
    </w:p>
    <w:p w14:paraId="4ED30A25" w14:textId="40C1360C"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3. Me qëllim verifikimin e përmbushjes së kritereve të mësipërme, Këshilli siguron informacionin dhe dokumentacionin e nevojshëm nga institucionet përgjegjëse. </w:t>
      </w:r>
    </w:p>
    <w:p w14:paraId="1139185E" w14:textId="2C67815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4. Magjistrati udhëheqës përfiton 5 % (pesë për qind) shtesë page mbi pagën mujore </w:t>
      </w:r>
      <w:r w:rsidRPr="008718EB">
        <w:rPr>
          <w:rFonts w:ascii="Garamond" w:eastAsiaTheme="minorHAnsi" w:hAnsi="Garamond"/>
          <w:i/>
          <w:iCs/>
          <w:color w:val="000000"/>
          <w:sz w:val="24"/>
          <w:szCs w:val="24"/>
        </w:rPr>
        <w:t>bruto</w:t>
      </w:r>
      <w:r w:rsidRPr="008718EB">
        <w:rPr>
          <w:rFonts w:ascii="Garamond" w:eastAsiaTheme="minorHAnsi" w:hAnsi="Garamond"/>
          <w:color w:val="000000"/>
          <w:sz w:val="24"/>
          <w:szCs w:val="24"/>
        </w:rPr>
        <w:t xml:space="preserve"> fillestare</w:t>
      </w:r>
      <w:r w:rsidRPr="008718EB">
        <w:rPr>
          <w:rFonts w:ascii="Garamond" w:eastAsiaTheme="minorHAnsi" w:hAnsi="Garamond" w:cs="Calibri"/>
          <w:color w:val="000000"/>
          <w:sz w:val="24"/>
          <w:szCs w:val="24"/>
        </w:rPr>
        <w:t>,</w:t>
      </w:r>
      <w:r w:rsidRPr="008718EB">
        <w:rPr>
          <w:rFonts w:ascii="Garamond" w:eastAsiaTheme="minorHAnsi" w:hAnsi="Garamond"/>
          <w:color w:val="000000"/>
          <w:sz w:val="24"/>
          <w:szCs w:val="24"/>
        </w:rPr>
        <w:t xml:space="preserve"> për periudhën që kryen detyrën si magjistrat udhëheqës. </w:t>
      </w:r>
    </w:p>
    <w:p w14:paraId="56688957"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s="Calibri"/>
          <w:color w:val="000000"/>
          <w:sz w:val="24"/>
          <w:szCs w:val="24"/>
        </w:rPr>
      </w:pPr>
    </w:p>
    <w:p w14:paraId="0369BB7B"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9</w:t>
      </w:r>
    </w:p>
    <w:p w14:paraId="0A4A0E3E"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Procedura e caktimit të magjistratëve udhëheqës</w:t>
      </w:r>
    </w:p>
    <w:p w14:paraId="3E3A8799" w14:textId="77777777" w:rsidR="00520B0E" w:rsidRDefault="00520B0E"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5611089C" w14:textId="720575AE"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Çdo 3 (tre) vjet, Këshilli publikon thirrjen për aplikime për magjistratë udhëheqës që plotëson nevojat e kandidatëve për magjistratë që kryejnë praktikën profesionale në vitin e tretë të programit të Formimit Fillestar. </w:t>
      </w:r>
    </w:p>
    <w:p w14:paraId="66842954" w14:textId="1E34D366"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Thirrja për aplikime i drejtohet prokurorëve në prokuroritë pranë gjykatave të shkallës së parë të juridiksionit të përgjithshëm.</w:t>
      </w:r>
      <w:r w:rsidR="006C6939">
        <w:rPr>
          <w:rFonts w:ascii="Garamond" w:eastAsiaTheme="minorHAnsi" w:hAnsi="Garamond"/>
          <w:color w:val="000000"/>
          <w:sz w:val="24"/>
          <w:szCs w:val="24"/>
        </w:rPr>
        <w:t xml:space="preserve"> </w:t>
      </w:r>
    </w:p>
    <w:p w14:paraId="7732617D" w14:textId="66ECF7B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3. Çdo prokuror që plotëson kriteret ligjore aplikon me përjashtim të drejtuesve, </w:t>
      </w:r>
      <w:proofErr w:type="spellStart"/>
      <w:r w:rsidRPr="008718EB">
        <w:rPr>
          <w:rFonts w:ascii="Garamond" w:eastAsiaTheme="minorHAnsi" w:hAnsi="Garamond"/>
          <w:color w:val="000000"/>
          <w:sz w:val="24"/>
          <w:szCs w:val="24"/>
        </w:rPr>
        <w:t>zëvendësdrejtuesve</w:t>
      </w:r>
      <w:proofErr w:type="spellEnd"/>
      <w:r w:rsidRPr="008718EB">
        <w:rPr>
          <w:rFonts w:ascii="Garamond" w:eastAsiaTheme="minorHAnsi" w:hAnsi="Garamond"/>
          <w:color w:val="000000"/>
          <w:sz w:val="24"/>
          <w:szCs w:val="24"/>
        </w:rPr>
        <w:t xml:space="preserve"> dhe drejtuesve të seksioneve të zyrave të </w:t>
      </w:r>
      <w:r w:rsidR="006C6939" w:rsidRPr="008718EB">
        <w:rPr>
          <w:rFonts w:ascii="Garamond" w:eastAsiaTheme="minorHAnsi" w:hAnsi="Garamond"/>
          <w:color w:val="000000"/>
          <w:sz w:val="24"/>
          <w:szCs w:val="24"/>
        </w:rPr>
        <w:t xml:space="preserve">prokurorive </w:t>
      </w:r>
      <w:r w:rsidRPr="008718EB">
        <w:rPr>
          <w:rFonts w:ascii="Garamond" w:eastAsiaTheme="minorHAnsi" w:hAnsi="Garamond"/>
          <w:color w:val="000000"/>
          <w:sz w:val="24"/>
          <w:szCs w:val="24"/>
        </w:rPr>
        <w:t xml:space="preserve">pranë gjykatave të shkallës së parë të juridiksionit të përgjithshëm dhe magjistratët udhëheqës që kanë shërbyer në praktikën profesionale të vitit paraardhës. </w:t>
      </w:r>
    </w:p>
    <w:p w14:paraId="62D300C7" w14:textId="398B908C"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4. Aplikimi plotësohet nga prokurori brenda afatit të caktuar në thirrje dhe shoqërohet nga dokumentet e nevojshme, që vërtetojnë plotësimin e kritereve të parashikuara në nenin 8, të Rregullores.</w:t>
      </w:r>
    </w:p>
    <w:p w14:paraId="53D1C29C" w14:textId="20723F5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5. Pas plotësimit të afatit që përmban thirrja, Këshilli verifikon plotësimin e kritereve ligjore për caktimin e magjistratëve udhëheqës. </w:t>
      </w:r>
    </w:p>
    <w:p w14:paraId="3123BF3A" w14:textId="0420D47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6. Shkolla, brenda 10 (dhjetë) ditëve nga marrja e listës së kandidatëve që kanë aplikuar, i dërgon Këshillit listën emërore të prokurorëve që kanë kaluar me sukses trajnimin e nevojshëm për caktimin si magjistratë udhëheqës gjatë periudhës së mëparshme 3</w:t>
      </w:r>
      <w:r w:rsidR="00520B0E">
        <w:rPr>
          <w:rFonts w:ascii="Garamond" w:eastAsiaTheme="minorHAnsi" w:hAnsi="Garamond"/>
          <w:color w:val="000000"/>
          <w:sz w:val="24"/>
          <w:szCs w:val="24"/>
        </w:rPr>
        <w:t>-</w:t>
      </w:r>
      <w:r w:rsidR="00520B0E" w:rsidRPr="008718EB">
        <w:rPr>
          <w:rFonts w:ascii="Garamond" w:eastAsiaTheme="minorHAnsi" w:hAnsi="Garamond"/>
          <w:color w:val="000000"/>
          <w:sz w:val="24"/>
          <w:szCs w:val="24"/>
        </w:rPr>
        <w:t>vjeçare</w:t>
      </w:r>
      <w:r w:rsidRPr="008718EB">
        <w:rPr>
          <w:rFonts w:ascii="Garamond" w:eastAsiaTheme="minorHAnsi" w:hAnsi="Garamond"/>
          <w:color w:val="000000"/>
          <w:sz w:val="24"/>
          <w:szCs w:val="24"/>
        </w:rPr>
        <w:t xml:space="preserve"> (trevjeçare</w:t>
      </w:r>
      <w:r w:rsidR="00520B0E" w:rsidRPr="008718EB">
        <w:rPr>
          <w:rFonts w:ascii="Garamond" w:eastAsiaTheme="minorHAnsi" w:hAnsi="Garamond"/>
          <w:color w:val="000000"/>
          <w:sz w:val="24"/>
          <w:szCs w:val="24"/>
        </w:rPr>
        <w:t>)</w:t>
      </w:r>
      <w:r w:rsidRPr="008718EB">
        <w:rPr>
          <w:rFonts w:ascii="Garamond" w:eastAsiaTheme="minorHAnsi" w:hAnsi="Garamond"/>
          <w:color w:val="000000"/>
          <w:sz w:val="24"/>
          <w:szCs w:val="24"/>
        </w:rPr>
        <w:t xml:space="preserve">. </w:t>
      </w:r>
    </w:p>
    <w:p w14:paraId="436BE4C5" w14:textId="0E3D2DD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7. Këshilli, brenda 10 (dhjetë)</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 xml:space="preserve">ditëve nga marrja e dokumentacionit të nevojshëm, përgatit një listë të kandidatëve, duke i renditur pjesëmarrësit në raport me plotësimin e kritereve të parashikuara në nenin 8, pika 2, nisur nga kohëzgjatja e përvojës si prokuror. </w:t>
      </w:r>
    </w:p>
    <w:p w14:paraId="1D342519" w14:textId="6C3A7B3D"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8. Pas renditjes, deri në datën 20 </w:t>
      </w:r>
      <w:r w:rsidR="00520B0E">
        <w:rPr>
          <w:rFonts w:ascii="Garamond" w:eastAsiaTheme="minorHAnsi" w:hAnsi="Garamond"/>
          <w:color w:val="000000"/>
          <w:sz w:val="24"/>
          <w:szCs w:val="24"/>
        </w:rPr>
        <w:t>q</w:t>
      </w:r>
      <w:r w:rsidRPr="008718EB">
        <w:rPr>
          <w:rFonts w:ascii="Garamond" w:eastAsiaTheme="minorHAnsi" w:hAnsi="Garamond"/>
          <w:color w:val="000000"/>
          <w:sz w:val="24"/>
          <w:szCs w:val="24"/>
        </w:rPr>
        <w:t xml:space="preserve">ershor, Këshilli merr vendim për caktimin si magjistratë udhëheqës të kandidatëve </w:t>
      </w:r>
      <w:r w:rsidRPr="00520B0E">
        <w:rPr>
          <w:rFonts w:ascii="Garamond" w:eastAsiaTheme="minorHAnsi" w:hAnsi="Garamond"/>
          <w:sz w:val="24"/>
          <w:szCs w:val="24"/>
        </w:rPr>
        <w:t>fitues,</w:t>
      </w:r>
      <w:r w:rsidRPr="008718EB">
        <w:rPr>
          <w:rFonts w:ascii="Garamond" w:eastAsiaTheme="minorHAnsi" w:hAnsi="Garamond"/>
          <w:color w:val="000000"/>
          <w:sz w:val="24"/>
          <w:szCs w:val="24"/>
        </w:rPr>
        <w:t xml:space="preserve"> për një numër që i përgjigjet nevojave për zhvillimin e praktikës profesionale për kandidatët për magjistratë, ku specifikohen edhe periudhat përkatëse </w:t>
      </w:r>
      <w:r w:rsidR="001B4930" w:rsidRPr="008718EB">
        <w:rPr>
          <w:rFonts w:ascii="Garamond" w:eastAsiaTheme="minorHAnsi" w:hAnsi="Garamond"/>
          <w:color w:val="000000"/>
          <w:sz w:val="24"/>
          <w:szCs w:val="24"/>
        </w:rPr>
        <w:t>4</w:t>
      </w:r>
      <w:r w:rsidR="001B4930">
        <w:rPr>
          <w:rFonts w:ascii="Garamond" w:eastAsiaTheme="minorHAnsi" w:hAnsi="Garamond"/>
          <w:color w:val="000000"/>
          <w:sz w:val="24"/>
          <w:szCs w:val="24"/>
        </w:rPr>
        <w:t>-</w:t>
      </w:r>
      <w:r w:rsidR="001B4930" w:rsidRPr="008718EB">
        <w:rPr>
          <w:rFonts w:ascii="Garamond" w:eastAsiaTheme="minorHAnsi" w:hAnsi="Garamond"/>
          <w:color w:val="000000"/>
          <w:sz w:val="24"/>
          <w:szCs w:val="24"/>
        </w:rPr>
        <w:t>mujore (</w:t>
      </w:r>
      <w:proofErr w:type="spellStart"/>
      <w:r w:rsidR="001B4930" w:rsidRPr="008718EB">
        <w:rPr>
          <w:rFonts w:ascii="Garamond" w:eastAsiaTheme="minorHAnsi" w:hAnsi="Garamond"/>
          <w:color w:val="000000"/>
          <w:sz w:val="24"/>
          <w:szCs w:val="24"/>
        </w:rPr>
        <w:t>katërmujore</w:t>
      </w:r>
      <w:proofErr w:type="spellEnd"/>
      <w:r w:rsidR="001B4930" w:rsidRPr="008718EB">
        <w:rPr>
          <w:rFonts w:ascii="Garamond" w:eastAsiaTheme="minorHAnsi" w:hAnsi="Garamond"/>
          <w:color w:val="000000"/>
          <w:sz w:val="24"/>
          <w:szCs w:val="24"/>
        </w:rPr>
        <w:t>)</w:t>
      </w:r>
      <w:r w:rsidRPr="008718EB">
        <w:rPr>
          <w:rFonts w:ascii="Garamond" w:eastAsiaTheme="minorHAnsi" w:hAnsi="Garamond"/>
          <w:color w:val="000000"/>
          <w:sz w:val="24"/>
          <w:szCs w:val="24"/>
        </w:rPr>
        <w:t xml:space="preserve"> dhe zyrat e prokurorive për kryerjen e praktikës profesionale.</w:t>
      </w:r>
    </w:p>
    <w:p w14:paraId="747FE727" w14:textId="006F6DB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9. Këshilli, me anë të shortit, brenda trupës së magjistratëve udhëheqës përzgjedh magjistratin udhëheqës për secilin kandidat për magjistrat. Shorti hidhet një herë, për të tr</w:t>
      </w:r>
      <w:r w:rsidR="00C3630C">
        <w:rPr>
          <w:rFonts w:ascii="Garamond" w:eastAsiaTheme="minorHAnsi" w:hAnsi="Garamond"/>
          <w:color w:val="000000"/>
          <w:sz w:val="24"/>
          <w:szCs w:val="24"/>
        </w:rPr>
        <w:t>ia</w:t>
      </w:r>
      <w:r w:rsidRPr="008718EB">
        <w:rPr>
          <w:rFonts w:ascii="Garamond" w:eastAsiaTheme="minorHAnsi" w:hAnsi="Garamond"/>
          <w:color w:val="000000"/>
          <w:sz w:val="24"/>
          <w:szCs w:val="24"/>
        </w:rPr>
        <w:t xml:space="preserve"> periudhat </w:t>
      </w:r>
      <w:proofErr w:type="spellStart"/>
      <w:r w:rsidRPr="008718EB">
        <w:rPr>
          <w:rFonts w:ascii="Garamond" w:eastAsiaTheme="minorHAnsi" w:hAnsi="Garamond"/>
          <w:color w:val="000000"/>
          <w:sz w:val="24"/>
          <w:szCs w:val="24"/>
        </w:rPr>
        <w:t>katërmujore</w:t>
      </w:r>
      <w:proofErr w:type="spellEnd"/>
      <w:r w:rsidRPr="008718EB">
        <w:rPr>
          <w:rFonts w:ascii="Garamond" w:eastAsiaTheme="minorHAnsi" w:hAnsi="Garamond"/>
          <w:color w:val="000000"/>
          <w:sz w:val="24"/>
          <w:szCs w:val="24"/>
        </w:rPr>
        <w:t xml:space="preserve"> të njëpasnjëshme. E njëjta procedurë e përzgjedhjes, me short, ndiqet edhe për caktimin e kandidatëve për magjistratë. </w:t>
      </w:r>
    </w:p>
    <w:p w14:paraId="69D3B069" w14:textId="26A81BCE"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10. Këshilli i dërgon zyrtarisht Shkollës, zyrave të Prokurorisë dhe magjistratëve udhëheqës vendimin përkatës. </w:t>
      </w:r>
    </w:p>
    <w:p w14:paraId="7923A60D" w14:textId="108A1D7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11. Magjistrati udhëheqës, që për çdo arsye është i pamundur të kryejë detyrën e tij, mund të zëvendësohet nga Këshilli me një magjistrat tjetër udhëheqës, në përputhje me renditjen e miratuar. Në këtë rast, cilësia si magjistrat udhëheqës zgjat deri në plotësimin e kohëzgjatjes së trupës së magjistratëve udhëheqës. </w:t>
      </w:r>
    </w:p>
    <w:p w14:paraId="67A62EDD"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6D60D516"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10</w:t>
      </w:r>
    </w:p>
    <w:p w14:paraId="36DB900C"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Trupa e magjistratëve udhëheqës</w:t>
      </w:r>
    </w:p>
    <w:p w14:paraId="1C4217CF"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2031FB4C" w14:textId="575CD95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Vlefshmëria e caktimit si magjistrat udhëheqës zgjat për 3 (tre) </w:t>
      </w:r>
      <w:r w:rsidR="00520B0E">
        <w:rPr>
          <w:rFonts w:ascii="Garamond" w:eastAsiaTheme="minorHAnsi" w:hAnsi="Garamond"/>
          <w:color w:val="000000"/>
          <w:sz w:val="24"/>
          <w:szCs w:val="24"/>
        </w:rPr>
        <w:t>vjet</w:t>
      </w:r>
      <w:r w:rsidRPr="008718EB">
        <w:rPr>
          <w:rFonts w:ascii="Garamond" w:eastAsiaTheme="minorHAnsi" w:hAnsi="Garamond"/>
          <w:color w:val="000000"/>
          <w:sz w:val="24"/>
          <w:szCs w:val="24"/>
        </w:rPr>
        <w:t>.</w:t>
      </w:r>
    </w:p>
    <w:p w14:paraId="38824B68" w14:textId="68E15CA5"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Me qëllim</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për të siguruar qëndrueshmërinë në plotësimin e kritereve të parashikuara në nenin 8, pika 2, Këshilli rifreskon çdo vit listën e magjistratëve udhëheqës. Për këtë nevojitet:</w:t>
      </w:r>
    </w:p>
    <w:p w14:paraId="7993A27B" w14:textId="6E5D1554" w:rsidR="008718EB" w:rsidRPr="008718EB" w:rsidRDefault="008718EB" w:rsidP="008718EB">
      <w:pPr>
        <w:autoSpaceDE w:val="0"/>
        <w:autoSpaceDN w:val="0"/>
        <w:adjustRightInd w:val="0"/>
        <w:spacing w:after="0" w:line="240" w:lineRule="auto"/>
        <w:ind w:firstLine="284"/>
        <w:rPr>
          <w:rFonts w:ascii="Garamond" w:eastAsiaTheme="minorHAnsi" w:hAnsi="Garamond"/>
          <w:color w:val="000000"/>
          <w:sz w:val="24"/>
          <w:szCs w:val="24"/>
        </w:rPr>
      </w:pPr>
      <w:r w:rsidRPr="008718EB">
        <w:rPr>
          <w:rFonts w:ascii="Garamond" w:eastAsiaTheme="minorHAnsi" w:hAnsi="Garamond"/>
          <w:color w:val="000000"/>
          <w:sz w:val="24"/>
          <w:szCs w:val="24"/>
        </w:rPr>
        <w:t>a) informacion lidhur me çështjet disiplinore;</w:t>
      </w:r>
    </w:p>
    <w:p w14:paraId="2FCD3063" w14:textId="47492274"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b) një përditësim nga drejtuesi i zyrës së Prokurorisë ku magjistrati udhëheqës kryen detyrën, lidhur me respektimin e afateve ligjore për hetimin apo gjykimin e çështjeve të caktuara magjistratit udhëheqës;</w:t>
      </w:r>
    </w:p>
    <w:p w14:paraId="6DC6086C" w14:textId="47E29F6E"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lastRenderedPageBreak/>
        <w:t>c) një vlerësim nga Shkolla nëse magjistrati udhëheqës e ka kryer këtë detyrë në nivelin e duhur gjatë vitit të fundit kur ai ka qenë si magjistrat udhëheqës.</w:t>
      </w:r>
    </w:p>
    <w:p w14:paraId="613E1BDB" w14:textId="32C00B41"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3. Pasi është siguruar informacioni i mësipërm, Këshilli mund të vendosë caktimin apo shfuqizimin e caktimit si magjistrat udhëheqës të prokurorit në fjalë, varësisht sipas informacionit të marrë sipas pikës 3, të këtij neni.</w:t>
      </w:r>
    </w:p>
    <w:p w14:paraId="26BF8DE1" w14:textId="227F537F"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4. Në rast se nga informacioni i ardhur, konstatohet se nuk plotësohen kërkesat e nenit 8, pika 2, Këshilli vendos shfuqizimin e caktimit si magjistrat udhëheqës.</w:t>
      </w:r>
    </w:p>
    <w:p w14:paraId="1DB2CB1B"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6F268088"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11</w:t>
      </w:r>
    </w:p>
    <w:p w14:paraId="331DC450"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 xml:space="preserve">Shfuqizimi i caktimit si magjistrat udhëheqës </w:t>
      </w:r>
    </w:p>
    <w:p w14:paraId="1D1D6FAA"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180101EA" w14:textId="2E98205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Këshilli, pas përditësimit të kryer sipas nenit 10, nëse konstaton se rrethanat e treguara përbëjnë pengesë për aktivitetin si magjistrat udhëheqës, informon magjistratin udhëheqës lidhur me sa ka konstatuar.</w:t>
      </w:r>
    </w:p>
    <w:p w14:paraId="79B3211B" w14:textId="4008892C"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Brenda 15 (pesëmbëdhjetë) ditëve nga marrja e informacionit, magjistrati udhëheqës ka të drejtë të paraqesë qëndrimin</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e tij, me shkrim</w:t>
      </w:r>
      <w:r w:rsidR="006C6939">
        <w:rPr>
          <w:rFonts w:ascii="Garamond" w:eastAsiaTheme="minorHAnsi" w:hAnsi="Garamond"/>
          <w:color w:val="000000"/>
          <w:sz w:val="24"/>
          <w:szCs w:val="24"/>
        </w:rPr>
        <w:t xml:space="preserve"> </w:t>
      </w:r>
      <w:r w:rsidRPr="008718EB">
        <w:rPr>
          <w:rFonts w:ascii="Garamond" w:eastAsiaTheme="minorHAnsi" w:hAnsi="Garamond"/>
          <w:color w:val="000000"/>
          <w:sz w:val="24"/>
          <w:szCs w:val="24"/>
        </w:rPr>
        <w:t>në Këshill.</w:t>
      </w:r>
    </w:p>
    <w:p w14:paraId="680A045D" w14:textId="322DBF6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3. Brenda 15 (pesëmbëdhjetë) ditëve nga plotësimi i afatit të caktuar për paraqitjen e qëndrimit, Këshilli shfuqizon caktimin si magjistrat udhëheqës dhe ia komunikon menjëherë vendimin magjistratit udhëheqës dhe Shkollës. </w:t>
      </w:r>
    </w:p>
    <w:p w14:paraId="635651DA" w14:textId="3816A8F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4. Kundër këtij vendimi, magjistrati udhëheqës që i është hequr kjo e drejtë, ka të drejtë të paraqesë ankim në gjykatë, në përputhje me nenin 192, pika 1, të </w:t>
      </w:r>
      <w:r w:rsidR="00520B0E" w:rsidRPr="008718EB">
        <w:rPr>
          <w:rFonts w:ascii="Garamond" w:eastAsiaTheme="minorHAnsi" w:hAnsi="Garamond"/>
          <w:color w:val="000000"/>
          <w:sz w:val="24"/>
          <w:szCs w:val="24"/>
        </w:rPr>
        <w:t xml:space="preserve">ligjit </w:t>
      </w:r>
      <w:r w:rsidRPr="008718EB">
        <w:rPr>
          <w:rFonts w:ascii="Garamond" w:eastAsiaTheme="minorHAnsi" w:hAnsi="Garamond"/>
          <w:color w:val="000000"/>
          <w:sz w:val="24"/>
          <w:szCs w:val="24"/>
        </w:rPr>
        <w:t>nr. 115/2016, “Për organet e qeverisjes së sistemit të drejtësisë”, i ndryshuar.</w:t>
      </w:r>
    </w:p>
    <w:p w14:paraId="018F11E2"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68ADBDFA"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12</w:t>
      </w:r>
    </w:p>
    <w:p w14:paraId="6C5E0679"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Reduktimi i punës së magjistratit udhëheqës</w:t>
      </w:r>
    </w:p>
    <w:p w14:paraId="0F7CB840"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6E2B2F6A" w14:textId="0D51A03B"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1. Pas caktimit, magjistrati udhëheqës të cilit i është caktuar </w:t>
      </w:r>
      <w:proofErr w:type="spellStart"/>
      <w:r w:rsidRPr="008718EB">
        <w:rPr>
          <w:rFonts w:ascii="Garamond" w:eastAsiaTheme="minorHAnsi" w:hAnsi="Garamond"/>
          <w:color w:val="000000"/>
          <w:sz w:val="24"/>
          <w:szCs w:val="24"/>
        </w:rPr>
        <w:t>efektivisht</w:t>
      </w:r>
      <w:proofErr w:type="spellEnd"/>
      <w:r w:rsidRPr="008718EB">
        <w:rPr>
          <w:rFonts w:ascii="Garamond" w:eastAsiaTheme="minorHAnsi" w:hAnsi="Garamond"/>
          <w:color w:val="000000"/>
          <w:sz w:val="24"/>
          <w:szCs w:val="24"/>
        </w:rPr>
        <w:t xml:space="preserve"> një kandidat për magjistrat, nuk do të marrë pjesë në hedhjen e 10-të të shortit për ndarjen e çështjeve në zyrën e prokurorisë ku ai ushtron detyrën. </w:t>
      </w:r>
    </w:p>
    <w:p w14:paraId="09C6DF3C" w14:textId="5D0E817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 xml:space="preserve">2. Drejtuesi i zyrës së Prokurorisë kontrollon respektimin e rregullit të mësipërm për reduktimin e punës dhe mban parasysh këtë reduktim kur të japë vlerësimin e tij, mbi punën e magjistratit udhëheqës në këtë zyrë të Prokurorisë. </w:t>
      </w:r>
    </w:p>
    <w:p w14:paraId="2D6EBFAA"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0CBB9F73"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13</w:t>
      </w:r>
    </w:p>
    <w:p w14:paraId="14E0A538"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Leja vjetore e paguar e kandidatit për magjistrat</w:t>
      </w:r>
    </w:p>
    <w:p w14:paraId="46B1635A" w14:textId="77777777" w:rsid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092F0FCB" w14:textId="35ED6CE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1. Kandidati për magjistrat, gjatë praktikës profesionale ka të drejtë të kryejë pushime vjetore të paguara me një kohëzgjatje prej 25 (njëzet e pesë)</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ditë pune, prej të cilave 15</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(pesëmbëdhjetë)</w:t>
      </w:r>
      <w:r w:rsidRPr="008718EB">
        <w:rPr>
          <w:rFonts w:ascii="Garamond" w:eastAsiaTheme="minorHAnsi" w:hAnsi="Garamond"/>
          <w:color w:val="EE0000"/>
          <w:sz w:val="24"/>
          <w:szCs w:val="24"/>
        </w:rPr>
        <w:t xml:space="preserve"> </w:t>
      </w:r>
      <w:r w:rsidRPr="008718EB">
        <w:rPr>
          <w:rFonts w:ascii="Garamond" w:eastAsiaTheme="minorHAnsi" w:hAnsi="Garamond"/>
          <w:color w:val="000000"/>
          <w:sz w:val="24"/>
          <w:szCs w:val="24"/>
        </w:rPr>
        <w:t xml:space="preserve">ditë pune gjatë muajit </w:t>
      </w:r>
      <w:r w:rsidR="00520B0E" w:rsidRPr="008718EB">
        <w:rPr>
          <w:rFonts w:ascii="Garamond" w:eastAsiaTheme="minorHAnsi" w:hAnsi="Garamond"/>
          <w:color w:val="000000"/>
          <w:sz w:val="24"/>
          <w:szCs w:val="24"/>
        </w:rPr>
        <w:t>gusht</w:t>
      </w:r>
      <w:r w:rsidRPr="008718EB">
        <w:rPr>
          <w:rFonts w:ascii="Garamond" w:eastAsiaTheme="minorHAnsi" w:hAnsi="Garamond"/>
          <w:color w:val="000000"/>
          <w:sz w:val="24"/>
          <w:szCs w:val="24"/>
        </w:rPr>
        <w:t>.</w:t>
      </w:r>
    </w:p>
    <w:p w14:paraId="6D7D85EE" w14:textId="321B7FD0"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2. Për të garantuar qëllimin e praktikës profesionale, periudha e lejes së paguar vjetore të kandidatit për magjistrat prej 15 (pesëmbëdhjetë) ditë pune, kryhet njëkohësisht me lejen vjetore të paguar të magjistratit udhëheqës.</w:t>
      </w:r>
      <w:r w:rsidR="006C6939">
        <w:rPr>
          <w:rFonts w:ascii="Garamond" w:eastAsiaTheme="minorHAnsi" w:hAnsi="Garamond"/>
          <w:color w:val="000000"/>
          <w:sz w:val="24"/>
          <w:szCs w:val="24"/>
        </w:rPr>
        <w:t xml:space="preserve"> </w:t>
      </w:r>
    </w:p>
    <w:p w14:paraId="0387FB98" w14:textId="3DC05129"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t>3. Drejtuesi i zyrës së Prokurorisë jep pushimet vjetore të paguara për kandidatin për magjistrat, pasi konsultohet me magjistratin udhëheqës, i cili është përgjegjës për atë periudhë 4</w:t>
      </w:r>
      <w:r w:rsidR="00520B0E">
        <w:rPr>
          <w:rFonts w:ascii="Garamond" w:eastAsiaTheme="minorHAnsi" w:hAnsi="Garamond"/>
          <w:color w:val="000000"/>
          <w:sz w:val="24"/>
          <w:szCs w:val="24"/>
        </w:rPr>
        <w:t>-</w:t>
      </w:r>
      <w:r w:rsidR="00520B0E" w:rsidRPr="008718EB">
        <w:rPr>
          <w:rFonts w:ascii="Garamond" w:eastAsiaTheme="minorHAnsi" w:hAnsi="Garamond"/>
          <w:color w:val="000000"/>
          <w:sz w:val="24"/>
          <w:szCs w:val="24"/>
        </w:rPr>
        <w:t>mujore</w:t>
      </w:r>
      <w:r w:rsidRPr="008718EB">
        <w:rPr>
          <w:rFonts w:ascii="Garamond" w:eastAsiaTheme="minorHAnsi" w:hAnsi="Garamond"/>
          <w:color w:val="000000"/>
          <w:sz w:val="24"/>
          <w:szCs w:val="24"/>
        </w:rPr>
        <w:t xml:space="preserve"> (</w:t>
      </w:r>
      <w:proofErr w:type="spellStart"/>
      <w:r w:rsidRPr="008718EB">
        <w:rPr>
          <w:rFonts w:ascii="Garamond" w:eastAsiaTheme="minorHAnsi" w:hAnsi="Garamond"/>
          <w:color w:val="000000"/>
          <w:sz w:val="24"/>
          <w:szCs w:val="24"/>
        </w:rPr>
        <w:t>katërmujore</w:t>
      </w:r>
      <w:proofErr w:type="spellEnd"/>
      <w:r w:rsidR="00520B0E" w:rsidRPr="008718EB">
        <w:rPr>
          <w:rFonts w:ascii="Garamond" w:eastAsiaTheme="minorHAnsi" w:hAnsi="Garamond"/>
          <w:color w:val="000000"/>
          <w:sz w:val="24"/>
          <w:szCs w:val="24"/>
        </w:rPr>
        <w:t>)</w:t>
      </w:r>
      <w:r w:rsidRPr="008718EB">
        <w:rPr>
          <w:rFonts w:ascii="Garamond" w:eastAsiaTheme="minorHAnsi" w:hAnsi="Garamond"/>
          <w:color w:val="000000"/>
          <w:sz w:val="24"/>
          <w:szCs w:val="24"/>
        </w:rPr>
        <w:t xml:space="preserve"> të praktikës profesionale. </w:t>
      </w:r>
    </w:p>
    <w:p w14:paraId="12CB9AB6"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27FAFD34" w14:textId="77777777" w:rsidR="008718EB" w:rsidRPr="008718EB" w:rsidRDefault="008718EB" w:rsidP="008718EB">
      <w:pPr>
        <w:autoSpaceDE w:val="0"/>
        <w:autoSpaceDN w:val="0"/>
        <w:adjustRightInd w:val="0"/>
        <w:spacing w:after="0" w:line="240" w:lineRule="auto"/>
        <w:ind w:firstLine="284"/>
        <w:jc w:val="center"/>
        <w:rPr>
          <w:rFonts w:ascii="Garamond" w:eastAsiaTheme="minorHAnsi" w:hAnsi="Garamond"/>
          <w:bCs/>
          <w:color w:val="000000"/>
          <w:sz w:val="24"/>
          <w:szCs w:val="24"/>
        </w:rPr>
      </w:pPr>
      <w:r w:rsidRPr="008718EB">
        <w:rPr>
          <w:rFonts w:ascii="Garamond" w:eastAsiaTheme="minorHAnsi" w:hAnsi="Garamond"/>
          <w:bCs/>
          <w:color w:val="000000"/>
          <w:sz w:val="24"/>
          <w:szCs w:val="24"/>
        </w:rPr>
        <w:t>Neni 14</w:t>
      </w:r>
    </w:p>
    <w:p w14:paraId="62D0797F" w14:textId="1E3D5E3F" w:rsidR="008718EB" w:rsidRPr="008718EB" w:rsidRDefault="008718EB" w:rsidP="008718EB">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718EB">
        <w:rPr>
          <w:rFonts w:ascii="Garamond" w:eastAsiaTheme="minorHAnsi" w:hAnsi="Garamond"/>
          <w:b/>
          <w:bCs/>
          <w:color w:val="000000"/>
          <w:sz w:val="24"/>
          <w:szCs w:val="24"/>
        </w:rPr>
        <w:t>Hyrja në fuqi</w:t>
      </w:r>
    </w:p>
    <w:p w14:paraId="72D1F385" w14:textId="77777777"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p>
    <w:p w14:paraId="7B783537" w14:textId="2850CB53" w:rsidR="008718EB" w:rsidRPr="008718EB" w:rsidRDefault="008718EB" w:rsidP="008718EB">
      <w:pPr>
        <w:autoSpaceDE w:val="0"/>
        <w:autoSpaceDN w:val="0"/>
        <w:adjustRightInd w:val="0"/>
        <w:spacing w:after="0" w:line="240" w:lineRule="auto"/>
        <w:ind w:firstLine="284"/>
        <w:jc w:val="both"/>
        <w:rPr>
          <w:rFonts w:ascii="Garamond" w:eastAsiaTheme="minorHAnsi" w:hAnsi="Garamond"/>
          <w:color w:val="000000"/>
          <w:sz w:val="24"/>
          <w:szCs w:val="24"/>
        </w:rPr>
      </w:pPr>
      <w:r w:rsidRPr="008718EB">
        <w:rPr>
          <w:rFonts w:ascii="Garamond" w:eastAsiaTheme="minorHAnsi" w:hAnsi="Garamond"/>
          <w:color w:val="000000"/>
          <w:sz w:val="24"/>
          <w:szCs w:val="24"/>
        </w:rPr>
        <w:lastRenderedPageBreak/>
        <w:t xml:space="preserve">Kjo </w:t>
      </w:r>
      <w:r w:rsidR="00520B0E">
        <w:rPr>
          <w:rFonts w:ascii="Garamond" w:eastAsiaTheme="minorHAnsi" w:hAnsi="Garamond"/>
          <w:color w:val="000000"/>
          <w:sz w:val="24"/>
          <w:szCs w:val="24"/>
        </w:rPr>
        <w:t>r</w:t>
      </w:r>
      <w:r w:rsidRPr="008718EB">
        <w:rPr>
          <w:rFonts w:ascii="Garamond" w:eastAsiaTheme="minorHAnsi" w:hAnsi="Garamond"/>
          <w:color w:val="000000"/>
          <w:sz w:val="24"/>
          <w:szCs w:val="24"/>
        </w:rPr>
        <w:t>regullore hyn në fuqi në datën e botimit në Fletoren Zyrtare, si dhe publikohet në faqen zyrtare të internetit të Këshillit të Lartë të Prokurorisë.</w:t>
      </w:r>
    </w:p>
    <w:p w14:paraId="34F80C15" w14:textId="77777777" w:rsidR="008718EB" w:rsidRPr="008718EB" w:rsidRDefault="008718EB" w:rsidP="008718EB">
      <w:pPr>
        <w:spacing w:after="0" w:line="240" w:lineRule="auto"/>
        <w:ind w:firstLine="284"/>
        <w:jc w:val="both"/>
        <w:rPr>
          <w:rFonts w:ascii="Garamond" w:hAnsi="Garamond"/>
          <w:b/>
          <w:sz w:val="24"/>
          <w:szCs w:val="24"/>
        </w:rPr>
      </w:pPr>
    </w:p>
    <w:sectPr w:rsidR="008718EB" w:rsidRPr="008718EB" w:rsidSect="00614A51">
      <w:footerReference w:type="default" r:id="rId13"/>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B9A14A" w14:textId="77777777" w:rsidR="006531B4" w:rsidRDefault="006531B4" w:rsidP="008C12F6">
      <w:pPr>
        <w:spacing w:after="0" w:line="240" w:lineRule="auto"/>
      </w:pPr>
      <w:r>
        <w:separator/>
      </w:r>
    </w:p>
  </w:endnote>
  <w:endnote w:type="continuationSeparator" w:id="0">
    <w:p w14:paraId="433976D1" w14:textId="77777777" w:rsidR="006531B4" w:rsidRDefault="006531B4" w:rsidP="008C12F6">
      <w:pPr>
        <w:spacing w:after="0" w:line="240" w:lineRule="auto"/>
      </w:pPr>
      <w:r>
        <w:continuationSeparator/>
      </w:r>
    </w:p>
  </w:endnote>
  <w:endnote w:type="continuationNotice" w:id="1">
    <w:p w14:paraId="479F8CB1" w14:textId="77777777" w:rsidR="006531B4" w:rsidRDefault="006531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DA9B9" w14:textId="15A09B86" w:rsidR="006531B4" w:rsidRDefault="006531B4">
    <w:pPr>
      <w:pStyle w:val="Footer"/>
      <w:jc w:val="center"/>
    </w:pPr>
  </w:p>
  <w:p w14:paraId="1370C2C7" w14:textId="77777777" w:rsidR="006531B4" w:rsidRDefault="00653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F84DDA" w14:textId="77777777" w:rsidR="006531B4" w:rsidRDefault="006531B4" w:rsidP="008C12F6">
      <w:pPr>
        <w:spacing w:after="0" w:line="240" w:lineRule="auto"/>
      </w:pPr>
      <w:r>
        <w:separator/>
      </w:r>
    </w:p>
  </w:footnote>
  <w:footnote w:type="continuationSeparator" w:id="0">
    <w:p w14:paraId="15DC7042" w14:textId="77777777" w:rsidR="006531B4" w:rsidRDefault="006531B4" w:rsidP="008C12F6">
      <w:pPr>
        <w:spacing w:after="0" w:line="240" w:lineRule="auto"/>
      </w:pPr>
      <w:r>
        <w:continuationSeparator/>
      </w:r>
    </w:p>
  </w:footnote>
  <w:footnote w:type="continuationNotice" w:id="1">
    <w:p w14:paraId="4669D456" w14:textId="77777777" w:rsidR="006531B4" w:rsidRDefault="006531B4">
      <w:pPr>
        <w:spacing w:after="0" w:line="240" w:lineRule="auto"/>
      </w:pPr>
    </w:p>
  </w:footnote>
  <w:footnote w:id="2">
    <w:p w14:paraId="0855B6F6" w14:textId="703569A8" w:rsidR="006531B4" w:rsidRPr="008718EB" w:rsidRDefault="006531B4" w:rsidP="008718EB">
      <w:pPr>
        <w:autoSpaceDE w:val="0"/>
        <w:autoSpaceDN w:val="0"/>
        <w:adjustRightInd w:val="0"/>
        <w:spacing w:after="0" w:line="240" w:lineRule="auto"/>
        <w:rPr>
          <w:rFonts w:ascii="Garamond" w:eastAsiaTheme="minorHAnsi" w:hAnsi="Garamond"/>
          <w:color w:val="000000"/>
          <w:sz w:val="20"/>
          <w:szCs w:val="20"/>
        </w:rPr>
      </w:pPr>
      <w:r w:rsidRPr="008718EB">
        <w:rPr>
          <w:rStyle w:val="FootnoteReference"/>
          <w:rFonts w:ascii="Garamond" w:hAnsi="Garamond"/>
          <w:sz w:val="20"/>
          <w:szCs w:val="20"/>
        </w:rPr>
        <w:footnoteRef/>
      </w:r>
      <w:r w:rsidRPr="008718EB">
        <w:rPr>
          <w:rFonts w:ascii="Garamond" w:hAnsi="Garamond"/>
          <w:sz w:val="20"/>
          <w:szCs w:val="20"/>
        </w:rPr>
        <w:t xml:space="preserve"> </w:t>
      </w:r>
      <w:r w:rsidRPr="008718EB">
        <w:rPr>
          <w:rFonts w:ascii="Garamond" w:eastAsiaTheme="minorHAnsi" w:hAnsi="Garamond"/>
          <w:color w:val="000000"/>
          <w:sz w:val="20"/>
          <w:szCs w:val="20"/>
        </w:rPr>
        <w:t xml:space="preserve">Në vijim </w:t>
      </w:r>
      <w:r w:rsidR="00A05699">
        <w:rPr>
          <w:rFonts w:ascii="Garamond" w:eastAsiaTheme="minorHAnsi" w:hAnsi="Garamond"/>
          <w:color w:val="000000"/>
          <w:sz w:val="20"/>
          <w:szCs w:val="20"/>
        </w:rPr>
        <w:t>“</w:t>
      </w:r>
      <w:r w:rsidRPr="008718EB">
        <w:rPr>
          <w:rFonts w:ascii="Garamond" w:eastAsiaTheme="minorHAnsi" w:hAnsi="Garamond"/>
          <w:color w:val="000000"/>
          <w:sz w:val="20"/>
          <w:szCs w:val="20"/>
        </w:rPr>
        <w:t>Këshilli</w:t>
      </w:r>
      <w:r w:rsidR="00A05699">
        <w:rPr>
          <w:rFonts w:ascii="Garamond" w:eastAsiaTheme="minorHAnsi" w:hAnsi="Garamond"/>
          <w:color w:val="000000"/>
          <w:sz w:val="20"/>
          <w:szCs w:val="20"/>
        </w:rPr>
        <w:t>”.</w:t>
      </w:r>
    </w:p>
  </w:footnote>
  <w:footnote w:id="3">
    <w:p w14:paraId="663461FA" w14:textId="14515B1A" w:rsidR="006531B4" w:rsidRPr="008718EB" w:rsidRDefault="006531B4" w:rsidP="008718EB">
      <w:pPr>
        <w:pStyle w:val="FootnoteText"/>
        <w:spacing w:after="0" w:line="240" w:lineRule="auto"/>
        <w:rPr>
          <w:rFonts w:ascii="Garamond" w:hAnsi="Garamond"/>
          <w:lang w:val="en-US"/>
        </w:rPr>
      </w:pPr>
      <w:r w:rsidRPr="008718EB">
        <w:rPr>
          <w:rStyle w:val="FootnoteReference"/>
          <w:rFonts w:ascii="Garamond" w:hAnsi="Garamond"/>
        </w:rPr>
        <w:footnoteRef/>
      </w:r>
      <w:r w:rsidRPr="008718EB">
        <w:rPr>
          <w:rFonts w:ascii="Garamond" w:hAnsi="Garamond"/>
        </w:rPr>
        <w:t xml:space="preserve"> </w:t>
      </w:r>
      <w:r w:rsidRPr="008718EB">
        <w:rPr>
          <w:rFonts w:ascii="Garamond" w:hAnsi="Garamond"/>
        </w:rPr>
        <w:t xml:space="preserve">Në vijim </w:t>
      </w:r>
      <w:r w:rsidR="00A05699">
        <w:rPr>
          <w:rFonts w:ascii="Garamond" w:hAnsi="Garamond"/>
        </w:rPr>
        <w:t>“</w:t>
      </w:r>
      <w:r w:rsidRPr="008718EB">
        <w:rPr>
          <w:rFonts w:ascii="Garamond" w:hAnsi="Garamond"/>
        </w:rPr>
        <w:t>Shkolla</w:t>
      </w:r>
      <w:r w:rsidR="00A05699">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487D"/>
    <w:multiLevelType w:val="hybridMultilevel"/>
    <w:tmpl w:val="9E8E45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444728"/>
    <w:multiLevelType w:val="hybridMultilevel"/>
    <w:tmpl w:val="30129D0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BD1F7D"/>
    <w:multiLevelType w:val="hybridMultilevel"/>
    <w:tmpl w:val="92A41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9F2A44"/>
    <w:multiLevelType w:val="hybridMultilevel"/>
    <w:tmpl w:val="D7800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DF22EA"/>
    <w:multiLevelType w:val="hybridMultilevel"/>
    <w:tmpl w:val="7DD4C1F0"/>
    <w:lvl w:ilvl="0" w:tplc="FFFFFFFF">
      <w:start w:val="1"/>
      <w:numFmt w:val="decimal"/>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794531A5"/>
    <w:multiLevelType w:val="hybridMultilevel"/>
    <w:tmpl w:val="2DBA9548"/>
    <w:lvl w:ilvl="0" w:tplc="231AFB10">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9D9"/>
    <w:rsid w:val="00000718"/>
    <w:rsid w:val="00020B4B"/>
    <w:rsid w:val="00021825"/>
    <w:rsid w:val="00040CEF"/>
    <w:rsid w:val="0004530B"/>
    <w:rsid w:val="0007648E"/>
    <w:rsid w:val="00094C0A"/>
    <w:rsid w:val="00097942"/>
    <w:rsid w:val="000A2C7E"/>
    <w:rsid w:val="000C6221"/>
    <w:rsid w:val="000D597A"/>
    <w:rsid w:val="001204F8"/>
    <w:rsid w:val="00163990"/>
    <w:rsid w:val="001B4930"/>
    <w:rsid w:val="001C30C0"/>
    <w:rsid w:val="001D01C6"/>
    <w:rsid w:val="001D1364"/>
    <w:rsid w:val="00206F7A"/>
    <w:rsid w:val="002244D5"/>
    <w:rsid w:val="00236BFA"/>
    <w:rsid w:val="00250870"/>
    <w:rsid w:val="00252C94"/>
    <w:rsid w:val="002849D9"/>
    <w:rsid w:val="0029059B"/>
    <w:rsid w:val="002A6250"/>
    <w:rsid w:val="002F2F40"/>
    <w:rsid w:val="003314A6"/>
    <w:rsid w:val="0034610E"/>
    <w:rsid w:val="0039277A"/>
    <w:rsid w:val="003A56D1"/>
    <w:rsid w:val="003D3008"/>
    <w:rsid w:val="0041533F"/>
    <w:rsid w:val="004A632B"/>
    <w:rsid w:val="004E39E4"/>
    <w:rsid w:val="00501D9B"/>
    <w:rsid w:val="0051780A"/>
    <w:rsid w:val="00520B0E"/>
    <w:rsid w:val="0052262F"/>
    <w:rsid w:val="005847F4"/>
    <w:rsid w:val="005A1DE6"/>
    <w:rsid w:val="005A1E11"/>
    <w:rsid w:val="005D3D51"/>
    <w:rsid w:val="005D5DBD"/>
    <w:rsid w:val="00601DCD"/>
    <w:rsid w:val="00602357"/>
    <w:rsid w:val="00614A51"/>
    <w:rsid w:val="00644785"/>
    <w:rsid w:val="006531B4"/>
    <w:rsid w:val="006C6939"/>
    <w:rsid w:val="006D5A5E"/>
    <w:rsid w:val="007A14EE"/>
    <w:rsid w:val="007E597D"/>
    <w:rsid w:val="008718EB"/>
    <w:rsid w:val="00874F85"/>
    <w:rsid w:val="008C12F6"/>
    <w:rsid w:val="008C35F5"/>
    <w:rsid w:val="008E7F8E"/>
    <w:rsid w:val="008F722E"/>
    <w:rsid w:val="00925174"/>
    <w:rsid w:val="00946807"/>
    <w:rsid w:val="00966922"/>
    <w:rsid w:val="00986616"/>
    <w:rsid w:val="009C1D9C"/>
    <w:rsid w:val="009C5D4D"/>
    <w:rsid w:val="009F2570"/>
    <w:rsid w:val="00A05699"/>
    <w:rsid w:val="00A54503"/>
    <w:rsid w:val="00A80CEC"/>
    <w:rsid w:val="00A92F62"/>
    <w:rsid w:val="00AB3C53"/>
    <w:rsid w:val="00AE69FA"/>
    <w:rsid w:val="00B321D9"/>
    <w:rsid w:val="00B34E3E"/>
    <w:rsid w:val="00B76C8C"/>
    <w:rsid w:val="00B80EE9"/>
    <w:rsid w:val="00BD541B"/>
    <w:rsid w:val="00C330E2"/>
    <w:rsid w:val="00C3630C"/>
    <w:rsid w:val="00C54115"/>
    <w:rsid w:val="00C6497F"/>
    <w:rsid w:val="00C67403"/>
    <w:rsid w:val="00D52C6F"/>
    <w:rsid w:val="00D92C07"/>
    <w:rsid w:val="00DC03A4"/>
    <w:rsid w:val="00DC066C"/>
    <w:rsid w:val="00DC593B"/>
    <w:rsid w:val="00DE79E1"/>
    <w:rsid w:val="00DF7311"/>
    <w:rsid w:val="00E0565E"/>
    <w:rsid w:val="00E12FBE"/>
    <w:rsid w:val="00E33FF0"/>
    <w:rsid w:val="00E40201"/>
    <w:rsid w:val="00E72369"/>
    <w:rsid w:val="00E756CF"/>
    <w:rsid w:val="00E823DD"/>
    <w:rsid w:val="00E93D34"/>
    <w:rsid w:val="00ED3348"/>
    <w:rsid w:val="00EF5989"/>
    <w:rsid w:val="00F00809"/>
    <w:rsid w:val="00F4403A"/>
    <w:rsid w:val="00FC3FA6"/>
    <w:rsid w:val="00FD5AB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44198"/>
  <w15:chartTrackingRefBased/>
  <w15:docId w15:val="{FA19A1FA-3164-4C82-AEDB-2ED9A1C6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49D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2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12F6"/>
    <w:rPr>
      <w:rFonts w:ascii="Calibri" w:eastAsia="Calibri" w:hAnsi="Calibri" w:cs="Times New Roman"/>
    </w:rPr>
  </w:style>
  <w:style w:type="paragraph" w:styleId="Footer">
    <w:name w:val="footer"/>
    <w:basedOn w:val="Normal"/>
    <w:link w:val="FooterChar"/>
    <w:uiPriority w:val="99"/>
    <w:unhideWhenUsed/>
    <w:rsid w:val="008C12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12F6"/>
    <w:rPr>
      <w:rFonts w:ascii="Calibri" w:eastAsia="Calibri" w:hAnsi="Calibri" w:cs="Times New Roman"/>
    </w:rPr>
  </w:style>
  <w:style w:type="character" w:styleId="Hyperlink">
    <w:name w:val="Hyperlink"/>
    <w:basedOn w:val="DefaultParagraphFont"/>
    <w:uiPriority w:val="99"/>
    <w:unhideWhenUsed/>
    <w:rsid w:val="008C12F6"/>
    <w:rPr>
      <w:color w:val="0563C1" w:themeColor="hyperlink"/>
      <w:u w:val="single"/>
    </w:rPr>
  </w:style>
  <w:style w:type="paragraph" w:styleId="ListParagraph">
    <w:name w:val="List Paragraph"/>
    <w:basedOn w:val="Normal"/>
    <w:uiPriority w:val="34"/>
    <w:qFormat/>
    <w:rsid w:val="00EF5989"/>
    <w:pPr>
      <w:ind w:left="720"/>
      <w:contextualSpacing/>
    </w:pPr>
    <w:rPr>
      <w:rFonts w:eastAsia="Times New Roman"/>
      <w:lang w:val="en-GB"/>
    </w:rPr>
  </w:style>
  <w:style w:type="paragraph" w:styleId="NoSpacing">
    <w:name w:val="No Spacing"/>
    <w:uiPriority w:val="1"/>
    <w:qFormat/>
    <w:rsid w:val="0004530B"/>
    <w:pPr>
      <w:spacing w:after="0" w:line="240" w:lineRule="auto"/>
    </w:pPr>
    <w:rPr>
      <w:lang w:val="en-US"/>
    </w:rPr>
  </w:style>
  <w:style w:type="table" w:customStyle="1" w:styleId="TableGrid">
    <w:name w:val="TableGrid"/>
    <w:rsid w:val="0004530B"/>
    <w:pPr>
      <w:spacing w:after="0" w:line="240" w:lineRule="auto"/>
    </w:pPr>
    <w:rPr>
      <w:rFonts w:eastAsiaTheme="minorEastAsia"/>
      <w:lang w:eastAsia="sq-AL"/>
    </w:rPr>
    <w:tblPr>
      <w:tblCellMar>
        <w:top w:w="0" w:type="dxa"/>
        <w:left w:w="0" w:type="dxa"/>
        <w:bottom w:w="0" w:type="dxa"/>
        <w:right w:w="0" w:type="dxa"/>
      </w:tblCellMar>
    </w:tblPr>
  </w:style>
  <w:style w:type="paragraph" w:styleId="FootnoteText">
    <w:name w:val="footnote text"/>
    <w:basedOn w:val="Normal"/>
    <w:link w:val="FootnoteTextChar"/>
    <w:uiPriority w:val="99"/>
    <w:rsid w:val="008718EB"/>
    <w:pPr>
      <w:autoSpaceDE w:val="0"/>
      <w:autoSpaceDN w:val="0"/>
      <w:adjustRightInd w:val="0"/>
      <w:spacing w:after="160" w:line="258" w:lineRule="atLeast"/>
    </w:pPr>
    <w:rPr>
      <w:rFonts w:eastAsiaTheme="minorHAnsi" w:cs="Calibri"/>
      <w:color w:val="000000"/>
      <w:sz w:val="20"/>
      <w:szCs w:val="20"/>
    </w:rPr>
  </w:style>
  <w:style w:type="character" w:customStyle="1" w:styleId="FootnoteTextChar">
    <w:name w:val="Footnote Text Char"/>
    <w:basedOn w:val="DefaultParagraphFont"/>
    <w:link w:val="FootnoteText"/>
    <w:uiPriority w:val="99"/>
    <w:rsid w:val="008718EB"/>
    <w:rPr>
      <w:rFonts w:ascii="Calibri" w:hAnsi="Calibri" w:cs="Calibri"/>
      <w:color w:val="000000"/>
      <w:sz w:val="20"/>
      <w:szCs w:val="20"/>
    </w:rPr>
  </w:style>
  <w:style w:type="character" w:styleId="FootnoteReference">
    <w:name w:val="footnote reference"/>
    <w:basedOn w:val="DefaultParagraphFont"/>
    <w:uiPriority w:val="99"/>
    <w:semiHidden/>
    <w:unhideWhenUsed/>
    <w:rsid w:val="008718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B7F44BE068A4DC1B612E9FF8F3658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327</Nr_x002e__x0020_akti>
    <Data_x0020_e_x0020_Krijimit xmlns="0e656187-b300-4fb0-8bf4-3a50f872073c">2025-10-30T12:55:27Z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2025-10-30T00:00:00Z</Date_x0020_protokolli>
    <Titulli xmlns="0e656187-b300-4fb0-8bf4-3a50f872073c">Për miratimi  e rregullores "Për përcaktimin e prokurorëve si magjistratë udhëheqës në programin e praktikës profesionale dhe për vlerësimin etik dhe profesional cilësor të kadidatëve për magjistratë"</Titulli>
    <Modifikuesi xmlns="0e656187-b300-4fb0-8bf4-3a50f872073c">ermira.bukaci</Modifikuesi>
    <Nr_x002e__x0020_prot_x0020_QBZ xmlns="0e656187-b300-4fb0-8bf4-3a50f872073c">1801</Nr_x002e__x0020_prot_x0020_QBZ>
    <Data_x0020_e_x0020_Modifikimit xmlns="0e656187-b300-4fb0-8bf4-3a50f872073c">2025-10-30T13:35:15Z</Data_x0020_e_x0020_Modifikimit>
    <Dekretuar xmlns="0e656187-b300-4fb0-8bf4-3a50f872073c">false</Dekretuar>
    <Data xmlns="0e656187-b300-4fb0-8bf4-3a50f872073c">2025-10-23T00:00:00Z</Data>
    <Nr_x002e__x0020_protokolli_x0020_i_x0020_aktit xmlns="0e656187-b300-4fb0-8bf4-3a50f872073c">2601/1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B7F44BE068A4DC1B612E9FF8F3658C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6D227-77D6-4B31-8B0C-9B0560D2D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D805FF-2221-49BC-A380-50B4969166B7}">
  <ds:schemaRefs>
    <ds:schemaRef ds:uri="0e656187-b300-4fb0-8bf4-3a50f872073c"/>
    <ds:schemaRef ds:uri="http://purl.org/dc/elements/1.1/"/>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561497A3-0E21-46E5-858D-68B75944003A}">
  <ds:schemaRefs>
    <ds:schemaRef ds:uri="http://schemas.microsoft.com/sharepoint/v3/contenttype/forms"/>
  </ds:schemaRefs>
</ds:datastoreItem>
</file>

<file path=customXml/itemProps4.xml><?xml version="1.0" encoding="utf-8"?>
<ds:datastoreItem xmlns:ds="http://schemas.openxmlformats.org/officeDocument/2006/customXml" ds:itemID="{23ED37F0-ECD2-483D-99D6-81F7F7D52C3F}">
  <ds:schemaRefs>
    <ds:schemaRef ds:uri="http://schemas.microsoft.com/sharepoint/v3/contenttype/forms"/>
  </ds:schemaRefs>
</ds:datastoreItem>
</file>

<file path=customXml/itemProps5.xml><?xml version="1.0" encoding="utf-8"?>
<ds:datastoreItem xmlns:ds="http://schemas.openxmlformats.org/officeDocument/2006/customXml" ds:itemID="{EB760F4B-6694-4CEF-95C3-DAE41DF6A1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2AAC45-1F1D-4D4A-B51B-B6752270E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Për miratimi e rregullores "Për përcaktimin e prokurorëve si magjistratë udhëheqës në programin e praktikës profesionale dhe për vlerësimin etik dhe profesional cilësor të kadidatëve për magjistratë"</vt:lpstr>
    </vt:vector>
  </TitlesOfParts>
  <Company/>
  <LinksUpToDate>false</LinksUpToDate>
  <CharactersWithSpaces>17692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 e rregullores "Për përcaktimin e prokurorëve si magjistratë udhëheqës në programin e praktikës profesionale dhe për vlerësimin etik dhe profesional cilësor të kadidatëve për magjistratë"</dc:title>
  <dc:creator>klp</dc:creator>
  <cp:lastModifiedBy>Jorina Kryeziu</cp:lastModifiedBy>
  <cp:revision>17</cp:revision>
  <cp:lastPrinted>2025-10-28T07:09:00Z</cp:lastPrinted>
  <dcterms:created xsi:type="dcterms:W3CDTF">2025-10-30T12:01:00Z</dcterms:created>
  <dcterms:modified xsi:type="dcterms:W3CDTF">2025-10-31T10:01:00Z</dcterms:modified>
</cp:coreProperties>
</file>