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312" w:rsidRPr="00A8119E" w:rsidRDefault="003A0312" w:rsidP="003A0312">
      <w:pPr>
        <w:pStyle w:val="Akti"/>
      </w:pPr>
      <w:bookmarkStart w:id="0" w:name="_GoBack"/>
      <w:bookmarkEnd w:id="0"/>
      <w:r w:rsidRPr="00A8119E">
        <w:t xml:space="preserve">Vendim </w:t>
      </w:r>
    </w:p>
    <w:p w:rsidR="003A0312" w:rsidRPr="00A8119E" w:rsidRDefault="003A0312" w:rsidP="003A0312">
      <w:pPr>
        <w:pStyle w:val="NumriData"/>
        <w:rPr>
          <w:szCs w:val="22"/>
        </w:rPr>
      </w:pPr>
      <w:r w:rsidRPr="00A8119E">
        <w:rPr>
          <w:szCs w:val="22"/>
        </w:rPr>
        <w:t>Nr.34, datë 27.1.1997</w:t>
      </w:r>
    </w:p>
    <w:p w:rsidR="003A0312" w:rsidRPr="00A8119E" w:rsidRDefault="003A0312" w:rsidP="003A0312">
      <w:pPr>
        <w:pStyle w:val="Paragrafi"/>
        <w:rPr>
          <w:szCs w:val="22"/>
        </w:rPr>
      </w:pPr>
    </w:p>
    <w:p w:rsidR="003A0312" w:rsidRPr="00A8119E" w:rsidRDefault="003A0312" w:rsidP="003A0312">
      <w:pPr>
        <w:pStyle w:val="Titulli"/>
      </w:pPr>
      <w:r w:rsidRPr="00A8119E">
        <w:t xml:space="preserve">Për tatimin mbi biznesin e vogël </w:t>
      </w:r>
    </w:p>
    <w:p w:rsidR="003A0312" w:rsidRPr="00A8119E" w:rsidRDefault="003A0312" w:rsidP="003A0312">
      <w:pPr>
        <w:pStyle w:val="Paragrafi"/>
        <w:rPr>
          <w:szCs w:val="22"/>
        </w:rPr>
      </w:pPr>
    </w:p>
    <w:p w:rsidR="003A0312" w:rsidRPr="00A8119E" w:rsidRDefault="003A0312" w:rsidP="003A0312">
      <w:pPr>
        <w:pStyle w:val="BazLigjPropozues"/>
      </w:pPr>
      <w:r w:rsidRPr="00A8119E">
        <w:t>Në mbështetje të dekretit nr.1707, datë 22.1.1997 “Për biznesin e vogël”, Këshilli i Ministrave.</w:t>
      </w:r>
    </w:p>
    <w:p w:rsidR="003A0312" w:rsidRPr="00A8119E" w:rsidRDefault="003A0312" w:rsidP="003A0312">
      <w:pPr>
        <w:pStyle w:val="Paragrafi"/>
        <w:rPr>
          <w:szCs w:val="22"/>
        </w:rPr>
      </w:pPr>
    </w:p>
    <w:p w:rsidR="003A0312" w:rsidRPr="00A8119E" w:rsidRDefault="003A0312" w:rsidP="003A0312">
      <w:pPr>
        <w:pStyle w:val="VENDOSI"/>
      </w:pPr>
      <w:r w:rsidRPr="00A8119E">
        <w:t>Vendosi:</w:t>
      </w:r>
    </w:p>
    <w:p w:rsidR="003A0312" w:rsidRPr="00A8119E" w:rsidRDefault="003A0312" w:rsidP="003A0312">
      <w:pPr>
        <w:pStyle w:val="Paragrafi"/>
        <w:rPr>
          <w:szCs w:val="22"/>
        </w:rPr>
      </w:pPr>
    </w:p>
    <w:p w:rsidR="003A0312" w:rsidRPr="00174FD1" w:rsidRDefault="003A0312" w:rsidP="003A0312">
      <w:pPr>
        <w:pStyle w:val="Paragrafi"/>
      </w:pPr>
      <w:r>
        <w:rPr>
          <w:szCs w:val="22"/>
        </w:rPr>
        <w:t>1. Kuotat minimale vjetore</w:t>
      </w:r>
      <w:r w:rsidRPr="00A8119E">
        <w:rPr>
          <w:szCs w:val="22"/>
        </w:rPr>
        <w:t xml:space="preserve"> të tatimeve të detyrueshme për t’u paguar sipas llojeve të aktiviteteve dhe rretheve do të jenë sipas pasqyrës bashkëngjitur, të cilat do të shumëz</w:t>
      </w:r>
      <w:r w:rsidRPr="00174FD1">
        <w:t>ohen me koeficientët si më poshtë:</w:t>
      </w:r>
    </w:p>
    <w:p w:rsidR="003A0312" w:rsidRPr="00A8119E" w:rsidRDefault="003A0312" w:rsidP="003A0312">
      <w:pPr>
        <w:pStyle w:val="Paragrafi"/>
        <w:rPr>
          <w:szCs w:val="22"/>
        </w:rPr>
      </w:pPr>
      <w:r>
        <w:rPr>
          <w:szCs w:val="22"/>
        </w:rPr>
        <w:t>a) Koeficienti i vend</w:t>
      </w:r>
      <w:r w:rsidRPr="00A8119E">
        <w:rPr>
          <w:szCs w:val="22"/>
        </w:rPr>
        <w:t>ndodhjes;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b) Koeficienti i sipërfaqes;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c) Koeficienti i kapacitetit (për mjetet e transportit)</w:t>
      </w:r>
    </w:p>
    <w:p w:rsidR="003A0312" w:rsidRPr="00A8119E" w:rsidRDefault="003A0312" w:rsidP="003A0312">
      <w:pPr>
        <w:pStyle w:val="Paragrafi"/>
        <w:ind w:left="720" w:firstLine="0"/>
        <w:rPr>
          <w:szCs w:val="22"/>
        </w:rPr>
      </w:pPr>
      <w:r>
        <w:rPr>
          <w:szCs w:val="22"/>
        </w:rPr>
        <w:t xml:space="preserve">    </w:t>
      </w:r>
      <w:r w:rsidRPr="00A8119E">
        <w:rPr>
          <w:szCs w:val="22"/>
        </w:rPr>
        <w:t>a) Koeficienti i vendodhjes është: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 xml:space="preserve">1. Për zonën jashtë </w:t>
      </w:r>
      <w:r>
        <w:rPr>
          <w:szCs w:val="22"/>
        </w:rPr>
        <w:t xml:space="preserve">vijës </w:t>
      </w:r>
      <w:r w:rsidRPr="00A8119E">
        <w:rPr>
          <w:szCs w:val="22"/>
        </w:rPr>
        <w:t>së verdhë (periferia e qyteteve plus fshatrat).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1</w:t>
      </w:r>
      <w:r w:rsidRPr="00174FD1">
        <w:t>.1. Për zonën jashtë qendrës (jashtë unazës).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1.2. Për qendrën e qyteteve (brenda unazës).</w:t>
      </w:r>
    </w:p>
    <w:p w:rsidR="003A0312" w:rsidRPr="00A8119E" w:rsidRDefault="003A0312" w:rsidP="003A0312">
      <w:pPr>
        <w:pStyle w:val="Paragrafi"/>
        <w:rPr>
          <w:szCs w:val="22"/>
        </w:rPr>
      </w:pPr>
      <w:r>
        <w:rPr>
          <w:szCs w:val="22"/>
        </w:rPr>
        <w:t xml:space="preserve">    </w:t>
      </w:r>
      <w:r w:rsidRPr="00A8119E">
        <w:rPr>
          <w:szCs w:val="22"/>
        </w:rPr>
        <w:t>b) Koeficienti i sipërfaqes</w:t>
      </w:r>
      <w:r>
        <w:rPr>
          <w:szCs w:val="22"/>
        </w:rPr>
        <w:t xml:space="preserve"> është</w:t>
      </w:r>
      <w:r w:rsidRPr="00A8119E">
        <w:rPr>
          <w:szCs w:val="22"/>
        </w:rPr>
        <w:t>: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1. Për lokele deri me 6 m</w:t>
      </w:r>
      <w:r w:rsidRPr="00A8119E">
        <w:rPr>
          <w:szCs w:val="22"/>
          <w:vertAlign w:val="superscript"/>
        </w:rPr>
        <w:t>2</w:t>
      </w:r>
      <w:r w:rsidRPr="00A8119E">
        <w:rPr>
          <w:szCs w:val="22"/>
        </w:rPr>
        <w:t>.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1.1. Për lokale mbi 6-20 m</w:t>
      </w:r>
      <w:r w:rsidRPr="00A8119E">
        <w:rPr>
          <w:szCs w:val="22"/>
          <w:vertAlign w:val="superscript"/>
        </w:rPr>
        <w:t>2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1.2. Për lokale mbi 20-40 m</w:t>
      </w:r>
      <w:r w:rsidRPr="00A8119E">
        <w:rPr>
          <w:szCs w:val="22"/>
          <w:vertAlign w:val="superscript"/>
        </w:rPr>
        <w:t>2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1.3. Për lokale mbi 40 m</w:t>
      </w:r>
      <w:r w:rsidRPr="00A8119E">
        <w:rPr>
          <w:szCs w:val="22"/>
          <w:vertAlign w:val="superscript"/>
        </w:rPr>
        <w:t>2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2. Kuotat në tabelë do të</w:t>
      </w:r>
      <w:r w:rsidRPr="00174FD1">
        <w:t xml:space="preserve"> shumëzohen me koeficientin përkatës të pikës “a” dhe pikës “b” pavarësi</w:t>
      </w:r>
      <w:r>
        <w:t>s</w:t>
      </w:r>
      <w:r w:rsidRPr="00174FD1">
        <w:t>ht nga n</w:t>
      </w:r>
      <w:r>
        <w:t>jëri-tjetri dhe nga produktet e tyre</w:t>
      </w:r>
      <w:r w:rsidRPr="00174FD1">
        <w:t xml:space="preserve"> do të zbritet përkatësisht kuota bazë e caktuar në tabelë. Në këtë mënyrë shumatorja e shtesave sipas koeficientëve “a” dhe “b” me kuotën bazë do të jetë dyshemeja e detyrueshme për t’u paguar për llojet e aktiviteteve të caktuara në kolonat 1, 2, 7, 8, 9, 11, 14, 15, 16 dhe 18.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Për shembull, një subjekt ushtron aktivitet tregtie me pakicë, në q</w:t>
      </w:r>
      <w:r>
        <w:rPr>
          <w:szCs w:val="22"/>
        </w:rPr>
        <w:t>e</w:t>
      </w:r>
      <w:r w:rsidRPr="00A8119E">
        <w:rPr>
          <w:szCs w:val="22"/>
        </w:rPr>
        <w:t>ndër të qytetit të Tiranës, i cili ka një sipë</w:t>
      </w:r>
      <w:r w:rsidRPr="00174FD1">
        <w:t xml:space="preserve">rfaqe </w:t>
      </w:r>
      <w:r>
        <w:t xml:space="preserve">mbi </w:t>
      </w:r>
      <w:r w:rsidRPr="00DF25F8">
        <w:t>40</w:t>
      </w:r>
      <w:r w:rsidRPr="00174FD1">
        <w:t xml:space="preserve"> m</w:t>
      </w:r>
      <w:r w:rsidRPr="00A8119E">
        <w:rPr>
          <w:szCs w:val="22"/>
          <w:vertAlign w:val="superscript"/>
        </w:rPr>
        <w:t>2</w:t>
      </w:r>
      <w:r w:rsidRPr="00A8119E">
        <w:rPr>
          <w:szCs w:val="22"/>
        </w:rPr>
        <w:t>. Kuota sipas tabelës për shembullin është 60 000 lekë x 1.2 = 72 000</w:t>
      </w:r>
      <w:r>
        <w:rPr>
          <w:szCs w:val="22"/>
        </w:rPr>
        <w:t xml:space="preserve"> lekë</w:t>
      </w:r>
      <w:r w:rsidRPr="00A8119E">
        <w:rPr>
          <w:szCs w:val="22"/>
        </w:rPr>
        <w:t xml:space="preserve"> – kuota bazë 60 000=12 000</w:t>
      </w:r>
      <w:r>
        <w:rPr>
          <w:szCs w:val="22"/>
        </w:rPr>
        <w:t>.</w:t>
      </w:r>
      <w:r w:rsidRPr="00A8119E">
        <w:rPr>
          <w:szCs w:val="22"/>
        </w:rPr>
        <w:t xml:space="preserve"> </w:t>
      </w:r>
      <w:r>
        <w:rPr>
          <w:szCs w:val="22"/>
        </w:rPr>
        <w:t xml:space="preserve">Kështu 12 000 </w:t>
      </w:r>
      <w:r w:rsidRPr="00A8119E">
        <w:rPr>
          <w:szCs w:val="22"/>
        </w:rPr>
        <w:t>lekë është shtesa sipas pikës “a”.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Shtesa sipas pikës “b” do të jetë: 60 000 x 1.2 =72 000 – 60 000 =12 000. Gjithsej dyshemeja e detyruar është: ku</w:t>
      </w:r>
      <w:r w:rsidRPr="00174FD1">
        <w:t>ota 60 000 plus shtesa e p</w:t>
      </w:r>
      <w:r>
        <w:t>a</w:t>
      </w:r>
      <w:r w:rsidRPr="00174FD1">
        <w:t>rë 12 00</w:t>
      </w:r>
      <w:r>
        <w:t>0, plus shtesën e dytë 12 000. T</w:t>
      </w:r>
      <w:r w:rsidRPr="00174FD1">
        <w:t>atimi vjetor i detyruar për subjektin në fjalë është 84 000 lekë në</w:t>
      </w:r>
      <w:r>
        <w:t xml:space="preserve"> vit</w:t>
      </w:r>
      <w:r w:rsidRPr="00174FD1">
        <w:t>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3. Llojet e aktiviteteve</w:t>
      </w:r>
      <w:r>
        <w:rPr>
          <w:szCs w:val="22"/>
        </w:rPr>
        <w:t>,</w:t>
      </w:r>
      <w:r w:rsidRPr="00A8119E">
        <w:rPr>
          <w:szCs w:val="22"/>
        </w:rPr>
        <w:t xml:space="preserve"> të përcaktuara në kolonat e tjera të tabelës së bashkëlidhur vendimit</w:t>
      </w:r>
      <w:r>
        <w:rPr>
          <w:szCs w:val="22"/>
        </w:rPr>
        <w:t>, nuk do t’u</w:t>
      </w:r>
      <w:r w:rsidRPr="00A8119E">
        <w:rPr>
          <w:szCs w:val="22"/>
        </w:rPr>
        <w:t xml:space="preserve"> nënshtrohe</w:t>
      </w:r>
      <w:r w:rsidRPr="00174FD1">
        <w:t>n shtesave sipas koeficientëve të mësipërm.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4. Për shërbimin e</w:t>
      </w:r>
      <w:r>
        <w:rPr>
          <w:szCs w:val="22"/>
        </w:rPr>
        <w:t xml:space="preserve"> transportit do të përdoren këta</w:t>
      </w:r>
      <w:r w:rsidRPr="00A8119E">
        <w:rPr>
          <w:szCs w:val="22"/>
        </w:rPr>
        <w:t xml:space="preserve"> koeficientë: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a) Për transportin e udhëtarëve: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- Koeficienti 1 për mjetet deri në 5 vende;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- Koeficienti 2 për mjetet deri në 10 vende;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- Koeficienti 2.2 për mjet</w:t>
      </w:r>
      <w:r w:rsidRPr="00174FD1">
        <w:t>et deri në 25 vende;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- Koeficienti 2.5 për mjetet mbi 25 vende;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b) Për transportin e mallrave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 xml:space="preserve">- Koeficienti 1 për mjetet deri në 2 </w:t>
      </w:r>
      <w:r>
        <w:rPr>
          <w:szCs w:val="22"/>
        </w:rPr>
        <w:t>tonë</w:t>
      </w:r>
      <w:r w:rsidRPr="00A8119E">
        <w:rPr>
          <w:szCs w:val="22"/>
        </w:rPr>
        <w:t>;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- Koeficienti 1.5 për mjetet nga 2 deri në 5 tonë;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- Koeficienti 2 për mjetet nga 5 deri në 10 tonë;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- Koeficienti 2</w:t>
      </w:r>
      <w:r w:rsidRPr="00174FD1">
        <w:t>.1</w:t>
      </w:r>
      <w:r>
        <w:t xml:space="preserve"> mbi 10 tonë.</w:t>
      </w:r>
    </w:p>
    <w:p w:rsidR="003A0312" w:rsidRPr="00A8119E" w:rsidRDefault="003A0312" w:rsidP="003A0312">
      <w:pPr>
        <w:pStyle w:val="Paragrafi"/>
        <w:rPr>
          <w:szCs w:val="22"/>
        </w:rPr>
      </w:pPr>
      <w:r>
        <w:rPr>
          <w:szCs w:val="22"/>
        </w:rPr>
        <w:t xml:space="preserve">4. Në nënndarjen: </w:t>
      </w:r>
      <w:r w:rsidRPr="00A8119E">
        <w:rPr>
          <w:szCs w:val="22"/>
        </w:rPr>
        <w:t>“Tregti me pakicë” për</w:t>
      </w:r>
      <w:r>
        <w:rPr>
          <w:szCs w:val="22"/>
        </w:rPr>
        <w:t>fshihen të gjitha</w:t>
      </w:r>
      <w:r w:rsidRPr="00A8119E">
        <w:rPr>
          <w:szCs w:val="22"/>
        </w:rPr>
        <w:t xml:space="preserve"> subjektet që ushtrojnë veprimtarinë e tyre në dyqane e njësi: artikuj të n</w:t>
      </w:r>
      <w:r>
        <w:rPr>
          <w:szCs w:val="22"/>
        </w:rPr>
        <w:t>dryshëm, medikamente, ushqimore</w:t>
      </w:r>
      <w:r w:rsidRPr="00A8119E">
        <w:rPr>
          <w:szCs w:val="22"/>
        </w:rPr>
        <w:t xml:space="preserve"> etj.</w:t>
      </w:r>
    </w:p>
    <w:p w:rsidR="003A0312" w:rsidRPr="00174FD1" w:rsidRDefault="003A0312" w:rsidP="003A0312">
      <w:pPr>
        <w:pStyle w:val="Paragrafi"/>
      </w:pPr>
      <w:r>
        <w:rPr>
          <w:szCs w:val="22"/>
        </w:rPr>
        <w:t>- Në nënndarjen “Tregti</w:t>
      </w:r>
      <w:r w:rsidRPr="00A8119E">
        <w:rPr>
          <w:szCs w:val="22"/>
        </w:rPr>
        <w:t xml:space="preserve"> m</w:t>
      </w:r>
      <w:r>
        <w:rPr>
          <w:szCs w:val="22"/>
        </w:rPr>
        <w:t>e shumicë” përfshihen të gjitha</w:t>
      </w:r>
      <w:r w:rsidRPr="00A8119E">
        <w:rPr>
          <w:szCs w:val="22"/>
        </w:rPr>
        <w:t xml:space="preserve"> subjektet </w:t>
      </w:r>
      <w:r w:rsidRPr="00174FD1">
        <w:t>që ushtrojnë tregti me shumicë të çdo lloji.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- Në nënndarjen “Artizanat” përfshihen të gjitha llojet e zejeve</w:t>
      </w:r>
      <w:r>
        <w:rPr>
          <w:szCs w:val="22"/>
        </w:rPr>
        <w:t>, si bakërpunues</w:t>
      </w:r>
      <w:r w:rsidRPr="00A8119E">
        <w:rPr>
          <w:szCs w:val="22"/>
        </w:rPr>
        <w:t xml:space="preserve">, qilimpunues, qëndistarë, argjendari artistike, riparim këpucësh, riparim biçikletash, gomisteri, lavazh, berber, </w:t>
      </w:r>
      <w:r w:rsidRPr="00A8119E">
        <w:rPr>
          <w:szCs w:val="22"/>
        </w:rPr>
        <w:lastRenderedPageBreak/>
        <w:t>permanent, orën</w:t>
      </w:r>
      <w:r w:rsidRPr="00174FD1">
        <w:t>dreqës, tavapjekës, r</w:t>
      </w:r>
      <w:r>
        <w:t>robaqepës e të tjera</w:t>
      </w:r>
      <w:r w:rsidRPr="00174FD1">
        <w:t xml:space="preserve"> të kësaj natyre.</w:t>
      </w:r>
    </w:p>
    <w:p w:rsidR="003A0312" w:rsidRPr="00A8119E" w:rsidRDefault="003A0312" w:rsidP="003A0312">
      <w:pPr>
        <w:pStyle w:val="Paragrafi"/>
        <w:rPr>
          <w:szCs w:val="22"/>
        </w:rPr>
      </w:pPr>
      <w:r>
        <w:rPr>
          <w:szCs w:val="22"/>
        </w:rPr>
        <w:t>- Në nënndarjen “Ambulantë”</w:t>
      </w:r>
      <w:r w:rsidRPr="00A8119E">
        <w:rPr>
          <w:szCs w:val="22"/>
        </w:rPr>
        <w:t xml:space="preserve"> përfshihen tregtia ambulante riparim-shërbim</w:t>
      </w:r>
      <w:r>
        <w:rPr>
          <w:szCs w:val="22"/>
        </w:rPr>
        <w:t>i</w:t>
      </w:r>
      <w:r w:rsidRPr="00A8119E">
        <w:rPr>
          <w:szCs w:val="22"/>
        </w:rPr>
        <w:t xml:space="preserve"> ambulant dhe </w:t>
      </w:r>
      <w:r>
        <w:rPr>
          <w:szCs w:val="22"/>
        </w:rPr>
        <w:t xml:space="preserve">çdo </w:t>
      </w:r>
      <w:r w:rsidRPr="00A8119E">
        <w:rPr>
          <w:szCs w:val="22"/>
        </w:rPr>
        <w:t>formë tjetër e natyrës</w:t>
      </w:r>
      <w:r>
        <w:rPr>
          <w:szCs w:val="22"/>
        </w:rPr>
        <w:t xml:space="preserve"> ambulante, pra që nuk ka vendqe</w:t>
      </w:r>
      <w:r w:rsidRPr="00A8119E">
        <w:rPr>
          <w:szCs w:val="22"/>
        </w:rPr>
        <w:t>ndrim permanent.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 xml:space="preserve">- Në nënndarjen”Specialistë” përfshihen </w:t>
      </w:r>
      <w:r w:rsidRPr="00174FD1">
        <w:t>specialistët e fushave të ndryshme</w:t>
      </w:r>
      <w:r>
        <w:t>,</w:t>
      </w:r>
      <w:r w:rsidRPr="00174FD1">
        <w:t xml:space="preserve"> si: ekonomistë, mjekë, inxhinierë, mësues, veterinerë, laborantë, agronomë, përkthyes etj.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- Në nënndarjen “Profesione të lira” të përfshihen: noterë, avokat</w:t>
      </w:r>
      <w:r>
        <w:rPr>
          <w:szCs w:val="22"/>
        </w:rPr>
        <w:t>ë</w:t>
      </w:r>
      <w:r w:rsidRPr="00A8119E">
        <w:rPr>
          <w:szCs w:val="22"/>
        </w:rPr>
        <w:t>, stomatologë.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- Në nënndarjen “Prodhim i pavarur” të përfshihen</w:t>
      </w:r>
      <w:r>
        <w:t xml:space="preserve"> të gjitha</w:t>
      </w:r>
      <w:r w:rsidRPr="00174FD1">
        <w:t xml:space="preserve"> subjektet që ushtrojnë veprimtari të pavarur prodhuese për prodhim tullash, tjegullash, gëlqereje.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- Në nënndarjen “Riparim shërbime” të përfshihen subjektet që kryejnë riparime shërbime të artikujve elektroshtëpiakë e radiotelevizorë, punime dh</w:t>
      </w:r>
      <w:r w:rsidRPr="00174FD1">
        <w:t>e shërbime druri, duroalumini, tapicerie, fotogr</w:t>
      </w:r>
      <w:r>
        <w:t>afim</w:t>
      </w:r>
      <w:r w:rsidRPr="00174FD1">
        <w:t xml:space="preserve"> zhvillim e stampim, si dhe agjencitë e shërbimit turistik e këmbime valutore në dyqane apo njësi të veçanta.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- Në nënndarjen “Restorante” përfshihen subjektet që ushtrojnë veprimtarinë restorant, hotele e</w:t>
      </w:r>
      <w:r w:rsidRPr="00174FD1">
        <w:t xml:space="preserve"> motele.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- Në nënndarjen “Transport” përfshihen subjektet që kryejnë transportin e udhëtarëve</w:t>
      </w:r>
      <w:r>
        <w:rPr>
          <w:szCs w:val="22"/>
        </w:rPr>
        <w:t>,</w:t>
      </w:r>
      <w:r w:rsidRPr="00A8119E">
        <w:rPr>
          <w:szCs w:val="22"/>
        </w:rPr>
        <w:t xml:space="preserve"> si dhe transportin e mallrave, kjo dhe për transportin ujor.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- Në nënndarjen “Salla loj</w:t>
      </w:r>
      <w:r>
        <w:rPr>
          <w:szCs w:val="22"/>
        </w:rPr>
        <w:t>ë</w:t>
      </w:r>
      <w:r w:rsidRPr="00A8119E">
        <w:rPr>
          <w:szCs w:val="22"/>
        </w:rPr>
        <w:t>rash” përfshihen subjektet që përdorin salla loj</w:t>
      </w:r>
      <w:r>
        <w:rPr>
          <w:szCs w:val="22"/>
        </w:rPr>
        <w:t>ë</w:t>
      </w:r>
      <w:r w:rsidRPr="00A8119E">
        <w:rPr>
          <w:szCs w:val="22"/>
        </w:rPr>
        <w:t>rash, elektronike, kënde</w:t>
      </w:r>
      <w:r>
        <w:rPr>
          <w:szCs w:val="22"/>
        </w:rPr>
        <w:t xml:space="preserve"> </w:t>
      </w:r>
      <w:r w:rsidRPr="00A8119E">
        <w:rPr>
          <w:szCs w:val="22"/>
        </w:rPr>
        <w:t>loj</w:t>
      </w:r>
      <w:r>
        <w:rPr>
          <w:szCs w:val="22"/>
        </w:rPr>
        <w:t>ë</w:t>
      </w:r>
      <w:r w:rsidRPr="00174FD1">
        <w:t>rash e cirqesh, bilardo e të tjera të ngjashme me to.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- Në nënndarjen “Autoshkolla” përfshihen subjektet që organizojnë kurse për patentë makine.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- Në nënndarjen “Auto-servis” përfshihen serviset për riparimin e çdo lloj automjeti.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- Në nënndarjen “Sallon</w:t>
      </w:r>
      <w:r>
        <w:rPr>
          <w:szCs w:val="22"/>
        </w:rPr>
        <w:t>e</w:t>
      </w:r>
      <w:r w:rsidRPr="00A8119E">
        <w:rPr>
          <w:szCs w:val="22"/>
        </w:rPr>
        <w:t xml:space="preserve"> </w:t>
      </w:r>
      <w:r w:rsidRPr="00174FD1">
        <w:t>bukurie” përfshihen shërbimet e kozmetikës e zbukurimeve (tatuazhet).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- Në nënndarjen “Boutique veshje” përfshihen të gjitha dyqanet që tregtojnë veshje të cilësisë së parë</w:t>
      </w:r>
      <w:r>
        <w:rPr>
          <w:szCs w:val="22"/>
        </w:rPr>
        <w:t>,</w:t>
      </w:r>
      <w:r w:rsidRPr="00A8119E">
        <w:rPr>
          <w:szCs w:val="22"/>
        </w:rPr>
        <w:t xml:space="preserve"> si dhe dyqanet që tregtojnë këpucë.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 xml:space="preserve">- Në nënndarjen “Tregti bizhuterie” përfshihen </w:t>
      </w:r>
      <w:r w:rsidRPr="00174FD1">
        <w:t>të gjitha dyqanet që tregtojnë artikuj bizhuterie</w:t>
      </w:r>
      <w:r>
        <w:t>,</w:t>
      </w:r>
      <w:r w:rsidRPr="00174FD1">
        <w:t xml:space="preserve"> si dhe ato që tregtojnë artikuj të parfumerisë.</w:t>
      </w:r>
    </w:p>
    <w:p w:rsidR="003A0312" w:rsidRPr="00174FD1" w:rsidRDefault="003A0312" w:rsidP="003A0312">
      <w:pPr>
        <w:pStyle w:val="Paragrafi"/>
      </w:pPr>
      <w:r w:rsidRPr="00A8119E">
        <w:rPr>
          <w:szCs w:val="22"/>
        </w:rPr>
        <w:t>- Në nënndarjen “Agrobiznes familjar prodhim</w:t>
      </w:r>
      <w:r>
        <w:rPr>
          <w:szCs w:val="22"/>
        </w:rPr>
        <w:t xml:space="preserve"> e</w:t>
      </w:r>
      <w:r w:rsidRPr="00A8119E">
        <w:rPr>
          <w:szCs w:val="22"/>
        </w:rPr>
        <w:t xml:space="preserve"> tregtim” përfshihen subjektet që prodhojnë artikuj ushqimor</w:t>
      </w:r>
      <w:r>
        <w:rPr>
          <w:szCs w:val="22"/>
        </w:rPr>
        <w:t>ë,</w:t>
      </w:r>
      <w:r w:rsidRPr="00A8119E">
        <w:rPr>
          <w:szCs w:val="22"/>
        </w:rPr>
        <w:t xml:space="preserve"> si nënprodukte të mishit</w:t>
      </w:r>
      <w:r>
        <w:rPr>
          <w:szCs w:val="22"/>
        </w:rPr>
        <w:t>,</w:t>
      </w:r>
      <w:r w:rsidRPr="00A8119E">
        <w:rPr>
          <w:szCs w:val="22"/>
        </w:rPr>
        <w:t xml:space="preserve"> brum</w:t>
      </w:r>
      <w:r>
        <w:rPr>
          <w:szCs w:val="22"/>
        </w:rPr>
        <w:t>ë</w:t>
      </w:r>
      <w:r w:rsidRPr="00A8119E">
        <w:rPr>
          <w:szCs w:val="22"/>
        </w:rPr>
        <w:t xml:space="preserve">rave </w:t>
      </w:r>
      <w:r>
        <w:rPr>
          <w:szCs w:val="22"/>
        </w:rPr>
        <w:t xml:space="preserve">e </w:t>
      </w:r>
      <w:r w:rsidRPr="00A8119E">
        <w:rPr>
          <w:szCs w:val="22"/>
        </w:rPr>
        <w:t>ëmbëlsirave, përpun</w:t>
      </w:r>
      <w:r w:rsidRPr="00174FD1">
        <w:t>im i kafesë, pijeve freskuese e të tjera prodhime të karakterit ushqimor.</w:t>
      </w:r>
    </w:p>
    <w:p w:rsidR="003A0312" w:rsidRPr="00A8119E" w:rsidRDefault="003A0312" w:rsidP="003A0312">
      <w:pPr>
        <w:pStyle w:val="Paragrafi"/>
        <w:rPr>
          <w:szCs w:val="22"/>
        </w:rPr>
      </w:pPr>
      <w:r w:rsidRPr="00A8119E">
        <w:rPr>
          <w:szCs w:val="22"/>
        </w:rPr>
        <w:t>Ky vendim hyn në fuqi menjëherë dhe efektet e tij i shtrin nga 1.1.1997.</w:t>
      </w:r>
    </w:p>
    <w:p w:rsidR="003A0312" w:rsidRPr="00A8119E" w:rsidRDefault="003A0312" w:rsidP="003A0312">
      <w:pPr>
        <w:pStyle w:val="Paragrafi"/>
        <w:rPr>
          <w:szCs w:val="22"/>
        </w:rPr>
      </w:pPr>
    </w:p>
    <w:p w:rsidR="003A0312" w:rsidRPr="00A8119E" w:rsidRDefault="003A0312" w:rsidP="003A0312">
      <w:pPr>
        <w:pStyle w:val="Autoriteti"/>
      </w:pPr>
      <w:r w:rsidRPr="00A8119E">
        <w:t xml:space="preserve">Kryetari i këshillit të Ministrave </w:t>
      </w:r>
    </w:p>
    <w:p w:rsidR="003A0312" w:rsidRPr="00A8119E" w:rsidRDefault="003A0312" w:rsidP="003A0312">
      <w:pPr>
        <w:pStyle w:val="AutoritetiEmer"/>
      </w:pPr>
      <w:r w:rsidRPr="00A8119E">
        <w:t xml:space="preserve">Aleksandër Meksi </w:t>
      </w:r>
    </w:p>
    <w:p w:rsidR="003A0312" w:rsidRPr="00A8119E" w:rsidRDefault="003A0312" w:rsidP="003A0312">
      <w:pPr>
        <w:pStyle w:val="Paragrafi"/>
        <w:rPr>
          <w:szCs w:val="22"/>
        </w:rPr>
      </w:pPr>
    </w:p>
    <w:p w:rsidR="003A0312" w:rsidRPr="00A8119E" w:rsidRDefault="003A0312" w:rsidP="003A0312">
      <w:pPr>
        <w:pStyle w:val="Paragrafi"/>
        <w:ind w:firstLine="0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698E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0312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3356B8-8F0C-4C3A-827E-0D0FAE836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A031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