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B42" w:rsidRPr="00A8119E" w:rsidRDefault="00431B42" w:rsidP="00431B42">
      <w:pPr>
        <w:pStyle w:val="Akti"/>
      </w:pPr>
      <w:bookmarkStart w:id="0" w:name="_GoBack"/>
      <w:bookmarkEnd w:id="0"/>
      <w:r w:rsidRPr="00A8119E">
        <w:t xml:space="preserve">Vendim </w:t>
      </w:r>
    </w:p>
    <w:p w:rsidR="00431B42" w:rsidRPr="00A8119E" w:rsidRDefault="00431B42" w:rsidP="00431B42">
      <w:pPr>
        <w:pStyle w:val="NumriData"/>
        <w:rPr>
          <w:szCs w:val="22"/>
        </w:rPr>
      </w:pPr>
      <w:r w:rsidRPr="00A8119E">
        <w:rPr>
          <w:szCs w:val="22"/>
        </w:rPr>
        <w:t>Nr.47, datë 3.2.1997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Titulli"/>
      </w:pPr>
      <w:r w:rsidRPr="00A8119E">
        <w:t>Për mënyrën dhe kriteret e shpërndarjes së pasurisë së fondacioneve që e kanë ushtruar veprimtarinë e tyre të huamarrjes mbi bazën e skemave piramidale mashtruese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BazLigjPropozues"/>
      </w:pPr>
      <w:r w:rsidRPr="00A8119E">
        <w:t>Në bazë të ligjit nr.8190, datë 30.1.1997 “Për shpërndarjen e pasurisë së fondacioneve që e kanë ushtruar veprimtarinë e tyre të huamarrjes mbi bazën e skemave piramidale mashtruese”, Këshilli i Ministrave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VENDOSI"/>
      </w:pPr>
      <w:r w:rsidRPr="00A8119E">
        <w:t>Vendosi: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>1. Shpërndarja e pasurisë së fondacioneve, të cilat e kanë ushtruar veprimtarinë e tyre të huamarrjes mbi bazën e skemave piramidale mashtruese, do të fillojë në datën 5 shkurt 1997.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>2. Të gj</w:t>
      </w:r>
      <w:r>
        <w:rPr>
          <w:szCs w:val="22"/>
        </w:rPr>
        <w:t>i</w:t>
      </w:r>
      <w:r w:rsidRPr="00A8119E">
        <w:rPr>
          <w:szCs w:val="22"/>
        </w:rPr>
        <w:t>tha mjetet monetare që u janë</w:t>
      </w:r>
      <w:r w:rsidRPr="00174FD1">
        <w:t xml:space="preserve"> ngurtësuar fondacioneve</w:t>
      </w:r>
      <w:r>
        <w:t>,</w:t>
      </w:r>
      <w:r w:rsidRPr="00174FD1">
        <w:t xml:space="preserve"> do të depozitohen në llogari pranë bankave, të cilat do të bëjnë shpërndarjen e tyre. Llogaritë e bllokuara do të jenë në bankë në emër të fondacionit. Përdorimi i shumave të këtyre llogarive do të bëhet për shpërndarjen e pasurisë së fondacioneve huadhënësve në përputhje me kriteret e këtij vendimi.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3. Banka Kombëtare Tregtare do të bëjë shpërndarjen e pasurisë së fondacionit “Demokracia Popullore Xhaferri”, kurse </w:t>
      </w:r>
      <w:smartTag w:uri="urn:schemas-microsoft-com:office:smarttags" w:element="place">
        <w:r w:rsidRPr="00A8119E">
          <w:rPr>
            <w:szCs w:val="22"/>
          </w:rPr>
          <w:t>Banka</w:t>
        </w:r>
      </w:smartTag>
      <w:r w:rsidRPr="00A8119E">
        <w:rPr>
          <w:szCs w:val="22"/>
        </w:rPr>
        <w:t xml:space="preserve"> e Kursimeve do të bëjë shpërndarjen e pasurisë së fondacionit </w:t>
      </w:r>
      <w:r w:rsidRPr="00174FD1">
        <w:t>“Populli”.</w:t>
      </w: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>Atje ku Banka Kombëtare Tregtare nuk ka degë të saja, shpërndarja e pasurisë bëhet në marrëveshje me Bankën e Kursimeve.</w:t>
      </w: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>4. Shpërndarja e pasurisë së fondacioneve do të kryhet në dy faza si vijon: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>a) Faza e parë fillon më 5 shkurt 1997 dhe do të</w:t>
      </w:r>
      <w:r w:rsidRPr="00174FD1">
        <w:t xml:space="preserve"> shpërndahen mje</w:t>
      </w:r>
      <w:r>
        <w:t>tet monetare të ngurtësuara në b</w:t>
      </w:r>
      <w:r w:rsidRPr="00174FD1">
        <w:t xml:space="preserve">ankat e nivelit të dytë të këtyre fondacioneve në përqindje të njëjtë për të gjithë </w:t>
      </w:r>
      <w:r>
        <w:t>hua</w:t>
      </w:r>
      <w:r w:rsidRPr="00174FD1">
        <w:t>dhënësit sipas fondacioneve, në pë</w:t>
      </w:r>
      <w:r>
        <w:t>rputhje me koeficientin e miratu</w:t>
      </w:r>
      <w:r w:rsidRPr="00174FD1">
        <w:t>ar nga Komisioni i Posaçëm i krijuar në bazë të nenit</w:t>
      </w:r>
      <w:r>
        <w:t xml:space="preserve"> 7 të ligjit nr.8190, datë 30.1</w:t>
      </w:r>
      <w:r w:rsidRPr="00174FD1">
        <w:t>.1997 “Për shpërndarjen e pasurisë së fondacioneve që e kanë ushtruar veprimtarinë e tyre të huamarrjes mbi bazën e skemave piramidale</w:t>
      </w:r>
      <w:r>
        <w:t xml:space="preserve"> </w:t>
      </w:r>
      <w:r w:rsidRPr="00174FD1">
        <w:t>mashtruese”.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>b) Faza e dytë do të fillojë në përfundimin e shitjes së të gj</w:t>
      </w:r>
      <w:r>
        <w:rPr>
          <w:szCs w:val="22"/>
        </w:rPr>
        <w:t>i</w:t>
      </w:r>
      <w:r w:rsidRPr="00A8119E">
        <w:rPr>
          <w:szCs w:val="22"/>
        </w:rPr>
        <w:t>tha pasurive të t</w:t>
      </w:r>
      <w:r w:rsidRPr="00174FD1">
        <w:t>jera, të parashikuara në nenin 2 të ligjit nr.8190, datë 30.1.1997 “Për shpërndarjen e pasurisë së fondacioneve që e kanë ushtruar veprimtarinë e tyre të huamarrjes mbi bazën e skemave piramidale mashtruese”. Në masën e detyrimit që do të shpërndahet në këtë fazë, përfshihen edhe mjetet monetare që mund të vijnë si pasojë e konfiskimeve. Të ardhurat që grumbullohen sipas kësaj pike, u shpërndahen huadhënësve në përputhje me pjesën që u takon sipas kuotës së huadhënies personale.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>5. Në kuptim të nenit 5 të l</w:t>
      </w:r>
      <w:r w:rsidRPr="00174FD1">
        <w:t>igjit nr.8190, datë 30.1.1997 “Për shpërndarjen e pasurisë së fondacioneve që</w:t>
      </w:r>
      <w:r>
        <w:t xml:space="preserve"> e</w:t>
      </w:r>
      <w:r w:rsidRPr="00174FD1">
        <w:t xml:space="preserve"> kanë ushtruar veprimtarinë e tyre të huamarrjes mbi bazën e skemave piramidale mashtruese”, si huadhënës përfitues të fondacioneve do të konsiderohen të gjithë ata persona që rezultojnë si të tillë në bazë të dokumentacionit të fondacioneve dhe që i </w:t>
      </w:r>
      <w:r>
        <w:t>kanë depozituar shumat e tyre p</w:t>
      </w:r>
      <w:r w:rsidRPr="00174FD1">
        <w:t>ranë fondacioneve.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>6. Bankat e parashikuara në pikën 3 të këtij vendimi do t’u llogaritin huadh</w:t>
      </w:r>
      <w:r>
        <w:rPr>
          <w:szCs w:val="22"/>
        </w:rPr>
        <w:t>ë</w:t>
      </w:r>
      <w:r w:rsidRPr="00A8119E">
        <w:rPr>
          <w:szCs w:val="22"/>
        </w:rPr>
        <w:t>nësve në librezën e kursimit interesat bankare që nga dat</w:t>
      </w:r>
      <w:r w:rsidRPr="00174FD1">
        <w:t>a e ngurtësimit të fondeve</w:t>
      </w:r>
      <w:r>
        <w:t xml:space="preserve"> të këtyre fondacioneve.</w:t>
      </w:r>
    </w:p>
    <w:p w:rsidR="00431B42" w:rsidRPr="00174FD1" w:rsidRDefault="00431B42" w:rsidP="00431B42">
      <w:pPr>
        <w:pStyle w:val="Paragrafi"/>
      </w:pPr>
      <w:r w:rsidRPr="00174FD1">
        <w:t>Shpërndarja e shumave huadhënësve do të bëhet në të holla ose me libreza kursimi. Sasia e parave që do të jepet në të holla, do të jetë në përputhje me rregullat dhe rekomandimet e Bankës së Shqipërisë për këtë qëllim.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>7. Shpërndarja e pasurisë huadhënësve të fondacioneve do të bëhet pranë sporteleve të bankave të parashikuara në pikën 3 të këtij vendimi. Sportelet do të konsiderohen si objekte të rëndësisë së veçant</w:t>
      </w:r>
      <w:r>
        <w:rPr>
          <w:szCs w:val="22"/>
        </w:rPr>
        <w:t>ë</w:t>
      </w:r>
      <w:r w:rsidRPr="00A8119E">
        <w:rPr>
          <w:szCs w:val="22"/>
        </w:rPr>
        <w:t xml:space="preserve"> dhe do të ruhen nga forcat e policisë së </w:t>
      </w:r>
      <w:r w:rsidRPr="00174FD1">
        <w:t xml:space="preserve">rendit. </w:t>
      </w:r>
    </w:p>
    <w:p w:rsidR="00431B42" w:rsidRPr="00174FD1" w:rsidRDefault="00431B42" w:rsidP="00431B42">
      <w:pPr>
        <w:pStyle w:val="Paragrafi"/>
      </w:pPr>
      <w:r w:rsidRPr="00174FD1">
        <w:t xml:space="preserve">Ministria </w:t>
      </w:r>
      <w:r>
        <w:t>e Brendshme merr masat për ruajt</w:t>
      </w:r>
      <w:r w:rsidRPr="00174FD1">
        <w:t>jen e sporteleve sipas kërkesave që do t’i bëjnë bankat e parashikuara në pikën 3 të këtij vendimi.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>8. Radha e shpërndar</w:t>
      </w:r>
      <w:r>
        <w:rPr>
          <w:szCs w:val="22"/>
        </w:rPr>
        <w:t>j</w:t>
      </w:r>
      <w:r w:rsidRPr="00A8119E">
        <w:rPr>
          <w:szCs w:val="22"/>
        </w:rPr>
        <w:t>es së shumave ose librezave t</w:t>
      </w:r>
      <w:r>
        <w:rPr>
          <w:szCs w:val="22"/>
        </w:rPr>
        <w:t>ë kursimit huadhënësve do të jet</w:t>
      </w:r>
      <w:r w:rsidRPr="00A8119E">
        <w:rPr>
          <w:szCs w:val="22"/>
        </w:rPr>
        <w:t>ë sipas afateve të tërheq</w:t>
      </w:r>
      <w:r w:rsidRPr="00174FD1">
        <w:t xml:space="preserve">jes së parave nga fondacionet, në përputhje me dokumentet që disponon secili fondacion. Si datë e parë </w:t>
      </w:r>
      <w:r>
        <w:t xml:space="preserve">e </w:t>
      </w:r>
      <w:r w:rsidRPr="00174FD1">
        <w:t>dhënies së shumave ose librezave të kursimit huadhënësve të fondacioneve do të jetë data më e hershme, kur fondaci</w:t>
      </w:r>
      <w:r>
        <w:t>oni nuk</w:t>
      </w:r>
      <w:r w:rsidRPr="00174FD1">
        <w:t xml:space="preserve"> ka kryer pagesat huadhënësve. Data</w:t>
      </w:r>
      <w:r>
        <w:t>t</w:t>
      </w:r>
      <w:r w:rsidRPr="00174FD1">
        <w:t xml:space="preserve"> e tjera </w:t>
      </w:r>
      <w:r w:rsidRPr="00174FD1">
        <w:lastRenderedPageBreak/>
        <w:t xml:space="preserve">pasardhëse shtyhen në përputhje kronologjike me këtë datë. </w:t>
      </w:r>
    </w:p>
    <w:p w:rsidR="00431B42" w:rsidRPr="00174FD1" w:rsidRDefault="00431B42" w:rsidP="00431B42">
      <w:pPr>
        <w:pStyle w:val="Paragrafi"/>
      </w:pPr>
      <w:r w:rsidRPr="00174FD1">
        <w:t>B</w:t>
      </w:r>
      <w:r>
        <w:t>a</w:t>
      </w:r>
      <w:r w:rsidRPr="00174FD1">
        <w:t xml:space="preserve">nkat do të publikojnë </w:t>
      </w:r>
      <w:r>
        <w:t>në</w:t>
      </w:r>
      <w:r w:rsidRPr="00174FD1">
        <w:t xml:space="preserve"> mjetet e informimit publik vendet e sporteleve, datat e tërheqjes së shumave, orarin e kryerjes së veprimeve</w:t>
      </w:r>
      <w:r>
        <w:t>,</w:t>
      </w:r>
      <w:r w:rsidRPr="00174FD1">
        <w:t xml:space="preserve"> si dhe numrin e personave që do të paraqiten në datën e caktuar pranë sporteleve të bankave sipas pikës 3 të këtij vendimi.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>9. Huadhënësit do të paraqesin si dokumentacion për tërheqjen e parave mandatarkëtimin, i cili vërteton shumën e derdhur, emrin e personit</w:t>
      </w:r>
      <w:r>
        <w:rPr>
          <w:szCs w:val="22"/>
        </w:rPr>
        <w:t xml:space="preserve"> që ka derdhur shumën, si dhe dokumentin identifikues të personit. N</w:t>
      </w:r>
      <w:r w:rsidRPr="00A8119E">
        <w:rPr>
          <w:szCs w:val="22"/>
        </w:rPr>
        <w:t xml:space="preserve">uk lejohet tërheqja e shumave ose librezave </w:t>
      </w:r>
      <w:r w:rsidRPr="00174FD1">
        <w:t xml:space="preserve">të kursimit me prokurë. </w:t>
      </w:r>
    </w:p>
    <w:p w:rsidR="00431B42" w:rsidRPr="00174FD1" w:rsidRDefault="00431B42" w:rsidP="00431B42">
      <w:pPr>
        <w:pStyle w:val="Paragrafi"/>
      </w:pPr>
      <w:r w:rsidRPr="00174FD1">
        <w:t xml:space="preserve">Në rast se në mandatarkëtimin figuron emri i më shumë </w:t>
      </w:r>
      <w:r>
        <w:t xml:space="preserve">së një </w:t>
      </w:r>
      <w:r w:rsidRPr="00174FD1">
        <w:t>personi, të drejtën për marrjen e shumave ose tërheqjen e librezave të kursimit e ka personi që paraqet mandatarkëtimin.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>10. Shpërndarja e shumave dhe e librezave të kursimit hua</w:t>
      </w:r>
      <w:r w:rsidRPr="00174FD1">
        <w:t>dhënësve do të bëhet nga një grup personash i përbërë nga:</w:t>
      </w: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>a) punonjësit e bankës, në përput</w:t>
      </w:r>
      <w:r>
        <w:rPr>
          <w:szCs w:val="22"/>
        </w:rPr>
        <w:t>hje me pikën 3 të këtij vendimi;</w:t>
      </w:r>
    </w:p>
    <w:p w:rsidR="00431B42" w:rsidRPr="00A8119E" w:rsidRDefault="00431B42" w:rsidP="00431B42">
      <w:pPr>
        <w:pStyle w:val="Paragrafi"/>
        <w:rPr>
          <w:szCs w:val="22"/>
        </w:rPr>
      </w:pPr>
      <w:r>
        <w:rPr>
          <w:szCs w:val="22"/>
        </w:rPr>
        <w:t>b) personi që ka kryer ekspe</w:t>
      </w:r>
      <w:r w:rsidRPr="00A8119E">
        <w:rPr>
          <w:szCs w:val="22"/>
        </w:rPr>
        <w:t>rtimin kontabël të dokumentacionit të fondacionit.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>11. Zyrat e regjistrimit të pasurive të paluajtshme,</w:t>
      </w:r>
      <w:r w:rsidRPr="00174FD1">
        <w:t xml:space="preserve"> si dhe të gjitha organet ose institucionet që mbajnë regjistra për pasuri të ndryshme, duhet të paraqesin në Ministrinë e Priv</w:t>
      </w:r>
      <w:r>
        <w:t>atizimeve dokumentacionin për i</w:t>
      </w:r>
      <w:r w:rsidRPr="00174FD1">
        <w:t>dentifikimin e këtyre pasurive.</w:t>
      </w:r>
    </w:p>
    <w:p w:rsidR="00431B42" w:rsidRDefault="00431B42" w:rsidP="00431B42">
      <w:pPr>
        <w:pStyle w:val="Paragrafi"/>
        <w:rPr>
          <w:szCs w:val="22"/>
        </w:rPr>
      </w:pP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12. Ministria e Financave dhe </w:t>
      </w:r>
      <w:smartTag w:uri="urn:schemas-microsoft-com:office:smarttags" w:element="place">
        <w:r w:rsidRPr="00A8119E">
          <w:rPr>
            <w:szCs w:val="22"/>
          </w:rPr>
          <w:t>Ba</w:t>
        </w:r>
        <w:r>
          <w:rPr>
            <w:szCs w:val="22"/>
          </w:rPr>
          <w:t>n</w:t>
        </w:r>
        <w:r w:rsidRPr="00A8119E">
          <w:rPr>
            <w:szCs w:val="22"/>
          </w:rPr>
          <w:t>ka</w:t>
        </w:r>
      </w:smartTag>
      <w:r>
        <w:rPr>
          <w:szCs w:val="22"/>
        </w:rPr>
        <w:t xml:space="preserve"> e Shqipërisë të nx</w:t>
      </w:r>
      <w:r w:rsidRPr="00A8119E">
        <w:rPr>
          <w:szCs w:val="22"/>
        </w:rPr>
        <w:t>jerrin udhë</w:t>
      </w:r>
      <w:r w:rsidRPr="00174FD1">
        <w:t>zime të veçanta për zbatimin e këtij vendimi.</w:t>
      </w: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Autoriteti"/>
      </w:pPr>
      <w:r w:rsidRPr="00A8119E">
        <w:t xml:space="preserve">Kryetari i këshillit të Ministrave </w:t>
      </w:r>
    </w:p>
    <w:p w:rsidR="00431B42" w:rsidRPr="00A8119E" w:rsidRDefault="00431B42" w:rsidP="00431B42">
      <w:pPr>
        <w:pStyle w:val="AutoritetiEmer"/>
      </w:pPr>
      <w:r w:rsidRPr="00A8119E">
        <w:t xml:space="preserve">Aleksandër Meksi 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Paragrafi"/>
        <w:ind w:firstLine="0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1B42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63A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8F8519-E51A-488D-91E5-FE952429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31B4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