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CD6" w:rsidRPr="00A8119E" w:rsidRDefault="000B2CD6" w:rsidP="000B2CD6">
      <w:pPr>
        <w:pStyle w:val="Akti"/>
      </w:pPr>
      <w:bookmarkStart w:id="0" w:name="_GoBack"/>
      <w:bookmarkEnd w:id="0"/>
      <w:r w:rsidRPr="00A8119E">
        <w:t xml:space="preserve">Vendim </w:t>
      </w:r>
    </w:p>
    <w:p w:rsidR="000B2CD6" w:rsidRDefault="000B2CD6" w:rsidP="000B2CD6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170</w:t>
      </w:r>
      <w:r w:rsidRPr="00A8119E">
        <w:rPr>
          <w:szCs w:val="22"/>
        </w:rPr>
        <w:t xml:space="preserve">, datë </w:t>
      </w:r>
      <w:r>
        <w:rPr>
          <w:szCs w:val="22"/>
        </w:rPr>
        <w:t>8.4</w:t>
      </w:r>
      <w:r w:rsidRPr="00A8119E">
        <w:rPr>
          <w:szCs w:val="22"/>
        </w:rPr>
        <w:t>.1997</w:t>
      </w:r>
    </w:p>
    <w:p w:rsidR="000B2CD6" w:rsidRDefault="000B2CD6" w:rsidP="000B2CD6">
      <w:pPr>
        <w:pStyle w:val="Paragrafi"/>
      </w:pPr>
    </w:p>
    <w:p w:rsidR="000B2CD6" w:rsidRDefault="000B2CD6" w:rsidP="000B2CD6">
      <w:pPr>
        <w:pStyle w:val="Titulli"/>
      </w:pPr>
      <w:r>
        <w:t>Për qendrën kombëtare të kinematografisë</w:t>
      </w:r>
    </w:p>
    <w:p w:rsidR="000B2CD6" w:rsidRDefault="000B2CD6" w:rsidP="000B2CD6">
      <w:pPr>
        <w:pStyle w:val="Paragrafi"/>
      </w:pPr>
    </w:p>
    <w:p w:rsidR="000B2CD6" w:rsidRDefault="000B2CD6" w:rsidP="000B2CD6">
      <w:pPr>
        <w:pStyle w:val="BazLigjPropozues"/>
      </w:pPr>
      <w:r>
        <w:t xml:space="preserve">Në mbështetje të ligjit nr.8096, datë 21.3.1996 “Për kinematografinë” dhe me propozimin e Ministrisë së Kulturës, Rinisë dhe Gruas, Këshilli i Ministrave </w:t>
      </w:r>
    </w:p>
    <w:p w:rsidR="000B2CD6" w:rsidRDefault="000B2CD6" w:rsidP="000B2CD6">
      <w:pPr>
        <w:pStyle w:val="Paragrafi"/>
      </w:pPr>
    </w:p>
    <w:p w:rsidR="000B2CD6" w:rsidRDefault="000B2CD6" w:rsidP="000B2CD6">
      <w:pPr>
        <w:pStyle w:val="VENDOSI"/>
      </w:pPr>
      <w:r>
        <w:t>Vendosi:</w:t>
      </w:r>
    </w:p>
    <w:p w:rsidR="000B2CD6" w:rsidRDefault="000B2CD6" w:rsidP="000B2CD6">
      <w:pPr>
        <w:pStyle w:val="Paragrafi"/>
      </w:pPr>
    </w:p>
    <w:p w:rsidR="000B2CD6" w:rsidRDefault="000B2CD6" w:rsidP="000B2CD6">
      <w:pPr>
        <w:pStyle w:val="Paragrafi"/>
      </w:pPr>
      <w:r>
        <w:t>1. Qendra Kombëtare Kinematografike, e krijuar sipas ligjit nr.8096, datë 21.3.1996 “Për kinematografinë”, do të jetë institucion buxhetor me klasifikim më vete në strukturën buxhetore si grup, titull, kapitull.</w:t>
      </w:r>
    </w:p>
    <w:p w:rsidR="000B2CD6" w:rsidRDefault="000B2CD6" w:rsidP="000B2CD6">
      <w:pPr>
        <w:pStyle w:val="Paragrafi"/>
      </w:pPr>
      <w:r>
        <w:t>2. Numri i punonjësve të Qendrës Kombëtare të Kinematografisë të jetë 10 veta.</w:t>
      </w:r>
    </w:p>
    <w:p w:rsidR="000B2CD6" w:rsidRDefault="000B2CD6" w:rsidP="000B2CD6">
      <w:pPr>
        <w:pStyle w:val="Paragrafi"/>
      </w:pPr>
      <w:r>
        <w:t>3. Në vendimin e Këshillit të Ministrave nr.393, datë 3.9.1992 “Për pagat e punonjësve në institucionet buxhetore”, bëhen këto ndryshime:</w:t>
      </w:r>
    </w:p>
    <w:p w:rsidR="000B2CD6" w:rsidRDefault="000B2CD6" w:rsidP="000B2CD6">
      <w:pPr>
        <w:pStyle w:val="Paragrafi"/>
      </w:pPr>
      <w:r>
        <w:t>- Në lidhjen nr.I “Pagat mujore të titullarëve të organeve të larta shtetërore, institucioneve të tjera qendrore dhe personave të një rangu me ta”, në pikën 8 dhe në lidhjen nr.II-5 “Pagat mujore dhe renditja e detyrave sipas klasave për punonjësit e ministrive dhe institucioneve të tjera qendrore”, në pikën 3 shtohet emërtimi “Kryetar i Qendrës Kombëtare të Kinematografisë”.</w:t>
      </w:r>
    </w:p>
    <w:p w:rsidR="000B2CD6" w:rsidRDefault="000B2CD6" w:rsidP="000B2CD6">
      <w:pPr>
        <w:pStyle w:val="Paragrafi"/>
      </w:pPr>
      <w:r>
        <w:t>- Në lidhjen nr.I “Pagat mujore të titullarëve të organeve të larta shtetërore, institucioneve të tjera qendrore dhe personave të një rangu me ta”, në pikën 11 dhe në lidhjen nr.II-5 “Pagat mujore dhe renditja e detyrave sipas klasave për punonjësit e ministrive dhe institucioneve të tjera qendrore”, në pikën 6 shtohet emërtimi “Drejtor ekzekutiv”.</w:t>
      </w:r>
    </w:p>
    <w:p w:rsidR="000B2CD6" w:rsidRDefault="000B2CD6" w:rsidP="000B2CD6">
      <w:pPr>
        <w:pStyle w:val="Paragrafi"/>
      </w:pPr>
      <w:r>
        <w:t>- Shtohet lidhja II-15 “Pagat mujore dhe renditja e detyrave sipas klasave për punonjësit e Qendrës Kombëtare të Kinematografisë” sipas tabelës që i bashkëngjitet këtij vendimi.</w:t>
      </w:r>
    </w:p>
    <w:p w:rsidR="000B2CD6" w:rsidRDefault="000B2CD6" w:rsidP="000B2CD6">
      <w:pPr>
        <w:pStyle w:val="Paragrafi"/>
      </w:pPr>
      <w:r>
        <w:t>4. Numri i punonjësve dhe fondi i pagave të përballohen nga buxheti i miratuar për sektorin e kinematografisë për vitin 1997.</w:t>
      </w:r>
    </w:p>
    <w:p w:rsidR="000B2CD6" w:rsidRDefault="000B2CD6" w:rsidP="000B2CD6">
      <w:pPr>
        <w:pStyle w:val="Paragrafi"/>
      </w:pPr>
      <w:r>
        <w:t>5. Statuti i Qendrës Kombëtare të Kinematografisë të paraqitet për miratim në Këshillin e Ministrave brenda 1 muaji nga data e hyrjes në fuqi të këtij vendimi.</w:t>
      </w:r>
    </w:p>
    <w:p w:rsidR="000B2CD6" w:rsidRPr="00A8119E" w:rsidRDefault="000B2CD6" w:rsidP="000B2CD6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0B2CD6" w:rsidRDefault="000B2CD6" w:rsidP="000B2CD6">
      <w:pPr>
        <w:pStyle w:val="Paragrafi"/>
        <w:rPr>
          <w:szCs w:val="22"/>
        </w:rPr>
      </w:pPr>
    </w:p>
    <w:p w:rsidR="000B2CD6" w:rsidRPr="00A8119E" w:rsidRDefault="000B2CD6" w:rsidP="000B2CD6">
      <w:pPr>
        <w:pStyle w:val="Autoriteti"/>
      </w:pPr>
      <w:r w:rsidRPr="00A8119E">
        <w:t>KRYETARI I KËSHILLIT TË MINISTRAVE</w:t>
      </w:r>
    </w:p>
    <w:p w:rsidR="000B2CD6" w:rsidRPr="00A8119E" w:rsidRDefault="000B2CD6" w:rsidP="000B2CD6">
      <w:pPr>
        <w:pStyle w:val="AutoritetiEmer"/>
      </w:pPr>
      <w:r>
        <w:t>Bashkim Fino</w:t>
      </w:r>
    </w:p>
    <w:p w:rsidR="000B2CD6" w:rsidRPr="0060745C" w:rsidRDefault="000B2CD6" w:rsidP="000B2CD6">
      <w:pPr>
        <w:pStyle w:val="Paragrafi"/>
        <w:jc w:val="right"/>
        <w:rPr>
          <w:sz w:val="14"/>
        </w:rPr>
      </w:pPr>
    </w:p>
    <w:p w:rsidR="000B2CD6" w:rsidRDefault="000B2CD6" w:rsidP="000B2CD6">
      <w:pPr>
        <w:pStyle w:val="Paragrafi"/>
        <w:jc w:val="right"/>
      </w:pPr>
    </w:p>
    <w:p w:rsidR="000B2CD6" w:rsidRDefault="000B2CD6" w:rsidP="000B2CD6">
      <w:pPr>
        <w:pStyle w:val="Paragrafi"/>
        <w:jc w:val="right"/>
      </w:pPr>
      <w:r>
        <w:t>LIDHJA II-15</w:t>
      </w:r>
    </w:p>
    <w:p w:rsidR="000B2CD6" w:rsidRPr="0060745C" w:rsidRDefault="000B2CD6" w:rsidP="000B2CD6">
      <w:pPr>
        <w:pStyle w:val="TitulliTitull"/>
        <w:rPr>
          <w:sz w:val="16"/>
        </w:rPr>
      </w:pPr>
    </w:p>
    <w:p w:rsidR="000B2CD6" w:rsidRDefault="000B2CD6" w:rsidP="000B2CD6">
      <w:pPr>
        <w:pStyle w:val="TitulliTitull"/>
      </w:pPr>
      <w:r>
        <w:t>Pagat mujore dhe renditja e detyrave sipas klasave për punonjësit e qendrës kombëtare të kinematografisë</w:t>
      </w:r>
    </w:p>
    <w:p w:rsidR="000B2CD6" w:rsidRPr="0060745C" w:rsidRDefault="000B2CD6" w:rsidP="000B2CD6">
      <w:pPr>
        <w:pStyle w:val="Paragrafi"/>
        <w:rPr>
          <w:sz w:val="16"/>
        </w:rPr>
      </w:pPr>
    </w:p>
    <w:tbl>
      <w:tblPr>
        <w:tblW w:w="0" w:type="auto"/>
        <w:tblInd w:w="828" w:type="dxa"/>
        <w:tblLook w:val="01E0" w:firstRow="1" w:lastRow="1" w:firstColumn="1" w:lastColumn="1" w:noHBand="0" w:noVBand="0"/>
      </w:tblPr>
      <w:tblGrid>
        <w:gridCol w:w="533"/>
        <w:gridCol w:w="2167"/>
        <w:gridCol w:w="1620"/>
        <w:gridCol w:w="1800"/>
      </w:tblGrid>
      <w:tr w:rsidR="000B2CD6">
        <w:tc>
          <w:tcPr>
            <w:tcW w:w="533" w:type="dxa"/>
            <w:vAlign w:val="center"/>
          </w:tcPr>
          <w:p w:rsidR="000B2CD6" w:rsidRDefault="000B2CD6" w:rsidP="000B2CD6">
            <w:pPr>
              <w:pStyle w:val="Tabele"/>
            </w:pPr>
            <w:r>
              <w:t>Nr.</w:t>
            </w:r>
          </w:p>
        </w:tc>
        <w:tc>
          <w:tcPr>
            <w:tcW w:w="2167" w:type="dxa"/>
            <w:vAlign w:val="center"/>
          </w:tcPr>
          <w:p w:rsidR="000B2CD6" w:rsidRDefault="000B2CD6" w:rsidP="000B2CD6">
            <w:pPr>
              <w:pStyle w:val="Tabele"/>
            </w:pPr>
            <w:r>
              <w:t>Emërtimi</w:t>
            </w:r>
          </w:p>
        </w:tc>
        <w:tc>
          <w:tcPr>
            <w:tcW w:w="1620" w:type="dxa"/>
            <w:vAlign w:val="center"/>
          </w:tcPr>
          <w:p w:rsidR="000B2CD6" w:rsidRDefault="000B2CD6" w:rsidP="000B2CD6">
            <w:pPr>
              <w:pStyle w:val="Tabele"/>
            </w:pPr>
            <w:r>
              <w:t>Paga ose klasa</w:t>
            </w:r>
          </w:p>
        </w:tc>
        <w:tc>
          <w:tcPr>
            <w:tcW w:w="1800" w:type="dxa"/>
            <w:vAlign w:val="center"/>
          </w:tcPr>
          <w:p w:rsidR="000B2CD6" w:rsidRDefault="000B2CD6" w:rsidP="000B2CD6">
            <w:pPr>
              <w:pStyle w:val="Tabele"/>
            </w:pPr>
            <w:r>
              <w:t>Shtesa për funksion (grupi)</w:t>
            </w:r>
          </w:p>
        </w:tc>
      </w:tr>
      <w:tr w:rsidR="000B2CD6">
        <w:tc>
          <w:tcPr>
            <w:tcW w:w="533" w:type="dxa"/>
          </w:tcPr>
          <w:p w:rsidR="000B2CD6" w:rsidRDefault="000B2CD6" w:rsidP="000B2CD6">
            <w:pPr>
              <w:pStyle w:val="Tabele"/>
            </w:pPr>
            <w:r>
              <w:t>1.</w:t>
            </w:r>
          </w:p>
        </w:tc>
        <w:tc>
          <w:tcPr>
            <w:tcW w:w="2167" w:type="dxa"/>
          </w:tcPr>
          <w:p w:rsidR="000B2CD6" w:rsidRDefault="000B2CD6" w:rsidP="000B2CD6">
            <w:pPr>
              <w:pStyle w:val="Tabele"/>
            </w:pPr>
            <w:r>
              <w:t xml:space="preserve">Kryetar </w:t>
            </w:r>
          </w:p>
        </w:tc>
        <w:tc>
          <w:tcPr>
            <w:tcW w:w="1620" w:type="dxa"/>
          </w:tcPr>
          <w:p w:rsidR="000B2CD6" w:rsidRDefault="000B2CD6" w:rsidP="000B2CD6">
            <w:pPr>
              <w:pStyle w:val="Tabele"/>
            </w:pPr>
            <w:r>
              <w:t>37 000</w:t>
            </w:r>
          </w:p>
        </w:tc>
        <w:tc>
          <w:tcPr>
            <w:tcW w:w="1800" w:type="dxa"/>
          </w:tcPr>
          <w:p w:rsidR="000B2CD6" w:rsidRDefault="000B2CD6" w:rsidP="000B2CD6">
            <w:pPr>
              <w:pStyle w:val="Tabele"/>
            </w:pPr>
          </w:p>
        </w:tc>
      </w:tr>
      <w:tr w:rsidR="000B2CD6">
        <w:tc>
          <w:tcPr>
            <w:tcW w:w="533" w:type="dxa"/>
          </w:tcPr>
          <w:p w:rsidR="000B2CD6" w:rsidRDefault="000B2CD6" w:rsidP="000B2CD6">
            <w:pPr>
              <w:pStyle w:val="Tabele"/>
            </w:pPr>
            <w:r>
              <w:t>2.</w:t>
            </w:r>
          </w:p>
        </w:tc>
        <w:tc>
          <w:tcPr>
            <w:tcW w:w="2167" w:type="dxa"/>
          </w:tcPr>
          <w:p w:rsidR="000B2CD6" w:rsidRDefault="000B2CD6" w:rsidP="000B2CD6">
            <w:pPr>
              <w:pStyle w:val="Tabele"/>
            </w:pPr>
            <w:r>
              <w:t>Drejtor ekzekutiv</w:t>
            </w:r>
          </w:p>
        </w:tc>
        <w:tc>
          <w:tcPr>
            <w:tcW w:w="1620" w:type="dxa"/>
          </w:tcPr>
          <w:p w:rsidR="000B2CD6" w:rsidRDefault="000B2CD6" w:rsidP="000B2CD6">
            <w:pPr>
              <w:pStyle w:val="Tabele"/>
            </w:pPr>
            <w:r>
              <w:t>28 800</w:t>
            </w:r>
          </w:p>
        </w:tc>
        <w:tc>
          <w:tcPr>
            <w:tcW w:w="1800" w:type="dxa"/>
          </w:tcPr>
          <w:p w:rsidR="000B2CD6" w:rsidRDefault="000B2CD6" w:rsidP="000B2CD6">
            <w:pPr>
              <w:pStyle w:val="Tabele"/>
            </w:pPr>
          </w:p>
        </w:tc>
      </w:tr>
      <w:tr w:rsidR="000B2CD6">
        <w:tc>
          <w:tcPr>
            <w:tcW w:w="533" w:type="dxa"/>
          </w:tcPr>
          <w:p w:rsidR="000B2CD6" w:rsidRDefault="000B2CD6" w:rsidP="000B2CD6">
            <w:pPr>
              <w:pStyle w:val="Tabele"/>
            </w:pPr>
            <w:r>
              <w:t>3.</w:t>
            </w:r>
          </w:p>
        </w:tc>
        <w:tc>
          <w:tcPr>
            <w:tcW w:w="2167" w:type="dxa"/>
          </w:tcPr>
          <w:p w:rsidR="000B2CD6" w:rsidRDefault="000B2CD6" w:rsidP="000B2CD6">
            <w:pPr>
              <w:pStyle w:val="Tabele"/>
            </w:pPr>
            <w:r>
              <w:t>Shef sektori</w:t>
            </w:r>
          </w:p>
        </w:tc>
        <w:tc>
          <w:tcPr>
            <w:tcW w:w="1620" w:type="dxa"/>
          </w:tcPr>
          <w:p w:rsidR="000B2CD6" w:rsidRDefault="000B2CD6" w:rsidP="000B2CD6">
            <w:pPr>
              <w:pStyle w:val="Tabele"/>
            </w:pPr>
            <w:r>
              <w:t>IX</w:t>
            </w:r>
          </w:p>
        </w:tc>
        <w:tc>
          <w:tcPr>
            <w:tcW w:w="1800" w:type="dxa"/>
          </w:tcPr>
          <w:p w:rsidR="000B2CD6" w:rsidRDefault="000B2CD6" w:rsidP="000B2CD6">
            <w:pPr>
              <w:pStyle w:val="Tabele"/>
            </w:pPr>
            <w:r>
              <w:t>5</w:t>
            </w:r>
          </w:p>
        </w:tc>
      </w:tr>
      <w:tr w:rsidR="000B2CD6">
        <w:tc>
          <w:tcPr>
            <w:tcW w:w="533" w:type="dxa"/>
          </w:tcPr>
          <w:p w:rsidR="000B2CD6" w:rsidRDefault="000B2CD6" w:rsidP="000B2CD6">
            <w:pPr>
              <w:pStyle w:val="Tabele"/>
            </w:pPr>
            <w:r>
              <w:t>4.</w:t>
            </w:r>
          </w:p>
        </w:tc>
        <w:tc>
          <w:tcPr>
            <w:tcW w:w="2167" w:type="dxa"/>
          </w:tcPr>
          <w:p w:rsidR="000B2CD6" w:rsidRDefault="000B2CD6" w:rsidP="000B2CD6">
            <w:pPr>
              <w:pStyle w:val="Tabele"/>
            </w:pPr>
            <w:r>
              <w:t xml:space="preserve">Specialist i parë </w:t>
            </w:r>
          </w:p>
        </w:tc>
        <w:tc>
          <w:tcPr>
            <w:tcW w:w="1620" w:type="dxa"/>
          </w:tcPr>
          <w:p w:rsidR="000B2CD6" w:rsidRDefault="000B2CD6" w:rsidP="000B2CD6">
            <w:pPr>
              <w:pStyle w:val="Tabele"/>
            </w:pPr>
            <w:r>
              <w:t>VIII</w:t>
            </w:r>
          </w:p>
        </w:tc>
        <w:tc>
          <w:tcPr>
            <w:tcW w:w="1800" w:type="dxa"/>
          </w:tcPr>
          <w:p w:rsidR="000B2CD6" w:rsidRDefault="000B2CD6" w:rsidP="000B2CD6">
            <w:pPr>
              <w:pStyle w:val="Tabele"/>
            </w:pPr>
          </w:p>
        </w:tc>
      </w:tr>
      <w:tr w:rsidR="000B2CD6">
        <w:tc>
          <w:tcPr>
            <w:tcW w:w="533" w:type="dxa"/>
          </w:tcPr>
          <w:p w:rsidR="000B2CD6" w:rsidRDefault="000B2CD6" w:rsidP="000B2CD6">
            <w:pPr>
              <w:pStyle w:val="Tabele"/>
            </w:pPr>
            <w:r>
              <w:t>5.</w:t>
            </w:r>
          </w:p>
        </w:tc>
        <w:tc>
          <w:tcPr>
            <w:tcW w:w="2167" w:type="dxa"/>
          </w:tcPr>
          <w:p w:rsidR="000B2CD6" w:rsidRDefault="000B2CD6" w:rsidP="000B2CD6">
            <w:pPr>
              <w:pStyle w:val="Tabele"/>
            </w:pPr>
            <w:r>
              <w:t>Specialist i dytë</w:t>
            </w:r>
          </w:p>
        </w:tc>
        <w:tc>
          <w:tcPr>
            <w:tcW w:w="1620" w:type="dxa"/>
          </w:tcPr>
          <w:p w:rsidR="000B2CD6" w:rsidRDefault="000B2CD6" w:rsidP="000B2CD6">
            <w:pPr>
              <w:pStyle w:val="Tabele"/>
            </w:pPr>
            <w:r>
              <w:t>VII</w:t>
            </w:r>
          </w:p>
        </w:tc>
        <w:tc>
          <w:tcPr>
            <w:tcW w:w="1800" w:type="dxa"/>
          </w:tcPr>
          <w:p w:rsidR="000B2CD6" w:rsidRDefault="000B2CD6" w:rsidP="000B2CD6">
            <w:pPr>
              <w:pStyle w:val="Tabele"/>
            </w:pPr>
          </w:p>
        </w:tc>
      </w:tr>
      <w:tr w:rsidR="000B2CD6">
        <w:tc>
          <w:tcPr>
            <w:tcW w:w="533" w:type="dxa"/>
          </w:tcPr>
          <w:p w:rsidR="000B2CD6" w:rsidRDefault="000B2CD6" w:rsidP="000B2CD6">
            <w:pPr>
              <w:pStyle w:val="Tabele"/>
            </w:pPr>
            <w:r>
              <w:t>6.</w:t>
            </w:r>
          </w:p>
        </w:tc>
        <w:tc>
          <w:tcPr>
            <w:tcW w:w="2167" w:type="dxa"/>
          </w:tcPr>
          <w:p w:rsidR="000B2CD6" w:rsidRDefault="000B2CD6" w:rsidP="000B2CD6">
            <w:pPr>
              <w:pStyle w:val="Tabele"/>
            </w:pPr>
            <w:r>
              <w:t>Llogaritar i parë</w:t>
            </w:r>
          </w:p>
        </w:tc>
        <w:tc>
          <w:tcPr>
            <w:tcW w:w="1620" w:type="dxa"/>
          </w:tcPr>
          <w:p w:rsidR="000B2CD6" w:rsidRDefault="000B2CD6" w:rsidP="000B2CD6">
            <w:pPr>
              <w:pStyle w:val="Tabele"/>
            </w:pPr>
            <w:r>
              <w:t>V</w:t>
            </w:r>
          </w:p>
        </w:tc>
        <w:tc>
          <w:tcPr>
            <w:tcW w:w="1800" w:type="dxa"/>
          </w:tcPr>
          <w:p w:rsidR="000B2CD6" w:rsidRDefault="000B2CD6" w:rsidP="000B2CD6">
            <w:pPr>
              <w:pStyle w:val="Tabele"/>
            </w:pPr>
          </w:p>
        </w:tc>
      </w:tr>
      <w:tr w:rsidR="000B2CD6">
        <w:tc>
          <w:tcPr>
            <w:tcW w:w="533" w:type="dxa"/>
          </w:tcPr>
          <w:p w:rsidR="000B2CD6" w:rsidRDefault="000B2CD6" w:rsidP="000B2CD6">
            <w:pPr>
              <w:pStyle w:val="Tabele"/>
            </w:pPr>
            <w:r>
              <w:t>7.</w:t>
            </w:r>
          </w:p>
        </w:tc>
        <w:tc>
          <w:tcPr>
            <w:tcW w:w="2167" w:type="dxa"/>
          </w:tcPr>
          <w:p w:rsidR="000B2CD6" w:rsidRDefault="000B2CD6" w:rsidP="000B2CD6">
            <w:pPr>
              <w:pStyle w:val="Tabele"/>
            </w:pPr>
            <w:r>
              <w:t xml:space="preserve">Shofer </w:t>
            </w:r>
          </w:p>
        </w:tc>
        <w:tc>
          <w:tcPr>
            <w:tcW w:w="1620" w:type="dxa"/>
          </w:tcPr>
          <w:p w:rsidR="000B2CD6" w:rsidRDefault="000B2CD6" w:rsidP="000B2CD6">
            <w:pPr>
              <w:pStyle w:val="Tabele"/>
            </w:pPr>
            <w:r>
              <w:t>IV</w:t>
            </w:r>
          </w:p>
        </w:tc>
        <w:tc>
          <w:tcPr>
            <w:tcW w:w="1800" w:type="dxa"/>
          </w:tcPr>
          <w:p w:rsidR="000B2CD6" w:rsidRDefault="000B2CD6" w:rsidP="000B2CD6">
            <w:pPr>
              <w:pStyle w:val="Tabele"/>
            </w:pPr>
          </w:p>
        </w:tc>
      </w:tr>
    </w:tbl>
    <w:p w:rsidR="000B2CD6" w:rsidRPr="0060745C" w:rsidRDefault="000B2CD6" w:rsidP="000B2CD6">
      <w:pPr>
        <w:pStyle w:val="Paragrafi"/>
        <w:rPr>
          <w:sz w:val="16"/>
        </w:rPr>
      </w:pPr>
    </w:p>
    <w:p w:rsidR="000B2CD6" w:rsidRDefault="000B2CD6" w:rsidP="000B2CD6">
      <w:pPr>
        <w:pStyle w:val="Paragrafi"/>
      </w:pPr>
      <w:r>
        <w:t>Shënim. Nëse del e nevojshme të ketë emërtesa të tjera, të përdoret lidhja III-5/37 “Renditja e detyrave sipas klasave për profesione të njëjta në të gjithë sektorët” dhe pagat të caktohen sipas lidhjes II/M.</w:t>
      </w:r>
    </w:p>
    <w:sectPr w:rsidR="000B2CD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23A39"/>
    <w:rsid w:val="00040F76"/>
    <w:rsid w:val="00046FF9"/>
    <w:rsid w:val="000637B6"/>
    <w:rsid w:val="00074162"/>
    <w:rsid w:val="00075BF5"/>
    <w:rsid w:val="000A2FF5"/>
    <w:rsid w:val="000A367B"/>
    <w:rsid w:val="000B29AB"/>
    <w:rsid w:val="000B2CD6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4A1E659-327C-45A2-8021-7F49884B2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CD6"/>
    <w:pPr>
      <w:widowControl w:val="0"/>
    </w:pPr>
    <w:rPr>
      <w:rFonts w:ascii="CG Times" w:eastAsia="MS Mincho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0B2CD6"/>
    <w:rPr>
      <w:rFonts w:ascii="CG Times" w:hAnsi="CG Times"/>
      <w:b/>
      <w:caps/>
      <w:sz w:val="22"/>
      <w:szCs w:val="22"/>
      <w:lang w:val="en-GB" w:eastAsia="en-US" w:bidi="ar-SA"/>
    </w:rPr>
  </w:style>
  <w:style w:type="character" w:styleId="PageNumber">
    <w:name w:val="page number"/>
    <w:basedOn w:val="DefaultParagraphFont"/>
    <w:rsid w:val="000B2C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2019-03-22T16:05:00Z</dcterms:created>
  <dcterms:modified xsi:type="dcterms:W3CDTF">2019-03-22T16:05:00Z</dcterms:modified>
</cp:coreProperties>
</file>