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FC2" w:rsidRPr="00A8119E" w:rsidRDefault="00B91FC2" w:rsidP="00B91FC2">
      <w:pPr>
        <w:pStyle w:val="Akti"/>
      </w:pPr>
      <w:bookmarkStart w:id="0" w:name="_GoBack"/>
      <w:bookmarkEnd w:id="0"/>
      <w:r w:rsidRPr="00A8119E">
        <w:t xml:space="preserve">Vendim </w:t>
      </w:r>
    </w:p>
    <w:p w:rsidR="00B91FC2" w:rsidRDefault="00B91FC2" w:rsidP="00B91FC2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171</w:t>
      </w:r>
      <w:r w:rsidRPr="00A8119E">
        <w:rPr>
          <w:szCs w:val="22"/>
        </w:rPr>
        <w:t xml:space="preserve">, datë </w:t>
      </w:r>
      <w:r>
        <w:rPr>
          <w:szCs w:val="22"/>
        </w:rPr>
        <w:t>19.4</w:t>
      </w:r>
      <w:r w:rsidRPr="00A8119E">
        <w:rPr>
          <w:szCs w:val="22"/>
        </w:rPr>
        <w:t>.1997</w:t>
      </w:r>
    </w:p>
    <w:p w:rsidR="00B91FC2" w:rsidRDefault="00B91FC2" w:rsidP="00B91FC2">
      <w:pPr>
        <w:pStyle w:val="Paragrafi"/>
      </w:pPr>
    </w:p>
    <w:p w:rsidR="00B91FC2" w:rsidRDefault="00B91FC2" w:rsidP="00B91FC2">
      <w:pPr>
        <w:pStyle w:val="Titulli"/>
      </w:pPr>
      <w:r>
        <w:t>Për funksionet e sekretarëve të shtetit në qeverinë e pajtimit kombëtar</w:t>
      </w:r>
    </w:p>
    <w:p w:rsidR="00B91FC2" w:rsidRDefault="00B91FC2" w:rsidP="00B91FC2">
      <w:pPr>
        <w:pStyle w:val="Paragrafi"/>
      </w:pPr>
    </w:p>
    <w:p w:rsidR="00B91FC2" w:rsidRDefault="00B91FC2" w:rsidP="00B91FC2">
      <w:pPr>
        <w:pStyle w:val="BazLigjPropozues"/>
      </w:pPr>
      <w:r>
        <w:t>Mbështetur në konsensusin e partive politike nënshkruese të marrëveshjes së 9 marsit 1997, si edhe për të mundësuar realizimin e funksioneve të sekretarëve të shtetit në ministritë ku ata janë emëruar, me propozimin e Kryetarit të Këshillit të Ministrave, Këshilli i Ministrave</w:t>
      </w:r>
    </w:p>
    <w:p w:rsidR="00B91FC2" w:rsidRDefault="00B91FC2" w:rsidP="00B91FC2">
      <w:pPr>
        <w:pStyle w:val="Paragrafi"/>
      </w:pPr>
    </w:p>
    <w:p w:rsidR="00B91FC2" w:rsidRDefault="00B91FC2" w:rsidP="00B91FC2">
      <w:pPr>
        <w:pStyle w:val="VENDOSI"/>
      </w:pPr>
      <w:r>
        <w:t>Vendosi:</w:t>
      </w:r>
    </w:p>
    <w:p w:rsidR="00B91FC2" w:rsidRDefault="00B91FC2" w:rsidP="00B91FC2">
      <w:pPr>
        <w:pStyle w:val="Paragrafi"/>
      </w:pPr>
    </w:p>
    <w:p w:rsidR="00B91FC2" w:rsidRDefault="00B91FC2" w:rsidP="00B91FC2">
      <w:pPr>
        <w:pStyle w:val="Paragrafi"/>
      </w:pPr>
      <w:r>
        <w:t>1. Sekretarët e shtetit në Ministrinë e Punëve të Jashtme, Ministrinë e Brendshme dhe Ministrinë e Mbrojtjes ushtrojnë funksione koordinuese dhe drejtuese të politikës në ministritë përkatëse.</w:t>
      </w:r>
    </w:p>
    <w:p w:rsidR="00B91FC2" w:rsidRDefault="00B91FC2" w:rsidP="00B91FC2">
      <w:pPr>
        <w:pStyle w:val="Paragrafi"/>
      </w:pPr>
      <w:r>
        <w:t>Sekretari i shtetit drejton veprimtarinë e përditshme të sektorëve të veçantë të ministrisë, të caktuar nga ministri përkatës në bashkëpunim me sekretarin e shtetit.</w:t>
      </w:r>
    </w:p>
    <w:p w:rsidR="00B91FC2" w:rsidRDefault="00B91FC2" w:rsidP="00B91FC2">
      <w:pPr>
        <w:pStyle w:val="Paragrafi"/>
      </w:pPr>
      <w:r>
        <w:t>2. Sekretarët e shtetit nënshkruajnë, së bashku me ministrat përkatës, projektet e akteve dhe relacionet e tyre që ia paraqiten për shqyrtim Këshillit të Ministrave, si dhe aktet me karakter individual a normativ që nxirren nga ministritë ku ata janë emëruar.</w:t>
      </w:r>
    </w:p>
    <w:p w:rsidR="00B91FC2" w:rsidRDefault="00B91FC2" w:rsidP="00B91FC2">
      <w:pPr>
        <w:pStyle w:val="Paragrafi"/>
      </w:pPr>
      <w:r>
        <w:t>Projektet e akteve të mësipërme i dërgohen paraprakisht për nënshkrim sekretarit të shtetit, i cili, përpara nënshkrimit, ka të drejtë të kërkojë sqarime plotësuese nga punonjësit e ministrisë që janë marrë me përgatitjen e tyre.</w:t>
      </w:r>
    </w:p>
    <w:p w:rsidR="00B91FC2" w:rsidRDefault="00B91FC2" w:rsidP="00B91FC2">
      <w:pPr>
        <w:pStyle w:val="Paragrafi"/>
      </w:pPr>
      <w:r>
        <w:t>Pas nënshkrimit të sekretarit të shtetit, këto projekte i kalojnë për nënshkrim ministrit përkatës.</w:t>
      </w:r>
    </w:p>
    <w:p w:rsidR="00B91FC2" w:rsidRDefault="00B91FC2" w:rsidP="00B91FC2">
      <w:pPr>
        <w:pStyle w:val="Paragrafi"/>
      </w:pPr>
      <w:r>
        <w:t>3. Të gjitha aktet individuale dhe normative që nxirren nga sekretarët e shtetit për sektorët që ata drejtojnë, nënshkruhen edhe nga ministrat përkatës.</w:t>
      </w:r>
    </w:p>
    <w:p w:rsidR="00B91FC2" w:rsidRDefault="00B91FC2" w:rsidP="00B91FC2">
      <w:pPr>
        <w:pStyle w:val="Paragrafi"/>
      </w:pPr>
      <w:r>
        <w:t>4. Problemet që lindin lidhur me vërejtjet ose sugjerimet për ndryshimin dhe përmirësimin e projekteve të akteve ndërmjet ministrave dhe sekretarëve të shtetit, zgjidhen me konsensus ndërmjet tyre. Nëse ky konsensus nuk arrihet, atëherë mosmarrëveshja shqyrtohet nga Këshilli i Ministrave.</w:t>
      </w:r>
    </w:p>
    <w:p w:rsidR="00B91FC2" w:rsidRDefault="00B91FC2" w:rsidP="00B91FC2">
      <w:pPr>
        <w:pStyle w:val="Paragrafi"/>
      </w:pPr>
      <w:r>
        <w:t>5. Sekretarët e shtetit kanë të drejtë të thërrasin për ndihmë, konsulencë ose informacion, nëpunës a organe të ministrive përkatëse që nuk i përkasin sektorit që ata drejtojnë. Në këtë rast sekretari i shtetit nuk ushtron ndaj këtyre nëpunësve a organeve pushtet hierarkik ose organizativ.</w:t>
      </w:r>
    </w:p>
    <w:p w:rsidR="00B91FC2" w:rsidRPr="00A8119E" w:rsidRDefault="00B91FC2" w:rsidP="00B91FC2">
      <w:pPr>
        <w:pStyle w:val="Paragrafi"/>
        <w:rPr>
          <w:szCs w:val="22"/>
        </w:rPr>
      </w:pPr>
      <w:r w:rsidRPr="00A8119E">
        <w:rPr>
          <w:szCs w:val="22"/>
        </w:rPr>
        <w:t>Ky vendim hyn në fuqi menjëherë</w:t>
      </w:r>
      <w:r>
        <w:rPr>
          <w:szCs w:val="22"/>
        </w:rPr>
        <w:t xml:space="preserve"> dhe i shtrin efektet e tij deri në mbarimin e veprimtarisë së Qeverisë së Pajtimit Kombëtar</w:t>
      </w:r>
      <w:r w:rsidRPr="00A8119E">
        <w:rPr>
          <w:szCs w:val="22"/>
        </w:rPr>
        <w:t>.</w:t>
      </w:r>
    </w:p>
    <w:p w:rsidR="00B91FC2" w:rsidRDefault="00B91FC2" w:rsidP="00B91FC2">
      <w:pPr>
        <w:pStyle w:val="Paragrafi"/>
        <w:rPr>
          <w:szCs w:val="22"/>
        </w:rPr>
      </w:pPr>
    </w:p>
    <w:p w:rsidR="00B91FC2" w:rsidRPr="00A8119E" w:rsidRDefault="00B91FC2" w:rsidP="00B91FC2">
      <w:pPr>
        <w:pStyle w:val="Autoriteti"/>
      </w:pPr>
      <w:r w:rsidRPr="00A8119E">
        <w:t>KRYETARI I KËSHILLIT TË MINISTRAVE</w:t>
      </w:r>
    </w:p>
    <w:p w:rsidR="00B91FC2" w:rsidRPr="00A8119E" w:rsidRDefault="00B91FC2" w:rsidP="00B91FC2">
      <w:pPr>
        <w:pStyle w:val="AutoritetiEmer"/>
      </w:pPr>
      <w:r>
        <w:t>Bashkim Fino</w:t>
      </w:r>
    </w:p>
    <w:p w:rsidR="00B91FC2" w:rsidRPr="008979CA" w:rsidRDefault="00B91FC2" w:rsidP="00B91FC2">
      <w:pPr>
        <w:pStyle w:val="Paragrafi"/>
        <w:rPr>
          <w:sz w:val="14"/>
        </w:rPr>
      </w:pPr>
    </w:p>
    <w:p w:rsidR="00B91FC2" w:rsidRPr="008979CA" w:rsidRDefault="00B91FC2" w:rsidP="00B91FC2">
      <w:pPr>
        <w:pStyle w:val="Paragrafi"/>
        <w:rPr>
          <w:sz w:val="14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5BD0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1FC2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BC8B1D-00AC-4DDB-AF0A-F6C19E5A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B91FC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