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B59" w:rsidRPr="00AF2E44" w:rsidRDefault="00EF0B59" w:rsidP="00EF0B59">
      <w:pPr>
        <w:pStyle w:val="Akti"/>
      </w:pPr>
      <w:bookmarkStart w:id="0" w:name="_GoBack"/>
      <w:bookmarkEnd w:id="0"/>
      <w:r w:rsidRPr="00AF2E44">
        <w:t>V e n d i m</w:t>
      </w:r>
    </w:p>
    <w:p w:rsidR="00EF0B59" w:rsidRPr="00AF2E44" w:rsidRDefault="00EF0B59" w:rsidP="00EF0B59">
      <w:pPr>
        <w:pStyle w:val="NumriData"/>
      </w:pPr>
      <w:r w:rsidRPr="00AF2E44">
        <w:t>Nr.473, datë 14.10.1999</w:t>
      </w:r>
    </w:p>
    <w:p w:rsidR="00EF0B59" w:rsidRPr="00AF2E44" w:rsidRDefault="00EF0B59" w:rsidP="00EF0B59">
      <w:pPr>
        <w:pStyle w:val="Paragrafi"/>
      </w:pPr>
    </w:p>
    <w:p w:rsidR="00EF0B59" w:rsidRPr="00AF2E44" w:rsidRDefault="00EF0B59" w:rsidP="00EF0B59">
      <w:pPr>
        <w:pStyle w:val="Titulli"/>
      </w:pPr>
      <w:r w:rsidRPr="00AF2E44">
        <w:t>Për administrimin dhe dhënien me qira të drufrutorëve</w:t>
      </w:r>
    </w:p>
    <w:p w:rsidR="00EF0B59" w:rsidRPr="00AF2E44" w:rsidRDefault="00EF0B59" w:rsidP="00EF0B59">
      <w:pPr>
        <w:pStyle w:val="Paragrafi"/>
      </w:pPr>
    </w:p>
    <w:p w:rsidR="00EF0B59" w:rsidRPr="00AF2E44" w:rsidRDefault="00EF0B59" w:rsidP="00EF0B59">
      <w:pPr>
        <w:pStyle w:val="BazLigjPropozues"/>
      </w:pPr>
      <w:r w:rsidRPr="00AF2E44">
        <w:t>Në mbështetje të nenit 100 të Kushtetutës dhe të ligjit nr.8333, datë 23.4.1998 “Për një ndryshim në ligjin nr.7512, datë 10.8.1991 “Për sanksionimin dhe mbrojtjen e pronës private, të nismës së lirë, të veprimtarive private të pavarura dhe privatizimit”", të ligjit nr.7776, datë 22.12.1993 “Për buxhetin lokal” dhe të ligjit nr.7929, datë 11.5.1995 “Për mbrojtjen e drufrutorëve”, me propozimin e Ministrisë së Bujqësisë dhe Ushqimit dhe Ministrisë së Pushtetit Lokal, Këshilli i Ministrave,</w:t>
      </w:r>
    </w:p>
    <w:p w:rsidR="00EF0B59" w:rsidRPr="00AF2E44" w:rsidRDefault="00EF0B59" w:rsidP="00EF0B59">
      <w:pPr>
        <w:pStyle w:val="Paragrafi"/>
      </w:pPr>
    </w:p>
    <w:p w:rsidR="00EF0B59" w:rsidRPr="00AF2E44" w:rsidRDefault="00EF0B59" w:rsidP="00EF0B59">
      <w:pPr>
        <w:pStyle w:val="VENDOSI"/>
      </w:pPr>
      <w:r w:rsidRPr="00AF2E44">
        <w:t>V E N D O S I:</w:t>
      </w:r>
    </w:p>
    <w:p w:rsidR="00EF0B59" w:rsidRPr="00AF2E44" w:rsidRDefault="00EF0B59" w:rsidP="00EF0B59">
      <w:pPr>
        <w:pStyle w:val="Paragrafi"/>
      </w:pPr>
    </w:p>
    <w:p w:rsidR="00EF0B59" w:rsidRPr="00AF2E44" w:rsidRDefault="00EF0B59" w:rsidP="00EF0B59">
      <w:pPr>
        <w:pStyle w:val="Paragrafi"/>
      </w:pPr>
      <w:r w:rsidRPr="00AF2E44">
        <w:t>1. Pasuria shtetërore (drufrutore) e ish-ndërmarrjeve bujqësore, e cila ka mbetur pas shpërndarjes së tokave bujqësore, i jepet në administrim organeve të pushtetit lokal (komunave përkatëse).</w:t>
      </w:r>
    </w:p>
    <w:p w:rsidR="00EF0B59" w:rsidRPr="00AF2E44" w:rsidRDefault="00EF0B59" w:rsidP="00EF0B59">
      <w:pPr>
        <w:pStyle w:val="Paragrafi"/>
      </w:pPr>
      <w:r w:rsidRPr="00AF2E44">
        <w:t>2. Drufrutorët, pasuri shtetërore e ish-ndërmarrjeve bujqësore, të cilët ndodhen në sipërfaqet e tokave bujqësore, që janë vënë në dispozicion të Komitetit të Zhvillimit të Turizmit, u jepen në administrim komunave përkatëse.</w:t>
      </w:r>
    </w:p>
    <w:p w:rsidR="00EF0B59" w:rsidRPr="00AF2E44" w:rsidRDefault="00EF0B59" w:rsidP="00EF0B59">
      <w:pPr>
        <w:pStyle w:val="Paragrafi"/>
      </w:pPr>
      <w:r w:rsidRPr="00AF2E44">
        <w:t>3. Organet e pushtetit lokal (komunat), pas marrjes në dorëzim të pasurisë shtetërore nga drejtoritë e bujqësisë dhe ushqimit të rretheve përkatëse, e japin atë me qira. Vlera e qirasë vjetore është 5 për qind e çmimit të shitjes së drufrutorëve, (sipas udhëzimit të Ministrisë së Bujqësisë dhe Ushqimit nr.1, datë 8.6.1998 në zbatim të vendimit të Këshillit të Ministrave nr.192, datë 2.4.1998 “Për kriteret e vlerësimit të pronës shtetërore që privatizohet dhe procedurat e shitjes”). Vlera e qirasë arkëtohet në favor të organeve të pushtetit lokal, të cilat përballojnë shpenzimet për administrimin dhe qiradhënien e pasurisë shtetërore.</w:t>
      </w:r>
    </w:p>
    <w:p w:rsidR="00EF0B59" w:rsidRPr="00AF2E44" w:rsidRDefault="00EF0B59" w:rsidP="00EF0B59">
      <w:pPr>
        <w:pStyle w:val="Paragrafi"/>
      </w:pPr>
      <w:r w:rsidRPr="00AF2E44">
        <w:t>4. Ministria e Bujqësisë dhe Ushqimit, Ministria e Pushtetit Lokal dhe Komiteti i Zhvillimit të Turizmit ngarkohen të nxjerrin udhëzimin përkatës për zbatimin e këtij vendimi.</w:t>
      </w:r>
    </w:p>
    <w:p w:rsidR="00EF0B59" w:rsidRPr="00AF2E44" w:rsidRDefault="00EF0B59" w:rsidP="00EF0B59">
      <w:pPr>
        <w:pStyle w:val="Paragrafi"/>
      </w:pPr>
      <w:r w:rsidRPr="00AF2E44">
        <w:t>Ky vendim hyn në fuqi pas botimit në Fletoren Zyrtare.</w:t>
      </w:r>
    </w:p>
    <w:p w:rsidR="00EF0B59" w:rsidRPr="00AF2E44" w:rsidRDefault="00EF0B59" w:rsidP="00EF0B59">
      <w:pPr>
        <w:pStyle w:val="Paragrafi"/>
      </w:pPr>
    </w:p>
    <w:p w:rsidR="00EF0B59" w:rsidRPr="00AF2E44" w:rsidRDefault="00EF0B59" w:rsidP="00EF0B59">
      <w:pPr>
        <w:pStyle w:val="Autoriteti"/>
      </w:pPr>
      <w:r w:rsidRPr="00AF2E44">
        <w:t>KRYEMINISTRI</w:t>
      </w:r>
    </w:p>
    <w:p w:rsidR="00EF0B59" w:rsidRPr="00AF2E44" w:rsidRDefault="00EF0B59" w:rsidP="00EF0B59">
      <w:pPr>
        <w:pStyle w:val="AutoritetiEmer"/>
      </w:pPr>
      <w:r w:rsidRPr="00AF2E44">
        <w:t>Pandeli Majko</w:t>
      </w:r>
    </w:p>
    <w:p w:rsidR="00EF0B59" w:rsidRPr="00AF2E44" w:rsidRDefault="00EF0B59" w:rsidP="00EF0B5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EF0B59"/>
    <w:rsid w:val="00F07537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3A6915-3E23-4F68-A4C1-7BD9FF38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