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CB4" w:rsidRPr="001D694D" w:rsidRDefault="008D4CB4" w:rsidP="008D4CB4">
      <w:pPr>
        <w:pStyle w:val="Akti"/>
      </w:pPr>
      <w:bookmarkStart w:id="0" w:name="_GoBack"/>
      <w:bookmarkEnd w:id="0"/>
      <w:r w:rsidRPr="001D694D">
        <w:t>Vendim</w:t>
      </w:r>
    </w:p>
    <w:p w:rsidR="008D4CB4" w:rsidRPr="001D694D" w:rsidRDefault="008D4CB4" w:rsidP="008D4CB4">
      <w:pPr>
        <w:pStyle w:val="NumriData"/>
      </w:pPr>
      <w:r w:rsidRPr="001D694D">
        <w:t>Nr.532, datë 22.11.1999</w:t>
      </w:r>
    </w:p>
    <w:p w:rsidR="008D4CB4" w:rsidRPr="001D694D" w:rsidRDefault="008D4CB4" w:rsidP="008D4CB4">
      <w:pPr>
        <w:pStyle w:val="Paragrafi"/>
      </w:pPr>
    </w:p>
    <w:p w:rsidR="008D4CB4" w:rsidRPr="001D694D" w:rsidRDefault="008D4CB4" w:rsidP="008D4CB4">
      <w:pPr>
        <w:pStyle w:val="Titulli"/>
      </w:pPr>
      <w:r w:rsidRPr="001D694D">
        <w:t>Për disa shtesa në vendimin e këshillit të ministrave nr.493, datë 13.8.1998, “Për caktimin e rregullave për shitjen e pasurive të personave juridikë, jobankarë, që kanë marrë hua nga publiku i gjerë”</w:t>
      </w:r>
    </w:p>
    <w:p w:rsidR="008D4CB4" w:rsidRPr="001D694D" w:rsidRDefault="008D4CB4" w:rsidP="008D4CB4">
      <w:pPr>
        <w:pStyle w:val="Paragrafi"/>
      </w:pPr>
    </w:p>
    <w:p w:rsidR="008D4CB4" w:rsidRPr="001D694D" w:rsidRDefault="008D4CB4" w:rsidP="008D4CB4">
      <w:pPr>
        <w:pStyle w:val="BazLigjPropozues"/>
      </w:pPr>
      <w:r w:rsidRPr="001D694D">
        <w:t>Në mbështetje të nenit 100 të Kushtetutës dhe të nenit 6.4, të ligjit nr.8386, datë 30.7.1998 “Për mënyrën dhe procedurat e shitjes së pasurive të personave juridikë, jobankarë, që kanë marrë hua nga publiku i gjerë”, me propozimin e Kryeministrit Këshilli i Ministrave</w:t>
      </w:r>
    </w:p>
    <w:p w:rsidR="008D4CB4" w:rsidRPr="001D694D" w:rsidRDefault="008D4CB4" w:rsidP="008D4CB4">
      <w:pPr>
        <w:pStyle w:val="Paragrafi"/>
      </w:pPr>
    </w:p>
    <w:p w:rsidR="008D4CB4" w:rsidRPr="001D694D" w:rsidRDefault="008D4CB4" w:rsidP="008D4CB4">
      <w:pPr>
        <w:pStyle w:val="VENDOSI"/>
      </w:pPr>
      <w:r w:rsidRPr="001D694D">
        <w:t>Vendosi:</w:t>
      </w:r>
    </w:p>
    <w:p w:rsidR="008D4CB4" w:rsidRPr="001D694D" w:rsidRDefault="008D4CB4" w:rsidP="008D4CB4">
      <w:pPr>
        <w:pStyle w:val="Paragrafi"/>
      </w:pPr>
    </w:p>
    <w:p w:rsidR="008D4CB4" w:rsidRPr="001D694D" w:rsidRDefault="008D4CB4" w:rsidP="008D4CB4">
      <w:pPr>
        <w:pStyle w:val="Paragrafi"/>
      </w:pPr>
      <w:r w:rsidRPr="001D694D">
        <w:t>1.Në vendimin e Këshillit të Ministrave nr.493, datë 13.8.1998, bëhen këto shtesa:</w:t>
      </w:r>
    </w:p>
    <w:p w:rsidR="008D4CB4" w:rsidRPr="001D694D" w:rsidRDefault="008D4CB4" w:rsidP="008D4CB4">
      <w:pPr>
        <w:pStyle w:val="Paragrafi"/>
      </w:pPr>
      <w:r w:rsidRPr="001D694D">
        <w:t>Pas pikës 11 shtohet pika 11/1 me këtë përmbajtje:</w:t>
      </w:r>
    </w:p>
    <w:p w:rsidR="008D4CB4" w:rsidRPr="001D694D" w:rsidRDefault="008D4CB4" w:rsidP="008D4CB4">
      <w:pPr>
        <w:pStyle w:val="Paragrafi"/>
      </w:pPr>
      <w:r w:rsidRPr="001D694D">
        <w:t>“Administratorët, në shitjen publike me tender të pasurive të shoqërive huamarrëse në administrim marrin vendim për caktimin e kohës së publikimit, për radhën e shitjes së aseteve dhe të çmimit orientues të shitjes. Cikli i publikimit për shitjen e pasurive të shoqërive huamarrëse në administrim kryhet jo më pak se dy herë, me kohë publikimi 20 ditë për secilin cikël.</w:t>
      </w:r>
    </w:p>
    <w:p w:rsidR="008D4CB4" w:rsidRPr="001D694D" w:rsidRDefault="008D4CB4" w:rsidP="008D4CB4">
      <w:pPr>
        <w:pStyle w:val="Paragrafi"/>
      </w:pPr>
      <w:r w:rsidRPr="001D694D">
        <w:t>Kur, pas përfundimit të publikimit të dytë, aseti nuk është shitur, administratorët e përbashkët marrin vendim për shitjen drejtpërdrejtë pranë Qendrës së Ankandit, në prani të komisionit të vlerësimit të ofertës konkuruese, duke respektuar çmimin e tregut të përcaktuar nga shoqata e vlerësimit të Pasurive të Paluajtshme.”.</w:t>
      </w:r>
    </w:p>
    <w:p w:rsidR="008D4CB4" w:rsidRPr="001D694D" w:rsidRDefault="008D4CB4" w:rsidP="008D4CB4">
      <w:pPr>
        <w:pStyle w:val="Paragrafi"/>
      </w:pPr>
      <w:r w:rsidRPr="001D694D">
        <w:t>2.Pas pikës 12 shtohet pika 12/1, me këtë përmbajtje:</w:t>
      </w:r>
    </w:p>
    <w:p w:rsidR="008D4CB4" w:rsidRPr="001D694D" w:rsidRDefault="008D4CB4" w:rsidP="008D4CB4">
      <w:pPr>
        <w:pStyle w:val="Paragrafi"/>
      </w:pPr>
      <w:r w:rsidRPr="001D694D">
        <w:t>“Pasuritë e personave të shpallur debitorë dhe të personave që duhet të kthejnë vlerat financiare, të përfituara nga transaksionet e pronësisë, pas sekuestrimeve prej zyrave të përmbarimit gjyqësor, kalojnë në pronësi të administratorëve, për shitje, pranë Qendrës së Ankandeve.</w:t>
      </w:r>
    </w:p>
    <w:p w:rsidR="008D4CB4" w:rsidRPr="001D694D" w:rsidRDefault="008D4CB4" w:rsidP="008D4CB4">
      <w:pPr>
        <w:pStyle w:val="Paragrafi"/>
      </w:pPr>
      <w:r w:rsidRPr="001D694D">
        <w:t>Kriteret, rregullat dhe procedurat e shitjes publike me tender janë të njëjta me ato që zbatohen në shitjen e pasurive të shoqërive huamarrëse dhe të personave të tjerë, të deklaruar të lidhur me ta.”.</w:t>
      </w:r>
    </w:p>
    <w:p w:rsidR="008D4CB4" w:rsidRPr="001D694D" w:rsidRDefault="008D4CB4" w:rsidP="008D4CB4">
      <w:pPr>
        <w:pStyle w:val="Paragrafi"/>
      </w:pPr>
      <w:r w:rsidRPr="001D694D">
        <w:t>3.Ngarkohen administratorët e pavarur dhe Grupi Mbikëqyrës, për ndjekjen dhe zbatimin e këtijvendimi.</w:t>
      </w:r>
    </w:p>
    <w:p w:rsidR="008D4CB4" w:rsidRPr="001D694D" w:rsidRDefault="008D4CB4" w:rsidP="008D4CB4">
      <w:pPr>
        <w:pStyle w:val="Paragrafi"/>
      </w:pPr>
      <w:r w:rsidRPr="001D694D">
        <w:t>Ky vendim hyn në fuqi pas botimit në Fletoren Zyrtare.</w:t>
      </w:r>
    </w:p>
    <w:p w:rsidR="008D4CB4" w:rsidRPr="001D694D" w:rsidRDefault="008D4CB4" w:rsidP="008D4CB4">
      <w:pPr>
        <w:pStyle w:val="Paragrafi"/>
      </w:pPr>
    </w:p>
    <w:p w:rsidR="008D4CB4" w:rsidRPr="001D694D" w:rsidRDefault="008D4CB4" w:rsidP="008D4CB4">
      <w:pPr>
        <w:pStyle w:val="Autoriteti"/>
      </w:pPr>
      <w:r w:rsidRPr="001D694D">
        <w:t>Kryeministri</w:t>
      </w:r>
    </w:p>
    <w:p w:rsidR="008D4CB4" w:rsidRPr="001D694D" w:rsidRDefault="008D4CB4" w:rsidP="008D4CB4">
      <w:pPr>
        <w:pStyle w:val="AutoritetiEmer"/>
      </w:pPr>
      <w:r w:rsidRPr="001D694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231E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4CB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0F06D9-5483-439F-9BD3-1EE9B87A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