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1D2" w:rsidRPr="001D694D" w:rsidRDefault="008421D2" w:rsidP="008421D2">
      <w:pPr>
        <w:pStyle w:val="Akti"/>
      </w:pPr>
      <w:bookmarkStart w:id="0" w:name="_GoBack"/>
      <w:bookmarkEnd w:id="0"/>
      <w:r w:rsidRPr="001D694D">
        <w:t>Vendim</w:t>
      </w:r>
    </w:p>
    <w:p w:rsidR="008421D2" w:rsidRPr="001D694D" w:rsidRDefault="008421D2" w:rsidP="008421D2">
      <w:pPr>
        <w:pStyle w:val="NumriData"/>
      </w:pPr>
      <w:r w:rsidRPr="001D694D">
        <w:t>Nr.581, datë 8.12.1999</w:t>
      </w:r>
    </w:p>
    <w:p w:rsidR="008421D2" w:rsidRPr="001D694D" w:rsidRDefault="008421D2" w:rsidP="008421D2">
      <w:pPr>
        <w:pStyle w:val="Paragrafi"/>
      </w:pPr>
    </w:p>
    <w:p w:rsidR="008421D2" w:rsidRPr="001D694D" w:rsidRDefault="008421D2" w:rsidP="008421D2">
      <w:pPr>
        <w:pStyle w:val="Titulli"/>
      </w:pPr>
      <w:r w:rsidRPr="001D694D">
        <w:t>Për kriteret e vlerësimit të ofertave për privatizimin e shoqërisë anonime “AMC”</w:t>
      </w:r>
    </w:p>
    <w:p w:rsidR="008421D2" w:rsidRPr="001D694D" w:rsidRDefault="008421D2" w:rsidP="008421D2">
      <w:pPr>
        <w:pStyle w:val="Paragrafi"/>
      </w:pPr>
    </w:p>
    <w:p w:rsidR="008421D2" w:rsidRPr="001D694D" w:rsidRDefault="008421D2" w:rsidP="008421D2">
      <w:pPr>
        <w:pStyle w:val="BazLigjPropozues"/>
      </w:pPr>
      <w:r w:rsidRPr="001D694D">
        <w:t>Në mbështetje të nenit 100 të Kushtetutës, të neneve 7 dhe 9, të ligjit nr.8306, datë 14.3.1998, “Për strategjinë e privatizimit të sektorëve me rëndësi të veçantë” dhe të nenit 5, të ligjit nr.8515, datë 21.7.1999, “Për privatizimin e shoqërisë anonime “Albania Mobile Communication (AMC)”, me propozimin e Ministrisë së Ekonomisë dhe Privatizimit, Këshilli i Ministrave</w:t>
      </w:r>
    </w:p>
    <w:p w:rsidR="008421D2" w:rsidRPr="001D694D" w:rsidRDefault="008421D2" w:rsidP="008421D2">
      <w:pPr>
        <w:pStyle w:val="Paragrafi"/>
      </w:pPr>
    </w:p>
    <w:p w:rsidR="008421D2" w:rsidRPr="001D694D" w:rsidRDefault="008421D2" w:rsidP="008421D2">
      <w:pPr>
        <w:pStyle w:val="VENDOSI"/>
      </w:pPr>
      <w:r w:rsidRPr="001D694D">
        <w:t>Vendosi:</w:t>
      </w:r>
    </w:p>
    <w:p w:rsidR="008421D2" w:rsidRPr="001D694D" w:rsidRDefault="008421D2" w:rsidP="008421D2">
      <w:pPr>
        <w:pStyle w:val="Paragrafi"/>
      </w:pPr>
    </w:p>
    <w:p w:rsidR="008421D2" w:rsidRPr="001D694D" w:rsidRDefault="008421D2" w:rsidP="008421D2">
      <w:pPr>
        <w:pStyle w:val="Paragrafi"/>
      </w:pPr>
      <w:r w:rsidRPr="001D694D">
        <w:t>1.Vlerësimi i ofrtave të detyrushme, që do të paraqiten nga investitorët strategjikë, të cilëve u ofrohet paketa e aksioneve të kapitalit të shoqërisë anonime ‘AMC”, dhe përcaktimi i pikëve të vlerësimit të ofertave, kryhet duke marrë për bazë kriteret sopas tabelës që i bashkëlidhet këtij vendimi.</w:t>
      </w:r>
    </w:p>
    <w:p w:rsidR="008421D2" w:rsidRPr="001D694D" w:rsidRDefault="008421D2" w:rsidP="008421D2">
      <w:pPr>
        <w:pStyle w:val="Paragrafi"/>
      </w:pPr>
      <w:r w:rsidRPr="001D694D">
        <w:t>2.Ngarkohet Ministria e Ekonomisë Publike dhe Privatizimit për zbatimin e këtij vendimi.</w:t>
      </w:r>
    </w:p>
    <w:p w:rsidR="008421D2" w:rsidRPr="001D694D" w:rsidRDefault="008421D2" w:rsidP="008421D2">
      <w:pPr>
        <w:pStyle w:val="Paragrafi"/>
      </w:pPr>
      <w:r w:rsidRPr="001D694D">
        <w:t>Ky vendim hyn në fuqi pas botimit në Fletoren Zyrtare.</w:t>
      </w:r>
    </w:p>
    <w:p w:rsidR="008421D2" w:rsidRPr="001D694D" w:rsidRDefault="008421D2" w:rsidP="008421D2">
      <w:pPr>
        <w:pStyle w:val="Paragrafi"/>
      </w:pPr>
    </w:p>
    <w:p w:rsidR="008421D2" w:rsidRPr="001D694D" w:rsidRDefault="008421D2" w:rsidP="008421D2">
      <w:pPr>
        <w:pStyle w:val="Autoriteti"/>
      </w:pPr>
      <w:r w:rsidRPr="001D694D">
        <w:t>Kryeministri</w:t>
      </w:r>
    </w:p>
    <w:p w:rsidR="008421D2" w:rsidRPr="001D694D" w:rsidRDefault="008421D2" w:rsidP="008421D2">
      <w:pPr>
        <w:pStyle w:val="AutoritetiEmer"/>
      </w:pPr>
      <w:r w:rsidRPr="001D694D">
        <w:t>Ilir Meta</w:t>
      </w:r>
    </w:p>
    <w:p w:rsidR="008421D2" w:rsidRPr="001D694D" w:rsidRDefault="008421D2" w:rsidP="008421D2">
      <w:pPr>
        <w:pStyle w:val="TitulliTitull"/>
      </w:pPr>
    </w:p>
    <w:p w:rsidR="008421D2" w:rsidRPr="001D694D" w:rsidRDefault="008421D2" w:rsidP="008421D2">
      <w:pPr>
        <w:pStyle w:val="TitulliTitull"/>
      </w:pPr>
      <w:r w:rsidRPr="001D694D">
        <w:t>Komisioni i vlerësimit të ofertave të AMC Sh.a</w:t>
      </w:r>
    </w:p>
    <w:p w:rsidR="008421D2" w:rsidRPr="001D694D" w:rsidRDefault="008421D2" w:rsidP="008421D2">
      <w:pPr>
        <w:pStyle w:val="TitulliTitull"/>
      </w:pPr>
      <w:r w:rsidRPr="001D694D">
        <w:t xml:space="preserve">Tabela e kritereve të vlerësimit të ofertave për privatizimin </w:t>
      </w:r>
      <w:smartTag w:uri="urn:schemas-microsoft-com:office:smarttags" w:element="place">
        <w:r w:rsidRPr="001D694D">
          <w:t>e AMC</w:t>
        </w:r>
      </w:smartTag>
      <w:r w:rsidRPr="001D694D">
        <w:t xml:space="preserve"> Sh.A.</w:t>
      </w:r>
    </w:p>
    <w:p w:rsidR="008421D2" w:rsidRPr="001D694D" w:rsidRDefault="008421D2" w:rsidP="008421D2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28"/>
        <w:gridCol w:w="2160"/>
        <w:gridCol w:w="1798"/>
      </w:tblGrid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Totali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Pjesë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1.Kredencialet e blerësit &amp; Aftësia teknike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20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Interesi strategjik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1.2 Aftësitë teknike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2.Plani i biznesit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150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2.1Tregu  &amp; Shërbimet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50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2.1.1.Pajtimtare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2.1.2.Shërbime rinovuese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2.1.3.Tarifat dhe çmimi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2.1.4.Marketing/Shërbimet ndaj klientëve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2.2 Rrjeti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40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2.2.1.Popullsia që mbulon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2.2.2Territori që mbulon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2.2.3.Përmirësimet teknike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5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2.2.4.Mirëmbajtja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5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2.3 Aspekte ekonomike &amp; Financiare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15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2.3.1.Huatë e marra për zhvillim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2.3.2.Masat për rastet e vështirësive që mund të lindin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5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2.4.Të tjera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45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2.4.1.Plani i investimit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40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2.4.2.Faktori shqiptar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5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3.Oferta financiare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800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3.1.Vlerësimi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800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3.1.1.Çmimi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4.Marrëveshja e blerjes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  <w:r w:rsidRPr="001D694D">
              <w:t>30</w:t>
            </w: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>4.1.Deklarimet dhe garancitë e blerësit dhe të shitësit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10</w:t>
            </w:r>
          </w:p>
        </w:tc>
      </w:tr>
      <w:tr w:rsidR="008421D2" w:rsidRPr="001D694D">
        <w:tc>
          <w:tcPr>
            <w:tcW w:w="5328" w:type="dxa"/>
          </w:tcPr>
          <w:p w:rsidR="008421D2" w:rsidRPr="001D694D" w:rsidRDefault="008421D2" w:rsidP="008421D2">
            <w:pPr>
              <w:pStyle w:val="Tabele"/>
            </w:pPr>
            <w:r w:rsidRPr="001D694D">
              <w:t xml:space="preserve">4.2.Niveli i dëmshpërblimit për të cilin është përgjegjës </w:t>
            </w:r>
            <w:r w:rsidRPr="001D694D">
              <w:lastRenderedPageBreak/>
              <w:t>shitësi</w:t>
            </w:r>
          </w:p>
        </w:tc>
        <w:tc>
          <w:tcPr>
            <w:tcW w:w="2160" w:type="dxa"/>
          </w:tcPr>
          <w:p w:rsidR="008421D2" w:rsidRPr="001D694D" w:rsidRDefault="008421D2" w:rsidP="008421D2">
            <w:pPr>
              <w:pStyle w:val="Tabele"/>
            </w:pPr>
          </w:p>
        </w:tc>
        <w:tc>
          <w:tcPr>
            <w:tcW w:w="1798" w:type="dxa"/>
          </w:tcPr>
          <w:p w:rsidR="008421D2" w:rsidRPr="001D694D" w:rsidRDefault="008421D2" w:rsidP="008421D2">
            <w:pPr>
              <w:pStyle w:val="Tabele"/>
            </w:pPr>
            <w:r w:rsidRPr="001D694D">
              <w:t>20</w:t>
            </w:r>
          </w:p>
        </w:tc>
      </w:tr>
    </w:tbl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B318F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21D2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73611F-CA15-4847-A52D-21ACCF65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1D2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8421D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