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30A" w:rsidRPr="00943AFF" w:rsidRDefault="00AE030A" w:rsidP="00AE030A">
      <w:pPr>
        <w:pStyle w:val="Akti"/>
      </w:pPr>
      <w:bookmarkStart w:id="0" w:name="_GoBack"/>
      <w:bookmarkEnd w:id="0"/>
      <w:r w:rsidRPr="00943AFF">
        <w:t>V E N D I M</w:t>
      </w:r>
    </w:p>
    <w:p w:rsidR="00AE030A" w:rsidRPr="00943AFF" w:rsidRDefault="00AE030A" w:rsidP="00AE030A">
      <w:pPr>
        <w:pStyle w:val="NumriData"/>
      </w:pPr>
      <w:r w:rsidRPr="00943AFF">
        <w:t>Nr. 240, datë 13.4.2001</w:t>
      </w:r>
    </w:p>
    <w:p w:rsidR="00AE030A" w:rsidRPr="00943AFF" w:rsidRDefault="00AE030A" w:rsidP="00AE030A">
      <w:pPr>
        <w:pStyle w:val="Paragrafi"/>
      </w:pPr>
    </w:p>
    <w:p w:rsidR="00AE030A" w:rsidRPr="00943AFF" w:rsidRDefault="00AE030A" w:rsidP="00AE030A">
      <w:pPr>
        <w:pStyle w:val="Titulli"/>
      </w:pPr>
      <w:r w:rsidRPr="00943AFF">
        <w:t>PËR NDARJEN E TË ARDHURAVE, QË RRJEDHIN NGA</w:t>
      </w:r>
      <w:r>
        <w:t xml:space="preserve"> USHTRIMI i </w:t>
      </w:r>
      <w:r w:rsidRPr="00943AFF">
        <w:t>VEPRIMTARISË NGA SUBJEKTET E LICENCUARA</w:t>
      </w:r>
      <w:r>
        <w:t xml:space="preserve"> </w:t>
      </w:r>
      <w:r w:rsidRPr="00943AFF">
        <w:t>PËR LOJËRA FATI, KAZINO DHE HIPODROME.</w:t>
      </w:r>
    </w:p>
    <w:p w:rsidR="00AE030A" w:rsidRPr="00943AFF" w:rsidRDefault="00AE030A" w:rsidP="00AE030A">
      <w:pPr>
        <w:pStyle w:val="Paragrafi"/>
      </w:pPr>
    </w:p>
    <w:p w:rsidR="00AE030A" w:rsidRPr="00943AFF" w:rsidRDefault="00AE030A" w:rsidP="00AE030A">
      <w:pPr>
        <w:pStyle w:val="BazLigjPropozues"/>
      </w:pPr>
      <w:r w:rsidRPr="00943AFF">
        <w:t>Në mbështetje  të nenit 100 të Kushtetutës dhe të neneve 10, 22 dhe 25 të ligjit nr.8701, datë 1.12.2000 “Për lojërat e fatit, kazinotë dhe hipodromet”, me propozimin e Ministrit te Financave, Këshilli i Ministrave</w:t>
      </w:r>
    </w:p>
    <w:p w:rsidR="00AE030A" w:rsidRPr="00943AFF" w:rsidRDefault="00AE030A" w:rsidP="00AE030A">
      <w:pPr>
        <w:pStyle w:val="Paragrafi"/>
      </w:pPr>
    </w:p>
    <w:p w:rsidR="00AE030A" w:rsidRPr="00943AFF" w:rsidRDefault="00AE030A" w:rsidP="00AE030A">
      <w:pPr>
        <w:pStyle w:val="VENDOSI"/>
      </w:pPr>
      <w:r w:rsidRPr="00943AFF">
        <w:t>V E N D O S I:</w:t>
      </w:r>
    </w:p>
    <w:p w:rsidR="00AE030A" w:rsidRPr="00943AFF" w:rsidRDefault="00AE030A" w:rsidP="00AE030A">
      <w:pPr>
        <w:pStyle w:val="Paragrafi"/>
      </w:pPr>
    </w:p>
    <w:p w:rsidR="00AE030A" w:rsidRPr="00943AFF" w:rsidRDefault="00AE030A" w:rsidP="00AE030A">
      <w:pPr>
        <w:pStyle w:val="Paragrafi"/>
      </w:pPr>
      <w:r w:rsidRPr="00943AFF">
        <w:t>1. Ndarja e të ardhurave për organizatorin dhe fituesit nga lojërat e fatit, kazinotë dhe hipodromet, bëhet pasi nga totali i qarkullimit të realizuar, të zbriten më parë tatimi mbi vlerën e shtuar dhe tatimi mbi lojërat e fatit.</w:t>
      </w:r>
    </w:p>
    <w:p w:rsidR="00AE030A" w:rsidRPr="00943AFF" w:rsidRDefault="00AE030A" w:rsidP="00AE030A">
      <w:pPr>
        <w:pStyle w:val="Paragrafi"/>
      </w:pPr>
      <w:r w:rsidRPr="00943AFF">
        <w:t>Tatimi mbi vlerën e shtuar llogaritet duke pjesëtuar “qarkullimin gjithsej”, (të ardhurat) me shifrën 6. Pjesa që mbetet pas zbritjes së tatimit mbi vlerën e shtuar përbën “qarkullimin” (të ardhurat pa tatimin mbi vlerën e shtuar).</w:t>
      </w:r>
    </w:p>
    <w:p w:rsidR="00AE030A" w:rsidRPr="00943AFF" w:rsidRDefault="00AE030A" w:rsidP="00AE030A">
      <w:pPr>
        <w:pStyle w:val="Paragrafi"/>
      </w:pPr>
      <w:r w:rsidRPr="00943AFF">
        <w:t>Tatimi mbi lojërat e fatit llogaritet duke pjesëtuar “qarkullimin” (të ardhurat pa tatimin mbi vlerën e shtuar) me shifrën 6. Pjesa që mbetet pas zbritjes së tatimit mbi lojërat e fatit, ndahet ndërmjet organizatorit dhe fituesit.</w:t>
      </w:r>
    </w:p>
    <w:p w:rsidR="00AE030A" w:rsidRPr="00943AFF" w:rsidRDefault="00AE030A" w:rsidP="00AE030A">
      <w:pPr>
        <w:pStyle w:val="Paragrafi"/>
      </w:pPr>
      <w:r w:rsidRPr="00943AFF">
        <w:t>2. Ndarja e të ardhurave nga lojërat e fatit, pasi më parë janë zbritur detyrimet tatimore (tatimi mbi vlerën e shtuar dhe tatimi mbi lojërat e fatit), sipas pikës 1 të këtij vendimi, bëhet si vijon:</w:t>
      </w:r>
    </w:p>
    <w:p w:rsidR="00AE030A" w:rsidRPr="00943AFF" w:rsidRDefault="00AE030A" w:rsidP="00AE030A">
      <w:pPr>
        <w:pStyle w:val="Paragrafi"/>
      </w:pPr>
      <w:r w:rsidRPr="00943AFF">
        <w:t>Për lojërat aritmetike:</w:t>
      </w:r>
    </w:p>
    <w:p w:rsidR="00AE030A" w:rsidRPr="00943AFF" w:rsidRDefault="00AE030A" w:rsidP="00AE030A">
      <w:pPr>
        <w:pStyle w:val="Paragrafi"/>
      </w:pPr>
      <w:r w:rsidRPr="00943AFF">
        <w:t>60 për qind e të ardhurave që mbeten, i jepen fituesit/fituesve të lojës;</w:t>
      </w:r>
    </w:p>
    <w:p w:rsidR="00AE030A" w:rsidRPr="00943AFF" w:rsidRDefault="00AE030A" w:rsidP="00AE030A">
      <w:pPr>
        <w:pStyle w:val="Paragrafi"/>
      </w:pPr>
      <w:r w:rsidRPr="00943AFF">
        <w:t>40 për qind e të ardhurave që mbeten, i merr organizatori i lojës, pra subjekti i licencuar.</w:t>
      </w:r>
    </w:p>
    <w:p w:rsidR="00AE030A" w:rsidRPr="00943AFF" w:rsidRDefault="00AE030A" w:rsidP="00AE030A">
      <w:pPr>
        <w:pStyle w:val="Paragrafi"/>
      </w:pPr>
      <w:r w:rsidRPr="00943AFF">
        <w:t>Për lojërat sportive:</w:t>
      </w:r>
    </w:p>
    <w:p w:rsidR="00AE030A" w:rsidRPr="00943AFF" w:rsidRDefault="00AE030A" w:rsidP="00AE030A">
      <w:pPr>
        <w:pStyle w:val="Paragrafi"/>
      </w:pPr>
      <w:r w:rsidRPr="00943AFF">
        <w:t>60 për qind e të ardhurave që mbeten, i jepen fituesit/fituesve të lojës;</w:t>
      </w:r>
    </w:p>
    <w:p w:rsidR="00AE030A" w:rsidRPr="00943AFF" w:rsidRDefault="00AE030A" w:rsidP="00AE030A">
      <w:pPr>
        <w:pStyle w:val="Paragrafi"/>
      </w:pPr>
      <w:r w:rsidRPr="00943AFF">
        <w:t>40 për qind e të ardhurave që mbeten, i merr organizatori i lojës. Një pjesë e të ardhurave të organizatorit shkon në favor të fondit kombëtar të zhvillimit të sportit në Ministrinë e Kulturës, Rinisë dhe Sporteve, sipas propozimit të ministrit përkatës, dhe duke u përcaktuar në lejen që i jepet organizatorit.</w:t>
      </w:r>
    </w:p>
    <w:p w:rsidR="00AE030A" w:rsidRPr="00943AFF" w:rsidRDefault="00AE030A" w:rsidP="00AE030A">
      <w:pPr>
        <w:pStyle w:val="Paragrafi"/>
      </w:pPr>
      <w:r w:rsidRPr="00943AFF">
        <w:t>Për llotaritë:</w:t>
      </w:r>
    </w:p>
    <w:p w:rsidR="00AE030A" w:rsidRPr="00943AFF" w:rsidRDefault="00AE030A" w:rsidP="00AE030A">
      <w:pPr>
        <w:pStyle w:val="Paragrafi"/>
      </w:pPr>
      <w:r w:rsidRPr="00943AFF">
        <w:t>60 për qind e të ardhurave që mbeten, i jepen fituesit/fituesve të lojës;</w:t>
      </w:r>
    </w:p>
    <w:p w:rsidR="00AE030A" w:rsidRPr="00943AFF" w:rsidRDefault="00AE030A" w:rsidP="00AE030A">
      <w:pPr>
        <w:pStyle w:val="Paragrafi"/>
      </w:pPr>
      <w:r w:rsidRPr="00943AFF">
        <w:t>40 për qind e të ardhurave që mbeten, i merr organizatori i lojës.</w:t>
      </w:r>
    </w:p>
    <w:p w:rsidR="00AE030A" w:rsidRPr="00943AFF" w:rsidRDefault="00AE030A" w:rsidP="00AE030A">
      <w:pPr>
        <w:pStyle w:val="Paragrafi"/>
      </w:pPr>
      <w:r w:rsidRPr="00943AFF">
        <w:t>Për lojërat elektronike:</w:t>
      </w:r>
    </w:p>
    <w:p w:rsidR="00AE030A" w:rsidRPr="00943AFF" w:rsidRDefault="00AE030A" w:rsidP="00AE030A">
      <w:pPr>
        <w:pStyle w:val="Paragrafi"/>
      </w:pPr>
    </w:p>
    <w:p w:rsidR="00AE030A" w:rsidRPr="00943AFF" w:rsidRDefault="00AE030A" w:rsidP="00AE030A">
      <w:pPr>
        <w:pStyle w:val="Paragrafi"/>
      </w:pPr>
      <w:r w:rsidRPr="00943AFF">
        <w:t>50 për qind e të ardhurave që mbeten, i jepen fituesit/fituesve të lojës;</w:t>
      </w:r>
    </w:p>
    <w:p w:rsidR="00AE030A" w:rsidRPr="00943AFF" w:rsidRDefault="00AE030A" w:rsidP="00AE030A">
      <w:pPr>
        <w:pStyle w:val="Paragrafi"/>
      </w:pPr>
      <w:r w:rsidRPr="00943AFF">
        <w:t>50 për qind e të ardhurave që mbeten, i merr organizatori i lojës.</w:t>
      </w:r>
    </w:p>
    <w:p w:rsidR="00AE030A" w:rsidRPr="00943AFF" w:rsidRDefault="00AE030A" w:rsidP="00AE030A">
      <w:pPr>
        <w:pStyle w:val="Paragrafi"/>
      </w:pPr>
      <w:r w:rsidRPr="00943AFF">
        <w:t>Ndarja e të ardhurave për lojërat e fatit, që organizohen nga Kryqi i Kuq Shqiptar, pasi më parë janë zbritur detyrimet tatimore, sipas pikës 1 të këtij vendimi, bëhet si vijon:</w:t>
      </w:r>
    </w:p>
    <w:p w:rsidR="00AE030A" w:rsidRPr="00943AFF" w:rsidRDefault="00AE030A" w:rsidP="00AE030A">
      <w:pPr>
        <w:pStyle w:val="Paragrafi"/>
      </w:pPr>
      <w:r w:rsidRPr="00943AFF">
        <w:t>50 për qind e të ardhurave që mbeten, i jepen fituesit/fituesve të lojës;</w:t>
      </w:r>
    </w:p>
    <w:p w:rsidR="00AE030A" w:rsidRPr="00943AFF" w:rsidRDefault="00AE030A" w:rsidP="00AE030A">
      <w:pPr>
        <w:pStyle w:val="Paragrafi"/>
      </w:pPr>
      <w:r w:rsidRPr="00943AFF">
        <w:t>50 për qind e të ardhurave që mbeten, i merr organizatori i lojës.</w:t>
      </w:r>
    </w:p>
    <w:p w:rsidR="00AE030A" w:rsidRPr="00943AFF" w:rsidRDefault="00AE030A" w:rsidP="00AE030A">
      <w:pPr>
        <w:pStyle w:val="Paragrafi"/>
      </w:pPr>
      <w:r w:rsidRPr="00943AFF">
        <w:t>3. Ndarja e të ardhurave nga kazinotë, pasi më parë janë zbritur detyrimet tatimore, sipas pikës 1 të këtij vendimi, bëhet si vijon:</w:t>
      </w:r>
    </w:p>
    <w:p w:rsidR="00AE030A" w:rsidRPr="00943AFF" w:rsidRDefault="00AE030A" w:rsidP="00AE030A">
      <w:pPr>
        <w:pStyle w:val="Paragrafi"/>
      </w:pPr>
      <w:r w:rsidRPr="00943AFF">
        <w:t>60 për qind e të ardhurave që mbeten, i jepen fituesit për çdo lojë në kazino;</w:t>
      </w:r>
    </w:p>
    <w:p w:rsidR="00AE030A" w:rsidRPr="00943AFF" w:rsidRDefault="00AE030A" w:rsidP="00AE030A">
      <w:pPr>
        <w:pStyle w:val="Paragrafi"/>
      </w:pPr>
      <w:r w:rsidRPr="00943AFF">
        <w:t>40 për qind e të ardhurave që mbeten, i merr organizatori, subjekt i licencuar për ushtrimin e veprimtarisë në kazino.</w:t>
      </w:r>
    </w:p>
    <w:p w:rsidR="00AE030A" w:rsidRPr="00943AFF" w:rsidRDefault="00AE030A" w:rsidP="00AE030A">
      <w:pPr>
        <w:pStyle w:val="Paragrafi"/>
      </w:pPr>
      <w:r w:rsidRPr="00943AFF">
        <w:t>4. Ndarja e të ardhurave nga hipodromet, pasi më parë janë zbritur detyrimet tatimore, sipas pikës 1 të këtij vendimi, bëhet si vijon:</w:t>
      </w:r>
    </w:p>
    <w:p w:rsidR="00AE030A" w:rsidRPr="00943AFF" w:rsidRDefault="00AE030A" w:rsidP="00AE030A">
      <w:pPr>
        <w:pStyle w:val="Paragrafi"/>
      </w:pPr>
      <w:r w:rsidRPr="00943AFF">
        <w:t>60 për qind e të ardhurave që mbeten, i jepen fituesit për çdo lojë në hipodrom;</w:t>
      </w:r>
    </w:p>
    <w:p w:rsidR="00AE030A" w:rsidRPr="00943AFF" w:rsidRDefault="00AE030A" w:rsidP="00AE030A">
      <w:pPr>
        <w:pStyle w:val="Paragrafi"/>
      </w:pPr>
      <w:r w:rsidRPr="00943AFF">
        <w:t>40 për qind e të ardhurave që mbeten, i merr organizatori, subjekt i licencuar për ushtrimin e veprimtarisë në hipodrom.</w:t>
      </w:r>
    </w:p>
    <w:p w:rsidR="00AE030A" w:rsidRPr="00943AFF" w:rsidRDefault="00AE030A" w:rsidP="00AE030A">
      <w:pPr>
        <w:pStyle w:val="Paragrafi"/>
      </w:pPr>
      <w:r w:rsidRPr="00943AFF">
        <w:t xml:space="preserve">5. Në rastet e parashikuara në pikën 5 të nenit 13 dhe në pikën 6 të nenit 23 të ligjit nr.8701, datë 1.12.2000, për organizatorin e lojës detyrimet për të ardhurat e realizuara do të jenë të njëjta me </w:t>
      </w:r>
      <w:r w:rsidRPr="00943AFF">
        <w:lastRenderedPageBreak/>
        <w:t>atë të përcaktuar për organizatorët e tjerë, që kanë si objekt veprimtarie ushtrimin e lojërave elektronike, të fatit, me fitim në çast.</w:t>
      </w:r>
    </w:p>
    <w:p w:rsidR="00AE030A" w:rsidRPr="00943AFF" w:rsidRDefault="00AE030A" w:rsidP="00AE030A">
      <w:pPr>
        <w:pStyle w:val="Paragrafi"/>
      </w:pPr>
      <w:r w:rsidRPr="00943AFF">
        <w:t>6. Këshilli i Ministrave ka autoritetin dhe mund të rishikojë raportin e ndarjes së të ardhurave, ndërmjet organizatorit dhe fituesit për lojërat e fatit, kazinotë dhe hipodromet.</w:t>
      </w:r>
    </w:p>
    <w:p w:rsidR="00AE030A" w:rsidRPr="00943AFF" w:rsidRDefault="00AE030A" w:rsidP="00AE030A">
      <w:pPr>
        <w:pStyle w:val="Paragrafi"/>
      </w:pPr>
      <w:r w:rsidRPr="00943AFF">
        <w:t>Ky vendim hyn ne fuqi pas botimit në Fletoren Zyrtare.</w:t>
      </w:r>
    </w:p>
    <w:p w:rsidR="00AE030A" w:rsidRPr="00943AFF" w:rsidRDefault="00AE030A" w:rsidP="00AE030A">
      <w:pPr>
        <w:pStyle w:val="Paragrafi"/>
      </w:pPr>
    </w:p>
    <w:p w:rsidR="00AE030A" w:rsidRPr="00943AFF" w:rsidRDefault="00AE030A" w:rsidP="00AE030A">
      <w:pPr>
        <w:pStyle w:val="Autoriteti"/>
      </w:pPr>
      <w:r w:rsidRPr="00943AFF">
        <w:t>KRYEMINISTRI</w:t>
      </w:r>
    </w:p>
    <w:p w:rsidR="00AE030A" w:rsidRPr="00943AFF" w:rsidRDefault="00AE030A" w:rsidP="00AE030A">
      <w:pPr>
        <w:pStyle w:val="AutoritetiEmer"/>
      </w:pPr>
      <w:r w:rsidRPr="00943AFF">
        <w:t>Ilir Meta</w:t>
      </w:r>
    </w:p>
    <w:p w:rsidR="00AE030A" w:rsidRPr="00943AFF" w:rsidRDefault="00AE030A" w:rsidP="00AE030A">
      <w:pPr>
        <w:pStyle w:val="Paragrafi"/>
      </w:pPr>
    </w:p>
    <w:p w:rsidR="00AE030A" w:rsidRDefault="00AE030A" w:rsidP="00AE030A">
      <w:pPr>
        <w:pStyle w:val="Paragrafi"/>
      </w:pPr>
    </w:p>
    <w:p w:rsidR="00AE030A" w:rsidRDefault="00AE030A" w:rsidP="00AE030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C3FA0"/>
    <w:rsid w:val="00AE030A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B45A12-FF24-4E9E-ACB4-885DE8D20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AE030A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2019-03-14T12:36:00Z</dcterms:created>
  <dcterms:modified xsi:type="dcterms:W3CDTF">2019-03-14T12:36:00Z</dcterms:modified>
</cp:coreProperties>
</file>