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9C4" w:rsidRPr="0059593A" w:rsidRDefault="00AA29C4" w:rsidP="00AA29C4">
      <w:pPr>
        <w:pStyle w:val="Akti"/>
      </w:pPr>
      <w:bookmarkStart w:id="0" w:name="_GoBack"/>
      <w:bookmarkEnd w:id="0"/>
      <w:r w:rsidRPr="0059593A">
        <w:t>V E N D i M</w:t>
      </w:r>
    </w:p>
    <w:p w:rsidR="00AA29C4" w:rsidRPr="0059593A" w:rsidRDefault="00AA29C4" w:rsidP="00AA29C4">
      <w:pPr>
        <w:pStyle w:val="NumriData"/>
      </w:pPr>
      <w:r w:rsidRPr="0059593A">
        <w:t>Nr. 622, datë 12.11.2001</w:t>
      </w:r>
    </w:p>
    <w:p w:rsidR="00AA29C4" w:rsidRPr="0059593A" w:rsidRDefault="00AA29C4" w:rsidP="00AA29C4">
      <w:pPr>
        <w:pStyle w:val="Paragrafi"/>
      </w:pPr>
    </w:p>
    <w:p w:rsidR="00AA29C4" w:rsidRPr="0059593A" w:rsidRDefault="00AA29C4" w:rsidP="00AA29C4">
      <w:pPr>
        <w:pStyle w:val="Titulli"/>
      </w:pPr>
      <w:r w:rsidRPr="0059593A">
        <w:t>Për përcaktimin e zonave ku mund të hapen kazino</w:t>
      </w:r>
    </w:p>
    <w:p w:rsidR="00AA29C4" w:rsidRPr="0059593A" w:rsidRDefault="00AA29C4" w:rsidP="00AA29C4">
      <w:pPr>
        <w:pStyle w:val="Paragrafi"/>
      </w:pPr>
    </w:p>
    <w:p w:rsidR="00AA29C4" w:rsidRPr="0059593A" w:rsidRDefault="00AA29C4" w:rsidP="00AA29C4">
      <w:pPr>
        <w:pStyle w:val="BazLigjPropozues"/>
      </w:pPr>
      <w:r w:rsidRPr="0059593A">
        <w:t>Në mbështetje të nenit 100 të Kushtetutës dhe të pikës 2 të nenit 13 të ligjit nr.8701, datë 1.12.2000 "Për lojrat e fatit, kazinotë dhe hipodromet", me propozimin e Ministrit të Financave, Këshilli i Ministrave</w:t>
      </w:r>
    </w:p>
    <w:p w:rsidR="00AA29C4" w:rsidRPr="0059593A" w:rsidRDefault="00AA29C4" w:rsidP="00AA29C4">
      <w:pPr>
        <w:pStyle w:val="Paragrafi"/>
      </w:pPr>
    </w:p>
    <w:p w:rsidR="00AA29C4" w:rsidRPr="0059593A" w:rsidRDefault="00AA29C4" w:rsidP="00AA29C4">
      <w:pPr>
        <w:pStyle w:val="VENDOSI"/>
      </w:pPr>
      <w:r w:rsidRPr="0059593A">
        <w:t>V E N D O S I:</w:t>
      </w:r>
    </w:p>
    <w:p w:rsidR="00AA29C4" w:rsidRPr="0059593A" w:rsidRDefault="00AA29C4" w:rsidP="00AA29C4">
      <w:pPr>
        <w:pStyle w:val="Paragrafi"/>
      </w:pPr>
    </w:p>
    <w:p w:rsidR="00AA29C4" w:rsidRPr="0059593A" w:rsidRDefault="00AA29C4" w:rsidP="00AA29C4">
      <w:pPr>
        <w:pStyle w:val="Paragrafi"/>
      </w:pPr>
      <w:r w:rsidRPr="0059593A">
        <w:t>1. Zonat e përcaktuara në territorin e Republikës së Shqipërisë, ku mund të hapen kazinotë janë si më poshtë vijojnë:</w:t>
      </w:r>
    </w:p>
    <w:p w:rsidR="00AA29C4" w:rsidRPr="0059593A" w:rsidRDefault="00AA29C4" w:rsidP="00AA29C4">
      <w:pPr>
        <w:pStyle w:val="Paragrafi"/>
      </w:pPr>
      <w:r w:rsidRPr="0059593A">
        <w:t>a) Zona bregdetare turistike e Vlorës;</w:t>
      </w:r>
    </w:p>
    <w:p w:rsidR="00AA29C4" w:rsidRPr="0059593A" w:rsidRDefault="00AA29C4" w:rsidP="00AA29C4">
      <w:pPr>
        <w:pStyle w:val="Paragrafi"/>
      </w:pPr>
      <w:r w:rsidRPr="0059593A">
        <w:t>b) zona bregdetare turistike e Sarandës;</w:t>
      </w:r>
    </w:p>
    <w:p w:rsidR="00AA29C4" w:rsidRPr="0059593A" w:rsidRDefault="00AA29C4" w:rsidP="00AA29C4">
      <w:pPr>
        <w:pStyle w:val="Paragrafi"/>
      </w:pPr>
      <w:r w:rsidRPr="0059593A">
        <w:t>c) zona bregdetare turistike e Durrësit;</w:t>
      </w:r>
    </w:p>
    <w:p w:rsidR="00AA29C4" w:rsidRPr="0059593A" w:rsidRDefault="00AA29C4" w:rsidP="00AA29C4">
      <w:pPr>
        <w:pStyle w:val="Paragrafi"/>
      </w:pPr>
      <w:r w:rsidRPr="0059593A">
        <w:t>ç) qyteti i Tiranës;</w:t>
      </w:r>
    </w:p>
    <w:p w:rsidR="00AA29C4" w:rsidRPr="0059593A" w:rsidRDefault="00AA29C4" w:rsidP="00AA29C4">
      <w:pPr>
        <w:pStyle w:val="Paragrafi"/>
      </w:pPr>
      <w:r w:rsidRPr="0059593A">
        <w:t>d) zona turistike e Velipojës.</w:t>
      </w:r>
    </w:p>
    <w:p w:rsidR="00AA29C4" w:rsidRPr="0059593A" w:rsidRDefault="00AA29C4" w:rsidP="00AA29C4">
      <w:pPr>
        <w:pStyle w:val="Paragrafi"/>
      </w:pPr>
      <w:r w:rsidRPr="0059593A">
        <w:t>2. Ngarkohen Ministria e Financave dhe Ministria e Rendit Publik për zbatimin e këtij vendimi.</w:t>
      </w:r>
    </w:p>
    <w:p w:rsidR="00AA29C4" w:rsidRPr="0059593A" w:rsidRDefault="00AA29C4" w:rsidP="00AA29C4">
      <w:pPr>
        <w:pStyle w:val="Paragrafi"/>
      </w:pPr>
      <w:r w:rsidRPr="0059593A">
        <w:t>Ky vendim hyn në fuqi pas botimit në Fletoren Zyrtare.</w:t>
      </w:r>
    </w:p>
    <w:p w:rsidR="00AA29C4" w:rsidRDefault="00AA29C4" w:rsidP="00AA29C4">
      <w:pPr>
        <w:pStyle w:val="Autoriteti"/>
      </w:pPr>
    </w:p>
    <w:p w:rsidR="00AA29C4" w:rsidRPr="0059593A" w:rsidRDefault="00AA29C4" w:rsidP="00AA29C4">
      <w:pPr>
        <w:pStyle w:val="Autoriteti"/>
      </w:pPr>
      <w:r w:rsidRPr="0059593A">
        <w:t>KRYEMINISTRI</w:t>
      </w:r>
    </w:p>
    <w:p w:rsidR="00AA29C4" w:rsidRPr="0059593A" w:rsidRDefault="00AA29C4" w:rsidP="00AA29C4">
      <w:pPr>
        <w:pStyle w:val="AutoritetiEmer"/>
      </w:pPr>
      <w:r w:rsidRPr="0059593A">
        <w:t>Ilir Meta</w:t>
      </w:r>
    </w:p>
    <w:p w:rsidR="00AA29C4" w:rsidRPr="0059593A" w:rsidRDefault="00AA29C4" w:rsidP="00AA29C4">
      <w:pPr>
        <w:pStyle w:val="Paragrafi"/>
      </w:pPr>
    </w:p>
    <w:p w:rsidR="00AA29C4" w:rsidRDefault="00AA29C4" w:rsidP="00AA29C4">
      <w:pPr>
        <w:pStyle w:val="Paragrafi"/>
      </w:pPr>
    </w:p>
    <w:p w:rsidR="00AA29C4" w:rsidRDefault="00AA29C4" w:rsidP="00AA29C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66A6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29C4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4A8ED7-FCB0-48D6-A6CB-93537210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