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467" w:rsidRPr="00BC0319" w:rsidRDefault="00EB1467" w:rsidP="00EB1467">
      <w:pPr>
        <w:pStyle w:val="Paragrafi"/>
      </w:pPr>
      <w:bookmarkStart w:id="0" w:name="_GoBack"/>
      <w:bookmarkEnd w:id="0"/>
      <w:r w:rsidRPr="00BC0319">
        <w:tab/>
      </w:r>
    </w:p>
    <w:p w:rsidR="00EB1467" w:rsidRPr="00BC0319" w:rsidRDefault="00EB1467" w:rsidP="00EB1467">
      <w:pPr>
        <w:pStyle w:val="Akti"/>
      </w:pPr>
      <w:r w:rsidRPr="00BC0319">
        <w:t>V E N D I M</w:t>
      </w:r>
    </w:p>
    <w:p w:rsidR="00EB1467" w:rsidRPr="00BC0319" w:rsidRDefault="00EB1467" w:rsidP="00EB1467">
      <w:pPr>
        <w:pStyle w:val="NumriData"/>
      </w:pPr>
      <w:r w:rsidRPr="00BC0319">
        <w:t>Nr. 106, datë 31.3.2002</w:t>
      </w:r>
    </w:p>
    <w:p w:rsidR="00EB1467" w:rsidRPr="00BC0319" w:rsidRDefault="00EB1467" w:rsidP="00EB1467">
      <w:pPr>
        <w:pStyle w:val="Paragrafi"/>
      </w:pPr>
    </w:p>
    <w:p w:rsidR="00EB1467" w:rsidRPr="00BC0319" w:rsidRDefault="00EB1467" w:rsidP="00EB1467">
      <w:pPr>
        <w:pStyle w:val="Titulli"/>
      </w:pPr>
      <w:r w:rsidRPr="00BC0319">
        <w:t>Për shpronësimin për interes publik të pasurisë së paluajtshme, e cila preket nga ndërtimi i urës së Mulletit dhe bashkimin e saj me rrugën ekzistuese në fshatin Mullet në qarkun e Tiranës</w:t>
      </w:r>
    </w:p>
    <w:p w:rsidR="00EB1467" w:rsidRPr="00BC0319" w:rsidRDefault="00EB1467" w:rsidP="00EB1467">
      <w:pPr>
        <w:pStyle w:val="Paragrafi"/>
      </w:pPr>
    </w:p>
    <w:p w:rsidR="00EB1467" w:rsidRPr="00BC0319" w:rsidRDefault="00EB1467" w:rsidP="00EB1467">
      <w:pPr>
        <w:pStyle w:val="BazLigjPropozues"/>
      </w:pPr>
      <w:r w:rsidRPr="00BC0319">
        <w:t xml:space="preserve">Në mbështetje të nenit 100 të Kushtetutës dhe të neneve 5, pika 1, 20 dhe 21 të ligjit nr. 8561, datë 22.12.1999 "Për shpronësimet dhe marrjen në përdorim të përkohshëm të pasurisë pronë private për interes publik", me propozimin e Ministrit të Transportit dhe Telekomunikacionit, Këshilli i Ministrave </w:t>
      </w:r>
    </w:p>
    <w:p w:rsidR="00EB1467" w:rsidRPr="00BC0319" w:rsidRDefault="00EB1467" w:rsidP="00EB1467">
      <w:pPr>
        <w:pStyle w:val="Paragrafi"/>
      </w:pPr>
    </w:p>
    <w:p w:rsidR="00EB1467" w:rsidRPr="00BC0319" w:rsidRDefault="00EB1467" w:rsidP="00EB1467">
      <w:pPr>
        <w:pStyle w:val="VENDOSI"/>
      </w:pPr>
      <w:r w:rsidRPr="00BC0319">
        <w:t>V E N D O S I:</w:t>
      </w:r>
    </w:p>
    <w:p w:rsidR="00EB1467" w:rsidRPr="00BC0319" w:rsidRDefault="00EB1467" w:rsidP="00EB1467">
      <w:pPr>
        <w:pStyle w:val="Paragrafi"/>
      </w:pPr>
    </w:p>
    <w:p w:rsidR="00EB1467" w:rsidRPr="00BC0319" w:rsidRDefault="00EB1467" w:rsidP="00EB1467">
      <w:pPr>
        <w:pStyle w:val="Paragrafi"/>
      </w:pPr>
      <w:r w:rsidRPr="00BC0319">
        <w:t>1. Shpronësimi për interes publik të pasurisë së paluajtshme të pronarit, i cili preket nga ndërtimi i Urës së Mulletit, dhe bashkimin e saj me rrugën ekzistuese në fshatin Mullet, në Qarkun e Tiranës.</w:t>
      </w:r>
    </w:p>
    <w:p w:rsidR="00EB1467" w:rsidRPr="00BC0319" w:rsidRDefault="00EB1467" w:rsidP="00EB1467">
      <w:pPr>
        <w:pStyle w:val="Paragrafi"/>
      </w:pPr>
      <w:r w:rsidRPr="00BC0319">
        <w:t>2. Shpronësimi të bëhet në favor të Ministrisë së Transportit dhe Telekomunikacionit.</w:t>
      </w:r>
    </w:p>
    <w:p w:rsidR="00EB1467" w:rsidRPr="00BC0319" w:rsidRDefault="00EB1467" w:rsidP="00EB1467">
      <w:pPr>
        <w:pStyle w:val="Paragrafi"/>
      </w:pPr>
      <w:r w:rsidRPr="00BC0319">
        <w:t>3. Pronari i pasurisë së paluajtshme, që shpronësohet, të kompensohet në vlerë të plotë, sipas masës që paraqitet në tabelën që i bashkëlidhet këtij vendimi, për sipërfaqen 210 m2 tokë/ arë, vlerësuar në shumën e përgjithshme prej 210 000 (dyqind e dhjetë mijë) lekësh.</w:t>
      </w:r>
    </w:p>
    <w:p w:rsidR="00EB1467" w:rsidRPr="00BC0319" w:rsidRDefault="00EB1467" w:rsidP="00EB1467">
      <w:pPr>
        <w:pStyle w:val="Paragrafi"/>
      </w:pPr>
      <w:r w:rsidRPr="00BC0319">
        <w:t>4. Vlera e shpenzimeve procedurale të jetë në shumën prej 28 000 (njëzet e tetë mijë) lekësh.</w:t>
      </w:r>
    </w:p>
    <w:p w:rsidR="00EB1467" w:rsidRPr="00BC0319" w:rsidRDefault="00EB1467" w:rsidP="00EB1467">
      <w:pPr>
        <w:pStyle w:val="Paragrafi"/>
      </w:pPr>
      <w:r w:rsidRPr="00BC0319">
        <w:t>5. Fondi prej 238 000 (dyqind e tridhjet e tetë mijë) lekësh, sipas pikave 3 dhe 4 të këtij vendimi, të përballohet nga Buxheti i Shtetit i vitit 2002 në zërin "Shpronësime", miratuar për Ministrinë e Transportit dhe Telekomunikacionit.</w:t>
      </w:r>
    </w:p>
    <w:p w:rsidR="00EB1467" w:rsidRPr="00BC0319" w:rsidRDefault="00EB1467" w:rsidP="00EB1467">
      <w:pPr>
        <w:pStyle w:val="Paragrafi"/>
      </w:pPr>
      <w:r w:rsidRPr="00BC0319">
        <w:t>6. Shpronësimi të përfundojë brenda datës 30.5.2002.</w:t>
      </w:r>
    </w:p>
    <w:p w:rsidR="00EB1467" w:rsidRPr="00BC0319" w:rsidRDefault="00EB1467" w:rsidP="00EB1467">
      <w:pPr>
        <w:pStyle w:val="Paragrafi"/>
      </w:pPr>
      <w:r w:rsidRPr="00BC0319">
        <w:t>7. Ngarkohen Ministria e Transportit dhe Telekomunikacionit dhe Prefektura e Qarkut të Tiranës për ndjekjen dhe zbatimin e këtij vendimi.</w:t>
      </w:r>
    </w:p>
    <w:p w:rsidR="00EB1467" w:rsidRPr="00BC0319" w:rsidRDefault="00EB1467" w:rsidP="00EB1467">
      <w:pPr>
        <w:pStyle w:val="Paragrafi"/>
      </w:pPr>
      <w:r w:rsidRPr="00BC0319">
        <w:t>Ky vendim hyn në fuqi menjëherë dhe botohet në Fletoren Zyrtare.</w:t>
      </w:r>
    </w:p>
    <w:p w:rsidR="00EB1467" w:rsidRPr="00BC0319" w:rsidRDefault="00EB1467" w:rsidP="00EB1467">
      <w:pPr>
        <w:pStyle w:val="Paragrafi"/>
      </w:pPr>
    </w:p>
    <w:p w:rsidR="00EB1467" w:rsidRPr="00BC0319" w:rsidRDefault="00EB1467" w:rsidP="00EB1467">
      <w:pPr>
        <w:pStyle w:val="Autoriteti"/>
      </w:pPr>
      <w:r w:rsidRPr="00BC0319">
        <w:t>KRYEMINISTRI</w:t>
      </w:r>
    </w:p>
    <w:p w:rsidR="00EB1467" w:rsidRPr="00BC0319" w:rsidRDefault="00EB1467" w:rsidP="00EB1467">
      <w:pPr>
        <w:pStyle w:val="AutoritetiEmer"/>
      </w:pPr>
      <w:r w:rsidRPr="00BC0319">
        <w:t>Pandeli Majko</w:t>
      </w:r>
    </w:p>
    <w:p w:rsidR="00EB1467" w:rsidRPr="00BC0319" w:rsidRDefault="00EB1467" w:rsidP="00EB1467">
      <w:pPr>
        <w:pStyle w:val="Paragrafi"/>
      </w:pPr>
    </w:p>
    <w:p w:rsidR="00EB1467" w:rsidRPr="00BC0319" w:rsidRDefault="00EB1467" w:rsidP="00EB1467">
      <w:pPr>
        <w:pStyle w:val="Paragrafi"/>
      </w:pPr>
    </w:p>
    <w:p w:rsidR="00EB1467" w:rsidRPr="00BC0319" w:rsidRDefault="00EB1467" w:rsidP="00EB1467">
      <w:pPr>
        <w:pStyle w:val="Paragrafi"/>
      </w:pPr>
      <w:r w:rsidRPr="00BC0319">
        <w:t>Republika e shqipërisë</w:t>
      </w:r>
    </w:p>
    <w:p w:rsidR="00EB1467" w:rsidRPr="00BC0319" w:rsidRDefault="00EB1467" w:rsidP="00EB1467">
      <w:pPr>
        <w:pStyle w:val="Paragrafi"/>
      </w:pPr>
      <w:r w:rsidRPr="00BC0319">
        <w:t>qaRku: tiranë</w:t>
      </w:r>
    </w:p>
    <w:p w:rsidR="00EB1467" w:rsidRPr="00BC0319" w:rsidRDefault="00EB1467" w:rsidP="00EB1467">
      <w:pPr>
        <w:pStyle w:val="Paragrafi"/>
      </w:pPr>
      <w:r w:rsidRPr="00BC0319">
        <w:t>fshati: mullet</w:t>
      </w:r>
    </w:p>
    <w:p w:rsidR="00EB1467" w:rsidRPr="00BC0319" w:rsidRDefault="00EB1467" w:rsidP="00EB1467">
      <w:pPr>
        <w:pStyle w:val="Paragrafi"/>
      </w:pPr>
      <w:r w:rsidRPr="00BC0319">
        <w:t>lista e personave që shpronësohen si rezultat I ndërtimit të urës së mulletit dhe rakordimit me rrugën ekzistuese me fshatin mullet</w:t>
      </w:r>
    </w:p>
    <w:p w:rsidR="00EB1467" w:rsidRPr="00BC0319" w:rsidRDefault="00EB1467" w:rsidP="00EB1467">
      <w:pPr>
        <w:pStyle w:val="Paragrafi"/>
      </w:pPr>
      <w:r w:rsidRPr="00BC0319">
        <w:t>Lloji i pasurisë së paluajtshme: tokë bujqësore</w:t>
      </w:r>
    </w:p>
    <w:p w:rsidR="00EB1467" w:rsidRPr="00BC0319" w:rsidRDefault="00EB1467" w:rsidP="00EB1467">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988"/>
        <w:gridCol w:w="1128"/>
        <w:gridCol w:w="1131"/>
        <w:gridCol w:w="1126"/>
        <w:gridCol w:w="1828"/>
        <w:gridCol w:w="1028"/>
        <w:gridCol w:w="1418"/>
      </w:tblGrid>
      <w:tr w:rsidR="00EB1467" w:rsidRPr="005D5226">
        <w:tblPrEx>
          <w:tblCellMar>
            <w:top w:w="0" w:type="dxa"/>
            <w:bottom w:w="0" w:type="dxa"/>
          </w:tblCellMar>
        </w:tblPrEx>
        <w:tc>
          <w:tcPr>
            <w:tcW w:w="533" w:type="dxa"/>
          </w:tcPr>
          <w:p w:rsidR="00EB1467" w:rsidRPr="005D5226" w:rsidRDefault="00EB1467" w:rsidP="00EB1467">
            <w:pPr>
              <w:pStyle w:val="Tabele"/>
              <w:rPr>
                <w:sz w:val="18"/>
                <w:szCs w:val="18"/>
              </w:rPr>
            </w:pPr>
          </w:p>
        </w:tc>
        <w:tc>
          <w:tcPr>
            <w:tcW w:w="988" w:type="dxa"/>
          </w:tcPr>
          <w:p w:rsidR="00EB1467" w:rsidRPr="005D5226" w:rsidRDefault="00EB1467" w:rsidP="00EB1467">
            <w:pPr>
              <w:pStyle w:val="Tabele"/>
              <w:rPr>
                <w:sz w:val="18"/>
                <w:szCs w:val="18"/>
              </w:rPr>
            </w:pPr>
          </w:p>
        </w:tc>
        <w:tc>
          <w:tcPr>
            <w:tcW w:w="1128" w:type="dxa"/>
          </w:tcPr>
          <w:p w:rsidR="00EB1467" w:rsidRPr="005D5226" w:rsidRDefault="00EB1467" w:rsidP="00EB1467">
            <w:pPr>
              <w:pStyle w:val="Tabele"/>
              <w:rPr>
                <w:sz w:val="18"/>
                <w:szCs w:val="18"/>
              </w:rPr>
            </w:pPr>
            <w:r w:rsidRPr="005D5226">
              <w:rPr>
                <w:sz w:val="18"/>
                <w:szCs w:val="18"/>
              </w:rPr>
              <w:t>Pronar</w:t>
            </w:r>
          </w:p>
        </w:tc>
        <w:tc>
          <w:tcPr>
            <w:tcW w:w="1131" w:type="dxa"/>
          </w:tcPr>
          <w:p w:rsidR="00EB1467" w:rsidRPr="005D5226" w:rsidRDefault="00EB1467" w:rsidP="00EB1467">
            <w:pPr>
              <w:pStyle w:val="Tabele"/>
              <w:rPr>
                <w:sz w:val="18"/>
                <w:szCs w:val="18"/>
              </w:rPr>
            </w:pPr>
          </w:p>
        </w:tc>
        <w:tc>
          <w:tcPr>
            <w:tcW w:w="1126" w:type="dxa"/>
          </w:tcPr>
          <w:p w:rsidR="00EB1467" w:rsidRPr="005D5226" w:rsidRDefault="00EB1467" w:rsidP="00EB1467">
            <w:pPr>
              <w:pStyle w:val="Tabele"/>
              <w:rPr>
                <w:sz w:val="18"/>
                <w:szCs w:val="18"/>
              </w:rPr>
            </w:pPr>
            <w:r w:rsidRPr="005D5226">
              <w:rPr>
                <w:sz w:val="18"/>
                <w:szCs w:val="18"/>
              </w:rPr>
              <w:t>Nr. pas</w:t>
            </w:r>
          </w:p>
        </w:tc>
        <w:tc>
          <w:tcPr>
            <w:tcW w:w="1828" w:type="dxa"/>
          </w:tcPr>
          <w:p w:rsidR="00EB1467" w:rsidRPr="005D5226" w:rsidRDefault="00EB1467" w:rsidP="00EB1467">
            <w:pPr>
              <w:pStyle w:val="Tabele"/>
              <w:rPr>
                <w:sz w:val="18"/>
                <w:szCs w:val="18"/>
              </w:rPr>
            </w:pPr>
            <w:r w:rsidRPr="005D5226">
              <w:rPr>
                <w:sz w:val="18"/>
                <w:szCs w:val="18"/>
              </w:rPr>
              <w:t>Tokë bujqësore</w:t>
            </w:r>
          </w:p>
        </w:tc>
        <w:tc>
          <w:tcPr>
            <w:tcW w:w="1028" w:type="dxa"/>
          </w:tcPr>
          <w:p w:rsidR="00EB1467" w:rsidRPr="005D5226" w:rsidRDefault="00EB1467" w:rsidP="00EB1467">
            <w:pPr>
              <w:pStyle w:val="Tabele"/>
              <w:rPr>
                <w:sz w:val="18"/>
                <w:szCs w:val="18"/>
              </w:rPr>
            </w:pPr>
          </w:p>
        </w:tc>
        <w:tc>
          <w:tcPr>
            <w:tcW w:w="1418" w:type="dxa"/>
          </w:tcPr>
          <w:p w:rsidR="00EB1467" w:rsidRPr="005D5226" w:rsidRDefault="00EB1467" w:rsidP="00EB1467">
            <w:pPr>
              <w:pStyle w:val="Tabele"/>
              <w:rPr>
                <w:sz w:val="18"/>
                <w:szCs w:val="18"/>
              </w:rPr>
            </w:pPr>
            <w:r w:rsidRPr="005D5226">
              <w:rPr>
                <w:sz w:val="18"/>
                <w:szCs w:val="18"/>
              </w:rPr>
              <w:t>Vlera totale</w:t>
            </w:r>
          </w:p>
        </w:tc>
      </w:tr>
      <w:tr w:rsidR="00EB1467" w:rsidRPr="005D5226">
        <w:tblPrEx>
          <w:tblCellMar>
            <w:top w:w="0" w:type="dxa"/>
            <w:bottom w:w="0" w:type="dxa"/>
          </w:tblCellMar>
        </w:tblPrEx>
        <w:trPr>
          <w:cantSplit/>
        </w:trPr>
        <w:tc>
          <w:tcPr>
            <w:tcW w:w="533" w:type="dxa"/>
          </w:tcPr>
          <w:p w:rsidR="00EB1467" w:rsidRPr="005D5226" w:rsidRDefault="00EB1467" w:rsidP="00EB1467">
            <w:pPr>
              <w:pStyle w:val="Tabele"/>
              <w:rPr>
                <w:sz w:val="18"/>
                <w:szCs w:val="18"/>
              </w:rPr>
            </w:pPr>
            <w:r w:rsidRPr="005D5226">
              <w:rPr>
                <w:sz w:val="18"/>
                <w:szCs w:val="18"/>
              </w:rPr>
              <w:t>Nr.</w:t>
            </w:r>
          </w:p>
        </w:tc>
        <w:tc>
          <w:tcPr>
            <w:tcW w:w="988" w:type="dxa"/>
          </w:tcPr>
          <w:p w:rsidR="00EB1467" w:rsidRPr="005D5226" w:rsidRDefault="00EB1467" w:rsidP="00EB1467">
            <w:pPr>
              <w:pStyle w:val="Tabele"/>
              <w:rPr>
                <w:sz w:val="18"/>
                <w:szCs w:val="18"/>
              </w:rPr>
            </w:pPr>
            <w:r w:rsidRPr="005D5226">
              <w:rPr>
                <w:sz w:val="18"/>
                <w:szCs w:val="18"/>
              </w:rPr>
              <w:t>Emri</w:t>
            </w:r>
          </w:p>
        </w:tc>
        <w:tc>
          <w:tcPr>
            <w:tcW w:w="1128" w:type="dxa"/>
          </w:tcPr>
          <w:p w:rsidR="00EB1467" w:rsidRPr="005D5226" w:rsidRDefault="00EB1467" w:rsidP="00EB1467">
            <w:pPr>
              <w:pStyle w:val="Tabele"/>
              <w:rPr>
                <w:sz w:val="18"/>
                <w:szCs w:val="18"/>
              </w:rPr>
            </w:pPr>
            <w:r w:rsidRPr="005D5226">
              <w:rPr>
                <w:sz w:val="18"/>
                <w:szCs w:val="18"/>
              </w:rPr>
              <w:t>Atësia</w:t>
            </w:r>
          </w:p>
        </w:tc>
        <w:tc>
          <w:tcPr>
            <w:tcW w:w="1131" w:type="dxa"/>
          </w:tcPr>
          <w:p w:rsidR="00EB1467" w:rsidRPr="005D5226" w:rsidRDefault="00EB1467" w:rsidP="00EB1467">
            <w:pPr>
              <w:pStyle w:val="Tabele"/>
              <w:rPr>
                <w:sz w:val="18"/>
                <w:szCs w:val="18"/>
              </w:rPr>
            </w:pPr>
            <w:r w:rsidRPr="005D5226">
              <w:rPr>
                <w:sz w:val="18"/>
                <w:szCs w:val="18"/>
              </w:rPr>
              <w:t>Mbiemri</w:t>
            </w:r>
          </w:p>
        </w:tc>
        <w:tc>
          <w:tcPr>
            <w:tcW w:w="1126" w:type="dxa"/>
          </w:tcPr>
          <w:p w:rsidR="00EB1467" w:rsidRPr="005D5226" w:rsidRDefault="00EB1467" w:rsidP="00EB1467">
            <w:pPr>
              <w:pStyle w:val="Tabele"/>
              <w:rPr>
                <w:sz w:val="18"/>
                <w:szCs w:val="18"/>
              </w:rPr>
            </w:pPr>
          </w:p>
        </w:tc>
        <w:tc>
          <w:tcPr>
            <w:tcW w:w="1828" w:type="dxa"/>
          </w:tcPr>
          <w:p w:rsidR="00EB1467" w:rsidRPr="005D5226" w:rsidRDefault="00EB1467" w:rsidP="00EB1467">
            <w:pPr>
              <w:pStyle w:val="Tabele"/>
              <w:rPr>
                <w:sz w:val="18"/>
                <w:szCs w:val="18"/>
              </w:rPr>
            </w:pPr>
            <w:r w:rsidRPr="005D5226">
              <w:rPr>
                <w:sz w:val="18"/>
                <w:szCs w:val="18"/>
              </w:rPr>
              <w:t>m2</w:t>
            </w:r>
          </w:p>
        </w:tc>
        <w:tc>
          <w:tcPr>
            <w:tcW w:w="1028" w:type="dxa"/>
          </w:tcPr>
          <w:p w:rsidR="00EB1467" w:rsidRPr="005D5226" w:rsidRDefault="00EB1467" w:rsidP="00EB1467">
            <w:pPr>
              <w:pStyle w:val="Tabele"/>
              <w:rPr>
                <w:sz w:val="18"/>
                <w:szCs w:val="18"/>
              </w:rPr>
            </w:pPr>
            <w:r w:rsidRPr="005D5226">
              <w:rPr>
                <w:sz w:val="18"/>
                <w:szCs w:val="18"/>
              </w:rPr>
              <w:t>Lekë/m2</w:t>
            </w:r>
          </w:p>
        </w:tc>
        <w:tc>
          <w:tcPr>
            <w:tcW w:w="1418" w:type="dxa"/>
            <w:vMerge w:val="restart"/>
            <w:vAlign w:val="center"/>
          </w:tcPr>
          <w:p w:rsidR="00EB1467" w:rsidRPr="005D5226" w:rsidRDefault="00EB1467" w:rsidP="00EB1467">
            <w:pPr>
              <w:pStyle w:val="Tabele"/>
              <w:rPr>
                <w:sz w:val="18"/>
                <w:szCs w:val="18"/>
              </w:rPr>
            </w:pPr>
            <w:r w:rsidRPr="005D5226">
              <w:rPr>
                <w:sz w:val="18"/>
                <w:szCs w:val="18"/>
              </w:rPr>
              <w:t>210000</w:t>
            </w:r>
          </w:p>
        </w:tc>
      </w:tr>
      <w:tr w:rsidR="00EB1467" w:rsidRPr="005D5226">
        <w:tblPrEx>
          <w:tblCellMar>
            <w:top w:w="0" w:type="dxa"/>
            <w:bottom w:w="0" w:type="dxa"/>
          </w:tblCellMar>
        </w:tblPrEx>
        <w:trPr>
          <w:cantSplit/>
        </w:trPr>
        <w:tc>
          <w:tcPr>
            <w:tcW w:w="533" w:type="dxa"/>
          </w:tcPr>
          <w:p w:rsidR="00EB1467" w:rsidRPr="005D5226" w:rsidRDefault="00EB1467" w:rsidP="00EB1467">
            <w:pPr>
              <w:pStyle w:val="Tabele"/>
              <w:rPr>
                <w:sz w:val="18"/>
                <w:szCs w:val="18"/>
              </w:rPr>
            </w:pPr>
            <w:r w:rsidRPr="005D5226">
              <w:rPr>
                <w:sz w:val="18"/>
                <w:szCs w:val="18"/>
              </w:rPr>
              <w:t>1</w:t>
            </w:r>
          </w:p>
        </w:tc>
        <w:tc>
          <w:tcPr>
            <w:tcW w:w="988" w:type="dxa"/>
          </w:tcPr>
          <w:p w:rsidR="00EB1467" w:rsidRPr="005D5226" w:rsidRDefault="00EB1467" w:rsidP="00EB1467">
            <w:pPr>
              <w:pStyle w:val="Tabele"/>
              <w:rPr>
                <w:sz w:val="18"/>
                <w:szCs w:val="18"/>
              </w:rPr>
            </w:pPr>
            <w:r w:rsidRPr="005D5226">
              <w:rPr>
                <w:sz w:val="18"/>
                <w:szCs w:val="18"/>
              </w:rPr>
              <w:t>Hysen</w:t>
            </w:r>
          </w:p>
        </w:tc>
        <w:tc>
          <w:tcPr>
            <w:tcW w:w="1128" w:type="dxa"/>
          </w:tcPr>
          <w:p w:rsidR="00EB1467" w:rsidRPr="005D5226" w:rsidRDefault="00EB1467" w:rsidP="00EB1467">
            <w:pPr>
              <w:pStyle w:val="Tabele"/>
              <w:rPr>
                <w:sz w:val="18"/>
                <w:szCs w:val="18"/>
              </w:rPr>
            </w:pPr>
            <w:r w:rsidRPr="005D5226">
              <w:rPr>
                <w:sz w:val="18"/>
                <w:szCs w:val="18"/>
              </w:rPr>
              <w:t>Fadil</w:t>
            </w:r>
          </w:p>
        </w:tc>
        <w:tc>
          <w:tcPr>
            <w:tcW w:w="1131" w:type="dxa"/>
          </w:tcPr>
          <w:p w:rsidR="00EB1467" w:rsidRPr="005D5226" w:rsidRDefault="00EB1467" w:rsidP="00EB1467">
            <w:pPr>
              <w:pStyle w:val="Tabele"/>
              <w:rPr>
                <w:sz w:val="18"/>
                <w:szCs w:val="18"/>
              </w:rPr>
            </w:pPr>
            <w:r w:rsidRPr="005D5226">
              <w:rPr>
                <w:sz w:val="18"/>
                <w:szCs w:val="18"/>
              </w:rPr>
              <w:t>Haxhiu</w:t>
            </w:r>
          </w:p>
        </w:tc>
        <w:tc>
          <w:tcPr>
            <w:tcW w:w="1126" w:type="dxa"/>
          </w:tcPr>
          <w:p w:rsidR="00EB1467" w:rsidRPr="005D5226" w:rsidRDefault="00EB1467" w:rsidP="00EB1467">
            <w:pPr>
              <w:pStyle w:val="Tabele"/>
              <w:rPr>
                <w:sz w:val="18"/>
                <w:szCs w:val="18"/>
              </w:rPr>
            </w:pPr>
            <w:r w:rsidRPr="005D5226">
              <w:rPr>
                <w:sz w:val="18"/>
                <w:szCs w:val="18"/>
              </w:rPr>
              <w:t>208/1</w:t>
            </w:r>
          </w:p>
        </w:tc>
        <w:tc>
          <w:tcPr>
            <w:tcW w:w="1828" w:type="dxa"/>
          </w:tcPr>
          <w:p w:rsidR="00EB1467" w:rsidRPr="005D5226" w:rsidRDefault="00EB1467" w:rsidP="00EB1467">
            <w:pPr>
              <w:pStyle w:val="Tabele"/>
              <w:rPr>
                <w:sz w:val="18"/>
                <w:szCs w:val="18"/>
              </w:rPr>
            </w:pPr>
            <w:r w:rsidRPr="005D5226">
              <w:rPr>
                <w:sz w:val="18"/>
                <w:szCs w:val="18"/>
              </w:rPr>
              <w:t>210</w:t>
            </w:r>
          </w:p>
        </w:tc>
        <w:tc>
          <w:tcPr>
            <w:tcW w:w="1028" w:type="dxa"/>
          </w:tcPr>
          <w:p w:rsidR="00EB1467" w:rsidRPr="005D5226" w:rsidRDefault="00EB1467" w:rsidP="00EB1467">
            <w:pPr>
              <w:pStyle w:val="Tabele"/>
              <w:rPr>
                <w:sz w:val="18"/>
                <w:szCs w:val="18"/>
              </w:rPr>
            </w:pPr>
            <w:r w:rsidRPr="005D5226">
              <w:rPr>
                <w:sz w:val="18"/>
                <w:szCs w:val="18"/>
              </w:rPr>
              <w:t>1000</w:t>
            </w:r>
          </w:p>
        </w:tc>
        <w:tc>
          <w:tcPr>
            <w:tcW w:w="1418" w:type="dxa"/>
            <w:vMerge/>
          </w:tcPr>
          <w:p w:rsidR="00EB1467" w:rsidRPr="005D5226" w:rsidRDefault="00EB1467" w:rsidP="00EB1467">
            <w:pPr>
              <w:pStyle w:val="Tabele"/>
              <w:rPr>
                <w:sz w:val="18"/>
                <w:szCs w:val="18"/>
              </w:rPr>
            </w:pPr>
          </w:p>
        </w:tc>
      </w:tr>
    </w:tbl>
    <w:p w:rsidR="00EB1467" w:rsidRPr="00BC0319" w:rsidRDefault="00EB1467" w:rsidP="00EB1467">
      <w:pPr>
        <w:pStyle w:val="Paragrafi"/>
      </w:pPr>
    </w:p>
    <w:p w:rsidR="00EB1467" w:rsidRPr="00BC0319" w:rsidRDefault="00EB1467" w:rsidP="00EB1467">
      <w:pPr>
        <w:pStyle w:val="Paragrafi"/>
      </w:pPr>
      <w:r w:rsidRPr="00BC0319">
        <w:t>Mbyllet me numër rendor 1.</w:t>
      </w:r>
    </w:p>
    <w:p w:rsidR="00EB1467" w:rsidRPr="00BC0319" w:rsidRDefault="00EB1467" w:rsidP="00EB1467">
      <w:pPr>
        <w:pStyle w:val="Paragrafi"/>
      </w:pPr>
      <w:r w:rsidRPr="00BC0319">
        <w:t>Shpenzime procedurale për publikimet 28 000 lekë.</w:t>
      </w:r>
    </w:p>
    <w:p w:rsidR="00EB1467" w:rsidRPr="00BC0319" w:rsidRDefault="00EB1467" w:rsidP="00EB1467">
      <w:pPr>
        <w:pStyle w:val="Paragrafi"/>
      </w:pPr>
      <w:r w:rsidRPr="00BC0319">
        <w:t xml:space="preserve">Vlera totale për shpronësim 238 000 lekë. </w:t>
      </w:r>
    </w:p>
    <w:p w:rsidR="00EB1467" w:rsidRPr="00BC0319" w:rsidRDefault="00EB1467" w:rsidP="00EB1467">
      <w:pPr>
        <w:pStyle w:val="Paragrafi"/>
      </w:pPr>
    </w:p>
    <w:p w:rsidR="00EB1467" w:rsidRPr="00BC0319" w:rsidRDefault="00EB1467" w:rsidP="00EB146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92BBB"/>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B1467"/>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81A316E-2138-40AA-A893-D3ADE16B9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467"/>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2019-03-14T15:01:00Z</dcterms:created>
  <dcterms:modified xsi:type="dcterms:W3CDTF">2019-03-14T15:01:00Z</dcterms:modified>
</cp:coreProperties>
</file>