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AA4" w:rsidRPr="0089677B" w:rsidRDefault="00633AA4" w:rsidP="00633AA4">
      <w:pPr>
        <w:pStyle w:val="Akti"/>
      </w:pPr>
      <w:bookmarkStart w:id="0" w:name="_GoBack"/>
      <w:bookmarkEnd w:id="0"/>
      <w:r w:rsidRPr="0089677B">
        <w:t>V E N D I M</w:t>
      </w:r>
    </w:p>
    <w:p w:rsidR="00633AA4" w:rsidRPr="0089677B" w:rsidRDefault="00633AA4" w:rsidP="00633AA4">
      <w:pPr>
        <w:pStyle w:val="NumriData"/>
      </w:pPr>
      <w:r w:rsidRPr="0089677B">
        <w:t>Nr. 515, datë 24.10.2002</w:t>
      </w: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Titulli"/>
      </w:pPr>
      <w:r w:rsidRPr="0089677B">
        <w:t>PËR SHPALLJEN PASURI KULTURORE MONUMENT KULTURE ME KARAKTER KOMPLEKS, DHE VËNIEN NË MBROJTJE TË SHTETIT TË ZONËS ARKEOLOGJIKE TË FINIQIT</w:t>
      </w: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BazLigjPropozues"/>
      </w:pPr>
      <w:r w:rsidRPr="0089677B">
        <w:t xml:space="preserve">Në mbështetje të  nenit 100 të Kushtetutës dhe të neneve 16 e 31 të ligjit nr. 7867, datë 12.10.1994 “Për mbrojtjen e pasurive kulturore, të luajtshme dhe të paluajtshme”, me propozimin e Ministrit të Kulturës, Rinisë dhe Sporteve, Këshilli i Ministrave </w:t>
      </w: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VENDOSI"/>
      </w:pPr>
      <w:r w:rsidRPr="0089677B">
        <w:t>V E N D O S I:</w:t>
      </w: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Paragrafi"/>
      </w:pPr>
      <w:r w:rsidRPr="0089677B">
        <w:t>1. Shpalljen pasuri kulturore monument kulture, me karakter kompleks, dhe vënien në mbrojtje të shtetit të zonës arkeologjike të Finiqit, sipas hartës që i bashkëlidhet këtij vendimi.</w:t>
      </w:r>
    </w:p>
    <w:p w:rsidR="00633AA4" w:rsidRPr="0089677B" w:rsidRDefault="00633AA4" w:rsidP="00633AA4">
      <w:pPr>
        <w:pStyle w:val="Paragrafi"/>
      </w:pPr>
      <w:r w:rsidRPr="0089677B">
        <w:t>2. Ngarkohet Ministria e Kulturës, Rinisë dhe Sporteve që, në bashkëpunim me Akademinë e Shkencave, Ministrinë e Pushtetit Vendor dhe të Decentralizimit, Ministrinë e Rregullimit të Territorit dhe të Turizmit dhe institucionet e specializuara të hartojë projektin për ruajtjen dhe restaurimin e elementëve përbërës të kësaj zone.</w:t>
      </w:r>
    </w:p>
    <w:p w:rsidR="00633AA4" w:rsidRPr="0089677B" w:rsidRDefault="00633AA4" w:rsidP="00633AA4">
      <w:pPr>
        <w:pStyle w:val="Paragrafi"/>
      </w:pPr>
      <w:r w:rsidRPr="0089677B">
        <w:t>Ky vendim hyn në fuqi pas botimit në Fletoren Zyrtare.</w:t>
      </w:r>
    </w:p>
    <w:p w:rsidR="00633AA4" w:rsidRPr="0089677B" w:rsidRDefault="00633AA4" w:rsidP="00633AA4">
      <w:pPr>
        <w:pStyle w:val="Autoriteti"/>
      </w:pPr>
      <w:r w:rsidRPr="0089677B">
        <w:t xml:space="preserve">KRYEMINISTRI                                                                                    </w:t>
      </w:r>
    </w:p>
    <w:p w:rsidR="00633AA4" w:rsidRPr="0089677B" w:rsidRDefault="00633AA4" w:rsidP="00633AA4">
      <w:pPr>
        <w:pStyle w:val="AutoritetiEmer"/>
      </w:pPr>
      <w:r w:rsidRPr="0089677B">
        <w:t xml:space="preserve">  Fatos Nano               </w:t>
      </w: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Paragrafi"/>
      </w:pPr>
    </w:p>
    <w:p w:rsidR="00633AA4" w:rsidRPr="0089677B" w:rsidRDefault="00FB4577" w:rsidP="00633AA4">
      <w:pPr>
        <w:pStyle w:val="Figure"/>
      </w:pPr>
      <w:r w:rsidRPr="0089677B">
        <w:rPr>
          <w:noProof/>
          <w:lang w:val="en-GB" w:eastAsia="en-GB"/>
        </w:rPr>
        <w:lastRenderedPageBreak/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196850</wp:posOffset>
            </wp:positionH>
            <wp:positionV relativeFrom="paragraph">
              <wp:posOffset>105410</wp:posOffset>
            </wp:positionV>
            <wp:extent cx="5266690" cy="705485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05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Paragrafi"/>
      </w:pPr>
    </w:p>
    <w:p w:rsidR="00633AA4" w:rsidRPr="0089677B" w:rsidRDefault="00633AA4" w:rsidP="00633AA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3AA4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4577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263D57-C1D8-45C5-948F-8FC481C25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