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95" w:rsidRPr="00F07AED" w:rsidRDefault="00380195" w:rsidP="00380195">
      <w:pPr>
        <w:pStyle w:val="Akti"/>
      </w:pPr>
      <w:bookmarkStart w:id="0" w:name="_GoBack"/>
      <w:bookmarkEnd w:id="0"/>
      <w:r w:rsidRPr="00F07AED">
        <w:t>V E N D I M</w:t>
      </w:r>
    </w:p>
    <w:p w:rsidR="00380195" w:rsidRPr="00F07AED" w:rsidRDefault="00380195" w:rsidP="00380195">
      <w:pPr>
        <w:pStyle w:val="NumriData"/>
      </w:pPr>
      <w:r w:rsidRPr="00F07AED">
        <w:t>Nr.428, datë 26.6.2003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Titulli"/>
      </w:pPr>
      <w:r w:rsidRPr="00F07AED">
        <w:t>PËR SHPRONËSIMIN PËR INTERES PUBLIK TË PASURIVE TË PALUAJTSHME, TË CILAT PREKEN NGA NDËRTIMI I UJËSJELLËSIT NË QYTETIN E KORÇËS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BazLigjPropozues"/>
      </w:pPr>
      <w:r w:rsidRPr="00F07AED">
        <w:t xml:space="preserve">Në mbështetje të nenit 100 të Kushtetutës dhe të neneve 5 pika 1, 20 e 21, të ligjit nr.8561, datë 22.12.1999 “Për shpronësimet dhe marrjen në përdorim të përkohshëm të pasurisë pronë private, për interes publik”, me propozimin e Ministrit të Rregullimit të Territorit dhe të Turizmit, Këshilli i Ministrave 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VENDOSI"/>
      </w:pPr>
      <w:r w:rsidRPr="00F07AED">
        <w:t>V E N D O S I: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Paragrafi"/>
      </w:pPr>
      <w:r w:rsidRPr="00F07AED">
        <w:t>1. Shpronësimin, për interes publik, të pasurive të paluajtshme, të cilat preken nga ndërtimi i ujësjellësit në qytetin e Korçës.</w:t>
      </w:r>
    </w:p>
    <w:p w:rsidR="00380195" w:rsidRPr="00F07AED" w:rsidRDefault="00380195" w:rsidP="00380195">
      <w:pPr>
        <w:pStyle w:val="Paragrafi"/>
      </w:pPr>
      <w:r w:rsidRPr="00F07AED">
        <w:t>2. Shpronësimi të bëhet në favor të Bashkisë së Korçës.</w:t>
      </w:r>
    </w:p>
    <w:p w:rsidR="00380195" w:rsidRPr="00F07AED" w:rsidRDefault="00380195" w:rsidP="00380195">
      <w:pPr>
        <w:pStyle w:val="Paragrafi"/>
      </w:pPr>
      <w:r w:rsidRPr="00F07AED">
        <w:t xml:space="preserve">3. Pronarët e pasurive të paluajtshme, që shpronësohen, të kompensohen në vlerë të plotë, sipas masës përkatëse që paraqitet në listën, që i bashkëlidhet këtij vendimi, për sipërfaqen 600 m2 tokë truall, e vlerësuar në shumën e përgjithshme prej 420 000 (katërqind e njëzet mijë) lekësh. </w:t>
      </w:r>
    </w:p>
    <w:p w:rsidR="00380195" w:rsidRPr="00F07AED" w:rsidRDefault="00380195" w:rsidP="00380195">
      <w:pPr>
        <w:pStyle w:val="Paragrafi"/>
      </w:pPr>
      <w:r w:rsidRPr="00F07AED">
        <w:t>4. Ky fond të përballohet nga buxheti i vitit 2003, zëri “Shpronësime”, miratuar për Ministrinë e Rregullimit të Territorit dhe të Turizmit.</w:t>
      </w:r>
    </w:p>
    <w:p w:rsidR="00380195" w:rsidRPr="00F07AED" w:rsidRDefault="00380195" w:rsidP="00380195">
      <w:pPr>
        <w:pStyle w:val="Paragrafi"/>
      </w:pPr>
      <w:r w:rsidRPr="00F07AED">
        <w:t>5. Vlera e shpenzimeve procedurale, në shumën prej 139 000 (njëqind e tridhjetë e nëntë mijë) lekësh, të përballohet nga buxheti i vitit 2003, miratuar për Bashkinë e Korçës.</w:t>
      </w:r>
    </w:p>
    <w:p w:rsidR="00380195" w:rsidRPr="00F07AED" w:rsidRDefault="00380195" w:rsidP="00380195">
      <w:pPr>
        <w:pStyle w:val="Paragrafi"/>
      </w:pPr>
      <w:r w:rsidRPr="00F07AED">
        <w:t>6. Shpronësimi të përfundojë brenda datës 10.7.2003.</w:t>
      </w:r>
    </w:p>
    <w:p w:rsidR="00380195" w:rsidRPr="00F07AED" w:rsidRDefault="00380195" w:rsidP="00380195">
      <w:pPr>
        <w:pStyle w:val="Paragrafi"/>
      </w:pPr>
      <w:r w:rsidRPr="00F07AED">
        <w:t>7. Pikat 6, 7 dhe 8 të tabelës, që i bashkëlidhet vendimit nr.473, datë 31.8.2000 të Këshillit të Ministrave “Për shpronësimin për interes publik të pasurive të paluajtshme, që preken nga ndërtimi i ujësjellësit dhe kanalizimeve të qytetit të Korçës”, shfuqizohen.</w:t>
      </w:r>
    </w:p>
    <w:p w:rsidR="00380195" w:rsidRPr="00F07AED" w:rsidRDefault="00380195" w:rsidP="00380195">
      <w:pPr>
        <w:pStyle w:val="Paragrafi"/>
      </w:pPr>
      <w:r w:rsidRPr="00F07AED">
        <w:t>8. Ngarkohen Ministria e Rregullimit të Territorit dhe e Turizmit, Prefektura e Qarkut të Korçës dhe Bashkia e Korçës për zbatimin e këtij vendimi.</w:t>
      </w:r>
    </w:p>
    <w:p w:rsidR="00380195" w:rsidRPr="00F07AED" w:rsidRDefault="00380195" w:rsidP="00380195">
      <w:pPr>
        <w:pStyle w:val="Paragrafi"/>
      </w:pPr>
      <w:r w:rsidRPr="00F07AED">
        <w:t>Ky vendim hyn në fuqi menjëherë dhe botohet në Fletoren Zyrtare.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Autoriteti"/>
      </w:pPr>
      <w:r w:rsidRPr="00F07AED">
        <w:t>KRYEMINISTRI</w:t>
      </w:r>
    </w:p>
    <w:p w:rsidR="00380195" w:rsidRPr="00F07AED" w:rsidRDefault="00380195" w:rsidP="00380195">
      <w:pPr>
        <w:pStyle w:val="AutoritetiEmer"/>
      </w:pPr>
      <w:r w:rsidRPr="00F07AED">
        <w:t>Fatos Nano</w:t>
      </w:r>
    </w:p>
    <w:p w:rsidR="00380195" w:rsidRPr="00F07AED" w:rsidRDefault="00380195" w:rsidP="00380195">
      <w:pPr>
        <w:pStyle w:val="Paragrafi"/>
      </w:pPr>
    </w:p>
    <w:p w:rsidR="00380195" w:rsidRPr="00F07AED" w:rsidRDefault="00380195" w:rsidP="00380195">
      <w:pPr>
        <w:pStyle w:val="Paragrafi"/>
      </w:pPr>
    </w:p>
    <w:p w:rsidR="00380195" w:rsidRDefault="00380195" w:rsidP="00380195">
      <w:pPr>
        <w:pStyle w:val="AneksiTitull"/>
      </w:pPr>
      <w:r w:rsidRPr="00F07AED">
        <w:t>LISTA EMËRORE E PRONARËVE QË PREKEN NGA NDËRTIMI I UJËSJELLËSIT TË QYTETIT TË KORÇËS</w:t>
      </w:r>
    </w:p>
    <w:p w:rsidR="005C185E" w:rsidRPr="005C185E" w:rsidRDefault="005C185E" w:rsidP="005C185E">
      <w:pPr>
        <w:pStyle w:val="Paragrafi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2662"/>
        <w:gridCol w:w="1572"/>
        <w:gridCol w:w="1673"/>
        <w:gridCol w:w="1251"/>
      </w:tblGrid>
      <w:tr w:rsidR="00380195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" w:type="dxa"/>
          </w:tcPr>
          <w:p w:rsidR="00380195" w:rsidRPr="00F07AED" w:rsidRDefault="00380195" w:rsidP="00380195">
            <w:pPr>
              <w:pStyle w:val="Tabele"/>
            </w:pPr>
            <w:r w:rsidRPr="00F07AED">
              <w:t>Nr.</w:t>
            </w:r>
          </w:p>
        </w:tc>
        <w:tc>
          <w:tcPr>
            <w:tcW w:w="2662" w:type="dxa"/>
          </w:tcPr>
          <w:p w:rsidR="00380195" w:rsidRPr="00F07AED" w:rsidRDefault="00380195" w:rsidP="00380195">
            <w:pPr>
              <w:pStyle w:val="Tabele"/>
            </w:pPr>
            <w:r w:rsidRPr="00F07AED">
              <w:t>Emri, atësia, mbiemri</w:t>
            </w:r>
          </w:p>
        </w:tc>
        <w:tc>
          <w:tcPr>
            <w:tcW w:w="1572" w:type="dxa"/>
          </w:tcPr>
          <w:p w:rsidR="00380195" w:rsidRPr="00F07AED" w:rsidRDefault="00380195" w:rsidP="00380195">
            <w:pPr>
              <w:pStyle w:val="Tabele"/>
            </w:pPr>
            <w:r w:rsidRPr="00F07AED">
              <w:t>Sip/Tokës m2</w:t>
            </w:r>
          </w:p>
        </w:tc>
        <w:tc>
          <w:tcPr>
            <w:tcW w:w="1673" w:type="dxa"/>
          </w:tcPr>
          <w:p w:rsidR="00380195" w:rsidRPr="00F07AED" w:rsidRDefault="00380195" w:rsidP="00380195">
            <w:pPr>
              <w:pStyle w:val="Tabele"/>
            </w:pPr>
            <w:r w:rsidRPr="00F07AED">
              <w:t>Njësia lekë/m2</w:t>
            </w:r>
          </w:p>
        </w:tc>
        <w:tc>
          <w:tcPr>
            <w:tcW w:w="1251" w:type="dxa"/>
          </w:tcPr>
          <w:p w:rsidR="00380195" w:rsidRPr="00F07AED" w:rsidRDefault="00380195" w:rsidP="00380195">
            <w:pPr>
              <w:pStyle w:val="Tabele"/>
            </w:pPr>
            <w:r w:rsidRPr="00F07AED">
              <w:t>Vlera lekë</w:t>
            </w:r>
          </w:p>
        </w:tc>
      </w:tr>
      <w:tr w:rsidR="00380195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" w:type="dxa"/>
          </w:tcPr>
          <w:p w:rsidR="00380195" w:rsidRPr="00F07AED" w:rsidRDefault="00380195" w:rsidP="00380195">
            <w:pPr>
              <w:pStyle w:val="Tabele"/>
            </w:pPr>
            <w:r w:rsidRPr="00F07AED">
              <w:t>1.</w:t>
            </w:r>
          </w:p>
        </w:tc>
        <w:tc>
          <w:tcPr>
            <w:tcW w:w="2662" w:type="dxa"/>
          </w:tcPr>
          <w:p w:rsidR="00380195" w:rsidRPr="00F07AED" w:rsidRDefault="00380195" w:rsidP="00380195">
            <w:pPr>
              <w:pStyle w:val="Tabele"/>
            </w:pPr>
            <w:r w:rsidRPr="00F07AED">
              <w:t>Fatmira Demirali Çuçllari</w:t>
            </w:r>
          </w:p>
        </w:tc>
        <w:tc>
          <w:tcPr>
            <w:tcW w:w="1572" w:type="dxa"/>
          </w:tcPr>
          <w:p w:rsidR="00380195" w:rsidRPr="00F07AED" w:rsidRDefault="00380195" w:rsidP="00380195">
            <w:pPr>
              <w:pStyle w:val="Tabele"/>
            </w:pPr>
            <w:r w:rsidRPr="00F07AED">
              <w:t>500</w:t>
            </w:r>
          </w:p>
        </w:tc>
        <w:tc>
          <w:tcPr>
            <w:tcW w:w="1673" w:type="dxa"/>
          </w:tcPr>
          <w:p w:rsidR="00380195" w:rsidRPr="00F07AED" w:rsidRDefault="00380195" w:rsidP="00380195">
            <w:pPr>
              <w:pStyle w:val="Tabele"/>
            </w:pPr>
            <w:r w:rsidRPr="00F07AED">
              <w:t>700</w:t>
            </w:r>
          </w:p>
        </w:tc>
        <w:tc>
          <w:tcPr>
            <w:tcW w:w="1251" w:type="dxa"/>
          </w:tcPr>
          <w:p w:rsidR="00380195" w:rsidRPr="00F07AED" w:rsidRDefault="00380195" w:rsidP="00380195">
            <w:pPr>
              <w:pStyle w:val="Tabele"/>
            </w:pPr>
            <w:r w:rsidRPr="00F07AED">
              <w:t>350 000</w:t>
            </w:r>
          </w:p>
        </w:tc>
      </w:tr>
      <w:tr w:rsidR="00380195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" w:type="dxa"/>
          </w:tcPr>
          <w:p w:rsidR="00380195" w:rsidRPr="00F07AED" w:rsidRDefault="00380195" w:rsidP="00380195">
            <w:pPr>
              <w:pStyle w:val="Tabele"/>
            </w:pPr>
            <w:r w:rsidRPr="00F07AED">
              <w:t>2.</w:t>
            </w:r>
          </w:p>
        </w:tc>
        <w:tc>
          <w:tcPr>
            <w:tcW w:w="2662" w:type="dxa"/>
          </w:tcPr>
          <w:p w:rsidR="00380195" w:rsidRPr="00F07AED" w:rsidRDefault="00380195" w:rsidP="00380195">
            <w:pPr>
              <w:pStyle w:val="Tabele"/>
            </w:pPr>
            <w:r w:rsidRPr="00F07AED">
              <w:t>Eqerem Bektash Kupe</w:t>
            </w:r>
          </w:p>
        </w:tc>
        <w:tc>
          <w:tcPr>
            <w:tcW w:w="1572" w:type="dxa"/>
          </w:tcPr>
          <w:p w:rsidR="00380195" w:rsidRPr="00F07AED" w:rsidRDefault="00380195" w:rsidP="00380195">
            <w:pPr>
              <w:pStyle w:val="Tabele"/>
            </w:pPr>
            <w:r w:rsidRPr="00F07AED">
              <w:t>100</w:t>
            </w:r>
          </w:p>
        </w:tc>
        <w:tc>
          <w:tcPr>
            <w:tcW w:w="1673" w:type="dxa"/>
          </w:tcPr>
          <w:p w:rsidR="00380195" w:rsidRPr="00F07AED" w:rsidRDefault="00380195" w:rsidP="00380195">
            <w:pPr>
              <w:pStyle w:val="Tabele"/>
            </w:pPr>
            <w:r w:rsidRPr="00F07AED">
              <w:t>700</w:t>
            </w:r>
          </w:p>
        </w:tc>
        <w:tc>
          <w:tcPr>
            <w:tcW w:w="1251" w:type="dxa"/>
          </w:tcPr>
          <w:p w:rsidR="00380195" w:rsidRPr="00F07AED" w:rsidRDefault="00380195" w:rsidP="00380195">
            <w:pPr>
              <w:pStyle w:val="Tabele"/>
            </w:pPr>
            <w:r w:rsidRPr="00F07AED">
              <w:t>70 000</w:t>
            </w:r>
          </w:p>
        </w:tc>
      </w:tr>
      <w:tr w:rsidR="00380195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" w:type="dxa"/>
          </w:tcPr>
          <w:p w:rsidR="00380195" w:rsidRPr="00F07AED" w:rsidRDefault="00380195" w:rsidP="00380195">
            <w:pPr>
              <w:pStyle w:val="Tabele"/>
            </w:pPr>
          </w:p>
        </w:tc>
        <w:tc>
          <w:tcPr>
            <w:tcW w:w="2662" w:type="dxa"/>
          </w:tcPr>
          <w:p w:rsidR="00380195" w:rsidRPr="00F07AED" w:rsidRDefault="00380195" w:rsidP="00380195">
            <w:pPr>
              <w:pStyle w:val="Tabele"/>
            </w:pPr>
            <w:r w:rsidRPr="00F07AED">
              <w:t>Shuma</w:t>
            </w:r>
          </w:p>
        </w:tc>
        <w:tc>
          <w:tcPr>
            <w:tcW w:w="1572" w:type="dxa"/>
          </w:tcPr>
          <w:p w:rsidR="00380195" w:rsidRPr="00F07AED" w:rsidRDefault="00380195" w:rsidP="00380195">
            <w:pPr>
              <w:pStyle w:val="Tabele"/>
            </w:pPr>
            <w:r w:rsidRPr="00F07AED">
              <w:t>600</w:t>
            </w:r>
          </w:p>
        </w:tc>
        <w:tc>
          <w:tcPr>
            <w:tcW w:w="1673" w:type="dxa"/>
          </w:tcPr>
          <w:p w:rsidR="00380195" w:rsidRPr="00F07AED" w:rsidRDefault="00380195" w:rsidP="00380195">
            <w:pPr>
              <w:pStyle w:val="Tabele"/>
            </w:pPr>
          </w:p>
        </w:tc>
        <w:tc>
          <w:tcPr>
            <w:tcW w:w="1251" w:type="dxa"/>
          </w:tcPr>
          <w:p w:rsidR="00380195" w:rsidRPr="00F07AED" w:rsidRDefault="00380195" w:rsidP="00380195">
            <w:pPr>
              <w:pStyle w:val="Tabele"/>
            </w:pPr>
            <w:r w:rsidRPr="00F07AED">
              <w:t>420 000</w:t>
            </w:r>
          </w:p>
        </w:tc>
      </w:tr>
    </w:tbl>
    <w:p w:rsidR="00A0784B" w:rsidRPr="00AA3124" w:rsidRDefault="00A0784B" w:rsidP="00FD78AC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0195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185E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621F7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021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F3DEA0-880B-4F58-A89E-E5226F47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195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38019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