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8D" w:rsidRPr="00694754" w:rsidRDefault="00C86F8D" w:rsidP="00C86F8D">
      <w:pPr>
        <w:pStyle w:val="Akti"/>
      </w:pPr>
      <w:bookmarkStart w:id="0" w:name="_GoBack"/>
      <w:bookmarkEnd w:id="0"/>
      <w:r w:rsidRPr="00694754">
        <w:t>V E N D I M</w:t>
      </w:r>
    </w:p>
    <w:p w:rsidR="00C86F8D" w:rsidRPr="00694754" w:rsidRDefault="00C86F8D" w:rsidP="00C86F8D">
      <w:pPr>
        <w:pStyle w:val="NumriData"/>
      </w:pPr>
      <w:r w:rsidRPr="00694754">
        <w:t>Nr.456, datë 3.7.2003</w:t>
      </w:r>
    </w:p>
    <w:p w:rsidR="00C86F8D" w:rsidRPr="00694754" w:rsidRDefault="00C86F8D" w:rsidP="00C86F8D">
      <w:pPr>
        <w:pStyle w:val="Paragrafi"/>
      </w:pPr>
    </w:p>
    <w:p w:rsidR="00C86F8D" w:rsidRPr="00694754" w:rsidRDefault="00C86F8D" w:rsidP="00C86F8D">
      <w:pPr>
        <w:pStyle w:val="Titulli"/>
      </w:pPr>
      <w:r w:rsidRPr="00694754">
        <w:t>Për strukturën dhe nivelet e pagave të punonjësve të administratës së Këshillit të lartë të drejtësisë</w:t>
      </w:r>
    </w:p>
    <w:p w:rsidR="00C86F8D" w:rsidRPr="00694754" w:rsidRDefault="00C86F8D" w:rsidP="00C86F8D">
      <w:pPr>
        <w:pStyle w:val="Paragrafi"/>
      </w:pPr>
    </w:p>
    <w:p w:rsidR="00C86F8D" w:rsidRPr="00694754" w:rsidRDefault="00C86F8D" w:rsidP="00C86F8D">
      <w:pPr>
        <w:pStyle w:val="BazLigjPropozues"/>
      </w:pPr>
      <w:r w:rsidRPr="00694754">
        <w:t>Në mbështetje të nenit 100 të Kushtetutës, të neneve 2 dhe 5 të ligjit nr.8487, datë 13.5.1999 “Për kompetencat për caktimin e pagave të punës”, i ndryshuar dhe të pikave 4 e 6 të nenit 2 të ligjit nr.8549, datë 11.11.1999 “Statusi i nëpunësit civil”, me propozimin e Ministrit të Punës dhe të Çështjeve Sociale dhe të Ministrit të Drejtësisë, Këshilli i Ministrave</w:t>
      </w:r>
    </w:p>
    <w:p w:rsidR="00C86F8D" w:rsidRPr="00694754" w:rsidRDefault="00C86F8D" w:rsidP="00C86F8D">
      <w:pPr>
        <w:pStyle w:val="Paragrafi"/>
      </w:pPr>
    </w:p>
    <w:p w:rsidR="00C86F8D" w:rsidRPr="00694754" w:rsidRDefault="00C86F8D" w:rsidP="00C86F8D">
      <w:pPr>
        <w:pStyle w:val="VENDOSI"/>
      </w:pPr>
      <w:r w:rsidRPr="00694754">
        <w:t>V E N D O S I:</w:t>
      </w:r>
    </w:p>
    <w:p w:rsidR="00C86F8D" w:rsidRPr="00694754" w:rsidRDefault="00C86F8D" w:rsidP="00C86F8D">
      <w:pPr>
        <w:pStyle w:val="Paragrafi"/>
      </w:pPr>
    </w:p>
    <w:p w:rsidR="00C86F8D" w:rsidRPr="00694754" w:rsidRDefault="00C86F8D" w:rsidP="00C86F8D">
      <w:pPr>
        <w:pStyle w:val="Paragrafi"/>
      </w:pPr>
      <w:r w:rsidRPr="00694754">
        <w:t>1. Struktura dhe niveli i pagës për punonjësit e Këshillit të Lartë të Drejtësisë të jetë sipas lidhjes nr.1, që i bashkëlidhet këtij vendimi dhe është pjesë përbërëse e tij.</w:t>
      </w:r>
    </w:p>
    <w:p w:rsidR="00C86F8D" w:rsidRPr="00694754" w:rsidRDefault="00C86F8D" w:rsidP="00C86F8D">
      <w:pPr>
        <w:pStyle w:val="Paragrafi"/>
      </w:pPr>
      <w:r w:rsidRPr="00694754">
        <w:t>2. Paga e grupit (kolona 2) e lidhjes nr.1 – Diplomë e shkollës së lartë është 9 000 (nëntë mijë) lekë.</w:t>
      </w:r>
    </w:p>
    <w:p w:rsidR="00C86F8D" w:rsidRPr="00694754" w:rsidRDefault="00C86F8D" w:rsidP="00C86F8D">
      <w:pPr>
        <w:pStyle w:val="Paragrafi"/>
      </w:pPr>
      <w:r w:rsidRPr="00694754">
        <w:t>3. Shtesa për vjetërsi pune (kolona 3) të jetë në masën 2 për qind, pas çdo viti pune deri në 25 vjet dhe llogaritet mbi pagën e grupit.</w:t>
      </w:r>
    </w:p>
    <w:p w:rsidR="00C86F8D" w:rsidRPr="00694754" w:rsidRDefault="00C86F8D" w:rsidP="00C86F8D">
      <w:pPr>
        <w:pStyle w:val="Paragrafi"/>
      </w:pPr>
      <w:r w:rsidRPr="00694754">
        <w:t>4. Shtesa për kualifikim (kolona 4) është 0.</w:t>
      </w:r>
    </w:p>
    <w:p w:rsidR="00C86F8D" w:rsidRPr="00694754" w:rsidRDefault="00C86F8D" w:rsidP="00C86F8D">
      <w:pPr>
        <w:pStyle w:val="Paragrafi"/>
      </w:pPr>
      <w:r w:rsidRPr="00694754">
        <w:t>5. Shtesa për pozicion është sipas kolonës të lidhjes nr.1.</w:t>
      </w:r>
    </w:p>
    <w:p w:rsidR="00C86F8D" w:rsidRPr="00694754" w:rsidRDefault="00C86F8D" w:rsidP="00C86F8D">
      <w:pPr>
        <w:pStyle w:val="Paragrafi"/>
      </w:pPr>
      <w:r w:rsidRPr="00694754">
        <w:t>6. Kategorizimi (kolona 1) brenda çdo klase të bëhet në përputhje me lidhjen nr.2, që i bashkëlidhet këtij vendimi dhe është pjesë përbërëse e tij.</w:t>
      </w:r>
    </w:p>
    <w:p w:rsidR="00C86F8D" w:rsidRPr="00694754" w:rsidRDefault="00C86F8D" w:rsidP="00C86F8D">
      <w:pPr>
        <w:pStyle w:val="Paragrafi"/>
      </w:pPr>
      <w:r w:rsidRPr="00694754">
        <w:t>7. Punonjësit e tjerë të administratës së Këshillit të Lartë të Drejtësisë, të cilët nuk përfshihen në lidhjet nr.1 dhe nr.2 të këtij vendimi, të paguhen sipas lidhjes II-30 “Niveli i pagës për punonjësit e administratës së Këshillit të Lartë të Drejtësisë“ dhe sipas lidhjes II/M “Paga bazë, sipas klasave për punonjësit e ministrive, të institucioneve të tjera qendrore, të ATSH-së, të prefekturave dhe të Shërbimit Gjeologjik Shqiptar” të vendimit nr.726, datë 21.12.2000 të Këshillit të Ministrave “Për pagat e punonjësve të institucioneve buxhetore”, i ndryshuar.</w:t>
      </w:r>
    </w:p>
    <w:p w:rsidR="00C86F8D" w:rsidRPr="00694754" w:rsidRDefault="00C86F8D" w:rsidP="00C86F8D">
      <w:pPr>
        <w:pStyle w:val="Paragrafi"/>
      </w:pPr>
      <w:r w:rsidRPr="00694754">
        <w:t>8. Niveli i pagës për emërtesën “sekretar i Zëvendëskryetarit të Këshillit të Lartë të Drejtësisë” të jetë në nivelin e pagës së punonjësve të kategorisë III-a, sipas lidhjes nr.2, që i bashkëlidhet këtij vendimi.</w:t>
      </w:r>
    </w:p>
    <w:p w:rsidR="00C86F8D" w:rsidRPr="00694754" w:rsidRDefault="00C86F8D" w:rsidP="00C86F8D">
      <w:pPr>
        <w:pStyle w:val="Paragrafi"/>
      </w:pPr>
      <w:r w:rsidRPr="00694754">
        <w:t>9. Efektet financiare, që rrjedhin nga zbatimi i këtij vendimi, të përballohen nga fondet e Këshillit të Lartë të Drejtësisë.</w:t>
      </w:r>
    </w:p>
    <w:p w:rsidR="00C86F8D" w:rsidRPr="00694754" w:rsidRDefault="00C86F8D" w:rsidP="00C86F8D">
      <w:pPr>
        <w:pStyle w:val="Paragrafi"/>
      </w:pPr>
      <w:r w:rsidRPr="00694754">
        <w:t>Ky vendim hyn në fuqi menjëherë.</w:t>
      </w:r>
    </w:p>
    <w:p w:rsidR="00C86F8D" w:rsidRPr="00694754" w:rsidRDefault="00C86F8D" w:rsidP="00C86F8D">
      <w:pPr>
        <w:pStyle w:val="Paragrafi"/>
      </w:pPr>
    </w:p>
    <w:p w:rsidR="00C86F8D" w:rsidRPr="00694754" w:rsidRDefault="00C86F8D" w:rsidP="00C86F8D">
      <w:pPr>
        <w:pStyle w:val="Autoriteti"/>
      </w:pPr>
      <w:r w:rsidRPr="00694754">
        <w:t>KRYEMINISTRI</w:t>
      </w:r>
    </w:p>
    <w:p w:rsidR="00C86F8D" w:rsidRPr="00694754" w:rsidRDefault="00C86F8D" w:rsidP="00C86F8D">
      <w:pPr>
        <w:pStyle w:val="AutoritetiEmer"/>
      </w:pPr>
      <w:r w:rsidRPr="00694754">
        <w:t>Fatos Nano</w:t>
      </w:r>
    </w:p>
    <w:p w:rsidR="00C86F8D" w:rsidRPr="00694754" w:rsidRDefault="00C86F8D" w:rsidP="00C86F8D">
      <w:pPr>
        <w:pStyle w:val="Paragrafi"/>
      </w:pPr>
    </w:p>
    <w:p w:rsidR="00C86F8D" w:rsidRPr="00694754" w:rsidRDefault="00C86F8D" w:rsidP="00C86F8D">
      <w:pPr>
        <w:pStyle w:val="Aneksi"/>
      </w:pPr>
      <w:r w:rsidRPr="00694754">
        <w:t>Lidhja nr.1</w:t>
      </w:r>
    </w:p>
    <w:p w:rsidR="00C86F8D" w:rsidRPr="00694754" w:rsidRDefault="00C86F8D" w:rsidP="00C86F8D">
      <w:pPr>
        <w:pStyle w:val="Paragrafi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21"/>
        <w:gridCol w:w="1450"/>
        <w:gridCol w:w="1548"/>
        <w:gridCol w:w="1548"/>
        <w:gridCol w:w="1548"/>
        <w:gridCol w:w="1548"/>
      </w:tblGrid>
      <w:tr w:rsidR="00C86F8D" w:rsidRPr="00F541FA">
        <w:trPr>
          <w:gridAfter w:val="4"/>
          <w:wAfter w:w="6192" w:type="dxa"/>
          <w:jc w:val="center"/>
        </w:trPr>
        <w:tc>
          <w:tcPr>
            <w:tcW w:w="821" w:type="dxa"/>
          </w:tcPr>
          <w:p w:rsidR="00C86F8D" w:rsidRPr="00F541FA" w:rsidRDefault="00C86F8D" w:rsidP="00F541FA">
            <w:pPr>
              <w:pStyle w:val="Tabele"/>
            </w:pPr>
          </w:p>
        </w:tc>
        <w:tc>
          <w:tcPr>
            <w:tcW w:w="1450" w:type="dxa"/>
          </w:tcPr>
          <w:p w:rsidR="00C86F8D" w:rsidRPr="00F541FA" w:rsidRDefault="00C86F8D" w:rsidP="00F541FA">
            <w:pPr>
              <w:pStyle w:val="Tabele"/>
            </w:pPr>
            <w:r w:rsidRPr="00F541FA">
              <w:t>Paga mujore</w:t>
            </w:r>
          </w:p>
        </w:tc>
      </w:tr>
      <w:tr w:rsidR="00C86F8D" w:rsidRPr="00F541FA">
        <w:trPr>
          <w:jc w:val="center"/>
        </w:trPr>
        <w:tc>
          <w:tcPr>
            <w:tcW w:w="821" w:type="dxa"/>
          </w:tcPr>
          <w:p w:rsidR="00C86F8D" w:rsidRPr="00F541FA" w:rsidRDefault="00C86F8D" w:rsidP="00F541FA">
            <w:pPr>
              <w:pStyle w:val="Tabele"/>
            </w:pPr>
            <w:r w:rsidRPr="00F541FA">
              <w:t>Klasa</w:t>
            </w:r>
          </w:p>
        </w:tc>
        <w:tc>
          <w:tcPr>
            <w:tcW w:w="1450" w:type="dxa"/>
          </w:tcPr>
          <w:p w:rsidR="00C86F8D" w:rsidRPr="00F541FA" w:rsidRDefault="00C86F8D" w:rsidP="00F541FA">
            <w:pPr>
              <w:pStyle w:val="Tabele"/>
            </w:pPr>
            <w:r w:rsidRPr="00F541FA">
              <w:t>Kategoritë</w:t>
            </w:r>
          </w:p>
        </w:tc>
        <w:tc>
          <w:tcPr>
            <w:tcW w:w="4644" w:type="dxa"/>
            <w:gridSpan w:val="3"/>
          </w:tcPr>
          <w:p w:rsidR="00C86F8D" w:rsidRPr="00F541FA" w:rsidRDefault="00C86F8D" w:rsidP="00F541FA">
            <w:pPr>
              <w:pStyle w:val="Tabele"/>
            </w:pPr>
            <w:r w:rsidRPr="00F541FA">
              <w:t xml:space="preserve">Paga individuale </w:t>
            </w:r>
          </w:p>
          <w:p w:rsidR="00C86F8D" w:rsidRPr="00F541FA" w:rsidRDefault="00C86F8D" w:rsidP="00F541FA">
            <w:pPr>
              <w:pStyle w:val="Tabele"/>
            </w:pPr>
            <w:r w:rsidRPr="00F541FA">
              <w:t>(paga bazë)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Shtesa e pozicionit</w:t>
            </w:r>
          </w:p>
        </w:tc>
      </w:tr>
      <w:tr w:rsidR="00C86F8D" w:rsidRPr="00F541FA">
        <w:trPr>
          <w:jc w:val="center"/>
        </w:trPr>
        <w:tc>
          <w:tcPr>
            <w:tcW w:w="821" w:type="dxa"/>
          </w:tcPr>
          <w:p w:rsidR="00C86F8D" w:rsidRPr="00F541FA" w:rsidRDefault="00C86F8D" w:rsidP="00F541FA">
            <w:pPr>
              <w:pStyle w:val="Tabele"/>
            </w:pPr>
          </w:p>
        </w:tc>
        <w:tc>
          <w:tcPr>
            <w:tcW w:w="1450" w:type="dxa"/>
          </w:tcPr>
          <w:p w:rsidR="00C86F8D" w:rsidRPr="00F541FA" w:rsidRDefault="00C86F8D" w:rsidP="00F541FA">
            <w:pPr>
              <w:pStyle w:val="Tabele"/>
            </w:pPr>
            <w:r w:rsidRPr="00F541FA">
              <w:t>1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2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3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4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5</w:t>
            </w:r>
          </w:p>
        </w:tc>
      </w:tr>
      <w:tr w:rsidR="00C86F8D" w:rsidRPr="00F541FA">
        <w:trPr>
          <w:jc w:val="center"/>
        </w:trPr>
        <w:tc>
          <w:tcPr>
            <w:tcW w:w="821" w:type="dxa"/>
          </w:tcPr>
          <w:p w:rsidR="00C86F8D" w:rsidRPr="00F541FA" w:rsidRDefault="00C86F8D" w:rsidP="00F541FA">
            <w:pPr>
              <w:pStyle w:val="Tabele"/>
            </w:pPr>
          </w:p>
        </w:tc>
        <w:tc>
          <w:tcPr>
            <w:tcW w:w="1450" w:type="dxa"/>
          </w:tcPr>
          <w:p w:rsidR="00C86F8D" w:rsidRPr="00F541FA" w:rsidRDefault="00C86F8D" w:rsidP="00F541FA">
            <w:pPr>
              <w:pStyle w:val="Tabele"/>
            </w:pP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Paga e Grupit</w:t>
            </w:r>
          </w:p>
          <w:p w:rsidR="00C86F8D" w:rsidRPr="00F541FA" w:rsidRDefault="00C86F8D" w:rsidP="00F541FA">
            <w:pPr>
              <w:pStyle w:val="Tabele"/>
            </w:pPr>
          </w:p>
          <w:p w:rsidR="00C86F8D" w:rsidRPr="00F541FA" w:rsidRDefault="00C86F8D" w:rsidP="00F541FA">
            <w:pPr>
              <w:pStyle w:val="Tabele"/>
            </w:pPr>
            <w:r w:rsidRPr="00F541FA">
              <w:t>(PG)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Shtesa për vjetërsi (SHV)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Shtesa për kualifikim</w:t>
            </w:r>
          </w:p>
          <w:p w:rsidR="00C86F8D" w:rsidRPr="00F541FA" w:rsidRDefault="00C86F8D" w:rsidP="00F541FA">
            <w:pPr>
              <w:pStyle w:val="Tabele"/>
            </w:pPr>
            <w:r w:rsidRPr="00F541FA">
              <w:t>(SHK)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Shtesa për pozicion (SHP)</w:t>
            </w:r>
          </w:p>
        </w:tc>
      </w:tr>
      <w:tr w:rsidR="00C86F8D" w:rsidRPr="00F541FA">
        <w:trPr>
          <w:jc w:val="center"/>
        </w:trPr>
        <w:tc>
          <w:tcPr>
            <w:tcW w:w="821" w:type="dxa"/>
          </w:tcPr>
          <w:p w:rsidR="00C86F8D" w:rsidRPr="00F541FA" w:rsidRDefault="00C86F8D" w:rsidP="00F541FA">
            <w:pPr>
              <w:pStyle w:val="Tabele"/>
            </w:pPr>
            <w:r w:rsidRPr="00F541FA">
              <w:t>I</w:t>
            </w:r>
          </w:p>
        </w:tc>
        <w:tc>
          <w:tcPr>
            <w:tcW w:w="1450" w:type="dxa"/>
          </w:tcPr>
          <w:p w:rsidR="00C86F8D" w:rsidRPr="00F541FA" w:rsidRDefault="00C86F8D" w:rsidP="00F541FA">
            <w:pPr>
              <w:pStyle w:val="Tabele"/>
            </w:pPr>
            <w:r w:rsidRPr="00F541FA">
              <w:t>I-a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9000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2%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0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74 000</w:t>
            </w:r>
          </w:p>
        </w:tc>
      </w:tr>
      <w:tr w:rsidR="00C86F8D" w:rsidRPr="00F541FA">
        <w:trPr>
          <w:jc w:val="center"/>
        </w:trPr>
        <w:tc>
          <w:tcPr>
            <w:tcW w:w="821" w:type="dxa"/>
          </w:tcPr>
          <w:p w:rsidR="00C86F8D" w:rsidRPr="00F541FA" w:rsidRDefault="00C86F8D" w:rsidP="00F541FA">
            <w:pPr>
              <w:pStyle w:val="Tabele"/>
            </w:pPr>
            <w:r w:rsidRPr="00F541FA">
              <w:t>II</w:t>
            </w:r>
          </w:p>
        </w:tc>
        <w:tc>
          <w:tcPr>
            <w:tcW w:w="1450" w:type="dxa"/>
          </w:tcPr>
          <w:p w:rsidR="00C86F8D" w:rsidRPr="00F541FA" w:rsidRDefault="00C86F8D" w:rsidP="00F541FA">
            <w:pPr>
              <w:pStyle w:val="Tabele"/>
            </w:pPr>
            <w:r w:rsidRPr="00F541FA">
              <w:t>II-a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9000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2%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0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55 000</w:t>
            </w:r>
          </w:p>
        </w:tc>
      </w:tr>
      <w:tr w:rsidR="00C86F8D" w:rsidRPr="00F541FA">
        <w:trPr>
          <w:jc w:val="center"/>
        </w:trPr>
        <w:tc>
          <w:tcPr>
            <w:tcW w:w="821" w:type="dxa"/>
          </w:tcPr>
          <w:p w:rsidR="00C86F8D" w:rsidRPr="00F541FA" w:rsidRDefault="00C86F8D" w:rsidP="00F541FA">
            <w:pPr>
              <w:pStyle w:val="Tabele"/>
            </w:pPr>
            <w:r w:rsidRPr="00F541FA">
              <w:t>II</w:t>
            </w:r>
          </w:p>
        </w:tc>
        <w:tc>
          <w:tcPr>
            <w:tcW w:w="1450" w:type="dxa"/>
          </w:tcPr>
          <w:p w:rsidR="00C86F8D" w:rsidRPr="00F541FA" w:rsidRDefault="00C86F8D" w:rsidP="00F541FA">
            <w:pPr>
              <w:pStyle w:val="Tabele"/>
            </w:pPr>
            <w:r w:rsidRPr="00F541FA">
              <w:t>II-b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9000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2%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0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40 000</w:t>
            </w:r>
          </w:p>
        </w:tc>
      </w:tr>
      <w:tr w:rsidR="00C86F8D" w:rsidRPr="00F541FA">
        <w:trPr>
          <w:jc w:val="center"/>
        </w:trPr>
        <w:tc>
          <w:tcPr>
            <w:tcW w:w="821" w:type="dxa"/>
          </w:tcPr>
          <w:p w:rsidR="00C86F8D" w:rsidRPr="00F541FA" w:rsidRDefault="00C86F8D" w:rsidP="00F541FA">
            <w:pPr>
              <w:pStyle w:val="Tabele"/>
            </w:pPr>
            <w:r w:rsidRPr="00F541FA">
              <w:t>III</w:t>
            </w:r>
          </w:p>
        </w:tc>
        <w:tc>
          <w:tcPr>
            <w:tcW w:w="1450" w:type="dxa"/>
          </w:tcPr>
          <w:p w:rsidR="00C86F8D" w:rsidRPr="00F541FA" w:rsidRDefault="00C86F8D" w:rsidP="00F541FA">
            <w:pPr>
              <w:pStyle w:val="Tabele"/>
            </w:pPr>
            <w:r w:rsidRPr="00F541FA">
              <w:t>III-a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9000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2%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0</w:t>
            </w:r>
          </w:p>
        </w:tc>
        <w:tc>
          <w:tcPr>
            <w:tcW w:w="1548" w:type="dxa"/>
          </w:tcPr>
          <w:p w:rsidR="00C86F8D" w:rsidRPr="00F541FA" w:rsidRDefault="00C86F8D" w:rsidP="00F541FA">
            <w:pPr>
              <w:pStyle w:val="Tabele"/>
            </w:pPr>
            <w:r w:rsidRPr="00F541FA">
              <w:t>30 000</w:t>
            </w:r>
          </w:p>
        </w:tc>
      </w:tr>
    </w:tbl>
    <w:p w:rsidR="00F541FA" w:rsidRDefault="00F541FA" w:rsidP="00F541FA">
      <w:pPr>
        <w:pStyle w:val="Paragrafi"/>
      </w:pPr>
    </w:p>
    <w:p w:rsidR="00C86F8D" w:rsidRPr="00694754" w:rsidRDefault="00C86F8D" w:rsidP="00C86F8D">
      <w:pPr>
        <w:pStyle w:val="Aneksi"/>
      </w:pPr>
      <w:r w:rsidRPr="00694754">
        <w:t>Lidhja nr.2</w:t>
      </w:r>
    </w:p>
    <w:p w:rsidR="00C86F8D" w:rsidRPr="00694754" w:rsidRDefault="00C86F8D" w:rsidP="00C86F8D">
      <w:pPr>
        <w:pStyle w:val="Paragrafi"/>
      </w:pPr>
    </w:p>
    <w:p w:rsidR="00C86F8D" w:rsidRPr="00694754" w:rsidRDefault="00C86F8D" w:rsidP="00C86F8D">
      <w:pPr>
        <w:pStyle w:val="AneksiTitull"/>
      </w:pPr>
      <w:r w:rsidRPr="00694754">
        <w:lastRenderedPageBreak/>
        <w:t>Klasifikimi i vendeve të punës</w:t>
      </w:r>
    </w:p>
    <w:p w:rsidR="00C86F8D" w:rsidRPr="00694754" w:rsidRDefault="00C86F8D" w:rsidP="00C86F8D">
      <w:pPr>
        <w:pStyle w:val="Paragrafi"/>
      </w:pPr>
    </w:p>
    <w:p w:rsidR="00C86F8D" w:rsidRPr="00694754" w:rsidRDefault="00C86F8D" w:rsidP="00C86F8D">
      <w:pPr>
        <w:pStyle w:val="Paragrafi"/>
      </w:pPr>
      <w:r w:rsidRPr="00694754">
        <w:t>Klasa I: është niveli më i lartë i menaxhimit të një institucioni dhe ka përgjegjësi për hartimin e politikave në një fushë të caktuar dhe për arritjen e rezultateve të përcaktuara në këtë fushë.</w:t>
      </w:r>
    </w:p>
    <w:p w:rsidR="00C86F8D" w:rsidRPr="00694754" w:rsidRDefault="00C86F8D" w:rsidP="00C86F8D">
      <w:pPr>
        <w:pStyle w:val="Paragrafi"/>
      </w:pPr>
      <w:r w:rsidRPr="00694754">
        <w:t>Në këtë klasë bëjnë pjesë kategoritë:</w:t>
      </w:r>
    </w:p>
    <w:p w:rsidR="00C86F8D" w:rsidRPr="00694754" w:rsidRDefault="00C86F8D" w:rsidP="00C86F8D">
      <w:pPr>
        <w:pStyle w:val="Paragrafi"/>
      </w:pPr>
      <w:r w:rsidRPr="00694754">
        <w:t>I-a Drejtor drejtorie</w:t>
      </w:r>
    </w:p>
    <w:p w:rsidR="00C86F8D" w:rsidRPr="00694754" w:rsidRDefault="00C86F8D" w:rsidP="00C86F8D">
      <w:pPr>
        <w:pStyle w:val="Paragrafi"/>
      </w:pPr>
      <w:r w:rsidRPr="00694754">
        <w:t>Klasa II: Bën të mundur koordinimin e mendimit dhe të opsioneve të reja politike për një fushë të caktuar të specialitetit, zbatimin e politikave në këtë nivel, përgatitjen e propozimeve përfundimtare, të cilat duhen aprovuar nga niveli menaxhues më i lartë. Kjo klasë bën të mundur gjithashtu edhe zgjidhjen e problemeve komplekse, që lidhen me menaxhimin e projekteve të mëdha ose sektorëve/njësive brenda institucionit.</w:t>
      </w:r>
    </w:p>
    <w:p w:rsidR="00C86F8D" w:rsidRPr="00694754" w:rsidRDefault="00C86F8D" w:rsidP="00C86F8D">
      <w:pPr>
        <w:pStyle w:val="Paragrafi"/>
      </w:pPr>
      <w:r w:rsidRPr="00694754">
        <w:t>Në këtë klasë bëjnë pjesë kategoritë:</w:t>
      </w:r>
    </w:p>
    <w:p w:rsidR="00C86F8D" w:rsidRPr="00694754" w:rsidRDefault="00C86F8D" w:rsidP="00C86F8D">
      <w:pPr>
        <w:pStyle w:val="Paragrafi"/>
      </w:pPr>
      <w:r w:rsidRPr="00694754">
        <w:t>II-a përgjegjës sektori</w:t>
      </w:r>
    </w:p>
    <w:p w:rsidR="00C86F8D" w:rsidRPr="00694754" w:rsidRDefault="00C86F8D" w:rsidP="00C86F8D">
      <w:pPr>
        <w:pStyle w:val="Paragrafi"/>
      </w:pPr>
      <w:r w:rsidRPr="00694754">
        <w:t>II-b përgjegjësi i sektorit</w:t>
      </w:r>
    </w:p>
    <w:p w:rsidR="00C86F8D" w:rsidRPr="00694754" w:rsidRDefault="00C86F8D" w:rsidP="00C86F8D">
      <w:pPr>
        <w:pStyle w:val="Paragrafi"/>
      </w:pPr>
      <w:r w:rsidRPr="00694754">
        <w:t>Klasa III: Kjo klasë merret me zbatimin e politikave ekzistuese, koordinimin e aktiviteteve të stafit mbështetës, si dhe me formulimin dhe vlerësimin e opsioneve politike mbi një fushë të caktuar, duke u bazuar në eksperiencën profesionale të fushës, njohuritë e specialitetit, analizën e informacionit dhe kërkimin.</w:t>
      </w:r>
    </w:p>
    <w:p w:rsidR="00C86F8D" w:rsidRPr="00694754" w:rsidRDefault="00C86F8D" w:rsidP="00C86F8D">
      <w:pPr>
        <w:pStyle w:val="Paragrafi"/>
      </w:pPr>
      <w:r w:rsidRPr="00694754">
        <w:t>Në këtë klasë bëjnë pjesë kategoritë:</w:t>
      </w:r>
    </w:p>
    <w:p w:rsidR="00C86F8D" w:rsidRPr="00694754" w:rsidRDefault="00C86F8D" w:rsidP="00C86F8D">
      <w:pPr>
        <w:pStyle w:val="Paragrafi"/>
      </w:pPr>
      <w:r w:rsidRPr="00694754">
        <w:t>III-aspecialist</w:t>
      </w:r>
    </w:p>
    <w:sectPr w:rsidR="00C86F8D" w:rsidRPr="0069475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91703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C86F8D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41FA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608EF5-77AC-49FB-9D33-D761C91C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F8D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C86F8D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2019-03-14T16:25:00Z</dcterms:created>
  <dcterms:modified xsi:type="dcterms:W3CDTF">2019-03-14T16:25:00Z</dcterms:modified>
</cp:coreProperties>
</file>