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DBD" w:rsidRPr="00BC11DA" w:rsidRDefault="00B95DBD" w:rsidP="00B95DBD">
      <w:pPr>
        <w:pStyle w:val="Akti"/>
      </w:pPr>
      <w:bookmarkStart w:id="0" w:name="_GoBack"/>
      <w:bookmarkEnd w:id="0"/>
      <w:r w:rsidRPr="00BC11DA">
        <w:t>VENDIM</w:t>
      </w:r>
    </w:p>
    <w:p w:rsidR="00B95DBD" w:rsidRPr="00BC11DA" w:rsidRDefault="00B95DBD" w:rsidP="00B95DBD">
      <w:pPr>
        <w:pStyle w:val="NumriData"/>
      </w:pPr>
      <w:r w:rsidRPr="00BC11DA">
        <w:t>Nr.809, datë 4.12.2003</w:t>
      </w:r>
    </w:p>
    <w:p w:rsidR="00B95DBD" w:rsidRPr="00BC11DA" w:rsidRDefault="00B95DBD" w:rsidP="00B95DBD">
      <w:pPr>
        <w:pStyle w:val="Paragrafi"/>
      </w:pPr>
    </w:p>
    <w:p w:rsidR="00B95DBD" w:rsidRDefault="00B95DBD" w:rsidP="00B95DBD">
      <w:pPr>
        <w:pStyle w:val="Titulli"/>
      </w:pPr>
      <w:r>
        <w:t>PËR SHPRONËSIMIN PËR INTERES PUBLIK</w:t>
      </w:r>
      <w:r w:rsidRPr="00BC11DA">
        <w:t xml:space="preserve"> TË PASURIVE TË PALUAJTSHME, QË PREKEN NGA NDËRTIMI I URËS SË RE, BOGOVË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  <w:r>
        <w:t>Në mbështetje të nenit 100 të Kushtetutës, të neneve 5 pika 1, 20 e 21 të ligjit nr.8561, datë 22.12.1999 "Për shpronësimin dhe marrjen në përdorim të përkohshëm të pasurisë pronë private, për interes publik" dhe të nenit 8 të ligjit nr.8983, datë 20.12.2002 "Për Buxhetin e Shtetit të vitit 2003", me propozimin e Ministrit të Transportit dhe të Telekomunikacionit, Këshilli i Ministrave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VENDOSI"/>
      </w:pPr>
      <w:r>
        <w:t>VENDOSI: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  <w:r>
        <w:t>1. Shpronësimin për interes publik të pasurive të paluajtshme të pronarëve, të cilët preken nga ndërtimi i urës së re, Bogovë, ndërtim i cili ka filluar në shtator të vitit 2003 dhe do të përfundojë brenda katër muajsh.</w:t>
      </w:r>
    </w:p>
    <w:p w:rsidR="00B95DBD" w:rsidRDefault="00B95DBD" w:rsidP="00B95DBD">
      <w:pPr>
        <w:pStyle w:val="Paragrafi"/>
      </w:pPr>
      <w:r>
        <w:t>2. Shpronësimi të bëhet në favor të Ministrisë së Transportit dhe të Telekomunikacionit.</w:t>
      </w:r>
    </w:p>
    <w:p w:rsidR="00B95DBD" w:rsidRDefault="00B95DBD" w:rsidP="00B95DBD">
      <w:pPr>
        <w:pStyle w:val="Paragrafi"/>
      </w:pPr>
      <w:r>
        <w:t>3. Pronarët e pasurive të paluajtshme, që shpronësohen, të kompensohen në vlerë të plotë, sipas masës përkatëse, që paraqitet në tabelën që i bashkëlidhet këtij vendimi, për tre objekte, me sipërfaqe 260 m</w:t>
      </w:r>
      <w:r w:rsidRPr="00C21A70">
        <w:rPr>
          <w:vertAlign w:val="superscript"/>
        </w:rPr>
        <w:t>2</w:t>
      </w:r>
      <w:r>
        <w:t>, vlerësuar në shumën e përgjithshme prej 4 534 850 (katër milionë e pesëqind e tridhjetë e katër mijë e tetëqind e pesëdhjetë) lekësh.</w:t>
      </w:r>
    </w:p>
    <w:p w:rsidR="00B95DBD" w:rsidRDefault="00B95DBD" w:rsidP="00B95DBD">
      <w:pPr>
        <w:pStyle w:val="Paragrafi"/>
      </w:pPr>
      <w:r>
        <w:t>4. Vlera e shpenzimeve procedurale të jetë në shumën prej 116 700 (njëqind e gjashtëmbëdhjetë mijë e shtatëqind) lekësh.</w:t>
      </w:r>
    </w:p>
    <w:p w:rsidR="00B95DBD" w:rsidRDefault="00B95DBD" w:rsidP="00B95DBD">
      <w:pPr>
        <w:pStyle w:val="Paragrafi"/>
      </w:pPr>
      <w:r>
        <w:t xml:space="preserve">5. Fondi prej 4 651 550 (katër milionë e gjashtëqind e pesëdhjetë e një mijë e pesëqind e pesëdhjetë) lekësh për kompensimin e pronarëve dhe shpenzimet procedurale, sipas pikave 3 e 4 të këtij vendimi, të përballohet nga buxheti i vitit 2003, zëri "Shpronësime", </w:t>
      </w:r>
      <w:smartTag w:uri="urn:schemas-microsoft-com:office:smarttags" w:element="PersonName">
        <w:r>
          <w:t>mira</w:t>
        </w:r>
      </w:smartTag>
      <w:r>
        <w:t>tuar për Ministrinë e Transportit dhe të Telekomunikacionit.</w:t>
      </w:r>
    </w:p>
    <w:p w:rsidR="00B95DBD" w:rsidRDefault="00B95DBD" w:rsidP="00B95DBD">
      <w:pPr>
        <w:pStyle w:val="Paragrafi"/>
      </w:pPr>
      <w:r>
        <w:t>6. Shpronësimi të përfundojë brenda datës 30.12.2003.</w:t>
      </w:r>
    </w:p>
    <w:p w:rsidR="00B95DBD" w:rsidRDefault="00B95DBD" w:rsidP="00B95DBD">
      <w:pPr>
        <w:pStyle w:val="Paragrafi"/>
      </w:pPr>
      <w:r>
        <w:t>7. Ngarkohet Ministria e Transportit dhe e Telekomunikacionit për zbatimin e këtij vendimi.</w:t>
      </w:r>
    </w:p>
    <w:p w:rsidR="00B95DBD" w:rsidRDefault="00B95DBD" w:rsidP="00B95DBD">
      <w:pPr>
        <w:pStyle w:val="Paragrafi"/>
      </w:pPr>
      <w:r>
        <w:t>Ky vendim hyn në fuqi menjëherë dhe botohet në Fletoren Zyrtare.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Autoriteti"/>
      </w:pPr>
      <w:r>
        <w:t>Kryeministri</w:t>
      </w:r>
    </w:p>
    <w:p w:rsidR="00B95DBD" w:rsidRDefault="00B95DBD" w:rsidP="00B95DBD">
      <w:pPr>
        <w:pStyle w:val="AutoritetiEmer"/>
      </w:pPr>
      <w:r>
        <w:t>Fatos Nano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  <w:r>
        <w:t>REPUBLIKA E SHQIPËRISË</w:t>
      </w:r>
    </w:p>
    <w:p w:rsidR="00B95DBD" w:rsidRDefault="00B95DBD" w:rsidP="00B95DBD">
      <w:pPr>
        <w:pStyle w:val="Paragrafi"/>
      </w:pPr>
      <w:r>
        <w:t xml:space="preserve">MINISTRIA </w:t>
      </w:r>
      <w:smartTag w:uri="urn:schemas-microsoft-com:office:smarttags" w:element="place">
        <w:r>
          <w:t>E TRANSPORTIT</w:t>
        </w:r>
      </w:smartTag>
      <w:r>
        <w:t xml:space="preserve"> DHE E TELEKOMUNIKACIONIT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  <w:r>
        <w:t>Lista e pronarëve që shpronësohen, si rezultat i ndërtimit të urës së re të Bogovës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75"/>
        <w:gridCol w:w="1067"/>
        <w:gridCol w:w="949"/>
        <w:gridCol w:w="1170"/>
        <w:gridCol w:w="1247"/>
        <w:gridCol w:w="1288"/>
        <w:gridCol w:w="999"/>
        <w:gridCol w:w="986"/>
        <w:gridCol w:w="1005"/>
      </w:tblGrid>
      <w:tr w:rsidR="00B95DBD">
        <w:trPr>
          <w:trHeight w:val="251"/>
        </w:trPr>
        <w:tc>
          <w:tcPr>
            <w:tcW w:w="614" w:type="dxa"/>
            <w:vMerge w:val="restart"/>
          </w:tcPr>
          <w:p w:rsidR="00B95DBD" w:rsidRDefault="00B95DBD" w:rsidP="00B95DBD">
            <w:pPr>
              <w:pStyle w:val="Tabele"/>
            </w:pPr>
            <w:r>
              <w:t>Nr.</w:t>
            </w:r>
          </w:p>
        </w:tc>
        <w:tc>
          <w:tcPr>
            <w:tcW w:w="1190" w:type="dxa"/>
            <w:vMerge w:val="restart"/>
          </w:tcPr>
          <w:p w:rsidR="00B95DBD" w:rsidRDefault="00B95DBD" w:rsidP="00B95DBD">
            <w:pPr>
              <w:pStyle w:val="Tabele"/>
            </w:pPr>
            <w:r>
              <w:t>Emri</w:t>
            </w:r>
          </w:p>
        </w:tc>
        <w:tc>
          <w:tcPr>
            <w:tcW w:w="955" w:type="dxa"/>
            <w:vMerge w:val="restart"/>
          </w:tcPr>
          <w:p w:rsidR="00B95DBD" w:rsidRDefault="00B95DBD" w:rsidP="00B95DBD">
            <w:pPr>
              <w:pStyle w:val="Tabele"/>
            </w:pPr>
            <w:r>
              <w:t>Atësia</w:t>
            </w:r>
          </w:p>
        </w:tc>
        <w:tc>
          <w:tcPr>
            <w:tcW w:w="1021" w:type="dxa"/>
            <w:vMerge w:val="restart"/>
          </w:tcPr>
          <w:p w:rsidR="00B95DBD" w:rsidRDefault="00B95DBD" w:rsidP="00B95DBD">
            <w:pPr>
              <w:pStyle w:val="Tabele"/>
            </w:pPr>
            <w:r>
              <w:t>Mbiemri</w:t>
            </w:r>
          </w:p>
        </w:tc>
        <w:tc>
          <w:tcPr>
            <w:tcW w:w="1259" w:type="dxa"/>
            <w:vMerge w:val="restart"/>
          </w:tcPr>
          <w:p w:rsidR="00B95DBD" w:rsidRDefault="00B95DBD" w:rsidP="00B95DBD">
            <w:pPr>
              <w:pStyle w:val="Tabele"/>
            </w:pPr>
            <w:r>
              <w:t>Nr.pasurisë</w:t>
            </w:r>
          </w:p>
        </w:tc>
        <w:tc>
          <w:tcPr>
            <w:tcW w:w="2295" w:type="dxa"/>
            <w:gridSpan w:val="2"/>
          </w:tcPr>
          <w:p w:rsidR="00B95DBD" w:rsidRDefault="00B95DBD" w:rsidP="00B95DBD">
            <w:pPr>
              <w:pStyle w:val="Tabele"/>
            </w:pPr>
            <w:r>
              <w:t>Objekt</w:t>
            </w:r>
          </w:p>
        </w:tc>
        <w:tc>
          <w:tcPr>
            <w:tcW w:w="936" w:type="dxa"/>
            <w:vMerge w:val="restart"/>
          </w:tcPr>
          <w:p w:rsidR="00B95DBD" w:rsidRDefault="00B95DBD" w:rsidP="00B95DBD">
            <w:pPr>
              <w:pStyle w:val="Tabele"/>
            </w:pPr>
            <w:r>
              <w:t>Vlera lekë</w:t>
            </w:r>
          </w:p>
        </w:tc>
        <w:tc>
          <w:tcPr>
            <w:tcW w:w="1016" w:type="dxa"/>
            <w:vMerge w:val="restart"/>
          </w:tcPr>
          <w:p w:rsidR="00B95DBD" w:rsidRDefault="00B95DBD" w:rsidP="00B95DBD">
            <w:pPr>
              <w:pStyle w:val="Tabele"/>
            </w:pPr>
            <w:r>
              <w:t>Shënime</w:t>
            </w:r>
          </w:p>
        </w:tc>
      </w:tr>
      <w:tr w:rsidR="00B95DBD">
        <w:trPr>
          <w:trHeight w:val="652"/>
        </w:trPr>
        <w:tc>
          <w:tcPr>
            <w:tcW w:w="614" w:type="dxa"/>
            <w:vMerge/>
          </w:tcPr>
          <w:p w:rsidR="00B95DBD" w:rsidRDefault="00B95DBD" w:rsidP="00B95DBD">
            <w:pPr>
              <w:pStyle w:val="Tabele"/>
            </w:pPr>
          </w:p>
        </w:tc>
        <w:tc>
          <w:tcPr>
            <w:tcW w:w="1190" w:type="dxa"/>
            <w:vMerge/>
          </w:tcPr>
          <w:p w:rsidR="00B95DBD" w:rsidRDefault="00B95DBD" w:rsidP="00B95DBD">
            <w:pPr>
              <w:pStyle w:val="Tabele"/>
            </w:pPr>
          </w:p>
        </w:tc>
        <w:tc>
          <w:tcPr>
            <w:tcW w:w="955" w:type="dxa"/>
            <w:vMerge/>
          </w:tcPr>
          <w:p w:rsidR="00B95DBD" w:rsidRDefault="00B95DBD" w:rsidP="00B95DBD">
            <w:pPr>
              <w:pStyle w:val="Tabele"/>
            </w:pPr>
          </w:p>
        </w:tc>
        <w:tc>
          <w:tcPr>
            <w:tcW w:w="1021" w:type="dxa"/>
            <w:vMerge/>
          </w:tcPr>
          <w:p w:rsidR="00B95DBD" w:rsidRDefault="00B95DBD" w:rsidP="00B95DBD">
            <w:pPr>
              <w:pStyle w:val="Tabele"/>
            </w:pPr>
          </w:p>
        </w:tc>
        <w:tc>
          <w:tcPr>
            <w:tcW w:w="1259" w:type="dxa"/>
            <w:vMerge/>
          </w:tcPr>
          <w:p w:rsidR="00B95DBD" w:rsidRDefault="00B95DBD" w:rsidP="00B95DBD">
            <w:pPr>
              <w:pStyle w:val="Tabele"/>
            </w:pPr>
          </w:p>
        </w:tc>
        <w:tc>
          <w:tcPr>
            <w:tcW w:w="1289" w:type="dxa"/>
          </w:tcPr>
          <w:p w:rsidR="00B95DBD" w:rsidRDefault="00B95DBD" w:rsidP="00B95DBD">
            <w:pPr>
              <w:pStyle w:val="Tabele"/>
            </w:pPr>
            <w:r>
              <w:t>Sip e shpronësuar</w:t>
            </w:r>
          </w:p>
        </w:tc>
        <w:tc>
          <w:tcPr>
            <w:tcW w:w="1006" w:type="dxa"/>
          </w:tcPr>
          <w:p w:rsidR="00B95DBD" w:rsidRDefault="00B95DBD" w:rsidP="00B95DBD">
            <w:pPr>
              <w:pStyle w:val="Tabele"/>
            </w:pPr>
            <w:r>
              <w:t>Çmimi</w:t>
            </w:r>
          </w:p>
          <w:p w:rsidR="00B95DBD" w:rsidRDefault="00B95DBD" w:rsidP="00B95DBD">
            <w:pPr>
              <w:pStyle w:val="Tabele"/>
            </w:pPr>
            <w:r>
              <w:t>lekë/m</w:t>
            </w:r>
            <w:r w:rsidRPr="009876F5">
              <w:rPr>
                <w:vertAlign w:val="superscript"/>
              </w:rPr>
              <w:t>2</w:t>
            </w:r>
          </w:p>
        </w:tc>
        <w:tc>
          <w:tcPr>
            <w:tcW w:w="936" w:type="dxa"/>
            <w:vMerge/>
          </w:tcPr>
          <w:p w:rsidR="00B95DBD" w:rsidRDefault="00B95DBD" w:rsidP="00B95DBD">
            <w:pPr>
              <w:pStyle w:val="Tabele"/>
            </w:pPr>
          </w:p>
        </w:tc>
        <w:tc>
          <w:tcPr>
            <w:tcW w:w="1016" w:type="dxa"/>
            <w:vMerge/>
          </w:tcPr>
          <w:p w:rsidR="00B95DBD" w:rsidRDefault="00B95DBD" w:rsidP="00B95DBD">
            <w:pPr>
              <w:pStyle w:val="Tabele"/>
            </w:pPr>
          </w:p>
        </w:tc>
      </w:tr>
      <w:tr w:rsidR="00B95DBD">
        <w:tc>
          <w:tcPr>
            <w:tcW w:w="614" w:type="dxa"/>
          </w:tcPr>
          <w:p w:rsidR="00B95DBD" w:rsidRDefault="00B95DBD" w:rsidP="00B95DBD">
            <w:pPr>
              <w:pStyle w:val="Tabele"/>
            </w:pPr>
            <w:r>
              <w:t>1</w:t>
            </w:r>
          </w:p>
        </w:tc>
        <w:tc>
          <w:tcPr>
            <w:tcW w:w="1190" w:type="dxa"/>
          </w:tcPr>
          <w:p w:rsidR="00B95DBD" w:rsidRDefault="00B95DBD" w:rsidP="00B95DBD">
            <w:pPr>
              <w:pStyle w:val="Tabele"/>
            </w:pPr>
            <w:r>
              <w:t>Iljaz</w:t>
            </w:r>
          </w:p>
        </w:tc>
        <w:tc>
          <w:tcPr>
            <w:tcW w:w="955" w:type="dxa"/>
          </w:tcPr>
          <w:p w:rsidR="00B95DBD" w:rsidRDefault="00B95DBD" w:rsidP="00B95DBD">
            <w:pPr>
              <w:pStyle w:val="Tabele"/>
            </w:pPr>
            <w:r>
              <w:t>Hariz</w:t>
            </w:r>
          </w:p>
        </w:tc>
        <w:tc>
          <w:tcPr>
            <w:tcW w:w="1021" w:type="dxa"/>
          </w:tcPr>
          <w:p w:rsidR="00B95DBD" w:rsidRDefault="00B95DBD" w:rsidP="00B95DBD">
            <w:pPr>
              <w:pStyle w:val="Tabele"/>
            </w:pPr>
            <w:r>
              <w:t>Hysko</w:t>
            </w:r>
          </w:p>
        </w:tc>
        <w:tc>
          <w:tcPr>
            <w:tcW w:w="1259" w:type="dxa"/>
          </w:tcPr>
          <w:p w:rsidR="00B95DBD" w:rsidRDefault="00B95DBD" w:rsidP="00B95DBD">
            <w:pPr>
              <w:pStyle w:val="Tabele"/>
            </w:pPr>
            <w:r>
              <w:t>305/3</w:t>
            </w:r>
          </w:p>
        </w:tc>
        <w:tc>
          <w:tcPr>
            <w:tcW w:w="1292" w:type="dxa"/>
          </w:tcPr>
          <w:p w:rsidR="00B95DBD" w:rsidRDefault="00B95DBD" w:rsidP="00B95DBD">
            <w:pPr>
              <w:pStyle w:val="Tabele"/>
            </w:pPr>
            <w:r>
              <w:t>40</w:t>
            </w:r>
          </w:p>
        </w:tc>
        <w:tc>
          <w:tcPr>
            <w:tcW w:w="1003" w:type="dxa"/>
          </w:tcPr>
          <w:p w:rsidR="00B95DBD" w:rsidRDefault="00B95DBD" w:rsidP="00B95DBD">
            <w:pPr>
              <w:pStyle w:val="Tabele"/>
            </w:pPr>
            <w:r>
              <w:t>11358.5</w:t>
            </w:r>
          </w:p>
        </w:tc>
        <w:tc>
          <w:tcPr>
            <w:tcW w:w="936" w:type="dxa"/>
          </w:tcPr>
          <w:p w:rsidR="00B95DBD" w:rsidRDefault="00B95DBD" w:rsidP="00B95DBD">
            <w:pPr>
              <w:pStyle w:val="Tabele"/>
            </w:pPr>
            <w:r>
              <w:t>453340</w:t>
            </w:r>
          </w:p>
        </w:tc>
        <w:tc>
          <w:tcPr>
            <w:tcW w:w="1016" w:type="dxa"/>
          </w:tcPr>
          <w:p w:rsidR="00B95DBD" w:rsidRDefault="00B95DBD" w:rsidP="00B95DBD">
            <w:pPr>
              <w:pStyle w:val="Tabele"/>
            </w:pPr>
          </w:p>
        </w:tc>
      </w:tr>
      <w:tr w:rsidR="00B95DBD">
        <w:tc>
          <w:tcPr>
            <w:tcW w:w="614" w:type="dxa"/>
          </w:tcPr>
          <w:p w:rsidR="00B95DBD" w:rsidRDefault="00B95DBD" w:rsidP="00B95DBD">
            <w:pPr>
              <w:pStyle w:val="Tabele"/>
            </w:pPr>
            <w:r>
              <w:t>2</w:t>
            </w:r>
          </w:p>
        </w:tc>
        <w:tc>
          <w:tcPr>
            <w:tcW w:w="1190" w:type="dxa"/>
          </w:tcPr>
          <w:p w:rsidR="00B95DBD" w:rsidRDefault="00B95DBD" w:rsidP="00B95DBD">
            <w:pPr>
              <w:pStyle w:val="Tabele"/>
            </w:pPr>
            <w:r>
              <w:t>Bezat</w:t>
            </w:r>
          </w:p>
        </w:tc>
        <w:tc>
          <w:tcPr>
            <w:tcW w:w="955" w:type="dxa"/>
          </w:tcPr>
          <w:p w:rsidR="00B95DBD" w:rsidRDefault="00B95DBD" w:rsidP="00B95DBD">
            <w:pPr>
              <w:pStyle w:val="Tabele"/>
            </w:pPr>
            <w:r>
              <w:t>Celnik</w:t>
            </w:r>
          </w:p>
        </w:tc>
        <w:tc>
          <w:tcPr>
            <w:tcW w:w="1021" w:type="dxa"/>
          </w:tcPr>
          <w:p w:rsidR="00B95DBD" w:rsidRDefault="00B95DBD" w:rsidP="00B95DBD">
            <w:pPr>
              <w:pStyle w:val="Tabele"/>
            </w:pPr>
            <w:r>
              <w:t>Hoxhollari</w:t>
            </w:r>
          </w:p>
        </w:tc>
        <w:tc>
          <w:tcPr>
            <w:tcW w:w="1259" w:type="dxa"/>
          </w:tcPr>
          <w:p w:rsidR="00B95DBD" w:rsidRDefault="00B95DBD" w:rsidP="00B95DBD">
            <w:pPr>
              <w:pStyle w:val="Tabele"/>
            </w:pPr>
            <w:r>
              <w:t>310/8</w:t>
            </w:r>
          </w:p>
        </w:tc>
        <w:tc>
          <w:tcPr>
            <w:tcW w:w="1292" w:type="dxa"/>
          </w:tcPr>
          <w:p w:rsidR="00B95DBD" w:rsidRDefault="00B95DBD" w:rsidP="00B95DBD">
            <w:pPr>
              <w:pStyle w:val="Tabele"/>
            </w:pPr>
            <w:r>
              <w:t>60</w:t>
            </w:r>
          </w:p>
        </w:tc>
        <w:tc>
          <w:tcPr>
            <w:tcW w:w="1003" w:type="dxa"/>
          </w:tcPr>
          <w:p w:rsidR="00B95DBD" w:rsidRDefault="00B95DBD" w:rsidP="00B95DBD">
            <w:pPr>
              <w:pStyle w:val="Tabele"/>
            </w:pPr>
            <w:r>
              <w:t>11358.5</w:t>
            </w:r>
          </w:p>
        </w:tc>
        <w:tc>
          <w:tcPr>
            <w:tcW w:w="936" w:type="dxa"/>
          </w:tcPr>
          <w:p w:rsidR="00B95DBD" w:rsidRDefault="00B95DBD" w:rsidP="00B95DBD">
            <w:pPr>
              <w:pStyle w:val="Tabele"/>
            </w:pPr>
            <w:r>
              <w:t>681510</w:t>
            </w:r>
          </w:p>
        </w:tc>
        <w:tc>
          <w:tcPr>
            <w:tcW w:w="1016" w:type="dxa"/>
          </w:tcPr>
          <w:p w:rsidR="00B95DBD" w:rsidRDefault="00B95DBD" w:rsidP="00B95DBD">
            <w:pPr>
              <w:pStyle w:val="Tabele"/>
            </w:pPr>
          </w:p>
        </w:tc>
      </w:tr>
      <w:tr w:rsidR="00B95DBD">
        <w:tc>
          <w:tcPr>
            <w:tcW w:w="614" w:type="dxa"/>
          </w:tcPr>
          <w:p w:rsidR="00B95DBD" w:rsidRDefault="00B95DBD" w:rsidP="00B95DBD">
            <w:pPr>
              <w:pStyle w:val="Tabele"/>
            </w:pPr>
            <w:r>
              <w:t>3</w:t>
            </w:r>
          </w:p>
        </w:tc>
        <w:tc>
          <w:tcPr>
            <w:tcW w:w="1190" w:type="dxa"/>
          </w:tcPr>
          <w:p w:rsidR="00B95DBD" w:rsidRDefault="00B95DBD" w:rsidP="00B95DBD">
            <w:pPr>
              <w:pStyle w:val="Tabele"/>
            </w:pPr>
            <w:r>
              <w:t>Renato</w:t>
            </w:r>
          </w:p>
        </w:tc>
        <w:tc>
          <w:tcPr>
            <w:tcW w:w="955" w:type="dxa"/>
          </w:tcPr>
          <w:p w:rsidR="00B95DBD" w:rsidRDefault="00B95DBD" w:rsidP="00B95DBD">
            <w:pPr>
              <w:pStyle w:val="Tabele"/>
            </w:pPr>
            <w:r>
              <w:t>Skënder</w:t>
            </w:r>
          </w:p>
        </w:tc>
        <w:tc>
          <w:tcPr>
            <w:tcW w:w="1021" w:type="dxa"/>
          </w:tcPr>
          <w:p w:rsidR="00B95DBD" w:rsidRDefault="00B95DBD" w:rsidP="00B95DBD">
            <w:pPr>
              <w:pStyle w:val="Tabele"/>
            </w:pPr>
            <w:r>
              <w:t>Çuni</w:t>
            </w:r>
          </w:p>
        </w:tc>
        <w:tc>
          <w:tcPr>
            <w:tcW w:w="1259" w:type="dxa"/>
          </w:tcPr>
          <w:p w:rsidR="00B95DBD" w:rsidRDefault="00B95DBD" w:rsidP="00B95DBD">
            <w:pPr>
              <w:pStyle w:val="Tabele"/>
            </w:pPr>
            <w:r>
              <w:t>301/53</w:t>
            </w:r>
          </w:p>
        </w:tc>
        <w:tc>
          <w:tcPr>
            <w:tcW w:w="1292" w:type="dxa"/>
          </w:tcPr>
          <w:p w:rsidR="00B95DBD" w:rsidRDefault="00B95DBD" w:rsidP="00B95DBD">
            <w:pPr>
              <w:pStyle w:val="Tabele"/>
            </w:pPr>
            <w:r>
              <w:t>160</w:t>
            </w:r>
          </w:p>
        </w:tc>
        <w:tc>
          <w:tcPr>
            <w:tcW w:w="1003" w:type="dxa"/>
          </w:tcPr>
          <w:p w:rsidR="00B95DBD" w:rsidRDefault="00B95DBD" w:rsidP="00B95DBD">
            <w:pPr>
              <w:pStyle w:val="Tabele"/>
            </w:pPr>
            <w:r>
              <w:t>3400000</w:t>
            </w:r>
          </w:p>
        </w:tc>
        <w:tc>
          <w:tcPr>
            <w:tcW w:w="936" w:type="dxa"/>
          </w:tcPr>
          <w:p w:rsidR="00B95DBD" w:rsidRDefault="00B95DBD" w:rsidP="00B95DBD">
            <w:pPr>
              <w:pStyle w:val="Tabele"/>
            </w:pPr>
            <w:r>
              <w:t>3400000</w:t>
            </w:r>
          </w:p>
        </w:tc>
        <w:tc>
          <w:tcPr>
            <w:tcW w:w="1016" w:type="dxa"/>
          </w:tcPr>
          <w:p w:rsidR="00B95DBD" w:rsidRDefault="00B95DBD" w:rsidP="00B95DBD">
            <w:pPr>
              <w:pStyle w:val="Tabele"/>
            </w:pPr>
          </w:p>
        </w:tc>
      </w:tr>
    </w:tbl>
    <w:p w:rsidR="00B95DBD" w:rsidRDefault="00B95DBD" w:rsidP="00B95DBD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4.534.850</w:t>
      </w:r>
    </w:p>
    <w:p w:rsidR="00B95DBD" w:rsidRDefault="00B95DBD" w:rsidP="00B95DBD">
      <w:pPr>
        <w:pStyle w:val="Paragrafi"/>
      </w:pPr>
    </w:p>
    <w:p w:rsidR="00B95DBD" w:rsidRDefault="00B95DBD" w:rsidP="00B95DBD">
      <w:pPr>
        <w:pStyle w:val="Paragrafi"/>
      </w:pPr>
      <w:r>
        <w:t>Shpenzime procedurale të publikimit 116 700 lekësh</w:t>
      </w:r>
    </w:p>
    <w:p w:rsidR="00B95DBD" w:rsidRDefault="00B95DBD" w:rsidP="00B95DBD">
      <w:pPr>
        <w:pStyle w:val="Paragrafi"/>
      </w:pPr>
      <w:r>
        <w:t>Vlera totale e shpronësimit 4 651 550 lekësh</w:t>
      </w:r>
    </w:p>
    <w:p w:rsidR="00B95DBD" w:rsidRDefault="00B95DBD" w:rsidP="00B95DBD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E42C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95DBD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F35E41-EDE2-4969-9298-76C03BD4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DB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95D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2019-03-14T16:43:00Z</dcterms:created>
  <dcterms:modified xsi:type="dcterms:W3CDTF">2019-03-14T16:43:00Z</dcterms:modified>
</cp:coreProperties>
</file>