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501D" w:rsidRDefault="008E501D" w:rsidP="008E501D">
      <w:pPr>
        <w:pStyle w:val="Akti"/>
      </w:pPr>
      <w:bookmarkStart w:id="0" w:name="_GoBack"/>
      <w:bookmarkEnd w:id="0"/>
      <w:r>
        <w:t>Vendim</w:t>
      </w:r>
    </w:p>
    <w:p w:rsidR="008E501D" w:rsidRDefault="008E501D" w:rsidP="008E501D">
      <w:pPr>
        <w:pStyle w:val="NumriData"/>
      </w:pPr>
      <w:r>
        <w:t>Nr.127, datë 11.3.2004</w:t>
      </w:r>
    </w:p>
    <w:p w:rsidR="008E501D" w:rsidRDefault="008E501D" w:rsidP="008E501D">
      <w:pPr>
        <w:pStyle w:val="Paragrafi"/>
      </w:pPr>
    </w:p>
    <w:p w:rsidR="008E501D" w:rsidRDefault="008E501D" w:rsidP="008E501D">
      <w:pPr>
        <w:pStyle w:val="Titulli"/>
      </w:pPr>
      <w:r>
        <w:t>Për krijimin e komitetit shtetëror të minoriteteve</w:t>
      </w:r>
    </w:p>
    <w:p w:rsidR="008E501D" w:rsidRDefault="008E501D" w:rsidP="008E501D">
      <w:pPr>
        <w:pStyle w:val="Paragrafi"/>
      </w:pPr>
    </w:p>
    <w:p w:rsidR="008E501D" w:rsidRDefault="008E501D" w:rsidP="008E501D">
      <w:pPr>
        <w:pStyle w:val="BazLigjPropozues"/>
      </w:pPr>
      <w:r>
        <w:t>Në mbështetje të neneve 20 dhe 100 të Kushtetutës, të ligjit nr.8496, datë 3.6.1999 “Për ratifikimin e Konventës Kuadër të Këshillit të Europës “Për mbrojtjen e minoriteteve””, të nenit 10 të ligjit nr.9000, datë 30.1.2003 “Për organizimin dhe funksionimin e Këshillit të Ministrave”, të neneve 21 dhe 27 të ligjit nr.8379, datë 29.7.1998 “Për hartimin dhe zbatimin e Buxhetit të Shtetit të Republikës së Shqipërisë” dhe të nenit 7 të ligjit nr.9165, datë 23.12.2003 “Për Buxhetin e Shtetit të vitit 2004”, me propozimin e Ministrit të Shtetit për Koordinimin, Këshilli i Ministrave</w:t>
      </w:r>
    </w:p>
    <w:p w:rsidR="008E501D" w:rsidRDefault="008E501D" w:rsidP="008E501D">
      <w:pPr>
        <w:pStyle w:val="Paragrafi"/>
      </w:pPr>
    </w:p>
    <w:p w:rsidR="008E501D" w:rsidRDefault="008E501D" w:rsidP="008E501D">
      <w:pPr>
        <w:pStyle w:val="VENDOSI"/>
      </w:pPr>
      <w:r>
        <w:t>Vendosi:</w:t>
      </w:r>
    </w:p>
    <w:p w:rsidR="008E501D" w:rsidRDefault="008E501D" w:rsidP="008E501D">
      <w:pPr>
        <w:pStyle w:val="Paragrafi"/>
      </w:pPr>
    </w:p>
    <w:p w:rsidR="008E501D" w:rsidRDefault="008E501D" w:rsidP="008E501D">
      <w:pPr>
        <w:pStyle w:val="Paragrafi"/>
      </w:pPr>
      <w:r>
        <w:t>1. Krijimin e Komitetit Shtetëror të Minoriteteve për të nxitur më tej pjesëmarrjen e personave, që u përkasin minoriteteve, në jetën publike, si dhe për të sugjeruar masa për ushtrimin dhe mbrojtjen e të drejtave e të lirive të këtyre minoriteteve.</w:t>
      </w:r>
    </w:p>
    <w:p w:rsidR="008E501D" w:rsidRDefault="008E501D" w:rsidP="008E501D">
      <w:pPr>
        <w:pStyle w:val="Paragrafi"/>
      </w:pPr>
      <w:r>
        <w:t>2. Komiteti Shtetëror i Minoriteteve është institucion qendror, me personalitet juridik, në varësi të Kryeministrit.</w:t>
      </w:r>
    </w:p>
    <w:p w:rsidR="008E501D" w:rsidRDefault="008E501D" w:rsidP="008E501D">
      <w:pPr>
        <w:pStyle w:val="Paragrafi"/>
      </w:pPr>
      <w:r>
        <w:t>3. Komiteti Shtetëror i Minoriteteve bashkëpunon me organet e qeverisjes, qendrore dhe vendore, dhe me organizata e shoqata të ligjshme, që kryejnë veprimtari për ushtrimin e të drejtave dhe të lirive të personave, që u përkasin minoriteteve.</w:t>
      </w:r>
    </w:p>
    <w:p w:rsidR="008E501D" w:rsidRDefault="008E501D" w:rsidP="008E501D">
      <w:pPr>
        <w:pStyle w:val="Paragrafi"/>
      </w:pPr>
      <w:r>
        <w:t>Gjithashtu, Komiteti Shtetëror i Minoriteteve bashkëpunon, për çështje të ndryshme, në interes të personave që u përkasin minoriteteve me organizmat dhe institucionet përkatëse ndërkombëtare.</w:t>
      </w:r>
    </w:p>
    <w:p w:rsidR="008E501D" w:rsidRDefault="008E501D" w:rsidP="008E501D">
      <w:pPr>
        <w:pStyle w:val="Paragrafi"/>
      </w:pPr>
      <w:r>
        <w:t>4. Komiteti Shtetëror i Minoriteteve:</w:t>
      </w:r>
    </w:p>
    <w:p w:rsidR="008E501D" w:rsidRDefault="008E501D" w:rsidP="008E501D">
      <w:pPr>
        <w:pStyle w:val="Paragrafi"/>
      </w:pPr>
    </w:p>
    <w:p w:rsidR="008E501D" w:rsidRDefault="008E501D" w:rsidP="008E501D">
      <w:pPr>
        <w:pStyle w:val="Paragrafi"/>
      </w:pPr>
    </w:p>
    <w:p w:rsidR="008E501D" w:rsidRDefault="008E501D" w:rsidP="008E501D">
      <w:pPr>
        <w:pStyle w:val="Paragrafi"/>
      </w:pPr>
      <w:r>
        <w:t>- u propozon organeve shtetërore të kenë parasysh çështje të rëndësisë së veçantë për minoritetet, veçanërisht përsa i takon zbatimit të detyrimeve kushtetuese, si dhe të akteve të tjera të veçanta, që rregullojnë të drejtat dhe liritë e personave që u përkasin këtyre minoriteteve;</w:t>
      </w:r>
    </w:p>
    <w:p w:rsidR="008E501D" w:rsidRDefault="008E501D" w:rsidP="008E501D">
      <w:pPr>
        <w:pStyle w:val="Paragrafi"/>
      </w:pPr>
      <w:r>
        <w:t>- u propozon organeve të pushtetit, qendror dhe vendor, masat e mundshme, për të përmirësuar gjendjen e personave që u përkasin minoriteteve kudo që janë;</w:t>
      </w:r>
    </w:p>
    <w:p w:rsidR="008E501D" w:rsidRDefault="008E501D" w:rsidP="008E501D">
      <w:pPr>
        <w:pStyle w:val="Paragrafi"/>
      </w:pPr>
      <w:r>
        <w:t>- jep mendime dhe propozon masa për zhvillimin ekonomik, shoqëror, kulturor e arsimor, si dhe nxit transmetimin e programeve për minoritetet në median publike;</w:t>
      </w:r>
    </w:p>
    <w:p w:rsidR="008E501D" w:rsidRDefault="008E501D" w:rsidP="008E501D">
      <w:pPr>
        <w:pStyle w:val="Paragrafi"/>
      </w:pPr>
      <w:r>
        <w:t>- u kërkon ose merr prej organeve qendrore dhe të qeverisjes vendore të dhëna dhe raporte, që kanë të bëjnë me çështjet për minoritetet;</w:t>
      </w:r>
    </w:p>
    <w:p w:rsidR="008E501D" w:rsidRDefault="008E501D" w:rsidP="008E501D">
      <w:pPr>
        <w:pStyle w:val="Paragrafi"/>
      </w:pPr>
      <w:r>
        <w:t>- thërret ose kërkon pjesëmarrjen e përfaqësuesve të organeve qendrore ose të atyre të qeverisjes vendore për  çështje që janë në përgjegjësinë e Komitetit Shtetëror të Minoriteteve.</w:t>
      </w:r>
    </w:p>
    <w:p w:rsidR="008E501D" w:rsidRDefault="008E501D" w:rsidP="008E501D">
      <w:pPr>
        <w:pStyle w:val="Paragrafi"/>
      </w:pPr>
      <w:r>
        <w:t>5. Komiteti Shtetëror i Minoriteteve kryesohet nga kryetari dhe ka në përbërje pesë anëtarë. Kryetari i Komitetit Shtetëror të Minoriteteve dhe anëtarët e këtij komiteti, të cilët propozohen nga kryetari, emërohen nga Kryeministri.</w:t>
      </w:r>
    </w:p>
    <w:p w:rsidR="008E501D" w:rsidRDefault="008E501D" w:rsidP="008E501D">
      <w:pPr>
        <w:pStyle w:val="Paragrafi"/>
      </w:pPr>
      <w:r>
        <w:t>Komiteti Shtetëror i Minoriteteve vendos me shumicën e votave të anëtarëve të tij.</w:t>
      </w:r>
    </w:p>
    <w:p w:rsidR="008E501D" w:rsidRDefault="008E501D" w:rsidP="008E501D">
      <w:pPr>
        <w:pStyle w:val="Paragrafi"/>
      </w:pPr>
      <w:r>
        <w:t>6. Gjatë emërimit të përbërjes së Komitetit Shtetëror të Minoriteteve, Kryeministri dhe kryetari i komitetit, duke u bazuar në të dhënat zyrtare përcaktojnë numrin e anëtarëve për çdo minoritet të veçantë.</w:t>
      </w:r>
    </w:p>
    <w:p w:rsidR="008E501D" w:rsidRDefault="008E501D" w:rsidP="008E501D">
      <w:pPr>
        <w:pStyle w:val="Paragrafi"/>
      </w:pPr>
      <w:r>
        <w:t xml:space="preserve">7. Struktura, organika dhe rregullorja e veprimtarisë së Komitetit Shtetëror të Minoriteteve </w:t>
      </w:r>
      <w:smartTag w:uri="urn:schemas-microsoft-com:office:smarttags" w:element="PersonName">
        <w:r>
          <w:t>mira</w:t>
        </w:r>
      </w:smartTag>
      <w:r>
        <w:t>tohen nga Kryeministri, me propozimin e Sekretarit të Përgjithshëm të Këshillit të Ministrave.</w:t>
      </w:r>
    </w:p>
    <w:p w:rsidR="008E501D" w:rsidRDefault="008E501D" w:rsidP="008E501D">
      <w:pPr>
        <w:pStyle w:val="Paragrafi"/>
      </w:pPr>
      <w:r>
        <w:t>8. Pagat e nëpunësve të Komitetit Shtetëror të Minoriteteve të jenë sipas lidhjes nr.1, që i bashkëlidhet këtij vendimi dhe është pjesë përbërëse e tij, ndërsa punonjësit e tjerë të paguhen sipas lidhjes II-5 të vendimit nr.726, datë 21.12.2000 të Këshillit të Ministrave “Për pagat e punonjësve të institucioneve buxhetore”, të ndryshuar.</w:t>
      </w:r>
    </w:p>
    <w:p w:rsidR="008E501D" w:rsidRDefault="008E501D" w:rsidP="008E501D">
      <w:pPr>
        <w:pStyle w:val="Paragrafi"/>
      </w:pPr>
      <w:r>
        <w:t>9. Efektet financiare prej 15 500 000 (pesëmbëdhjetë milionë e pesëqind mijë) lekësh, që nevojiten për funksionimin e këtij komiteti, të përballohen nga fondi rezervë i Këshillit të Ministrave.</w:t>
      </w:r>
    </w:p>
    <w:p w:rsidR="008E501D" w:rsidRDefault="008E501D" w:rsidP="008E501D">
      <w:pPr>
        <w:pStyle w:val="Paragrafi"/>
      </w:pPr>
      <w:r>
        <w:t xml:space="preserve">10. Ngarkohen Ministri i Shtetit për Koordinimin dhe Ministri i Financave për zbatimin e këtij </w:t>
      </w:r>
      <w:r>
        <w:lastRenderedPageBreak/>
        <w:t>vendimi.</w:t>
      </w:r>
    </w:p>
    <w:p w:rsidR="008E501D" w:rsidRDefault="008E501D" w:rsidP="008E501D">
      <w:pPr>
        <w:pStyle w:val="Paragrafi"/>
      </w:pPr>
      <w:r>
        <w:t>Ky vendim hyn në fuqi pas botimit në Fletoren Zyrtare.</w:t>
      </w:r>
    </w:p>
    <w:p w:rsidR="008E501D" w:rsidRDefault="008E501D" w:rsidP="008E501D">
      <w:pPr>
        <w:pStyle w:val="Paragrafi"/>
      </w:pPr>
    </w:p>
    <w:p w:rsidR="008E501D" w:rsidRDefault="008E501D" w:rsidP="008E501D">
      <w:pPr>
        <w:pStyle w:val="Autoriteti"/>
      </w:pPr>
      <w:r>
        <w:t>Kryeministri</w:t>
      </w:r>
    </w:p>
    <w:p w:rsidR="008E501D" w:rsidRDefault="008E501D" w:rsidP="008E501D">
      <w:pPr>
        <w:pStyle w:val="AutoritetiEmer"/>
      </w:pPr>
      <w:r>
        <w:t>Fatos Nano</w:t>
      </w:r>
    </w:p>
    <w:p w:rsidR="008E501D" w:rsidRDefault="008E501D" w:rsidP="008E501D">
      <w:pPr>
        <w:pStyle w:val="Paragrafi"/>
      </w:pPr>
    </w:p>
    <w:p w:rsidR="008E501D" w:rsidRDefault="008E501D" w:rsidP="008E501D">
      <w:pPr>
        <w:pStyle w:val="Paragrafi"/>
      </w:pPr>
    </w:p>
    <w:p w:rsidR="008E501D" w:rsidRDefault="008E501D" w:rsidP="008E501D">
      <w:pPr>
        <w:pStyle w:val="Aneksi"/>
      </w:pPr>
      <w:r>
        <w:t>Lidhja nr.1</w:t>
      </w:r>
    </w:p>
    <w:p w:rsidR="008E501D" w:rsidRDefault="008E501D" w:rsidP="008E501D">
      <w:pPr>
        <w:pStyle w:val="Paragrafi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033"/>
        <w:gridCol w:w="1688"/>
        <w:gridCol w:w="2808"/>
        <w:gridCol w:w="2137"/>
        <w:gridCol w:w="1620"/>
      </w:tblGrid>
      <w:tr w:rsidR="008E501D" w:rsidRPr="00EE2391">
        <w:tc>
          <w:tcPr>
            <w:tcW w:w="0" w:type="auto"/>
          </w:tcPr>
          <w:p w:rsidR="008E501D" w:rsidRPr="00EE2391" w:rsidRDefault="008E501D" w:rsidP="008E501D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8044" w:type="dxa"/>
            <w:gridSpan w:val="4"/>
          </w:tcPr>
          <w:p w:rsidR="008E501D" w:rsidRPr="00EE2391" w:rsidRDefault="008E501D" w:rsidP="008E501D">
            <w:pPr>
              <w:pStyle w:val="Tabele"/>
              <w:jc w:val="center"/>
              <w:rPr>
                <w:sz w:val="21"/>
                <w:szCs w:val="21"/>
              </w:rPr>
            </w:pPr>
            <w:r w:rsidRPr="00EE2391">
              <w:rPr>
                <w:sz w:val="21"/>
                <w:szCs w:val="21"/>
              </w:rPr>
              <w:t>Paga mujore</w:t>
            </w:r>
          </w:p>
        </w:tc>
      </w:tr>
      <w:tr w:rsidR="008E501D" w:rsidRPr="00EE2391">
        <w:tc>
          <w:tcPr>
            <w:tcW w:w="0" w:type="auto"/>
          </w:tcPr>
          <w:p w:rsidR="008E501D" w:rsidRPr="00EE2391" w:rsidRDefault="008E501D" w:rsidP="008E501D">
            <w:pPr>
              <w:pStyle w:val="Tabele"/>
              <w:jc w:val="center"/>
              <w:rPr>
                <w:sz w:val="21"/>
                <w:szCs w:val="21"/>
              </w:rPr>
            </w:pPr>
            <w:r w:rsidRPr="00EE2391">
              <w:rPr>
                <w:sz w:val="21"/>
                <w:szCs w:val="21"/>
              </w:rPr>
              <w:t>Emërtimi</w:t>
            </w:r>
          </w:p>
        </w:tc>
        <w:tc>
          <w:tcPr>
            <w:tcW w:w="6424" w:type="dxa"/>
            <w:gridSpan w:val="3"/>
          </w:tcPr>
          <w:p w:rsidR="008E501D" w:rsidRPr="00EE2391" w:rsidRDefault="008E501D" w:rsidP="008E501D">
            <w:pPr>
              <w:pStyle w:val="Tabele"/>
              <w:jc w:val="center"/>
              <w:rPr>
                <w:sz w:val="21"/>
                <w:szCs w:val="21"/>
              </w:rPr>
            </w:pPr>
            <w:r w:rsidRPr="00EE2391">
              <w:rPr>
                <w:sz w:val="21"/>
                <w:szCs w:val="21"/>
              </w:rPr>
              <w:t>Paga individuale (paga bazë)</w:t>
            </w:r>
          </w:p>
        </w:tc>
        <w:tc>
          <w:tcPr>
            <w:tcW w:w="1620" w:type="dxa"/>
          </w:tcPr>
          <w:p w:rsidR="008E501D" w:rsidRPr="00EE2391" w:rsidRDefault="008E501D" w:rsidP="008E501D">
            <w:pPr>
              <w:pStyle w:val="Tabele"/>
              <w:jc w:val="center"/>
              <w:rPr>
                <w:sz w:val="21"/>
                <w:szCs w:val="21"/>
              </w:rPr>
            </w:pPr>
            <w:r w:rsidRPr="00EE2391">
              <w:rPr>
                <w:sz w:val="21"/>
                <w:szCs w:val="21"/>
              </w:rPr>
              <w:t>Shtesa e pozicionit</w:t>
            </w:r>
          </w:p>
        </w:tc>
      </w:tr>
      <w:tr w:rsidR="008E501D" w:rsidRPr="00EE2391">
        <w:tc>
          <w:tcPr>
            <w:tcW w:w="0" w:type="auto"/>
          </w:tcPr>
          <w:p w:rsidR="008E501D" w:rsidRPr="00EE2391" w:rsidRDefault="008E501D" w:rsidP="008E501D">
            <w:pPr>
              <w:pStyle w:val="Tabele"/>
              <w:jc w:val="center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8E501D" w:rsidRPr="00EE2391" w:rsidRDefault="008E501D" w:rsidP="008E501D">
            <w:pPr>
              <w:pStyle w:val="Tabele"/>
              <w:jc w:val="center"/>
              <w:rPr>
                <w:sz w:val="21"/>
                <w:szCs w:val="21"/>
              </w:rPr>
            </w:pPr>
            <w:r w:rsidRPr="00EE2391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</w:tcPr>
          <w:p w:rsidR="008E501D" w:rsidRPr="00EE2391" w:rsidRDefault="008E501D" w:rsidP="008E501D">
            <w:pPr>
              <w:pStyle w:val="Tabele"/>
              <w:jc w:val="center"/>
              <w:rPr>
                <w:sz w:val="21"/>
                <w:szCs w:val="21"/>
              </w:rPr>
            </w:pPr>
            <w:r w:rsidRPr="00EE2391">
              <w:rPr>
                <w:sz w:val="21"/>
                <w:szCs w:val="21"/>
              </w:rPr>
              <w:t>2</w:t>
            </w:r>
          </w:p>
        </w:tc>
        <w:tc>
          <w:tcPr>
            <w:tcW w:w="2137" w:type="dxa"/>
          </w:tcPr>
          <w:p w:rsidR="008E501D" w:rsidRPr="00EE2391" w:rsidRDefault="008E501D" w:rsidP="008E501D">
            <w:pPr>
              <w:pStyle w:val="Tabele"/>
              <w:jc w:val="center"/>
              <w:rPr>
                <w:sz w:val="21"/>
                <w:szCs w:val="21"/>
              </w:rPr>
            </w:pPr>
            <w:r w:rsidRPr="00EE2391">
              <w:rPr>
                <w:sz w:val="21"/>
                <w:szCs w:val="21"/>
              </w:rPr>
              <w:t>3</w:t>
            </w:r>
          </w:p>
        </w:tc>
        <w:tc>
          <w:tcPr>
            <w:tcW w:w="1620" w:type="dxa"/>
          </w:tcPr>
          <w:p w:rsidR="008E501D" w:rsidRPr="00EE2391" w:rsidRDefault="008E501D" w:rsidP="008E501D">
            <w:pPr>
              <w:pStyle w:val="Tabele"/>
              <w:jc w:val="center"/>
              <w:rPr>
                <w:sz w:val="21"/>
                <w:szCs w:val="21"/>
              </w:rPr>
            </w:pPr>
            <w:r w:rsidRPr="00EE2391">
              <w:rPr>
                <w:sz w:val="21"/>
                <w:szCs w:val="21"/>
              </w:rPr>
              <w:t>4</w:t>
            </w:r>
          </w:p>
        </w:tc>
      </w:tr>
      <w:tr w:rsidR="008E501D" w:rsidRPr="00EE2391">
        <w:tc>
          <w:tcPr>
            <w:tcW w:w="0" w:type="auto"/>
          </w:tcPr>
          <w:p w:rsidR="008E501D" w:rsidRPr="00EE2391" w:rsidRDefault="008E501D" w:rsidP="008E501D">
            <w:pPr>
              <w:pStyle w:val="Tabele"/>
              <w:jc w:val="center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8E501D" w:rsidRPr="00EE2391" w:rsidRDefault="008E501D" w:rsidP="008E501D">
            <w:pPr>
              <w:pStyle w:val="Tabele"/>
              <w:jc w:val="center"/>
              <w:rPr>
                <w:sz w:val="21"/>
                <w:szCs w:val="21"/>
              </w:rPr>
            </w:pPr>
            <w:r w:rsidRPr="00EE2391">
              <w:rPr>
                <w:sz w:val="21"/>
                <w:szCs w:val="21"/>
              </w:rPr>
              <w:t>Paga e grupit (PG)</w:t>
            </w:r>
          </w:p>
        </w:tc>
        <w:tc>
          <w:tcPr>
            <w:tcW w:w="0" w:type="auto"/>
          </w:tcPr>
          <w:p w:rsidR="008E501D" w:rsidRPr="00EE2391" w:rsidRDefault="008E501D" w:rsidP="008E501D">
            <w:pPr>
              <w:pStyle w:val="Tabele"/>
              <w:jc w:val="center"/>
              <w:rPr>
                <w:sz w:val="21"/>
                <w:szCs w:val="21"/>
              </w:rPr>
            </w:pPr>
            <w:r w:rsidRPr="00EE2391">
              <w:rPr>
                <w:sz w:val="21"/>
                <w:szCs w:val="21"/>
              </w:rPr>
              <w:t>Shtesa vjetore për vjetërsi (SHV)</w:t>
            </w:r>
          </w:p>
        </w:tc>
        <w:tc>
          <w:tcPr>
            <w:tcW w:w="2137" w:type="dxa"/>
          </w:tcPr>
          <w:p w:rsidR="008E501D" w:rsidRPr="00EE2391" w:rsidRDefault="008E501D" w:rsidP="008E501D">
            <w:pPr>
              <w:pStyle w:val="Tabele"/>
              <w:jc w:val="center"/>
              <w:rPr>
                <w:sz w:val="21"/>
                <w:szCs w:val="21"/>
              </w:rPr>
            </w:pPr>
            <w:r w:rsidRPr="00EE2391">
              <w:rPr>
                <w:sz w:val="21"/>
                <w:szCs w:val="21"/>
              </w:rPr>
              <w:t>Shtesa për kualifikim (SHK)</w:t>
            </w:r>
          </w:p>
        </w:tc>
        <w:tc>
          <w:tcPr>
            <w:tcW w:w="1620" w:type="dxa"/>
          </w:tcPr>
          <w:p w:rsidR="008E501D" w:rsidRPr="00EE2391" w:rsidRDefault="008E501D" w:rsidP="008E501D">
            <w:pPr>
              <w:pStyle w:val="Tabele"/>
              <w:jc w:val="center"/>
              <w:rPr>
                <w:sz w:val="21"/>
                <w:szCs w:val="21"/>
              </w:rPr>
            </w:pPr>
            <w:r w:rsidRPr="00EE2391">
              <w:rPr>
                <w:sz w:val="21"/>
                <w:szCs w:val="21"/>
              </w:rPr>
              <w:t>Shtesa për pozicion</w:t>
            </w:r>
          </w:p>
          <w:p w:rsidR="008E501D" w:rsidRPr="00EE2391" w:rsidRDefault="008E501D" w:rsidP="008E501D">
            <w:pPr>
              <w:pStyle w:val="Tabele"/>
              <w:jc w:val="center"/>
              <w:rPr>
                <w:sz w:val="21"/>
                <w:szCs w:val="21"/>
              </w:rPr>
            </w:pPr>
            <w:r w:rsidRPr="00EE2391">
              <w:rPr>
                <w:sz w:val="21"/>
                <w:szCs w:val="21"/>
              </w:rPr>
              <w:t>( SHP)</w:t>
            </w:r>
          </w:p>
        </w:tc>
      </w:tr>
      <w:tr w:rsidR="008E501D" w:rsidRPr="00EE2391">
        <w:tc>
          <w:tcPr>
            <w:tcW w:w="0" w:type="auto"/>
          </w:tcPr>
          <w:p w:rsidR="008E501D" w:rsidRPr="00EE2391" w:rsidRDefault="008E501D" w:rsidP="008E501D">
            <w:pPr>
              <w:pStyle w:val="Tabele"/>
              <w:rPr>
                <w:sz w:val="21"/>
                <w:szCs w:val="21"/>
              </w:rPr>
            </w:pPr>
            <w:r w:rsidRPr="00EE2391">
              <w:rPr>
                <w:sz w:val="21"/>
                <w:szCs w:val="21"/>
              </w:rPr>
              <w:t>Kryetar</w:t>
            </w:r>
          </w:p>
        </w:tc>
        <w:tc>
          <w:tcPr>
            <w:tcW w:w="0" w:type="auto"/>
          </w:tcPr>
          <w:p w:rsidR="008E501D" w:rsidRPr="00EE2391" w:rsidRDefault="008E501D" w:rsidP="008E501D">
            <w:pPr>
              <w:pStyle w:val="Tabele"/>
              <w:jc w:val="center"/>
              <w:rPr>
                <w:sz w:val="21"/>
                <w:szCs w:val="21"/>
              </w:rPr>
            </w:pPr>
            <w:r w:rsidRPr="00EE2391">
              <w:rPr>
                <w:sz w:val="21"/>
                <w:szCs w:val="21"/>
              </w:rPr>
              <w:t>9 000</w:t>
            </w:r>
          </w:p>
        </w:tc>
        <w:tc>
          <w:tcPr>
            <w:tcW w:w="0" w:type="auto"/>
          </w:tcPr>
          <w:p w:rsidR="008E501D" w:rsidRPr="00EE2391" w:rsidRDefault="008E501D" w:rsidP="008E501D">
            <w:pPr>
              <w:pStyle w:val="Tabele"/>
              <w:jc w:val="center"/>
              <w:rPr>
                <w:sz w:val="21"/>
                <w:szCs w:val="21"/>
              </w:rPr>
            </w:pPr>
            <w:r w:rsidRPr="00EE2391">
              <w:rPr>
                <w:sz w:val="21"/>
                <w:szCs w:val="21"/>
              </w:rPr>
              <w:t>2 %</w:t>
            </w:r>
          </w:p>
        </w:tc>
        <w:tc>
          <w:tcPr>
            <w:tcW w:w="2137" w:type="dxa"/>
          </w:tcPr>
          <w:p w:rsidR="008E501D" w:rsidRPr="00EE2391" w:rsidRDefault="008E501D" w:rsidP="008E501D">
            <w:pPr>
              <w:pStyle w:val="Tabele"/>
              <w:jc w:val="center"/>
              <w:rPr>
                <w:sz w:val="21"/>
                <w:szCs w:val="21"/>
              </w:rPr>
            </w:pPr>
            <w:r w:rsidRPr="00EE2391">
              <w:rPr>
                <w:sz w:val="21"/>
                <w:szCs w:val="21"/>
              </w:rPr>
              <w:t>0</w:t>
            </w:r>
          </w:p>
        </w:tc>
        <w:tc>
          <w:tcPr>
            <w:tcW w:w="1620" w:type="dxa"/>
          </w:tcPr>
          <w:p w:rsidR="008E501D" w:rsidRPr="00EE2391" w:rsidRDefault="008E501D" w:rsidP="008E501D">
            <w:pPr>
              <w:pStyle w:val="Tabele"/>
              <w:jc w:val="center"/>
              <w:rPr>
                <w:sz w:val="21"/>
                <w:szCs w:val="21"/>
              </w:rPr>
            </w:pPr>
            <w:r w:rsidRPr="00EE2391">
              <w:rPr>
                <w:sz w:val="21"/>
                <w:szCs w:val="21"/>
              </w:rPr>
              <w:t>90 000</w:t>
            </w:r>
          </w:p>
        </w:tc>
      </w:tr>
      <w:tr w:rsidR="008E501D" w:rsidRPr="00EE2391">
        <w:tc>
          <w:tcPr>
            <w:tcW w:w="0" w:type="auto"/>
          </w:tcPr>
          <w:p w:rsidR="008E501D" w:rsidRPr="00EE2391" w:rsidRDefault="008E501D" w:rsidP="008E501D">
            <w:pPr>
              <w:pStyle w:val="Tabele"/>
              <w:rPr>
                <w:sz w:val="21"/>
                <w:szCs w:val="21"/>
              </w:rPr>
            </w:pPr>
            <w:r w:rsidRPr="00EE2391">
              <w:rPr>
                <w:sz w:val="21"/>
                <w:szCs w:val="21"/>
              </w:rPr>
              <w:t>Anëtar</w:t>
            </w:r>
          </w:p>
        </w:tc>
        <w:tc>
          <w:tcPr>
            <w:tcW w:w="0" w:type="auto"/>
          </w:tcPr>
          <w:p w:rsidR="008E501D" w:rsidRPr="00EE2391" w:rsidRDefault="008E501D" w:rsidP="008E501D">
            <w:pPr>
              <w:pStyle w:val="Tabele"/>
              <w:jc w:val="center"/>
              <w:rPr>
                <w:sz w:val="21"/>
                <w:szCs w:val="21"/>
              </w:rPr>
            </w:pPr>
            <w:r w:rsidRPr="00EE2391">
              <w:rPr>
                <w:sz w:val="21"/>
                <w:szCs w:val="21"/>
              </w:rPr>
              <w:t>9 000</w:t>
            </w:r>
          </w:p>
        </w:tc>
        <w:tc>
          <w:tcPr>
            <w:tcW w:w="0" w:type="auto"/>
          </w:tcPr>
          <w:p w:rsidR="008E501D" w:rsidRPr="00EE2391" w:rsidRDefault="008E501D" w:rsidP="008E501D">
            <w:pPr>
              <w:pStyle w:val="Tabele"/>
              <w:jc w:val="center"/>
              <w:rPr>
                <w:sz w:val="21"/>
                <w:szCs w:val="21"/>
              </w:rPr>
            </w:pPr>
            <w:r w:rsidRPr="00EE2391">
              <w:rPr>
                <w:sz w:val="21"/>
                <w:szCs w:val="21"/>
              </w:rPr>
              <w:t>2 %</w:t>
            </w:r>
          </w:p>
        </w:tc>
        <w:tc>
          <w:tcPr>
            <w:tcW w:w="2137" w:type="dxa"/>
          </w:tcPr>
          <w:p w:rsidR="008E501D" w:rsidRPr="00EE2391" w:rsidRDefault="008E501D" w:rsidP="008E501D">
            <w:pPr>
              <w:pStyle w:val="Tabele"/>
              <w:jc w:val="center"/>
              <w:rPr>
                <w:sz w:val="21"/>
                <w:szCs w:val="21"/>
              </w:rPr>
            </w:pPr>
            <w:r w:rsidRPr="00EE2391">
              <w:rPr>
                <w:sz w:val="21"/>
                <w:szCs w:val="21"/>
              </w:rPr>
              <w:t>0</w:t>
            </w:r>
          </w:p>
        </w:tc>
        <w:tc>
          <w:tcPr>
            <w:tcW w:w="1620" w:type="dxa"/>
          </w:tcPr>
          <w:p w:rsidR="008E501D" w:rsidRPr="00EE2391" w:rsidRDefault="008E501D" w:rsidP="008E501D">
            <w:pPr>
              <w:pStyle w:val="Tabele"/>
              <w:jc w:val="center"/>
              <w:rPr>
                <w:sz w:val="21"/>
                <w:szCs w:val="21"/>
              </w:rPr>
            </w:pPr>
            <w:r w:rsidRPr="00EE2391">
              <w:rPr>
                <w:sz w:val="21"/>
                <w:szCs w:val="21"/>
              </w:rPr>
              <w:t>55 000</w:t>
            </w:r>
          </w:p>
        </w:tc>
      </w:tr>
      <w:tr w:rsidR="008E501D" w:rsidRPr="00EE2391">
        <w:tc>
          <w:tcPr>
            <w:tcW w:w="0" w:type="auto"/>
          </w:tcPr>
          <w:p w:rsidR="008E501D" w:rsidRPr="00EE2391" w:rsidRDefault="008E501D" w:rsidP="008E501D">
            <w:pPr>
              <w:pStyle w:val="Tabele"/>
              <w:rPr>
                <w:sz w:val="21"/>
                <w:szCs w:val="21"/>
              </w:rPr>
            </w:pPr>
            <w:r w:rsidRPr="00EE2391">
              <w:rPr>
                <w:sz w:val="21"/>
                <w:szCs w:val="21"/>
              </w:rPr>
              <w:t>Specialist</w:t>
            </w:r>
          </w:p>
        </w:tc>
        <w:tc>
          <w:tcPr>
            <w:tcW w:w="0" w:type="auto"/>
          </w:tcPr>
          <w:p w:rsidR="008E501D" w:rsidRPr="00EE2391" w:rsidRDefault="008E501D" w:rsidP="008E501D">
            <w:pPr>
              <w:pStyle w:val="Tabele"/>
              <w:jc w:val="center"/>
              <w:rPr>
                <w:sz w:val="21"/>
                <w:szCs w:val="21"/>
              </w:rPr>
            </w:pPr>
            <w:r w:rsidRPr="00EE2391">
              <w:rPr>
                <w:sz w:val="21"/>
                <w:szCs w:val="21"/>
              </w:rPr>
              <w:t>9 000</w:t>
            </w:r>
          </w:p>
        </w:tc>
        <w:tc>
          <w:tcPr>
            <w:tcW w:w="0" w:type="auto"/>
          </w:tcPr>
          <w:p w:rsidR="008E501D" w:rsidRPr="00EE2391" w:rsidRDefault="008E501D" w:rsidP="008E501D">
            <w:pPr>
              <w:pStyle w:val="Tabele"/>
              <w:jc w:val="center"/>
              <w:rPr>
                <w:sz w:val="21"/>
                <w:szCs w:val="21"/>
              </w:rPr>
            </w:pPr>
            <w:r w:rsidRPr="00EE2391">
              <w:rPr>
                <w:sz w:val="21"/>
                <w:szCs w:val="21"/>
              </w:rPr>
              <w:t>2 %</w:t>
            </w:r>
          </w:p>
        </w:tc>
        <w:tc>
          <w:tcPr>
            <w:tcW w:w="2137" w:type="dxa"/>
          </w:tcPr>
          <w:p w:rsidR="008E501D" w:rsidRPr="00EE2391" w:rsidRDefault="008E501D" w:rsidP="008E501D">
            <w:pPr>
              <w:pStyle w:val="Tabele"/>
              <w:jc w:val="center"/>
              <w:rPr>
                <w:sz w:val="21"/>
                <w:szCs w:val="21"/>
              </w:rPr>
            </w:pPr>
            <w:r w:rsidRPr="00EE2391">
              <w:rPr>
                <w:sz w:val="21"/>
                <w:szCs w:val="21"/>
              </w:rPr>
              <w:t>0</w:t>
            </w:r>
          </w:p>
        </w:tc>
        <w:tc>
          <w:tcPr>
            <w:tcW w:w="1620" w:type="dxa"/>
          </w:tcPr>
          <w:p w:rsidR="008E501D" w:rsidRPr="00EE2391" w:rsidRDefault="008E501D" w:rsidP="008E501D">
            <w:pPr>
              <w:pStyle w:val="Tabele"/>
              <w:jc w:val="center"/>
              <w:rPr>
                <w:sz w:val="21"/>
                <w:szCs w:val="21"/>
              </w:rPr>
            </w:pPr>
            <w:r w:rsidRPr="00EE2391">
              <w:rPr>
                <w:sz w:val="21"/>
                <w:szCs w:val="21"/>
              </w:rPr>
              <w:t>20 000</w:t>
            </w:r>
          </w:p>
        </w:tc>
      </w:tr>
    </w:tbl>
    <w:p w:rsidR="008E501D" w:rsidRPr="00AA3124" w:rsidRDefault="008E501D" w:rsidP="008E501D">
      <w:pPr>
        <w:pStyle w:val="Paragrafi"/>
      </w:pPr>
    </w:p>
    <w:p w:rsidR="008E501D" w:rsidRPr="00FA7497" w:rsidRDefault="008E501D" w:rsidP="002032CE">
      <w:pPr>
        <w:pStyle w:val="Paragrafi"/>
        <w:rPr>
          <w:lang w:val="en-GB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E501D">
      <w:headerReference w:type="even" r:id="rId6"/>
      <w:footerReference w:type="even" r:id="rId7"/>
      <w:footerReference w:type="default" r:id="rId8"/>
      <w:pgSz w:w="11906" w:h="16838" w:code="9"/>
      <w:pgMar w:top="1418" w:right="1418" w:bottom="1418" w:left="1418" w:header="0" w:footer="1134" w:gutter="0"/>
      <w:pgNumType w:start="52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A1BC0">
      <w:r>
        <w:separator/>
      </w:r>
    </w:p>
  </w:endnote>
  <w:endnote w:type="continuationSeparator" w:id="0">
    <w:p w:rsidR="00000000" w:rsidRDefault="003A1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501D" w:rsidRDefault="008E501D" w:rsidP="008E501D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E501D" w:rsidRDefault="008E501D" w:rsidP="008E501D">
    <w:pPr>
      <w:pStyle w:val="Footer"/>
      <w:ind w:right="360" w:firstLine="360"/>
    </w:pPr>
  </w:p>
  <w:p w:rsidR="008E501D" w:rsidRDefault="008E501D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501D" w:rsidRPr="00177E03" w:rsidRDefault="008E501D" w:rsidP="008E501D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177E03">
      <w:rPr>
        <w:rStyle w:val="PageNumber"/>
        <w:rFonts w:ascii="CG Times" w:hAnsi="CG Times"/>
        <w:sz w:val="22"/>
        <w:szCs w:val="22"/>
      </w:rPr>
      <w:fldChar w:fldCharType="begin"/>
    </w:r>
    <w:r w:rsidRPr="00177E03">
      <w:rPr>
        <w:rStyle w:val="PageNumber"/>
        <w:rFonts w:ascii="CG Times" w:hAnsi="CG Times"/>
        <w:sz w:val="22"/>
        <w:szCs w:val="22"/>
      </w:rPr>
      <w:instrText xml:space="preserve">PAGE  </w:instrText>
    </w:r>
    <w:r w:rsidRPr="00177E03">
      <w:rPr>
        <w:rStyle w:val="PageNumber"/>
        <w:rFonts w:ascii="CG Times" w:hAnsi="CG Times"/>
        <w:sz w:val="22"/>
        <w:szCs w:val="22"/>
      </w:rPr>
      <w:fldChar w:fldCharType="separate"/>
    </w:r>
    <w:r w:rsidR="003A1BC0">
      <w:rPr>
        <w:rStyle w:val="PageNumber"/>
        <w:rFonts w:ascii="CG Times" w:hAnsi="CG Times"/>
        <w:noProof/>
        <w:sz w:val="22"/>
        <w:szCs w:val="22"/>
      </w:rPr>
      <w:t>522</w:t>
    </w:r>
    <w:r w:rsidRPr="00177E03">
      <w:rPr>
        <w:rStyle w:val="PageNumber"/>
        <w:rFonts w:ascii="CG Times" w:hAnsi="CG Times"/>
        <w:sz w:val="22"/>
        <w:szCs w:val="22"/>
      </w:rPr>
      <w:fldChar w:fldCharType="end"/>
    </w:r>
  </w:p>
  <w:p w:rsidR="008E501D" w:rsidRDefault="008E501D" w:rsidP="008E501D">
    <w:pPr>
      <w:pStyle w:val="Footer"/>
      <w:ind w:right="360" w:firstLine="360"/>
    </w:pPr>
  </w:p>
  <w:p w:rsidR="008E501D" w:rsidRDefault="008E501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A1BC0">
      <w:r>
        <w:separator/>
      </w:r>
    </w:p>
  </w:footnote>
  <w:footnote w:type="continuationSeparator" w:id="0">
    <w:p w:rsidR="00000000" w:rsidRDefault="003A1B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501D" w:rsidRDefault="008E501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032CE"/>
    <w:rsid w:val="0022170D"/>
    <w:rsid w:val="002C6BAB"/>
    <w:rsid w:val="00304413"/>
    <w:rsid w:val="00383FD5"/>
    <w:rsid w:val="003941D1"/>
    <w:rsid w:val="003A1BC0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8E501D"/>
    <w:rsid w:val="009C29DF"/>
    <w:rsid w:val="009F72BC"/>
    <w:rsid w:val="00A0784B"/>
    <w:rsid w:val="00A246D1"/>
    <w:rsid w:val="00A47BC4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8E180FF-8334-4809-BA40-16CBCC69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01D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8E501D"/>
    <w:rPr>
      <w:rFonts w:ascii="CG Times" w:hAnsi="CG Times"/>
      <w:b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8E501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E501D"/>
  </w:style>
  <w:style w:type="character" w:customStyle="1" w:styleId="VENDOSIChar">
    <w:name w:val="VENDOSI Char"/>
    <w:basedOn w:val="DefaultParagraphFont"/>
    <w:link w:val="VENDOSI"/>
    <w:rsid w:val="008E501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621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2019-03-14T17:11:00Z</dcterms:created>
  <dcterms:modified xsi:type="dcterms:W3CDTF">2019-03-14T17:11:00Z</dcterms:modified>
</cp:coreProperties>
</file>