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BE1" w:rsidRDefault="00B36BE1" w:rsidP="00B36BE1">
      <w:pPr>
        <w:pStyle w:val="Akti"/>
        <w:keepNext w:val="0"/>
      </w:pPr>
      <w:bookmarkStart w:id="0" w:name="_GoBack"/>
      <w:bookmarkEnd w:id="0"/>
      <w:r>
        <w:t>Vendim</w:t>
      </w:r>
    </w:p>
    <w:p w:rsidR="00B36BE1" w:rsidRDefault="00B36BE1" w:rsidP="00B36BE1">
      <w:pPr>
        <w:pStyle w:val="NumriData"/>
        <w:keepNext w:val="0"/>
      </w:pPr>
      <w:r>
        <w:t>Nr.206</w:t>
      </w:r>
      <w:r w:rsidRPr="00D67604">
        <w:t>, datë 16.4.2004</w:t>
      </w:r>
    </w:p>
    <w:p w:rsidR="00B36BE1" w:rsidRDefault="00B36BE1" w:rsidP="00B36BE1">
      <w:pPr>
        <w:pStyle w:val="Paragrafi"/>
      </w:pPr>
    </w:p>
    <w:p w:rsidR="00B36BE1" w:rsidRDefault="00B36BE1" w:rsidP="00B36BE1">
      <w:pPr>
        <w:pStyle w:val="Titulli"/>
        <w:keepNext w:val="0"/>
      </w:pPr>
      <w:r>
        <w:t>Për një shtesë në vendimin nr.363, datë 18.7.2002 të këshillit të ministrave “Për vendosjen e oponencës teknike për projektet e ndërtimit të objekteve”</w:t>
      </w:r>
    </w:p>
    <w:p w:rsidR="00B36BE1" w:rsidRDefault="00B36BE1" w:rsidP="00B36BE1">
      <w:pPr>
        <w:pStyle w:val="Paragrafi"/>
      </w:pPr>
    </w:p>
    <w:p w:rsidR="00B36BE1" w:rsidRDefault="00B36BE1" w:rsidP="00B36BE1">
      <w:pPr>
        <w:pStyle w:val="Paragrafi"/>
      </w:pPr>
      <w:r>
        <w:t>Në mbështetje të nenit 100 të Kushtetutës, të neneve 6 e 18 të ligjit nr.8402, datë 10.9.1998 “Për kontrollin dhe disiplinimin e punimeve të ndërtimit” dhe të neneve 124 dhe 128 të ligjit nr. 8485, datë 12.5.1999 “Kodi i Procedurave Administrative të Republikës së Shqipërisë”, me propozimin e Ministrit të Rregullimit të Territorit dhe të Turizmit, Këshilli i Ministrave</w:t>
      </w:r>
    </w:p>
    <w:p w:rsidR="00B36BE1" w:rsidRDefault="00B36BE1" w:rsidP="00B36BE1">
      <w:pPr>
        <w:pStyle w:val="Paragrafi"/>
      </w:pPr>
    </w:p>
    <w:p w:rsidR="00B36BE1" w:rsidRDefault="00B36BE1" w:rsidP="00B36BE1">
      <w:pPr>
        <w:pStyle w:val="VENDOSI"/>
        <w:keepNext w:val="0"/>
      </w:pPr>
      <w:r>
        <w:t>Vendosi:</w:t>
      </w:r>
    </w:p>
    <w:p w:rsidR="00B36BE1" w:rsidRDefault="00B36BE1" w:rsidP="00B36BE1">
      <w:pPr>
        <w:pStyle w:val="Paragrafi"/>
      </w:pPr>
    </w:p>
    <w:p w:rsidR="00B36BE1" w:rsidRDefault="00B36BE1" w:rsidP="00B36BE1">
      <w:pPr>
        <w:pStyle w:val="Paragrafi"/>
      </w:pPr>
      <w:r>
        <w:t>Në vendimin nr.363, datë 18.7.2002 të Këshillit të Ministrave të bëhet kjo shtesë:</w:t>
      </w:r>
    </w:p>
    <w:p w:rsidR="00B36BE1" w:rsidRDefault="00B36BE1" w:rsidP="00B36BE1">
      <w:pPr>
        <w:pStyle w:val="Paragrafi"/>
      </w:pPr>
      <w:r>
        <w:t>Pas pikës 4 shtohet pika 4/1, me këtë përmbajtje:</w:t>
      </w:r>
    </w:p>
    <w:p w:rsidR="00B36BE1" w:rsidRDefault="00B36BE1" w:rsidP="00B36BE1">
      <w:pPr>
        <w:pStyle w:val="Paragrafi"/>
      </w:pPr>
      <w:r>
        <w:t>“4/1. Tarifat për oponencën teknike të projekteve të jenë sipas lidhjes, që i bashkëlidhet këtij vendimi.”.</w:t>
      </w:r>
    </w:p>
    <w:p w:rsidR="00B36BE1" w:rsidRDefault="00B36BE1" w:rsidP="00B36BE1">
      <w:pPr>
        <w:pStyle w:val="Paragrafi"/>
      </w:pPr>
      <w:r>
        <w:t>Ky vendim hyn në fuqi pas botimit në Fletoren Zyrtare.</w:t>
      </w:r>
    </w:p>
    <w:p w:rsidR="00B36BE1" w:rsidRDefault="00B36BE1" w:rsidP="00B36BE1">
      <w:pPr>
        <w:pStyle w:val="Paragrafi"/>
      </w:pPr>
    </w:p>
    <w:p w:rsidR="00B36BE1" w:rsidRPr="00D67604" w:rsidRDefault="00B36BE1" w:rsidP="00B36BE1">
      <w:pPr>
        <w:pStyle w:val="Autoriteti"/>
        <w:keepNext w:val="0"/>
      </w:pPr>
      <w:r w:rsidRPr="00D67604">
        <w:t xml:space="preserve">Kryeministri </w:t>
      </w:r>
    </w:p>
    <w:p w:rsidR="00B36BE1" w:rsidRDefault="00B36BE1" w:rsidP="00B36BE1">
      <w:pPr>
        <w:pStyle w:val="AutoritetiEmer"/>
      </w:pPr>
      <w:r w:rsidRPr="00D67604">
        <w:t xml:space="preserve">Fatos Nano </w:t>
      </w:r>
    </w:p>
    <w:p w:rsidR="00B36BE1" w:rsidRDefault="00B36BE1" w:rsidP="00B36BE1">
      <w:pPr>
        <w:pStyle w:val="Paragrafi"/>
      </w:pPr>
    </w:p>
    <w:p w:rsidR="00B36BE1" w:rsidRDefault="00B36BE1" w:rsidP="00B36BE1">
      <w:pPr>
        <w:pStyle w:val="Paragrafi"/>
      </w:pPr>
    </w:p>
    <w:p w:rsidR="00B36BE1" w:rsidRDefault="00B36BE1" w:rsidP="00B36BE1">
      <w:pPr>
        <w:pStyle w:val="TitulliTitull"/>
        <w:keepNext w:val="0"/>
      </w:pPr>
      <w:r>
        <w:t xml:space="preserve">Tarifat për oponencën teknike për projektet e ndërtimit të objekteve </w:t>
      </w:r>
    </w:p>
    <w:p w:rsidR="00B36BE1" w:rsidRDefault="00B36BE1" w:rsidP="00B36BE1">
      <w:pPr>
        <w:pStyle w:val="Paragrafi"/>
      </w:pPr>
    </w:p>
    <w:p w:rsidR="00B36BE1" w:rsidRDefault="00B36BE1" w:rsidP="00B36BE1">
      <w:pPr>
        <w:pStyle w:val="Paragrafi"/>
      </w:pPr>
      <w:r>
        <w:t>Tarifat për oponencën teknike për projektet e ndërtimit të objekteve i referohen tarifës në përqindje të projektimit, drejtimit dhe kolaudimit të punimeve të ndërtimit, si më poshtë:</w:t>
      </w:r>
    </w:p>
    <w:p w:rsidR="00B36BE1" w:rsidRDefault="00B36BE1" w:rsidP="00B36BE1">
      <w:pPr>
        <w:pStyle w:val="Paragrafi"/>
      </w:pPr>
      <w:r>
        <w:t xml:space="preserve"> </w:t>
      </w:r>
    </w:p>
    <w:tbl>
      <w:tblPr>
        <w:tblStyle w:val="TableGrid"/>
        <w:tblW w:w="0" w:type="auto"/>
        <w:tblInd w:w="1368" w:type="dxa"/>
        <w:tblLook w:val="01E0" w:firstRow="1" w:lastRow="1" w:firstColumn="1" w:lastColumn="1" w:noHBand="0" w:noVBand="0"/>
      </w:tblPr>
      <w:tblGrid>
        <w:gridCol w:w="3275"/>
        <w:gridCol w:w="2485"/>
      </w:tblGrid>
      <w:tr w:rsidR="00B36BE1" w:rsidRPr="00517858">
        <w:tc>
          <w:tcPr>
            <w:tcW w:w="327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Kushtimi</w:t>
            </w:r>
            <w:r>
              <w:t xml:space="preserve"> </w:t>
            </w:r>
            <w:r w:rsidRPr="00517858">
              <w:t>(milion/lekë)</w:t>
            </w:r>
          </w:p>
        </w:tc>
        <w:tc>
          <w:tcPr>
            <w:tcW w:w="248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Tarifa</w:t>
            </w:r>
            <w:r>
              <w:t xml:space="preserve"> </w:t>
            </w:r>
            <w:r w:rsidRPr="00517858">
              <w:t>(në%)</w:t>
            </w:r>
          </w:p>
        </w:tc>
      </w:tr>
      <w:tr w:rsidR="00B36BE1" w:rsidRPr="00517858">
        <w:tc>
          <w:tcPr>
            <w:tcW w:w="327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100,00</w:t>
            </w:r>
          </w:p>
        </w:tc>
        <w:tc>
          <w:tcPr>
            <w:tcW w:w="248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7.0</w:t>
            </w:r>
          </w:p>
        </w:tc>
      </w:tr>
      <w:tr w:rsidR="00B36BE1" w:rsidRPr="00517858">
        <w:tc>
          <w:tcPr>
            <w:tcW w:w="327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150,00</w:t>
            </w:r>
          </w:p>
        </w:tc>
        <w:tc>
          <w:tcPr>
            <w:tcW w:w="248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6.5</w:t>
            </w:r>
          </w:p>
        </w:tc>
      </w:tr>
      <w:tr w:rsidR="00B36BE1" w:rsidRPr="00517858">
        <w:tc>
          <w:tcPr>
            <w:tcW w:w="327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200,00</w:t>
            </w:r>
          </w:p>
        </w:tc>
        <w:tc>
          <w:tcPr>
            <w:tcW w:w="248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6.0</w:t>
            </w:r>
          </w:p>
        </w:tc>
      </w:tr>
      <w:tr w:rsidR="00B36BE1" w:rsidRPr="00517858">
        <w:tc>
          <w:tcPr>
            <w:tcW w:w="327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300,00</w:t>
            </w:r>
          </w:p>
        </w:tc>
        <w:tc>
          <w:tcPr>
            <w:tcW w:w="248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5.5</w:t>
            </w:r>
          </w:p>
        </w:tc>
      </w:tr>
      <w:tr w:rsidR="00B36BE1" w:rsidRPr="00517858">
        <w:tc>
          <w:tcPr>
            <w:tcW w:w="3275" w:type="dxa"/>
          </w:tcPr>
          <w:p w:rsidR="00B36BE1" w:rsidRPr="00517858" w:rsidRDefault="00B36BE1" w:rsidP="00B36BE1">
            <w:pPr>
              <w:pStyle w:val="Tabele"/>
            </w:pPr>
            <w:r>
              <w:t xml:space="preserve">            Mbi </w:t>
            </w:r>
            <w:r w:rsidRPr="00517858">
              <w:t>300,00</w:t>
            </w:r>
          </w:p>
        </w:tc>
        <w:tc>
          <w:tcPr>
            <w:tcW w:w="2485" w:type="dxa"/>
          </w:tcPr>
          <w:p w:rsidR="00B36BE1" w:rsidRPr="00517858" w:rsidRDefault="00B36BE1" w:rsidP="00B36BE1">
            <w:pPr>
              <w:pStyle w:val="Tabele"/>
              <w:jc w:val="center"/>
            </w:pPr>
            <w:r w:rsidRPr="00517858">
              <w:t>5.0</w:t>
            </w:r>
          </w:p>
        </w:tc>
      </w:tr>
    </w:tbl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192C"/>
    <w:rsid w:val="00A0784B"/>
    <w:rsid w:val="00A16F91"/>
    <w:rsid w:val="00A246D1"/>
    <w:rsid w:val="00A47BC4"/>
    <w:rsid w:val="00A923BE"/>
    <w:rsid w:val="00AA3124"/>
    <w:rsid w:val="00AA4D4B"/>
    <w:rsid w:val="00B36BE1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DF187C-E718-40A7-9499-6D573455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BE1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36BE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