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F78" w:rsidRDefault="00256F78" w:rsidP="00256F78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256F78" w:rsidRDefault="00256F78" w:rsidP="00256F78">
      <w:pPr>
        <w:pStyle w:val="NumriData"/>
        <w:keepNext w:val="0"/>
      </w:pPr>
      <w:r>
        <w:t>Nr.324, datë 21.5.2004</w:t>
      </w:r>
    </w:p>
    <w:p w:rsidR="00256F78" w:rsidRDefault="00256F78" w:rsidP="00256F78">
      <w:pPr>
        <w:pStyle w:val="Paragrafi"/>
      </w:pPr>
    </w:p>
    <w:p w:rsidR="00256F78" w:rsidRDefault="00256F78" w:rsidP="00256F78">
      <w:pPr>
        <w:pStyle w:val="Titulli"/>
        <w:keepNext w:val="0"/>
      </w:pPr>
      <w:r>
        <w:t xml:space="preserve">Për përcaktimin e kritereve për funksionet drejtuesE dhe për strukturën e nivelet e pagave në ministrinë e punëve të jashtme </w:t>
      </w:r>
    </w:p>
    <w:p w:rsidR="00256F78" w:rsidRDefault="00256F78" w:rsidP="00256F78">
      <w:pPr>
        <w:pStyle w:val="Paragrafi"/>
      </w:pPr>
    </w:p>
    <w:p w:rsidR="00256F78" w:rsidRDefault="00256F78" w:rsidP="00256F78">
      <w:pPr>
        <w:pStyle w:val="BazLigjPropozues"/>
        <w:keepNext w:val="0"/>
      </w:pPr>
      <w:r>
        <w:t>Në mbështetje të nenit 100 të Kushtetutës, të neneve  18 dhe 29 të ligjit nr.8549, datë 11.11.1999 “Statusi i nëpunësit civili”, të nenit 5/1 të ligjit nr.8487, datë 13.5.1999 “Për kompetencat për caktimin e pagave të punës” dhe të nenit 45 të ligjit nr.9095, datë 3.7.2003 “Për shërbimin e jashtëm të Republikës së Shqipërisë”, me propozimin e Ministrit të Shtetit për Koordinimin dhe të Ministrit të Financave, Këshilli i Ministrave</w:t>
      </w:r>
    </w:p>
    <w:p w:rsidR="00256F78" w:rsidRDefault="00256F78" w:rsidP="00256F78">
      <w:pPr>
        <w:pStyle w:val="Paragrafi"/>
      </w:pPr>
    </w:p>
    <w:p w:rsidR="00256F78" w:rsidRDefault="00256F78" w:rsidP="00256F78">
      <w:pPr>
        <w:pStyle w:val="VENDOSI"/>
        <w:keepNext w:val="0"/>
      </w:pPr>
      <w:r>
        <w:t>Vendosi:</w:t>
      </w:r>
    </w:p>
    <w:p w:rsidR="00256F78" w:rsidRDefault="00256F78" w:rsidP="00256F78">
      <w:pPr>
        <w:pStyle w:val="Paragrafi"/>
      </w:pPr>
    </w:p>
    <w:p w:rsidR="00256F78" w:rsidRDefault="00256F78" w:rsidP="00256F78">
      <w:pPr>
        <w:pStyle w:val="Paragrafi"/>
      </w:pPr>
      <w:r>
        <w:t>1. Nëpunësit e Ministrisë së Punëve të Jashtme, të cilët gëzojnë të drejtën e gradës, paguhen në bazë të gradës diplomatike/konsullore, e cila përcaktohet në lidhjen 1, që i bashkëlidhet dhe është pjesë përbërëse e këtij vendimi.</w:t>
      </w:r>
    </w:p>
    <w:p w:rsidR="00256F78" w:rsidRDefault="00256F78" w:rsidP="00256F78">
      <w:pPr>
        <w:pStyle w:val="Paragrafi"/>
      </w:pPr>
      <w:r>
        <w:t>2. Në funksionet drejtuese, të përcaktuara në strukturën e Ministrisë së Punëve të Jashtme, emërohen:</w:t>
      </w:r>
    </w:p>
    <w:p w:rsidR="00256F78" w:rsidRDefault="00256F78" w:rsidP="00256F78">
      <w:pPr>
        <w:pStyle w:val="Paragrafi"/>
      </w:pPr>
      <w:r>
        <w:t>a) “Përgjegjës sektori” nëpunësit e shërbimit të jashtëm, me gradë diplomatike jo më të ulët se “Sekretar i parë” apo të barasvlefshme me të;</w:t>
      </w:r>
    </w:p>
    <w:p w:rsidR="00256F78" w:rsidRDefault="00256F78" w:rsidP="00256F78">
      <w:pPr>
        <w:pStyle w:val="Paragrafi"/>
      </w:pPr>
      <w:r>
        <w:t>b) “Drejtor drejtorie” nëpunësit e shërbimit të jashtëm me gradë diplomatike jo më të ulët se “Këshilltar” apo të barasvlefshme me të;</w:t>
      </w:r>
    </w:p>
    <w:p w:rsidR="00256F78" w:rsidRDefault="00256F78" w:rsidP="00256F78">
      <w:pPr>
        <w:pStyle w:val="Paragrafi"/>
      </w:pPr>
      <w:r>
        <w:t>c) “Drejtor i Drejtorisë së Përgjithshme” nëpunësit e shërbimit të jashtëm me gradë diplomatike jo më të ulët se “Ministër këshilltar” ose “Ministër fuqiplotë” apo të barasvlefshme me to.</w:t>
      </w:r>
    </w:p>
    <w:p w:rsidR="00256F78" w:rsidRDefault="00256F78" w:rsidP="00256F78">
      <w:pPr>
        <w:pStyle w:val="Paragrafi"/>
      </w:pPr>
      <w:r>
        <w:t>3. Kur në funksione drejtuese emërohen nëpunës të shërbimit të jashtëm me gradë më të lartë se ajo e përcaktuar për funksionin përkatës, sipas pikës 2 këtij vendimi, ata paguhen sipas gradës diplomatike/konsullore që kanë.</w:t>
      </w:r>
    </w:p>
    <w:p w:rsidR="00256F78" w:rsidRDefault="00256F78" w:rsidP="00256F78">
      <w:pPr>
        <w:pStyle w:val="Paragrafi"/>
      </w:pPr>
      <w:r>
        <w:t>4. Kur nëpunësit e shërbimit të jashtëm me gradë diplomatike/konsullore nga “Sekretari i parë” e lart punësohen në pozicione pune më të ulët se pozicioni që i korrespondon gradës, sipas përcaktimit të pikës 2, ata paguhen në masën 10 për qind më pak se paga që u takon në bazë të gradës, pavarësisht nga pozicioni i punës ku janë punësuar.</w:t>
      </w:r>
    </w:p>
    <w:p w:rsidR="00256F78" w:rsidRDefault="00256F78" w:rsidP="00256F78">
      <w:pPr>
        <w:pStyle w:val="Paragrafi"/>
      </w:pPr>
      <w:r>
        <w:t>5. Nëpunësit e shërbimit të jashtëm, të emëruar në funksione drejtuese deri në hyrjen në fuqi të këtij vendimi, të cilët kanë gradë diplomatike/konsullore më të ulët se niveli i gradës që i korrespondon pozicionit të tyre drejtues, sipas pikës 2 të këtij vendimi, të paguhen sipas pagës së pozicionit që gëzojnë, përkatësisht “Drejtor i Drejtorisë së Përgjithshme”–IIa, “Drejtor drejtorie”-IIb dhe “Përgjegjës sektori”–IIIa, të përcaktuara në vendimin nr.711, datë 27.12.2001 të Këshillit të Ministrave, por jo më shumë se një vit nga hyrja në fuqi e këtij vendimi.</w:t>
      </w:r>
    </w:p>
    <w:p w:rsidR="00256F78" w:rsidRDefault="00256F78" w:rsidP="00256F78">
      <w:pPr>
        <w:pStyle w:val="Paragrafi"/>
      </w:pPr>
      <w:r>
        <w:t>6. Nëpunësit e tjerë të Ministrisë së Punëve të Jashtme, që nuk gëzojnë të drejtën e gradës diplomatike/konsullore, të paguhen sipas akteve nënligjore në fuqi.</w:t>
      </w:r>
    </w:p>
    <w:p w:rsidR="00256F78" w:rsidRDefault="00256F78" w:rsidP="00256F78">
      <w:pPr>
        <w:pStyle w:val="Paragrafi"/>
      </w:pPr>
      <w:r>
        <w:t>7. Efektet financiare që rrjedhin nga zbatimi i këtij vendimi, të përballohen nga buxheti i vitit 2004, miratuar për Ministrinë e Punëve të Jashtme.</w:t>
      </w:r>
    </w:p>
    <w:p w:rsidR="00256F78" w:rsidRPr="005152A3" w:rsidRDefault="00256F78" w:rsidP="00256F78">
      <w:pPr>
        <w:pStyle w:val="Paragrafi"/>
      </w:pPr>
      <w:r w:rsidRPr="005152A3">
        <w:t>Ky vendim hyn në fuqi pas botimit në Fletoren Zyrtare.</w:t>
      </w:r>
    </w:p>
    <w:p w:rsidR="00256F78" w:rsidRPr="005152A3" w:rsidRDefault="00256F78" w:rsidP="00256F78">
      <w:pPr>
        <w:pStyle w:val="Autoriteti"/>
        <w:keepNext w:val="0"/>
      </w:pPr>
      <w:r w:rsidRPr="005152A3">
        <w:t xml:space="preserve">KRYEMINISTRI </w:t>
      </w:r>
    </w:p>
    <w:p w:rsidR="00256F78" w:rsidRDefault="00256F78" w:rsidP="00256F78">
      <w:pPr>
        <w:pStyle w:val="AutoritetiEmer"/>
      </w:pPr>
      <w:r>
        <w:t>Fatos Nano</w:t>
      </w:r>
    </w:p>
    <w:p w:rsidR="00256F78" w:rsidRDefault="00256F78" w:rsidP="00256F78">
      <w:pPr>
        <w:pStyle w:val="TitulliNr"/>
        <w:keepNext w:val="0"/>
      </w:pPr>
    </w:p>
    <w:p w:rsidR="00256F78" w:rsidRDefault="00256F78" w:rsidP="00256F78">
      <w:pPr>
        <w:pStyle w:val="TitulliNr"/>
        <w:keepNext w:val="0"/>
      </w:pPr>
    </w:p>
    <w:p w:rsidR="00256F78" w:rsidRDefault="00256F78" w:rsidP="00256F78">
      <w:pPr>
        <w:pStyle w:val="TitulliNr"/>
        <w:keepNext w:val="0"/>
      </w:pPr>
    </w:p>
    <w:p w:rsidR="00256F78" w:rsidRDefault="00256F78" w:rsidP="00256F78">
      <w:pPr>
        <w:pStyle w:val="TitulliNr"/>
        <w:keepNext w:val="0"/>
      </w:pPr>
    </w:p>
    <w:p w:rsidR="00256F78" w:rsidRDefault="00256F78" w:rsidP="00256F78">
      <w:pPr>
        <w:pStyle w:val="TitulliNr"/>
        <w:keepNext w:val="0"/>
      </w:pPr>
    </w:p>
    <w:p w:rsidR="00256F78" w:rsidRDefault="00256F78" w:rsidP="00256F78">
      <w:pPr>
        <w:pStyle w:val="TitulliNr"/>
        <w:keepNext w:val="0"/>
      </w:pPr>
    </w:p>
    <w:p w:rsidR="00256F78" w:rsidRDefault="00256F78" w:rsidP="00256F78">
      <w:pPr>
        <w:pStyle w:val="TitulliNr"/>
        <w:keepNext w:val="0"/>
      </w:pPr>
    </w:p>
    <w:p w:rsidR="00256F78" w:rsidRDefault="00256F78" w:rsidP="00256F78">
      <w:pPr>
        <w:pStyle w:val="TitulliNr"/>
        <w:keepNext w:val="0"/>
      </w:pPr>
      <w:r>
        <w:t>Lidhja Nr.1</w:t>
      </w:r>
    </w:p>
    <w:p w:rsidR="00256F78" w:rsidRDefault="00256F78" w:rsidP="00256F78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088"/>
        <w:gridCol w:w="1260"/>
        <w:gridCol w:w="1980"/>
        <w:gridCol w:w="1977"/>
        <w:gridCol w:w="1551"/>
      </w:tblGrid>
      <w:tr w:rsidR="00256F78">
        <w:tc>
          <w:tcPr>
            <w:tcW w:w="8856" w:type="dxa"/>
            <w:gridSpan w:val="5"/>
          </w:tcPr>
          <w:p w:rsidR="00256F78" w:rsidRDefault="00256F78" w:rsidP="00256F78">
            <w:pPr>
              <w:pStyle w:val="Tabele"/>
              <w:jc w:val="center"/>
            </w:pPr>
            <w:r>
              <w:t>PAGA MUJORE</w:t>
            </w:r>
          </w:p>
        </w:tc>
      </w:tr>
      <w:tr w:rsidR="00256F78">
        <w:tc>
          <w:tcPr>
            <w:tcW w:w="2088" w:type="dxa"/>
          </w:tcPr>
          <w:p w:rsidR="00256F78" w:rsidRDefault="00256F78" w:rsidP="00256F78">
            <w:pPr>
              <w:pStyle w:val="Tabele"/>
            </w:pPr>
          </w:p>
        </w:tc>
        <w:tc>
          <w:tcPr>
            <w:tcW w:w="5217" w:type="dxa"/>
            <w:gridSpan w:val="3"/>
          </w:tcPr>
          <w:p w:rsidR="00256F78" w:rsidRDefault="00256F78" w:rsidP="00256F78">
            <w:pPr>
              <w:pStyle w:val="Tabele"/>
              <w:jc w:val="center"/>
            </w:pPr>
            <w:r>
              <w:t>PAGA INDIVIDUALE (PAGA BAZË)</w:t>
            </w:r>
          </w:p>
        </w:tc>
        <w:tc>
          <w:tcPr>
            <w:tcW w:w="1551" w:type="dxa"/>
          </w:tcPr>
          <w:p w:rsidR="00256F78" w:rsidRDefault="00256F78" w:rsidP="00256F78">
            <w:pPr>
              <w:pStyle w:val="Tabele"/>
            </w:pPr>
          </w:p>
        </w:tc>
      </w:tr>
      <w:tr w:rsidR="00256F78">
        <w:tc>
          <w:tcPr>
            <w:tcW w:w="2088" w:type="dxa"/>
            <w:vAlign w:val="center"/>
          </w:tcPr>
          <w:p w:rsidR="00256F78" w:rsidRDefault="00256F78" w:rsidP="00256F78">
            <w:pPr>
              <w:pStyle w:val="Tabele"/>
              <w:jc w:val="center"/>
            </w:pPr>
            <w:r>
              <w:t>Grada diplomatike</w:t>
            </w:r>
          </w:p>
        </w:tc>
        <w:tc>
          <w:tcPr>
            <w:tcW w:w="1260" w:type="dxa"/>
            <w:vAlign w:val="center"/>
          </w:tcPr>
          <w:p w:rsidR="00256F78" w:rsidRDefault="00256F78" w:rsidP="00256F78">
            <w:pPr>
              <w:pStyle w:val="Tabele"/>
              <w:jc w:val="center"/>
            </w:pPr>
            <w:r>
              <w:t>Paga e  grupit</w:t>
            </w:r>
          </w:p>
        </w:tc>
        <w:tc>
          <w:tcPr>
            <w:tcW w:w="1980" w:type="dxa"/>
            <w:vAlign w:val="center"/>
          </w:tcPr>
          <w:p w:rsidR="00256F78" w:rsidRDefault="00256F78" w:rsidP="00256F78">
            <w:pPr>
              <w:pStyle w:val="Tabele"/>
              <w:jc w:val="center"/>
            </w:pPr>
            <w:r>
              <w:t>Shtesa vjetore</w:t>
            </w:r>
          </w:p>
          <w:p w:rsidR="00256F78" w:rsidRDefault="00256F78" w:rsidP="00256F78">
            <w:pPr>
              <w:pStyle w:val="Tabele"/>
              <w:jc w:val="center"/>
            </w:pPr>
            <w:r>
              <w:t>për vjetërsi</w:t>
            </w:r>
          </w:p>
        </w:tc>
        <w:tc>
          <w:tcPr>
            <w:tcW w:w="1977" w:type="dxa"/>
            <w:vAlign w:val="center"/>
          </w:tcPr>
          <w:p w:rsidR="00256F78" w:rsidRDefault="00256F78" w:rsidP="00256F78">
            <w:pPr>
              <w:pStyle w:val="Tabele"/>
              <w:jc w:val="center"/>
            </w:pPr>
            <w:r>
              <w:t>Shtesa</w:t>
            </w:r>
          </w:p>
          <w:p w:rsidR="00256F78" w:rsidRDefault="00256F78" w:rsidP="00256F78">
            <w:pPr>
              <w:pStyle w:val="Tabele"/>
              <w:jc w:val="center"/>
            </w:pPr>
            <w:r>
              <w:t>për kualifikim</w:t>
            </w:r>
          </w:p>
        </w:tc>
        <w:tc>
          <w:tcPr>
            <w:tcW w:w="1551" w:type="dxa"/>
            <w:vAlign w:val="center"/>
          </w:tcPr>
          <w:p w:rsidR="00256F78" w:rsidRDefault="00256F78" w:rsidP="00256F78">
            <w:pPr>
              <w:pStyle w:val="Tabele"/>
              <w:jc w:val="center"/>
            </w:pPr>
            <w:r>
              <w:t>Shtesa</w:t>
            </w:r>
          </w:p>
          <w:p w:rsidR="00256F78" w:rsidRDefault="00256F78" w:rsidP="00256F78">
            <w:pPr>
              <w:pStyle w:val="Tabele"/>
              <w:jc w:val="center"/>
            </w:pPr>
            <w:r>
              <w:t>për gradë</w:t>
            </w:r>
          </w:p>
        </w:tc>
      </w:tr>
      <w:tr w:rsidR="00256F78">
        <w:tc>
          <w:tcPr>
            <w:tcW w:w="2088" w:type="dxa"/>
          </w:tcPr>
          <w:p w:rsidR="00256F78" w:rsidRDefault="00256F78" w:rsidP="00256F78">
            <w:pPr>
              <w:pStyle w:val="Tabele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256F78" w:rsidRDefault="00256F78" w:rsidP="00256F78">
            <w:pPr>
              <w:pStyle w:val="Tabele"/>
              <w:jc w:val="center"/>
            </w:pPr>
            <w:r>
              <w:t>2</w:t>
            </w:r>
          </w:p>
        </w:tc>
        <w:tc>
          <w:tcPr>
            <w:tcW w:w="1980" w:type="dxa"/>
          </w:tcPr>
          <w:p w:rsidR="00256F78" w:rsidRDefault="00256F78" w:rsidP="00256F78">
            <w:pPr>
              <w:pStyle w:val="Tabele"/>
              <w:jc w:val="center"/>
            </w:pPr>
            <w:r>
              <w:t>3</w:t>
            </w:r>
          </w:p>
        </w:tc>
        <w:tc>
          <w:tcPr>
            <w:tcW w:w="1977" w:type="dxa"/>
          </w:tcPr>
          <w:p w:rsidR="00256F78" w:rsidRDefault="00256F78" w:rsidP="00256F78">
            <w:pPr>
              <w:pStyle w:val="Tabele"/>
              <w:jc w:val="center"/>
            </w:pPr>
            <w:r>
              <w:t>4</w:t>
            </w:r>
          </w:p>
        </w:tc>
        <w:tc>
          <w:tcPr>
            <w:tcW w:w="1551" w:type="dxa"/>
          </w:tcPr>
          <w:p w:rsidR="00256F78" w:rsidRDefault="00256F78" w:rsidP="00256F78">
            <w:pPr>
              <w:pStyle w:val="Tabele"/>
              <w:jc w:val="center"/>
            </w:pPr>
            <w:r>
              <w:t>5</w:t>
            </w:r>
          </w:p>
        </w:tc>
      </w:tr>
      <w:tr w:rsidR="00256F78">
        <w:tc>
          <w:tcPr>
            <w:tcW w:w="2088" w:type="dxa"/>
          </w:tcPr>
          <w:p w:rsidR="00256F78" w:rsidRDefault="00256F78" w:rsidP="00256F78">
            <w:pPr>
              <w:pStyle w:val="Tabele"/>
            </w:pPr>
            <w:r>
              <w:t>Ambasador</w:t>
            </w:r>
          </w:p>
        </w:tc>
        <w:tc>
          <w:tcPr>
            <w:tcW w:w="1260" w:type="dxa"/>
          </w:tcPr>
          <w:p w:rsidR="00256F78" w:rsidRDefault="00256F78" w:rsidP="00256F78">
            <w:pPr>
              <w:pStyle w:val="Tabele"/>
            </w:pPr>
            <w:r>
              <w:t>9 000</w:t>
            </w:r>
          </w:p>
        </w:tc>
        <w:tc>
          <w:tcPr>
            <w:tcW w:w="1980" w:type="dxa"/>
          </w:tcPr>
          <w:p w:rsidR="00256F78" w:rsidRDefault="00256F78" w:rsidP="00256F78">
            <w:pPr>
              <w:pStyle w:val="Tabele"/>
            </w:pPr>
            <w:r>
              <w:t>2 %</w:t>
            </w:r>
          </w:p>
        </w:tc>
        <w:tc>
          <w:tcPr>
            <w:tcW w:w="1977" w:type="dxa"/>
          </w:tcPr>
          <w:p w:rsidR="00256F78" w:rsidRDefault="00256F78" w:rsidP="00256F78">
            <w:pPr>
              <w:pStyle w:val="Tabele"/>
            </w:pPr>
            <w:r>
              <w:t>0</w:t>
            </w:r>
          </w:p>
        </w:tc>
        <w:tc>
          <w:tcPr>
            <w:tcW w:w="1551" w:type="dxa"/>
          </w:tcPr>
          <w:p w:rsidR="00256F78" w:rsidRDefault="00256F78" w:rsidP="00256F78">
            <w:pPr>
              <w:pStyle w:val="Tabele"/>
            </w:pPr>
            <w:r>
              <w:t>100 000</w:t>
            </w:r>
          </w:p>
        </w:tc>
      </w:tr>
      <w:tr w:rsidR="00256F78">
        <w:tc>
          <w:tcPr>
            <w:tcW w:w="2088" w:type="dxa"/>
          </w:tcPr>
          <w:p w:rsidR="00256F78" w:rsidRDefault="00256F78" w:rsidP="00256F78">
            <w:pPr>
              <w:pStyle w:val="Tabele"/>
            </w:pPr>
            <w:r>
              <w:t>Ministër fuqiplotë</w:t>
            </w:r>
          </w:p>
          <w:p w:rsidR="00256F78" w:rsidRDefault="00256F78" w:rsidP="00256F78">
            <w:pPr>
              <w:pStyle w:val="Tabele"/>
            </w:pPr>
            <w:r>
              <w:t>Ministër këshilltar</w:t>
            </w:r>
          </w:p>
          <w:p w:rsidR="00256F78" w:rsidRDefault="00256F78" w:rsidP="00256F78">
            <w:pPr>
              <w:pStyle w:val="Tabele"/>
            </w:pPr>
            <w:r>
              <w:t>Konsull i</w:t>
            </w:r>
          </w:p>
          <w:p w:rsidR="00256F78" w:rsidRDefault="00256F78" w:rsidP="00256F78">
            <w:pPr>
              <w:pStyle w:val="Tabele"/>
            </w:pPr>
            <w:r>
              <w:t>Përgjithshëm</w:t>
            </w:r>
          </w:p>
        </w:tc>
        <w:tc>
          <w:tcPr>
            <w:tcW w:w="1260" w:type="dxa"/>
          </w:tcPr>
          <w:p w:rsidR="00256F78" w:rsidRDefault="00256F78" w:rsidP="00256F78">
            <w:pPr>
              <w:pStyle w:val="Tabele"/>
            </w:pPr>
            <w:r>
              <w:t>9 000</w:t>
            </w:r>
          </w:p>
        </w:tc>
        <w:tc>
          <w:tcPr>
            <w:tcW w:w="1980" w:type="dxa"/>
          </w:tcPr>
          <w:p w:rsidR="00256F78" w:rsidRDefault="00256F78" w:rsidP="00256F78">
            <w:pPr>
              <w:pStyle w:val="Tabele"/>
            </w:pPr>
            <w:r>
              <w:t>2 %</w:t>
            </w:r>
          </w:p>
        </w:tc>
        <w:tc>
          <w:tcPr>
            <w:tcW w:w="1977" w:type="dxa"/>
          </w:tcPr>
          <w:p w:rsidR="00256F78" w:rsidRDefault="00256F78" w:rsidP="00256F78">
            <w:pPr>
              <w:pStyle w:val="Tabele"/>
            </w:pPr>
            <w:r>
              <w:t>0</w:t>
            </w:r>
          </w:p>
        </w:tc>
        <w:tc>
          <w:tcPr>
            <w:tcW w:w="1551" w:type="dxa"/>
          </w:tcPr>
          <w:p w:rsidR="00256F78" w:rsidRDefault="00256F78" w:rsidP="00256F78">
            <w:pPr>
              <w:pStyle w:val="Tabele"/>
            </w:pPr>
            <w:r>
              <w:t>90 000</w:t>
            </w:r>
          </w:p>
        </w:tc>
      </w:tr>
      <w:tr w:rsidR="00256F78">
        <w:tc>
          <w:tcPr>
            <w:tcW w:w="2088" w:type="dxa"/>
          </w:tcPr>
          <w:p w:rsidR="00256F78" w:rsidRDefault="00256F78" w:rsidP="00256F78">
            <w:pPr>
              <w:pStyle w:val="Tabele"/>
            </w:pPr>
            <w:r>
              <w:t>Këshilltar</w:t>
            </w:r>
          </w:p>
        </w:tc>
        <w:tc>
          <w:tcPr>
            <w:tcW w:w="1260" w:type="dxa"/>
          </w:tcPr>
          <w:p w:rsidR="00256F78" w:rsidRDefault="00256F78" w:rsidP="00256F78">
            <w:pPr>
              <w:pStyle w:val="Tabele"/>
            </w:pPr>
            <w:r>
              <w:t>9 000</w:t>
            </w:r>
          </w:p>
        </w:tc>
        <w:tc>
          <w:tcPr>
            <w:tcW w:w="1980" w:type="dxa"/>
          </w:tcPr>
          <w:p w:rsidR="00256F78" w:rsidRDefault="00256F78" w:rsidP="00256F78">
            <w:pPr>
              <w:pStyle w:val="Tabele"/>
            </w:pPr>
            <w:r>
              <w:t>2 %</w:t>
            </w:r>
          </w:p>
        </w:tc>
        <w:tc>
          <w:tcPr>
            <w:tcW w:w="1977" w:type="dxa"/>
          </w:tcPr>
          <w:p w:rsidR="00256F78" w:rsidRDefault="00256F78" w:rsidP="00256F78">
            <w:pPr>
              <w:pStyle w:val="Tabele"/>
            </w:pPr>
            <w:r>
              <w:t>0</w:t>
            </w:r>
          </w:p>
        </w:tc>
        <w:tc>
          <w:tcPr>
            <w:tcW w:w="1551" w:type="dxa"/>
          </w:tcPr>
          <w:p w:rsidR="00256F78" w:rsidRDefault="00256F78" w:rsidP="00256F78">
            <w:pPr>
              <w:pStyle w:val="Tabele"/>
            </w:pPr>
            <w:r>
              <w:t>74 000</w:t>
            </w:r>
          </w:p>
        </w:tc>
      </w:tr>
      <w:tr w:rsidR="00256F78">
        <w:tc>
          <w:tcPr>
            <w:tcW w:w="2088" w:type="dxa"/>
          </w:tcPr>
          <w:p w:rsidR="00256F78" w:rsidRDefault="00256F78" w:rsidP="00256F78">
            <w:pPr>
              <w:pStyle w:val="Tabele"/>
            </w:pPr>
            <w:r>
              <w:t>Sekretar i parë</w:t>
            </w:r>
          </w:p>
          <w:p w:rsidR="00256F78" w:rsidRDefault="00256F78" w:rsidP="00256F78">
            <w:pPr>
              <w:pStyle w:val="Tabele"/>
            </w:pPr>
            <w:r>
              <w:t>Konsull</w:t>
            </w:r>
          </w:p>
        </w:tc>
        <w:tc>
          <w:tcPr>
            <w:tcW w:w="1260" w:type="dxa"/>
          </w:tcPr>
          <w:p w:rsidR="00256F78" w:rsidRDefault="00256F78" w:rsidP="00256F78">
            <w:pPr>
              <w:pStyle w:val="Tabele"/>
            </w:pPr>
            <w:r>
              <w:t>9 000</w:t>
            </w:r>
          </w:p>
        </w:tc>
        <w:tc>
          <w:tcPr>
            <w:tcW w:w="1980" w:type="dxa"/>
          </w:tcPr>
          <w:p w:rsidR="00256F78" w:rsidRDefault="00256F78" w:rsidP="00256F78">
            <w:pPr>
              <w:pStyle w:val="Tabele"/>
            </w:pPr>
            <w:r>
              <w:t>2 %</w:t>
            </w:r>
          </w:p>
        </w:tc>
        <w:tc>
          <w:tcPr>
            <w:tcW w:w="1977" w:type="dxa"/>
          </w:tcPr>
          <w:p w:rsidR="00256F78" w:rsidRDefault="00256F78" w:rsidP="00256F78">
            <w:pPr>
              <w:pStyle w:val="Tabele"/>
            </w:pPr>
            <w:r>
              <w:t>0</w:t>
            </w:r>
          </w:p>
        </w:tc>
        <w:tc>
          <w:tcPr>
            <w:tcW w:w="1551" w:type="dxa"/>
          </w:tcPr>
          <w:p w:rsidR="00256F78" w:rsidRDefault="00256F78" w:rsidP="00256F78">
            <w:pPr>
              <w:pStyle w:val="Tabele"/>
            </w:pPr>
            <w:r>
              <w:t>55 000</w:t>
            </w:r>
          </w:p>
        </w:tc>
      </w:tr>
      <w:tr w:rsidR="00256F78">
        <w:tc>
          <w:tcPr>
            <w:tcW w:w="2088" w:type="dxa"/>
          </w:tcPr>
          <w:p w:rsidR="00256F78" w:rsidRDefault="00256F78" w:rsidP="00256F78">
            <w:pPr>
              <w:pStyle w:val="Tabele"/>
            </w:pPr>
            <w:r>
              <w:t>Sekretar i dytë</w:t>
            </w:r>
          </w:p>
          <w:p w:rsidR="00256F78" w:rsidRDefault="00256F78" w:rsidP="00256F78">
            <w:pPr>
              <w:pStyle w:val="Tabele"/>
            </w:pPr>
            <w:r>
              <w:t>zëvendëskonsull</w:t>
            </w:r>
          </w:p>
        </w:tc>
        <w:tc>
          <w:tcPr>
            <w:tcW w:w="1260" w:type="dxa"/>
          </w:tcPr>
          <w:p w:rsidR="00256F78" w:rsidRDefault="00256F78" w:rsidP="00256F78">
            <w:pPr>
              <w:pStyle w:val="Tabele"/>
            </w:pPr>
            <w:r>
              <w:t>9 000</w:t>
            </w:r>
          </w:p>
        </w:tc>
        <w:tc>
          <w:tcPr>
            <w:tcW w:w="1980" w:type="dxa"/>
          </w:tcPr>
          <w:p w:rsidR="00256F78" w:rsidRDefault="00256F78" w:rsidP="00256F78">
            <w:pPr>
              <w:pStyle w:val="Tabele"/>
            </w:pPr>
            <w:r>
              <w:t>2 %</w:t>
            </w:r>
          </w:p>
        </w:tc>
        <w:tc>
          <w:tcPr>
            <w:tcW w:w="1977" w:type="dxa"/>
          </w:tcPr>
          <w:p w:rsidR="00256F78" w:rsidRDefault="00256F78" w:rsidP="00256F78">
            <w:pPr>
              <w:pStyle w:val="Tabele"/>
            </w:pPr>
            <w:r>
              <w:t>0</w:t>
            </w:r>
          </w:p>
        </w:tc>
        <w:tc>
          <w:tcPr>
            <w:tcW w:w="1551" w:type="dxa"/>
          </w:tcPr>
          <w:p w:rsidR="00256F78" w:rsidRDefault="00256F78" w:rsidP="00256F78">
            <w:pPr>
              <w:pStyle w:val="Tabele"/>
            </w:pPr>
            <w:r>
              <w:t>40 000</w:t>
            </w:r>
          </w:p>
        </w:tc>
      </w:tr>
      <w:tr w:rsidR="00256F78">
        <w:tc>
          <w:tcPr>
            <w:tcW w:w="2088" w:type="dxa"/>
          </w:tcPr>
          <w:p w:rsidR="00256F78" w:rsidRDefault="00256F78" w:rsidP="00256F78">
            <w:pPr>
              <w:pStyle w:val="Tabele"/>
            </w:pPr>
            <w:r>
              <w:t>Sekretar i tretë</w:t>
            </w:r>
          </w:p>
          <w:p w:rsidR="00256F78" w:rsidRDefault="00256F78" w:rsidP="00256F78">
            <w:pPr>
              <w:pStyle w:val="Tabele"/>
            </w:pPr>
            <w:r>
              <w:t>Agjent konsullor</w:t>
            </w:r>
          </w:p>
        </w:tc>
        <w:tc>
          <w:tcPr>
            <w:tcW w:w="1260" w:type="dxa"/>
          </w:tcPr>
          <w:p w:rsidR="00256F78" w:rsidRDefault="00256F78" w:rsidP="00256F78">
            <w:pPr>
              <w:pStyle w:val="Tabele"/>
            </w:pPr>
            <w:r>
              <w:t>9 000</w:t>
            </w:r>
          </w:p>
        </w:tc>
        <w:tc>
          <w:tcPr>
            <w:tcW w:w="1980" w:type="dxa"/>
          </w:tcPr>
          <w:p w:rsidR="00256F78" w:rsidRDefault="00256F78" w:rsidP="00256F78">
            <w:pPr>
              <w:pStyle w:val="Tabele"/>
            </w:pPr>
            <w:r>
              <w:t>2 %</w:t>
            </w:r>
          </w:p>
        </w:tc>
        <w:tc>
          <w:tcPr>
            <w:tcW w:w="1977" w:type="dxa"/>
          </w:tcPr>
          <w:p w:rsidR="00256F78" w:rsidRDefault="00256F78" w:rsidP="00256F78">
            <w:pPr>
              <w:pStyle w:val="Tabele"/>
            </w:pPr>
            <w:r>
              <w:t>0</w:t>
            </w:r>
          </w:p>
        </w:tc>
        <w:tc>
          <w:tcPr>
            <w:tcW w:w="1551" w:type="dxa"/>
          </w:tcPr>
          <w:p w:rsidR="00256F78" w:rsidRDefault="00256F78" w:rsidP="00256F78">
            <w:pPr>
              <w:pStyle w:val="Tabele"/>
            </w:pPr>
            <w:r>
              <w:t>30 000</w:t>
            </w:r>
          </w:p>
        </w:tc>
      </w:tr>
      <w:tr w:rsidR="00256F78">
        <w:tc>
          <w:tcPr>
            <w:tcW w:w="2088" w:type="dxa"/>
          </w:tcPr>
          <w:p w:rsidR="00256F78" w:rsidRDefault="00256F78" w:rsidP="00256F78">
            <w:pPr>
              <w:pStyle w:val="Tabele"/>
            </w:pPr>
            <w:r>
              <w:t>Atashe</w:t>
            </w:r>
          </w:p>
          <w:p w:rsidR="00256F78" w:rsidRDefault="00256F78" w:rsidP="00256F78">
            <w:pPr>
              <w:pStyle w:val="Tabele"/>
            </w:pPr>
          </w:p>
        </w:tc>
        <w:tc>
          <w:tcPr>
            <w:tcW w:w="1260" w:type="dxa"/>
          </w:tcPr>
          <w:p w:rsidR="00256F78" w:rsidRDefault="00256F78" w:rsidP="00256F78">
            <w:pPr>
              <w:pStyle w:val="Tabele"/>
            </w:pPr>
            <w:r>
              <w:t>9 000</w:t>
            </w:r>
          </w:p>
        </w:tc>
        <w:tc>
          <w:tcPr>
            <w:tcW w:w="1980" w:type="dxa"/>
          </w:tcPr>
          <w:p w:rsidR="00256F78" w:rsidRDefault="00256F78" w:rsidP="00256F78">
            <w:pPr>
              <w:pStyle w:val="Tabele"/>
            </w:pPr>
            <w:r>
              <w:t>2 %</w:t>
            </w:r>
          </w:p>
        </w:tc>
        <w:tc>
          <w:tcPr>
            <w:tcW w:w="1977" w:type="dxa"/>
          </w:tcPr>
          <w:p w:rsidR="00256F78" w:rsidRDefault="00256F78" w:rsidP="00256F78">
            <w:pPr>
              <w:pStyle w:val="Tabele"/>
            </w:pPr>
            <w:r>
              <w:t>0</w:t>
            </w:r>
          </w:p>
        </w:tc>
        <w:tc>
          <w:tcPr>
            <w:tcW w:w="1551" w:type="dxa"/>
          </w:tcPr>
          <w:p w:rsidR="00256F78" w:rsidRDefault="00256F78" w:rsidP="00256F78">
            <w:pPr>
              <w:pStyle w:val="Tabele"/>
            </w:pPr>
            <w:r>
              <w:t>20 000</w:t>
            </w:r>
          </w:p>
        </w:tc>
      </w:tr>
    </w:tbl>
    <w:p w:rsidR="00256F78" w:rsidRDefault="00256F78" w:rsidP="00256F78">
      <w:pPr>
        <w:pStyle w:val="Paragrafi"/>
        <w:jc w:val="center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56F78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4E3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7E09D1-AA45-4A1B-9BF2-A05AAFE42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F78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56F78"/>
    <w:pPr>
      <w:widowControl w:val="0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